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01489" w:rsidRPr="00E8411B" w:rsidRDefault="00D8394F" w:rsidP="00E8411B">
      <w:pPr>
        <w:keepNext/>
        <w:pBdr>
          <w:top w:val="double" w:sz="6" w:space="10" w:color="002060"/>
          <w:bottom w:val="double" w:sz="6" w:space="1" w:color="002060"/>
        </w:pBdr>
        <w:spacing w:after="480" w:line="360" w:lineRule="auto"/>
        <w:ind w:right="-102"/>
        <w:rPr>
          <w:b/>
          <w:bCs/>
          <w:color w:val="002060"/>
          <w:sz w:val="26"/>
          <w:szCs w:val="26"/>
          <w:lang w:eastAsia="en-US"/>
        </w:rPr>
      </w:pPr>
      <w:bookmarkStart w:id="0" w:name="OLE_LINK104"/>
      <w:bookmarkStart w:id="1" w:name="OLE_LINK105"/>
      <w:bookmarkStart w:id="2" w:name="OLE_LINK90"/>
      <w:bookmarkStart w:id="3" w:name="_GoBack"/>
      <w:bookmarkEnd w:id="3"/>
      <w:r w:rsidRPr="00E8411B">
        <w:rPr>
          <w:b/>
          <w:color w:val="002060"/>
          <w:sz w:val="32"/>
          <w:szCs w:val="32"/>
        </w:rPr>
        <w:t>I</w:t>
      </w:r>
      <w:r w:rsidR="00D432C9" w:rsidRPr="00E8411B">
        <w:rPr>
          <w:b/>
          <w:color w:val="002060"/>
          <w:sz w:val="32"/>
          <w:szCs w:val="32"/>
        </w:rPr>
        <w:t>I</w:t>
      </w:r>
      <w:r w:rsidR="00133A18" w:rsidRPr="00E8411B">
        <w:rPr>
          <w:b/>
          <w:color w:val="002060"/>
          <w:sz w:val="32"/>
          <w:szCs w:val="32"/>
        </w:rPr>
        <w:t xml:space="preserve">. </w:t>
      </w:r>
      <w:r w:rsidR="00294F16" w:rsidRPr="00E8411B">
        <w:rPr>
          <w:b/>
          <w:color w:val="002060"/>
          <w:sz w:val="32"/>
          <w:szCs w:val="32"/>
        </w:rPr>
        <w:t>C</w:t>
      </w:r>
      <w:r w:rsidR="00D432C9" w:rsidRPr="00E8411B">
        <w:rPr>
          <w:b/>
          <w:color w:val="002060"/>
          <w:sz w:val="32"/>
          <w:szCs w:val="32"/>
        </w:rPr>
        <w:t>OMERCIO EXTERIOR</w:t>
      </w:r>
    </w:p>
    <w:p w:rsidR="00276B9C" w:rsidRPr="002F1F0F" w:rsidRDefault="00276B9C" w:rsidP="00276B9C">
      <w:pPr>
        <w:spacing w:after="360" w:line="360" w:lineRule="auto"/>
        <w:ind w:right="-159"/>
        <w:jc w:val="both"/>
        <w:rPr>
          <w:rFonts w:eastAsia="Calibri"/>
          <w:b/>
          <w:sz w:val="26"/>
          <w:szCs w:val="26"/>
          <w:lang w:eastAsia="en-US"/>
        </w:rPr>
      </w:pPr>
      <w:bookmarkStart w:id="4" w:name="OLE_LINK79"/>
      <w:bookmarkStart w:id="5" w:name="OLE_LINK86"/>
      <w:bookmarkStart w:id="6" w:name="OLE_LINK97"/>
      <w:bookmarkStart w:id="7" w:name="OLE_LINK98"/>
      <w:bookmarkEnd w:id="0"/>
      <w:bookmarkEnd w:id="1"/>
      <w:bookmarkEnd w:id="2"/>
      <w:r w:rsidRPr="002F1F0F">
        <w:rPr>
          <w:rFonts w:eastAsia="Calibri"/>
          <w:b/>
          <w:sz w:val="26"/>
          <w:szCs w:val="26"/>
          <w:lang w:eastAsia="en-US"/>
        </w:rPr>
        <w:t>Balanza de Pagos en 2014</w:t>
      </w:r>
      <w:r w:rsidRPr="002F1F0F">
        <w:rPr>
          <w:rFonts w:eastAsia="Calibri"/>
          <w:b/>
          <w:sz w:val="26"/>
          <w:szCs w:val="26"/>
          <w:vertAlign w:val="superscript"/>
          <w:lang w:eastAsia="en-US"/>
        </w:rPr>
        <w:footnoteReference w:id="1"/>
      </w:r>
      <w:r w:rsidRPr="002F1F0F">
        <w:rPr>
          <w:rFonts w:eastAsia="Calibri"/>
          <w:b/>
          <w:sz w:val="26"/>
          <w:szCs w:val="26"/>
          <w:lang w:eastAsia="en-US"/>
        </w:rPr>
        <w:t xml:space="preserve"> (Banxico)</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El 25 de febrero de 2015, el Banco de México (Banxico) dio a conocer “La Balanza de Pagos en 2014”. A continuación se presenta la información.</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En 2014, el saldo de la reserva internacional bruta de Banxico registró un incremento de 15 mil 482 millones de dólares. Así</w:t>
      </w:r>
      <w:r w:rsidR="000A7633">
        <w:rPr>
          <w:rFonts w:eastAsia="Calibri"/>
          <w:sz w:val="26"/>
          <w:szCs w:val="26"/>
          <w:lang w:eastAsia="en-US"/>
        </w:rPr>
        <w:t>,</w:t>
      </w:r>
      <w:r w:rsidRPr="002F1F0F">
        <w:rPr>
          <w:rFonts w:eastAsia="Calibri"/>
          <w:sz w:val="26"/>
          <w:szCs w:val="26"/>
          <w:lang w:eastAsia="en-US"/>
        </w:rPr>
        <w:t xml:space="preserve"> al cierre de ese año</w:t>
      </w:r>
      <w:r w:rsidR="000A7633">
        <w:rPr>
          <w:rFonts w:eastAsia="Calibri"/>
          <w:sz w:val="26"/>
          <w:szCs w:val="26"/>
          <w:lang w:eastAsia="en-US"/>
        </w:rPr>
        <w:t>,</w:t>
      </w:r>
      <w:r w:rsidRPr="002F1F0F">
        <w:rPr>
          <w:rFonts w:eastAsia="Calibri"/>
          <w:sz w:val="26"/>
          <w:szCs w:val="26"/>
          <w:lang w:eastAsia="en-US"/>
        </w:rPr>
        <w:t xml:space="preserve"> dicho saldo se ubicó en </w:t>
      </w:r>
      <w:r w:rsidR="006B134F">
        <w:rPr>
          <w:rFonts w:eastAsia="Calibri"/>
          <w:sz w:val="26"/>
          <w:szCs w:val="26"/>
          <w:lang w:eastAsia="en-US"/>
        </w:rPr>
        <w:t xml:space="preserve">         </w:t>
      </w:r>
      <w:r w:rsidRPr="002F1F0F">
        <w:rPr>
          <w:rFonts w:eastAsia="Calibri"/>
          <w:sz w:val="26"/>
          <w:szCs w:val="26"/>
          <w:lang w:eastAsia="en-US"/>
        </w:rPr>
        <w:t>195 mil 682 millones de dólares</w:t>
      </w:r>
      <w:r w:rsidRPr="002F1F0F">
        <w:rPr>
          <w:rFonts w:eastAsia="Calibri"/>
          <w:sz w:val="26"/>
          <w:szCs w:val="26"/>
          <w:vertAlign w:val="superscript"/>
          <w:lang w:eastAsia="en-US"/>
        </w:rPr>
        <w:footnoteReference w:id="2"/>
      </w:r>
      <w:r>
        <w:rPr>
          <w:rFonts w:eastAsia="Calibri"/>
          <w:sz w:val="26"/>
          <w:szCs w:val="26"/>
          <w:lang w:eastAsia="en-US"/>
        </w:rPr>
        <w:t>.</w:t>
      </w:r>
      <w:r w:rsidRPr="002F1F0F">
        <w:rPr>
          <w:rFonts w:eastAsia="Calibri"/>
          <w:sz w:val="26"/>
          <w:szCs w:val="26"/>
          <w:lang w:eastAsia="en-US"/>
        </w:rPr>
        <w:t xml:space="preserve"> El aumento de la reserva internacional se derivó de la combinación de un déficit en la cuenta corriente por 26 mil 545 millones de dólares; de un ingreso de recursos en la cuenta financiera por 55 mil 962 millones de dólares; de un flujo negativo de 13 mil 88 millones de dólares en el renglón de errores y omisiones; y de un cambio negativo por valoración de dicha reserva por 847 millones de dólares</w:t>
      </w:r>
      <w:r w:rsidRPr="002F1F0F">
        <w:rPr>
          <w:rFonts w:eastAsia="Calibri"/>
          <w:sz w:val="26"/>
          <w:szCs w:val="26"/>
          <w:vertAlign w:val="superscript"/>
          <w:lang w:eastAsia="en-US"/>
        </w:rPr>
        <w:footnoteReference w:id="3"/>
      </w:r>
      <w:r>
        <w:rPr>
          <w:rFonts w:eastAsia="Calibri"/>
          <w:sz w:val="26"/>
          <w:szCs w:val="26"/>
          <w:lang w:eastAsia="en-US"/>
        </w:rPr>
        <w:t>.</w:t>
      </w:r>
    </w:p>
    <w:p w:rsidR="00276B9C" w:rsidRPr="002F1F0F" w:rsidRDefault="00B1162F" w:rsidP="00276B9C">
      <w:pPr>
        <w:spacing w:after="360" w:line="360" w:lineRule="auto"/>
        <w:ind w:right="-159"/>
        <w:jc w:val="both"/>
        <w:rPr>
          <w:rFonts w:eastAsia="Calibri"/>
          <w:sz w:val="26"/>
          <w:szCs w:val="26"/>
          <w:lang w:eastAsia="en-US"/>
        </w:rPr>
      </w:pPr>
      <w:r>
        <w:rPr>
          <w:rFonts w:eastAsia="Calibri"/>
          <w:noProof/>
          <w:sz w:val="26"/>
          <w:szCs w:val="26"/>
          <w:lang w:eastAsia="es-MX"/>
        </w:rPr>
        <mc:AlternateContent>
          <mc:Choice Requires="wps">
            <w:drawing>
              <wp:anchor distT="45720" distB="45720" distL="114300" distR="114300" simplePos="0" relativeHeight="251658240" behindDoc="0" locked="0" layoutInCell="1" allowOverlap="1" wp14:anchorId="5FACBBCE" wp14:editId="00ADB910">
                <wp:simplePos x="0" y="0"/>
                <wp:positionH relativeFrom="margin">
                  <wp:posOffset>3501913</wp:posOffset>
                </wp:positionH>
                <wp:positionV relativeFrom="page">
                  <wp:posOffset>9484995</wp:posOffset>
                </wp:positionV>
                <wp:extent cx="2242820" cy="266700"/>
                <wp:effectExtent l="0" t="0" r="2540" b="0"/>
                <wp:wrapSquare wrapText="bothSides"/>
                <wp:docPr id="1689" name="Cuadro de texto 1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282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162F" w:rsidRDefault="00B1162F" w:rsidP="00B1162F">
                            <w:pPr>
                              <w:jc w:val="right"/>
                            </w:pPr>
                            <w:r>
                              <w:t>F1 P-07-02 Rev.00</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uadro de texto 1689" o:spid="_x0000_s1026" type="#_x0000_t202" style="position:absolute;left:0;text-align:left;margin-left:275.75pt;margin-top:746.85pt;width:176.6pt;height:21pt;z-index:251658240;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" stroked="f">
                <v:textbox style="mso-fit-shape-to-text:t">
                  <w:txbxContent>
                    <w:p w14:paraId="1F90F343" w14:textId="77777777" w:rsidR="00B1162F" w:rsidRDefault="00B1162F" w:rsidP="00B1162F">
                      <w:pPr>
                        <w:jc w:val="right"/>
                      </w:pPr>
                      <w:r>
                        <w:t>F1 P-07-02 Rev.00</w:t>
                      </w:r>
                    </w:p>
                  </w:txbxContent>
                </v:textbox>
                <w10:wrap type="square" anchorx="margin" anchory="page"/>
              </v:shape>
            </w:pict>
          </mc:Fallback>
        </mc:AlternateContent>
      </w:r>
      <w:r w:rsidR="00276B9C" w:rsidRPr="002F1F0F">
        <w:rPr>
          <w:rFonts w:eastAsia="Calibri"/>
          <w:sz w:val="26"/>
          <w:szCs w:val="26"/>
          <w:lang w:eastAsia="en-US"/>
        </w:rPr>
        <w:t xml:space="preserve">Las exportaciones manufactureras mostraron un mayor ritmo de crecimiento en 2014 </w:t>
      </w:r>
      <w:proofErr w:type="gramStart"/>
      <w:r w:rsidR="00276B9C" w:rsidRPr="002F1F0F">
        <w:rPr>
          <w:rFonts w:eastAsia="Calibri"/>
          <w:sz w:val="26"/>
          <w:szCs w:val="26"/>
          <w:lang w:eastAsia="en-US"/>
        </w:rPr>
        <w:t>respecto</w:t>
      </w:r>
      <w:proofErr w:type="gramEnd"/>
      <w:r w:rsidR="00276B9C" w:rsidRPr="002F1F0F">
        <w:rPr>
          <w:rFonts w:eastAsia="Calibri"/>
          <w:sz w:val="26"/>
          <w:szCs w:val="26"/>
          <w:lang w:eastAsia="en-US"/>
        </w:rPr>
        <w:t xml:space="preserve"> al observado en el año previo, lo cual se derivó, en buena medida, del impulso de las exportaciones dirigidas a Estados Unidos de Norteamérica. En contraste, las </w:t>
      </w:r>
      <w:r w:rsidR="00276B9C" w:rsidRPr="002F1F0F">
        <w:rPr>
          <w:rFonts w:eastAsia="Calibri"/>
          <w:sz w:val="26"/>
          <w:szCs w:val="26"/>
          <w:lang w:eastAsia="en-US"/>
        </w:rPr>
        <w:lastRenderedPageBreak/>
        <w:t xml:space="preserve">exportaciones petroleras registraron una disminución anual. Lo anterior, en conjunto con el mejor desempeño que exhibieron las importaciones en 2014 en relación con el de 2013, </w:t>
      </w:r>
      <w:proofErr w:type="gramStart"/>
      <w:r w:rsidR="00276B9C" w:rsidRPr="002F1F0F">
        <w:rPr>
          <w:rFonts w:eastAsia="Calibri"/>
          <w:sz w:val="26"/>
          <w:szCs w:val="26"/>
          <w:lang w:eastAsia="en-US"/>
        </w:rPr>
        <w:t>condujeron</w:t>
      </w:r>
      <w:proofErr w:type="gramEnd"/>
      <w:r w:rsidR="00276B9C" w:rsidRPr="002F1F0F">
        <w:rPr>
          <w:rFonts w:eastAsia="Calibri"/>
          <w:sz w:val="26"/>
          <w:szCs w:val="26"/>
          <w:lang w:eastAsia="en-US"/>
        </w:rPr>
        <w:t xml:space="preserve"> a que se incrementara el déficit de la balanza comercial, si bien éste continuó siendo moderado. Esto, a su vez, contribuyó a que la cuenta corriente se mantuviera en niveles plenamente financiables.</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En 2014, México siguió atrayendo recursos del exterior dirigidos a la adquisición de instrumentos financieros en moneda nacional, en un contexto en el que en la segunda parte del año se incrementó la volatilidad en los mercados financieros internacionales. Al respecto, destaca que durante el último trimestre de 2014</w:t>
      </w:r>
      <w:r w:rsidR="00736C45">
        <w:rPr>
          <w:rFonts w:eastAsia="Calibri"/>
          <w:sz w:val="26"/>
          <w:szCs w:val="26"/>
          <w:lang w:eastAsia="en-US"/>
        </w:rPr>
        <w:t>,</w:t>
      </w:r>
      <w:r w:rsidRPr="002F1F0F">
        <w:rPr>
          <w:rFonts w:eastAsia="Calibri"/>
          <w:sz w:val="26"/>
          <w:szCs w:val="26"/>
          <w:lang w:eastAsia="en-US"/>
        </w:rPr>
        <w:t xml:space="preserve"> el entorno internacional presentó un deterioro importante ante la ocurrencia de dos choques. Por una parte, el precio internacional del petróleo exhibió una caída significativa. Por otra, se observó una apreciación generalizada del dólar estadounidense ante un ajuste de portafolio propiciado por las diferencias en el ritmo de crecimiento y en las expectativas sobre las posturas monetarias de las principales economías avanzadas. Lo anterior se registró a la par de una desaceleración de la economía mundial  ante la debilidad prevaleciente en la mayoría de las economías avanzadas y emergentes, con la excepción de la de Estados Unidos de Norteamérica. Cabe señalar que, a pesar de la mayor volatilidad en los mercados financieros internacionales, en términos generales, los ajustes en los mercados nacionales se dieron de manera relativamente ordenada. En este contexto, en el cuarto trimestre de 2014</w:t>
      </w:r>
      <w:r w:rsidR="00736C45">
        <w:rPr>
          <w:rFonts w:eastAsia="Calibri"/>
          <w:sz w:val="26"/>
          <w:szCs w:val="26"/>
          <w:lang w:eastAsia="en-US"/>
        </w:rPr>
        <w:t>,</w:t>
      </w:r>
      <w:r w:rsidRPr="002F1F0F">
        <w:rPr>
          <w:rFonts w:eastAsia="Calibri"/>
          <w:sz w:val="26"/>
          <w:szCs w:val="26"/>
          <w:lang w:eastAsia="en-US"/>
        </w:rPr>
        <w:t xml:space="preserve"> el saldo del ahorro financiero de no residentes incrementó su ritmo de expansión respecto al del trimestre previo, lo que fue reflejo de un aumento en su tenencia de instrumentos de deuda gubernamental, en particular de valores de mediano y largo plazo.</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Durante 2014, la cuenta corriente de la balanza de pagos mostró un déficit de 26 mil 545 millones de dólares, cifra que representó 2.1% del PIB. Este saldo fue resultado neto de</w:t>
      </w:r>
      <w:r w:rsidR="00736C45">
        <w:rPr>
          <w:rFonts w:eastAsia="Calibri"/>
          <w:sz w:val="26"/>
          <w:szCs w:val="26"/>
          <w:lang w:eastAsia="en-US"/>
        </w:rPr>
        <w:t>l</w:t>
      </w:r>
      <w:r w:rsidRPr="002F1F0F">
        <w:rPr>
          <w:rFonts w:eastAsia="Calibri"/>
          <w:sz w:val="26"/>
          <w:szCs w:val="26"/>
          <w:lang w:eastAsia="en-US"/>
        </w:rPr>
        <w:t xml:space="preserve"> déficit en la balanza de bienes y servicios (16 mil 40 millones de dólares) y en </w:t>
      </w:r>
      <w:r w:rsidRPr="002F1F0F">
        <w:rPr>
          <w:rFonts w:eastAsia="Calibri"/>
          <w:sz w:val="26"/>
          <w:szCs w:val="26"/>
          <w:lang w:eastAsia="en-US"/>
        </w:rPr>
        <w:lastRenderedPageBreak/>
        <w:t xml:space="preserve">la de renta (34 mil 382 millones de dólares), y de un superávit en la balanza de transferencias (23 mil 877 millones de dólares).  </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 xml:space="preserve">En el período que se reporta, el déficit en la balanza de bienes y servicios fue reflejo de saldos negativos de 2 mil 166 millones de dólares en la balanza de bienes y de 13 mil 874 millones de dólares en la de servicios. A su vez, el saldo de la balanza de bienes se derivó de la combinación de un déficit de 2 mil 442 millones de dólares en la balanza de mercancías y de un superávit de 275 millones de dólares en la de bienes adquiridos en puertos por medios de transporte. </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 xml:space="preserve">El déficit de 2 mil 442 millones de dólares que mostró la balanza de mercancías en 2014 se compara con el de 1 mil 184 millones de dólares que presentó en 2013. Este cambio fue resultado neto de una disminución en el superávit de la balanza de mercancías petroleras, el cual pasó de 8 mil 625 millones de dólares en 2013 a 1 mil 489 millones de dólares en 2014, y de una reducción en el déficit de la balanza de productos no petroleros, que pasó de 9 mil 809 millones de dólares a 3 mil 931 millones de dólares, en la misma comparación. </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 xml:space="preserve">En 2014, el valor de las exportaciones de mercancías sumó 397 mil 535 millones de dólares, cifra que representó una expansión anual de 4.6%. Por su parte, en el año que se reporta el valor de las importaciones de mercancías fue de 399 mil 977 millones de dólares, lo cual implicó un crecimiento anual de 4.9 por ciento.  </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 xml:space="preserve">La balanza de servicios mostró en 2014 un déficit de 13 mil 874 millones de dólares, el cual se derivó de ingresos por 21 mil 37 millones de dólares (incremento anual de 4.6%) y de egresos por 34 mil 910 millones de dólares (aumento anual de 8.7%). En particular, por concepto de viajeros internacionales se registró un superávit de 6 mil 601 millones de dólares, producto de ingresos por 16 mil 258 millones de dólares (alza anual de 16.6%) y de egresos por 9 mil 657 millones de dólares (expansión anual de 5.9%). </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lastRenderedPageBreak/>
        <w:t xml:space="preserve">En 2014, la balanza de renta presentó un saldo deficitario de 34 mil 382 millones de dólares, el cual se originó de ingresos por 7 mil 810 millones de dólares (reducción anual de 31.0%) y de egresos por 42 mil 192 millones de dólares (disminución anual de 16.0%). En el período que se reporta, el pago neto por intereses al exterior resultó de 23 mil 106 millones de dólares, monto 10.5% superior al observado en 2013. </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 xml:space="preserve">El ingreso por remesas familiares en 2014 fue de 23 mil 607 millones de dólares, cifra 7.8% mayor a la registrada en el año previo. </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 xml:space="preserve">En 2014, la cuenta financiera de la balanza de pagos presentó un superávit de 55 mil 962 millones de dólares. Dicho saldo se derivó de entradas netas por 14 mil </w:t>
      </w:r>
      <w:r w:rsidR="002C0B6D">
        <w:rPr>
          <w:rFonts w:eastAsia="Calibri"/>
          <w:sz w:val="26"/>
          <w:szCs w:val="26"/>
          <w:lang w:eastAsia="en-US"/>
        </w:rPr>
        <w:t xml:space="preserve">                    </w:t>
      </w:r>
      <w:r w:rsidRPr="002F1F0F">
        <w:rPr>
          <w:rFonts w:eastAsia="Calibri"/>
          <w:sz w:val="26"/>
          <w:szCs w:val="26"/>
          <w:lang w:eastAsia="en-US"/>
        </w:rPr>
        <w:t xml:space="preserve">958 millones de dólares en la cuenta de inversión directa (ingresos de 22 mil </w:t>
      </w:r>
      <w:r w:rsidR="002C0B6D">
        <w:rPr>
          <w:rFonts w:eastAsia="Calibri"/>
          <w:sz w:val="26"/>
          <w:szCs w:val="26"/>
          <w:lang w:eastAsia="en-US"/>
        </w:rPr>
        <w:t xml:space="preserve">                 </w:t>
      </w:r>
      <w:r w:rsidRPr="002F1F0F">
        <w:rPr>
          <w:rFonts w:eastAsia="Calibri"/>
          <w:sz w:val="26"/>
          <w:szCs w:val="26"/>
          <w:lang w:eastAsia="en-US"/>
        </w:rPr>
        <w:t>568 millones de dólares por inversión extranjera directa captada por México y egresos de 7 mil 610 millones de dólares por inversiones directas en el exterior de residentes en México) y por 46 mil 490 millones de dólares en la cuenta de inversión de cartera, y de una salida neta por 5 mil 486 millones de dólares en la cuenta de otra inversión.</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 xml:space="preserve">La cuenta corriente de la balanza de pagos mostró un saldo negativo de 26 mil </w:t>
      </w:r>
      <w:r w:rsidR="002C0B6D">
        <w:rPr>
          <w:rFonts w:eastAsia="Calibri"/>
          <w:sz w:val="26"/>
          <w:szCs w:val="26"/>
          <w:lang w:eastAsia="en-US"/>
        </w:rPr>
        <w:t xml:space="preserve">               </w:t>
      </w:r>
      <w:r w:rsidRPr="002F1F0F">
        <w:rPr>
          <w:rFonts w:eastAsia="Calibri"/>
          <w:sz w:val="26"/>
          <w:szCs w:val="26"/>
          <w:lang w:eastAsia="en-US"/>
        </w:rPr>
        <w:t xml:space="preserve">545 millones de dólares en 2014, monto que se derivó de la combinación de déficit en la balanza de bienes y servicios por 16 mil 40 millones de dólares y en la de renta por   </w:t>
      </w:r>
      <w:r w:rsidR="006B134F">
        <w:rPr>
          <w:rFonts w:eastAsia="Calibri"/>
          <w:sz w:val="26"/>
          <w:szCs w:val="26"/>
          <w:lang w:eastAsia="en-US"/>
        </w:rPr>
        <w:t xml:space="preserve"> </w:t>
      </w:r>
      <w:r w:rsidRPr="002F1F0F">
        <w:rPr>
          <w:rFonts w:eastAsia="Calibri"/>
          <w:sz w:val="26"/>
          <w:szCs w:val="26"/>
          <w:lang w:eastAsia="en-US"/>
        </w:rPr>
        <w:t xml:space="preserve">  34 mil 382 millones de dólares, y de un superávit en la balanza de transferencias por  23 mil 877 millones de dólares.</w:t>
      </w:r>
    </w:p>
    <w:p w:rsidR="00276B9C" w:rsidRPr="002F1F0F" w:rsidRDefault="00276B9C" w:rsidP="00276B9C">
      <w:pPr>
        <w:spacing w:after="360" w:line="360" w:lineRule="auto"/>
        <w:ind w:right="-159"/>
        <w:jc w:val="both"/>
        <w:rPr>
          <w:rFonts w:eastAsia="Calibri"/>
          <w:sz w:val="26"/>
          <w:szCs w:val="26"/>
          <w:lang w:eastAsia="en-US"/>
        </w:rPr>
      </w:pPr>
    </w:p>
    <w:p w:rsidR="00276B9C" w:rsidRDefault="00276B9C" w:rsidP="00276B9C">
      <w:pPr>
        <w:spacing w:after="360" w:line="360" w:lineRule="auto"/>
        <w:ind w:right="-159"/>
        <w:jc w:val="center"/>
        <w:rPr>
          <w:rFonts w:eastAsia="Calibri"/>
          <w:sz w:val="26"/>
          <w:szCs w:val="26"/>
          <w:lang w:eastAsia="en-US"/>
        </w:rPr>
      </w:pPr>
      <w:r w:rsidRPr="0093598C">
        <w:rPr>
          <w:rFonts w:ascii="Calibri" w:eastAsia="Calibri" w:hAnsi="Calibri"/>
          <w:sz w:val="22"/>
          <w:szCs w:val="22"/>
          <w:lang w:eastAsia="en-US"/>
        </w:rPr>
        <w:lastRenderedPageBreak/>
        <w:fldChar w:fldCharType="begin"/>
      </w:r>
      <w:r w:rsidRPr="0093598C">
        <w:rPr>
          <w:rFonts w:ascii="Calibri" w:eastAsia="Calibri" w:hAnsi="Calibri"/>
          <w:sz w:val="22"/>
          <w:szCs w:val="22"/>
          <w:lang w:eastAsia="en-US"/>
        </w:rPr>
        <w:instrText xml:space="preserve"> LINK PowerPoint.Slide.8 "D:\\2015\\MARZO 2014\\GRÁFICAS EN POWER POINT\\2.- GRÁFICAS DE BALANZA DE PAGOS.pptx!278" "" \a \p </w:instrText>
      </w:r>
      <w:r w:rsidRPr="0093598C">
        <w:rPr>
          <w:rFonts w:ascii="Calibri" w:eastAsia="Calibri" w:hAnsi="Calibri"/>
          <w:sz w:val="22"/>
          <w:szCs w:val="22"/>
          <w:lang w:eastAsia="en-US"/>
        </w:rPr>
        <w:fldChar w:fldCharType="separate"/>
      </w:r>
      <w:r w:rsidRPr="0093598C">
        <w:rPr>
          <w:rFonts w:ascii="Calibri" w:eastAsia="Calibri" w:hAnsi="Calibri"/>
          <w:noProof/>
          <w:sz w:val="22"/>
          <w:szCs w:val="22"/>
          <w:lang w:eastAsia="es-MX"/>
        </w:rPr>
        <w:drawing>
          <wp:inline distT="0" distB="0" distL="0" distR="0" wp14:anchorId="23A14B85" wp14:editId="7DDAE356">
            <wp:extent cx="5208270" cy="2897505"/>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8" cstate="print">
                      <a:extLst>
                        <a:ext uri="{28A0092B-C50C-407E-A947-70E740481C1C}">
                          <a14:useLocalDpi xmlns:a14="http://schemas.microsoft.com/office/drawing/2010/main" val="0"/>
                        </a:ext>
                      </a:extLst>
                    </a:blip>
                    <a:srcRect l="7704" t="9042" r="6660" b="6262"/>
                    <a:stretch>
                      <a:fillRect/>
                    </a:stretch>
                  </pic:blipFill>
                  <pic:spPr bwMode="auto">
                    <a:xfrm>
                      <a:off x="0" y="0"/>
                      <a:ext cx="5208270" cy="2897505"/>
                    </a:xfrm>
                    <a:prstGeom prst="rect">
                      <a:avLst/>
                    </a:prstGeom>
                    <a:noFill/>
                    <a:ln>
                      <a:noFill/>
                    </a:ln>
                  </pic:spPr>
                </pic:pic>
              </a:graphicData>
            </a:graphic>
          </wp:inline>
        </w:drawing>
      </w:r>
      <w:r w:rsidRPr="0093598C">
        <w:rPr>
          <w:rFonts w:ascii="Calibri" w:eastAsia="Calibri" w:hAnsi="Calibri"/>
          <w:sz w:val="22"/>
          <w:szCs w:val="22"/>
          <w:lang w:eastAsia="en-US"/>
        </w:rPr>
        <w:fldChar w:fldCharType="end"/>
      </w:r>
    </w:p>
    <w:p w:rsidR="00276B9C" w:rsidRDefault="00276B9C" w:rsidP="00276B9C">
      <w:pPr>
        <w:spacing w:after="360" w:line="360" w:lineRule="auto"/>
        <w:ind w:right="-159"/>
        <w:jc w:val="center"/>
        <w:rPr>
          <w:rFonts w:eastAsia="Calibri"/>
          <w:sz w:val="26"/>
          <w:szCs w:val="26"/>
          <w:lang w:eastAsia="en-US"/>
        </w:rPr>
      </w:pPr>
    </w:p>
    <w:p w:rsidR="00276B9C" w:rsidRDefault="00276B9C" w:rsidP="00276B9C">
      <w:pPr>
        <w:spacing w:after="360" w:line="360" w:lineRule="auto"/>
        <w:ind w:right="-159"/>
        <w:jc w:val="center"/>
        <w:rPr>
          <w:rFonts w:eastAsia="Calibri"/>
          <w:sz w:val="26"/>
          <w:szCs w:val="26"/>
          <w:lang w:eastAsia="en-US"/>
        </w:rPr>
      </w:pPr>
      <w:r w:rsidRPr="0093598C">
        <w:rPr>
          <w:rFonts w:ascii="Calibri" w:eastAsia="Calibri" w:hAnsi="Calibri"/>
          <w:sz w:val="22"/>
          <w:szCs w:val="22"/>
          <w:lang w:eastAsia="en-US"/>
        </w:rPr>
        <w:fldChar w:fldCharType="begin"/>
      </w:r>
      <w:r w:rsidRPr="0093598C">
        <w:rPr>
          <w:rFonts w:ascii="Calibri" w:eastAsia="Calibri" w:hAnsi="Calibri"/>
          <w:sz w:val="22"/>
          <w:szCs w:val="22"/>
          <w:lang w:eastAsia="en-US"/>
        </w:rPr>
        <w:instrText xml:space="preserve"> LINK PowerPoint.Slide.8 "D:\\2015\\MARZO 2014\\GRÁFICAS EN POWER POINT\\2.- GRÁFICAS DE BALANZA DE PAGOS.pptx!259" "" \a \p </w:instrText>
      </w:r>
      <w:r w:rsidRPr="0093598C">
        <w:rPr>
          <w:rFonts w:ascii="Calibri" w:eastAsia="Calibri" w:hAnsi="Calibri"/>
          <w:sz w:val="22"/>
          <w:szCs w:val="22"/>
          <w:lang w:eastAsia="en-US"/>
        </w:rPr>
        <w:fldChar w:fldCharType="separate"/>
      </w:r>
      <w:r w:rsidRPr="0093598C">
        <w:rPr>
          <w:rFonts w:ascii="Calibri" w:eastAsia="Calibri" w:hAnsi="Calibri"/>
          <w:noProof/>
          <w:sz w:val="22"/>
          <w:szCs w:val="22"/>
          <w:lang w:eastAsia="es-MX"/>
        </w:rPr>
        <w:drawing>
          <wp:inline distT="0" distB="0" distL="0" distR="0" wp14:anchorId="51506486" wp14:editId="142D37BB">
            <wp:extent cx="4949190" cy="2879090"/>
            <wp:effectExtent l="0" t="0" r="381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9" cstate="print">
                      <a:extLst>
                        <a:ext uri="{28A0092B-C50C-407E-A947-70E740481C1C}">
                          <a14:useLocalDpi xmlns:a14="http://schemas.microsoft.com/office/drawing/2010/main" val="0"/>
                        </a:ext>
                      </a:extLst>
                    </a:blip>
                    <a:srcRect l="6796" r="11766" b="16010"/>
                    <a:stretch>
                      <a:fillRect/>
                    </a:stretch>
                  </pic:blipFill>
                  <pic:spPr bwMode="auto">
                    <a:xfrm>
                      <a:off x="0" y="0"/>
                      <a:ext cx="4949190" cy="2879090"/>
                    </a:xfrm>
                    <a:prstGeom prst="rect">
                      <a:avLst/>
                    </a:prstGeom>
                    <a:noFill/>
                    <a:ln>
                      <a:noFill/>
                    </a:ln>
                  </pic:spPr>
                </pic:pic>
              </a:graphicData>
            </a:graphic>
          </wp:inline>
        </w:drawing>
      </w:r>
      <w:r w:rsidRPr="0093598C">
        <w:rPr>
          <w:rFonts w:ascii="Calibri" w:eastAsia="Calibri" w:hAnsi="Calibri"/>
          <w:sz w:val="22"/>
          <w:szCs w:val="22"/>
          <w:lang w:eastAsia="en-US"/>
        </w:rPr>
        <w:fldChar w:fldCharType="end"/>
      </w:r>
    </w:p>
    <w:p w:rsidR="00276B9C" w:rsidRDefault="00276B9C" w:rsidP="00276B9C">
      <w:pPr>
        <w:spacing w:after="360" w:line="360" w:lineRule="auto"/>
        <w:ind w:right="-159"/>
        <w:jc w:val="center"/>
        <w:rPr>
          <w:rFonts w:eastAsia="Calibri"/>
          <w:sz w:val="26"/>
          <w:szCs w:val="26"/>
          <w:lang w:eastAsia="en-US"/>
        </w:rPr>
      </w:pPr>
    </w:p>
    <w:p w:rsidR="00276B9C" w:rsidRDefault="00276B9C" w:rsidP="00276B9C">
      <w:pPr>
        <w:spacing w:after="360" w:line="360" w:lineRule="auto"/>
        <w:ind w:right="-159"/>
        <w:jc w:val="center"/>
        <w:rPr>
          <w:rFonts w:eastAsia="Calibri"/>
          <w:sz w:val="26"/>
          <w:szCs w:val="26"/>
          <w:lang w:eastAsia="en-US"/>
        </w:rPr>
      </w:pPr>
    </w:p>
    <w:p w:rsidR="00276B9C" w:rsidRPr="002F1F0F" w:rsidRDefault="00276B9C" w:rsidP="00276B9C">
      <w:pPr>
        <w:spacing w:after="360" w:line="360" w:lineRule="auto"/>
        <w:ind w:right="-159"/>
        <w:jc w:val="center"/>
        <w:rPr>
          <w:rFonts w:eastAsia="Calibri"/>
          <w:sz w:val="26"/>
          <w:szCs w:val="26"/>
          <w:lang w:eastAsia="en-US"/>
        </w:rPr>
      </w:pPr>
    </w:p>
    <w:tbl>
      <w:tblPr>
        <w:tblW w:w="9214" w:type="dxa"/>
        <w:jc w:val="center"/>
        <w:tblLayout w:type="fixed"/>
        <w:tblLook w:val="01E0" w:firstRow="1" w:lastRow="1" w:firstColumn="1" w:lastColumn="1" w:noHBand="0" w:noVBand="0"/>
      </w:tblPr>
      <w:tblGrid>
        <w:gridCol w:w="3828"/>
        <w:gridCol w:w="912"/>
        <w:gridCol w:w="28"/>
        <w:gridCol w:w="902"/>
        <w:gridCol w:w="851"/>
        <w:gridCol w:w="939"/>
        <w:gridCol w:w="851"/>
        <w:gridCol w:w="903"/>
      </w:tblGrid>
      <w:tr w:rsidR="00276B9C" w:rsidRPr="002F1F0F" w:rsidTr="001E7D79">
        <w:trPr>
          <w:jc w:val="center"/>
        </w:trPr>
        <w:tc>
          <w:tcPr>
            <w:tcW w:w="9214" w:type="dxa"/>
            <w:gridSpan w:val="8"/>
            <w:tcBorders>
              <w:top w:val="nil"/>
              <w:left w:val="nil"/>
              <w:bottom w:val="single" w:sz="4" w:space="0" w:color="auto"/>
              <w:right w:val="nil"/>
            </w:tcBorders>
          </w:tcPr>
          <w:p w:rsidR="00276B9C" w:rsidRPr="002F1F0F" w:rsidRDefault="00276B9C" w:rsidP="001E7D79">
            <w:pPr>
              <w:ind w:left="-57" w:right="-57"/>
              <w:jc w:val="center"/>
              <w:rPr>
                <w:rFonts w:eastAsia="Times New Roman"/>
                <w:b/>
                <w:sz w:val="18"/>
                <w:szCs w:val="18"/>
                <w:lang w:eastAsia="es-MX"/>
              </w:rPr>
            </w:pPr>
            <w:r w:rsidRPr="002F1F0F">
              <w:rPr>
                <w:rFonts w:eastAsia="Times New Roman"/>
                <w:b/>
                <w:sz w:val="18"/>
                <w:szCs w:val="18"/>
                <w:lang w:eastAsia="es-MX"/>
              </w:rPr>
              <w:lastRenderedPageBreak/>
              <w:t>CUENTA CORRIENTE DE LA BALANZA DE PAGOS</w:t>
            </w:r>
          </w:p>
          <w:p w:rsidR="00276B9C" w:rsidRPr="002F1F0F" w:rsidRDefault="00276B9C" w:rsidP="001E7D79">
            <w:pPr>
              <w:ind w:left="-57" w:right="-57"/>
              <w:jc w:val="center"/>
              <w:rPr>
                <w:rFonts w:eastAsia="Times New Roman"/>
                <w:b/>
                <w:sz w:val="18"/>
                <w:szCs w:val="18"/>
                <w:lang w:eastAsia="es-MX"/>
              </w:rPr>
            </w:pPr>
            <w:r w:rsidRPr="002F1F0F">
              <w:rPr>
                <w:rFonts w:eastAsia="Times New Roman"/>
                <w:b/>
                <w:sz w:val="18"/>
                <w:szCs w:val="18"/>
                <w:lang w:eastAsia="es-MX"/>
              </w:rPr>
              <w:t>-Millones de dólares-</w:t>
            </w:r>
          </w:p>
        </w:tc>
      </w:tr>
      <w:tr w:rsidR="00276B9C" w:rsidRPr="002F1F0F" w:rsidTr="001E7D79">
        <w:trPr>
          <w:jc w:val="center"/>
        </w:trPr>
        <w:tc>
          <w:tcPr>
            <w:tcW w:w="3828" w:type="dxa"/>
            <w:vMerge w:val="restart"/>
            <w:tcBorders>
              <w:top w:val="single" w:sz="4" w:space="0" w:color="auto"/>
              <w:left w:val="single" w:sz="4" w:space="0" w:color="auto"/>
              <w:bottom w:val="single" w:sz="4" w:space="0" w:color="auto"/>
              <w:right w:val="nil"/>
            </w:tcBorders>
          </w:tcPr>
          <w:p w:rsidR="00276B9C" w:rsidRPr="002F1F0F" w:rsidRDefault="00276B9C" w:rsidP="001E7D79">
            <w:pPr>
              <w:jc w:val="center"/>
              <w:rPr>
                <w:rFonts w:eastAsia="Times New Roman"/>
                <w:b/>
                <w:sz w:val="18"/>
                <w:szCs w:val="18"/>
                <w:lang w:eastAsia="es-MX"/>
              </w:rPr>
            </w:pPr>
          </w:p>
        </w:tc>
        <w:tc>
          <w:tcPr>
            <w:tcW w:w="912" w:type="dxa"/>
            <w:tcBorders>
              <w:top w:val="single" w:sz="4" w:space="0" w:color="auto"/>
              <w:left w:val="nil"/>
              <w:bottom w:val="nil"/>
              <w:right w:val="nil"/>
            </w:tcBorders>
          </w:tcPr>
          <w:p w:rsidR="00276B9C" w:rsidRPr="002F1F0F" w:rsidRDefault="00276B9C" w:rsidP="001E7D79">
            <w:pPr>
              <w:ind w:left="-57" w:right="-57"/>
              <w:jc w:val="center"/>
              <w:rPr>
                <w:rFonts w:eastAsia="Times New Roman"/>
                <w:b/>
                <w:sz w:val="18"/>
                <w:szCs w:val="18"/>
                <w:lang w:eastAsia="es-MX"/>
              </w:rPr>
            </w:pPr>
            <w:r w:rsidRPr="002F1F0F">
              <w:rPr>
                <w:rFonts w:eastAsia="Times New Roman"/>
                <w:b/>
                <w:sz w:val="18"/>
                <w:szCs w:val="18"/>
                <w:lang w:eastAsia="es-MX"/>
              </w:rPr>
              <w:t>2013</w:t>
            </w:r>
          </w:p>
        </w:tc>
        <w:tc>
          <w:tcPr>
            <w:tcW w:w="4474" w:type="dxa"/>
            <w:gridSpan w:val="6"/>
            <w:tcBorders>
              <w:top w:val="single" w:sz="4" w:space="0" w:color="auto"/>
              <w:left w:val="nil"/>
              <w:bottom w:val="nil"/>
              <w:right w:val="single" w:sz="4" w:space="0" w:color="auto"/>
            </w:tcBorders>
          </w:tcPr>
          <w:p w:rsidR="00276B9C" w:rsidRPr="002F1F0F" w:rsidRDefault="00276B9C" w:rsidP="001E7D79">
            <w:pPr>
              <w:ind w:left="-57" w:right="-57"/>
              <w:jc w:val="center"/>
              <w:rPr>
                <w:rFonts w:eastAsia="Times New Roman"/>
                <w:b/>
                <w:sz w:val="18"/>
                <w:szCs w:val="18"/>
                <w:lang w:eastAsia="es-MX"/>
              </w:rPr>
            </w:pPr>
            <w:r w:rsidRPr="002F1F0F">
              <w:rPr>
                <w:rFonts w:eastAsia="Times New Roman"/>
                <w:b/>
                <w:sz w:val="18"/>
                <w:szCs w:val="18"/>
                <w:lang w:eastAsia="es-MX"/>
              </w:rPr>
              <w:t>2014</w:t>
            </w:r>
          </w:p>
        </w:tc>
      </w:tr>
      <w:tr w:rsidR="00276B9C" w:rsidRPr="002F1F0F" w:rsidTr="001E7D79">
        <w:trPr>
          <w:jc w:val="center"/>
        </w:trPr>
        <w:tc>
          <w:tcPr>
            <w:tcW w:w="3828" w:type="dxa"/>
            <w:vMerge/>
            <w:tcBorders>
              <w:top w:val="single" w:sz="4" w:space="0" w:color="auto"/>
              <w:left w:val="single" w:sz="4" w:space="0" w:color="auto"/>
              <w:bottom w:val="single" w:sz="4" w:space="0" w:color="auto"/>
              <w:right w:val="nil"/>
            </w:tcBorders>
          </w:tcPr>
          <w:p w:rsidR="00276B9C" w:rsidRPr="002F1F0F" w:rsidRDefault="00276B9C" w:rsidP="001E7D79">
            <w:pPr>
              <w:jc w:val="center"/>
              <w:rPr>
                <w:rFonts w:eastAsia="Times New Roman"/>
                <w:sz w:val="18"/>
                <w:szCs w:val="18"/>
                <w:lang w:eastAsia="es-MX"/>
              </w:rPr>
            </w:pPr>
          </w:p>
        </w:tc>
        <w:tc>
          <w:tcPr>
            <w:tcW w:w="940" w:type="dxa"/>
            <w:gridSpan w:val="2"/>
            <w:tcBorders>
              <w:top w:val="single" w:sz="4" w:space="0" w:color="auto"/>
              <w:left w:val="nil"/>
              <w:bottom w:val="single" w:sz="4" w:space="0" w:color="auto"/>
              <w:right w:val="nil"/>
            </w:tcBorders>
            <w:shd w:val="clear" w:color="auto" w:fill="auto"/>
          </w:tcPr>
          <w:p w:rsidR="00276B9C" w:rsidRPr="002F1F0F" w:rsidRDefault="00276B9C" w:rsidP="001E7D79">
            <w:pPr>
              <w:ind w:left="-57" w:right="57"/>
              <w:jc w:val="right"/>
              <w:rPr>
                <w:rFonts w:eastAsia="Times New Roman"/>
                <w:b/>
                <w:sz w:val="18"/>
                <w:szCs w:val="18"/>
                <w:lang w:val="en-US" w:eastAsia="es-MX"/>
              </w:rPr>
            </w:pPr>
            <w:proofErr w:type="spellStart"/>
            <w:r w:rsidRPr="002F1F0F">
              <w:rPr>
                <w:rFonts w:eastAsia="Times New Roman"/>
                <w:b/>
                <w:sz w:val="18"/>
                <w:szCs w:val="18"/>
                <w:lang w:val="en-US" w:eastAsia="es-MX"/>
              </w:rPr>
              <w:t>Anual</w:t>
            </w:r>
            <w:proofErr w:type="spellEnd"/>
          </w:p>
        </w:tc>
        <w:tc>
          <w:tcPr>
            <w:tcW w:w="902" w:type="dxa"/>
            <w:tcBorders>
              <w:top w:val="single" w:sz="4" w:space="0" w:color="auto"/>
              <w:left w:val="nil"/>
              <w:bottom w:val="single" w:sz="4" w:space="0" w:color="auto"/>
              <w:right w:val="nil"/>
            </w:tcBorders>
          </w:tcPr>
          <w:p w:rsidR="00276B9C" w:rsidRPr="002F1F0F" w:rsidRDefault="00276B9C" w:rsidP="001E7D79">
            <w:pPr>
              <w:ind w:left="-57" w:right="57"/>
              <w:jc w:val="right"/>
              <w:rPr>
                <w:rFonts w:eastAsia="Times New Roman"/>
                <w:b/>
                <w:sz w:val="18"/>
                <w:szCs w:val="18"/>
                <w:lang w:val="en-US" w:eastAsia="es-MX"/>
              </w:rPr>
            </w:pPr>
            <w:r w:rsidRPr="002F1F0F">
              <w:rPr>
                <w:rFonts w:eastAsia="Times New Roman"/>
                <w:b/>
                <w:sz w:val="18"/>
                <w:szCs w:val="18"/>
                <w:lang w:val="en-US" w:eastAsia="es-MX"/>
              </w:rPr>
              <w:t>I Trim</w:t>
            </w:r>
          </w:p>
        </w:tc>
        <w:tc>
          <w:tcPr>
            <w:tcW w:w="851" w:type="dxa"/>
            <w:tcBorders>
              <w:top w:val="single" w:sz="4" w:space="0" w:color="auto"/>
              <w:left w:val="nil"/>
              <w:bottom w:val="single" w:sz="4" w:space="0" w:color="auto"/>
              <w:right w:val="nil"/>
            </w:tcBorders>
            <w:shd w:val="clear" w:color="auto" w:fill="auto"/>
          </w:tcPr>
          <w:p w:rsidR="00276B9C" w:rsidRPr="002F1F0F" w:rsidRDefault="00276B9C" w:rsidP="001E7D79">
            <w:pPr>
              <w:ind w:left="-57" w:right="57"/>
              <w:jc w:val="right"/>
              <w:rPr>
                <w:rFonts w:eastAsia="Times New Roman"/>
                <w:b/>
                <w:sz w:val="18"/>
                <w:szCs w:val="18"/>
                <w:lang w:val="en-US" w:eastAsia="es-MX"/>
              </w:rPr>
            </w:pPr>
            <w:r w:rsidRPr="002F1F0F">
              <w:rPr>
                <w:rFonts w:eastAsia="Times New Roman"/>
                <w:b/>
                <w:sz w:val="18"/>
                <w:szCs w:val="18"/>
                <w:lang w:val="en-US" w:eastAsia="es-MX"/>
              </w:rPr>
              <w:t>II Trim</w:t>
            </w:r>
          </w:p>
        </w:tc>
        <w:tc>
          <w:tcPr>
            <w:tcW w:w="939" w:type="dxa"/>
            <w:tcBorders>
              <w:top w:val="single" w:sz="4" w:space="0" w:color="auto"/>
              <w:left w:val="nil"/>
              <w:bottom w:val="single" w:sz="4" w:space="0" w:color="auto"/>
              <w:right w:val="nil"/>
            </w:tcBorders>
          </w:tcPr>
          <w:p w:rsidR="00276B9C" w:rsidRPr="002F1F0F" w:rsidRDefault="00276B9C" w:rsidP="001E7D79">
            <w:pPr>
              <w:ind w:left="-57" w:right="57"/>
              <w:jc w:val="right"/>
              <w:rPr>
                <w:rFonts w:eastAsia="Times New Roman"/>
                <w:b/>
                <w:sz w:val="18"/>
                <w:szCs w:val="18"/>
                <w:lang w:val="en-US" w:eastAsia="es-MX"/>
              </w:rPr>
            </w:pPr>
            <w:r w:rsidRPr="002F1F0F">
              <w:rPr>
                <w:rFonts w:eastAsia="Times New Roman"/>
                <w:b/>
                <w:sz w:val="18"/>
                <w:szCs w:val="18"/>
                <w:lang w:val="en-US" w:eastAsia="es-MX"/>
              </w:rPr>
              <w:t>III Trim</w:t>
            </w:r>
          </w:p>
        </w:tc>
        <w:tc>
          <w:tcPr>
            <w:tcW w:w="851" w:type="dxa"/>
            <w:tcBorders>
              <w:top w:val="single" w:sz="4" w:space="0" w:color="auto"/>
              <w:left w:val="nil"/>
              <w:bottom w:val="single" w:sz="4" w:space="0" w:color="auto"/>
              <w:right w:val="nil"/>
            </w:tcBorders>
          </w:tcPr>
          <w:p w:rsidR="00276B9C" w:rsidRPr="002F1F0F" w:rsidRDefault="00276B9C" w:rsidP="001E7D79">
            <w:pPr>
              <w:ind w:left="-57"/>
              <w:jc w:val="right"/>
              <w:rPr>
                <w:rFonts w:eastAsia="Times New Roman"/>
                <w:b/>
                <w:sz w:val="18"/>
                <w:szCs w:val="18"/>
                <w:lang w:val="en-US" w:eastAsia="es-MX"/>
              </w:rPr>
            </w:pPr>
            <w:r w:rsidRPr="002F1F0F">
              <w:rPr>
                <w:rFonts w:eastAsia="Times New Roman"/>
                <w:b/>
                <w:sz w:val="18"/>
                <w:szCs w:val="18"/>
                <w:lang w:val="en-US" w:eastAsia="es-MX"/>
              </w:rPr>
              <w:t>IV Trim</w:t>
            </w:r>
          </w:p>
        </w:tc>
        <w:tc>
          <w:tcPr>
            <w:tcW w:w="903" w:type="dxa"/>
            <w:tcBorders>
              <w:top w:val="single" w:sz="4" w:space="0" w:color="auto"/>
              <w:left w:val="nil"/>
              <w:bottom w:val="single" w:sz="4" w:space="0" w:color="auto"/>
              <w:right w:val="single" w:sz="4" w:space="0" w:color="auto"/>
            </w:tcBorders>
          </w:tcPr>
          <w:p w:rsidR="00276B9C" w:rsidRPr="002F1F0F" w:rsidRDefault="00276B9C" w:rsidP="001E7D79">
            <w:pPr>
              <w:ind w:left="-57" w:right="57"/>
              <w:jc w:val="right"/>
              <w:rPr>
                <w:rFonts w:eastAsia="Times New Roman"/>
                <w:b/>
                <w:sz w:val="18"/>
                <w:szCs w:val="18"/>
                <w:lang w:val="en-US" w:eastAsia="es-MX"/>
              </w:rPr>
            </w:pPr>
            <w:proofErr w:type="spellStart"/>
            <w:r w:rsidRPr="002F1F0F">
              <w:rPr>
                <w:rFonts w:eastAsia="Times New Roman"/>
                <w:b/>
                <w:sz w:val="18"/>
                <w:szCs w:val="18"/>
                <w:lang w:val="en-US" w:eastAsia="es-MX"/>
              </w:rPr>
              <w:t>Anual</w:t>
            </w:r>
            <w:proofErr w:type="spellEnd"/>
          </w:p>
        </w:tc>
      </w:tr>
      <w:tr w:rsidR="00276B9C" w:rsidRPr="002F1F0F" w:rsidTr="001E7D79">
        <w:trPr>
          <w:jc w:val="center"/>
        </w:trPr>
        <w:tc>
          <w:tcPr>
            <w:tcW w:w="3828" w:type="dxa"/>
            <w:tcBorders>
              <w:top w:val="single" w:sz="4" w:space="0" w:color="auto"/>
              <w:left w:val="single" w:sz="4" w:space="0" w:color="auto"/>
              <w:bottom w:val="nil"/>
              <w:right w:val="nil"/>
            </w:tcBorders>
          </w:tcPr>
          <w:p w:rsidR="00276B9C" w:rsidRPr="002F1F0F" w:rsidRDefault="00276B9C" w:rsidP="001E7D79">
            <w:pPr>
              <w:jc w:val="both"/>
              <w:rPr>
                <w:rFonts w:eastAsia="Times New Roman"/>
                <w:sz w:val="18"/>
                <w:szCs w:val="18"/>
                <w:lang w:eastAsia="es-MX"/>
              </w:rPr>
            </w:pPr>
            <w:r w:rsidRPr="002F1F0F">
              <w:rPr>
                <w:rFonts w:eastAsia="Times New Roman"/>
                <w:b/>
                <w:bCs/>
                <w:sz w:val="18"/>
                <w:szCs w:val="18"/>
                <w:lang w:eastAsia="es-MX"/>
              </w:rPr>
              <w:t>Cuenta Corriente</w:t>
            </w:r>
          </w:p>
        </w:tc>
        <w:tc>
          <w:tcPr>
            <w:tcW w:w="940" w:type="dxa"/>
            <w:gridSpan w:val="2"/>
            <w:tcBorders>
              <w:top w:val="single" w:sz="4" w:space="0" w:color="auto"/>
              <w:left w:val="nil"/>
              <w:bottom w:val="nil"/>
              <w:right w:val="nil"/>
            </w:tcBorders>
            <w:shd w:val="clear" w:color="auto" w:fill="auto"/>
          </w:tcPr>
          <w:p w:rsidR="00276B9C" w:rsidRPr="002F1F0F" w:rsidRDefault="00276B9C" w:rsidP="001E7D79">
            <w:pPr>
              <w:ind w:left="-57"/>
              <w:jc w:val="right"/>
              <w:rPr>
                <w:rFonts w:eastAsia="Times New Roman"/>
                <w:b/>
                <w:sz w:val="18"/>
                <w:szCs w:val="18"/>
                <w:lang w:eastAsia="es-MX"/>
              </w:rPr>
            </w:pPr>
            <w:r w:rsidRPr="002F1F0F">
              <w:rPr>
                <w:rFonts w:eastAsia="Times New Roman"/>
                <w:b/>
                <w:sz w:val="18"/>
                <w:szCs w:val="18"/>
                <w:lang w:eastAsia="es-MX"/>
              </w:rPr>
              <w:t>-29 682</w:t>
            </w:r>
          </w:p>
        </w:tc>
        <w:tc>
          <w:tcPr>
            <w:tcW w:w="902"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-10 587</w:t>
            </w:r>
          </w:p>
        </w:tc>
        <w:tc>
          <w:tcPr>
            <w:tcW w:w="851" w:type="dxa"/>
            <w:tcBorders>
              <w:top w:val="nil"/>
              <w:left w:val="nil"/>
              <w:bottom w:val="nil"/>
              <w:right w:val="nil"/>
            </w:tcBorders>
            <w:shd w:val="clear" w:color="auto" w:fill="auto"/>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-7 869</w:t>
            </w:r>
          </w:p>
        </w:tc>
        <w:tc>
          <w:tcPr>
            <w:tcW w:w="939" w:type="dxa"/>
            <w:tcBorders>
              <w:top w:val="single" w:sz="4" w:space="0" w:color="auto"/>
              <w:left w:val="nil"/>
              <w:bottom w:val="nil"/>
              <w:right w:val="nil"/>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-2 780</w:t>
            </w:r>
          </w:p>
        </w:tc>
        <w:tc>
          <w:tcPr>
            <w:tcW w:w="851" w:type="dxa"/>
            <w:tcBorders>
              <w:top w:val="single" w:sz="4" w:space="0" w:color="auto"/>
              <w:left w:val="nil"/>
              <w:bottom w:val="nil"/>
              <w:right w:val="nil"/>
            </w:tcBorders>
          </w:tcPr>
          <w:p w:rsidR="00276B9C" w:rsidRPr="002F1F0F" w:rsidRDefault="00276B9C" w:rsidP="001E7D79">
            <w:pPr>
              <w:jc w:val="right"/>
              <w:rPr>
                <w:rFonts w:eastAsia="Times New Roman"/>
                <w:b/>
                <w:sz w:val="18"/>
                <w:szCs w:val="18"/>
                <w:lang w:eastAsia="es-MX"/>
              </w:rPr>
            </w:pPr>
            <w:r w:rsidRPr="002F1F0F">
              <w:rPr>
                <w:rFonts w:eastAsia="Times New Roman"/>
                <w:b/>
                <w:sz w:val="18"/>
                <w:szCs w:val="18"/>
                <w:lang w:eastAsia="es-MX"/>
              </w:rPr>
              <w:t>-5 310</w:t>
            </w:r>
          </w:p>
        </w:tc>
        <w:tc>
          <w:tcPr>
            <w:tcW w:w="903" w:type="dxa"/>
            <w:tcBorders>
              <w:top w:val="single" w:sz="4" w:space="0" w:color="auto"/>
              <w:left w:val="nil"/>
              <w:bottom w:val="nil"/>
              <w:right w:val="single" w:sz="4" w:space="0" w:color="auto"/>
            </w:tcBorders>
          </w:tcPr>
          <w:p w:rsidR="00276B9C" w:rsidRPr="002F1F0F" w:rsidRDefault="00276B9C" w:rsidP="001E7D79">
            <w:pPr>
              <w:jc w:val="right"/>
              <w:rPr>
                <w:rFonts w:eastAsia="Times New Roman"/>
                <w:b/>
                <w:sz w:val="18"/>
                <w:szCs w:val="18"/>
                <w:lang w:eastAsia="es-MX"/>
              </w:rPr>
            </w:pPr>
            <w:r w:rsidRPr="002F1F0F">
              <w:rPr>
                <w:rFonts w:eastAsia="Times New Roman"/>
                <w:b/>
                <w:sz w:val="18"/>
                <w:szCs w:val="18"/>
                <w:lang w:eastAsia="es-MX"/>
              </w:rPr>
              <w:t>-26 545</w:t>
            </w:r>
          </w:p>
        </w:tc>
      </w:tr>
      <w:tr w:rsidR="00276B9C" w:rsidRPr="002F1F0F" w:rsidTr="001E7D79">
        <w:trPr>
          <w:jc w:val="center"/>
        </w:trPr>
        <w:tc>
          <w:tcPr>
            <w:tcW w:w="3828" w:type="dxa"/>
            <w:tcBorders>
              <w:top w:val="nil"/>
              <w:left w:val="single" w:sz="4" w:space="0" w:color="auto"/>
              <w:bottom w:val="nil"/>
              <w:right w:val="nil"/>
            </w:tcBorders>
          </w:tcPr>
          <w:p w:rsidR="00276B9C" w:rsidRPr="002F1F0F" w:rsidRDefault="00276B9C" w:rsidP="001E7D79">
            <w:pPr>
              <w:jc w:val="both"/>
              <w:rPr>
                <w:rFonts w:eastAsia="Times New Roman"/>
                <w:sz w:val="18"/>
                <w:szCs w:val="18"/>
                <w:lang w:eastAsia="es-MX"/>
              </w:rPr>
            </w:pPr>
            <w:r w:rsidRPr="002F1F0F">
              <w:rPr>
                <w:rFonts w:eastAsia="Times New Roman"/>
                <w:sz w:val="18"/>
                <w:szCs w:val="18"/>
                <w:lang w:eastAsia="es-MX"/>
              </w:rPr>
              <w:t>Balanza de Bienes y Servicios</w:t>
            </w:r>
          </w:p>
        </w:tc>
        <w:tc>
          <w:tcPr>
            <w:tcW w:w="940" w:type="dxa"/>
            <w:gridSpan w:val="2"/>
            <w:tcBorders>
              <w:top w:val="nil"/>
              <w:left w:val="nil"/>
              <w:bottom w:val="nil"/>
              <w:right w:val="nil"/>
            </w:tcBorders>
            <w:shd w:val="clear" w:color="auto" w:fill="auto"/>
          </w:tcPr>
          <w:p w:rsidR="00276B9C" w:rsidRPr="002F1F0F" w:rsidRDefault="00276B9C" w:rsidP="001E7D79">
            <w:pPr>
              <w:ind w:left="-57"/>
              <w:jc w:val="right"/>
              <w:rPr>
                <w:rFonts w:eastAsia="Times New Roman"/>
                <w:sz w:val="18"/>
                <w:szCs w:val="18"/>
                <w:lang w:eastAsia="es-MX"/>
              </w:rPr>
            </w:pPr>
            <w:r w:rsidRPr="002F1F0F">
              <w:rPr>
                <w:rFonts w:eastAsia="Times New Roman"/>
                <w:sz w:val="18"/>
                <w:szCs w:val="18"/>
                <w:lang w:eastAsia="es-MX"/>
              </w:rPr>
              <w:t>-12 910</w:t>
            </w:r>
          </w:p>
        </w:tc>
        <w:tc>
          <w:tcPr>
            <w:tcW w:w="902"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-4 042</w:t>
            </w:r>
          </w:p>
        </w:tc>
        <w:tc>
          <w:tcPr>
            <w:tcW w:w="851" w:type="dxa"/>
            <w:tcBorders>
              <w:top w:val="nil"/>
              <w:left w:val="nil"/>
              <w:bottom w:val="nil"/>
              <w:right w:val="nil"/>
            </w:tcBorders>
            <w:shd w:val="clear" w:color="auto" w:fill="auto"/>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-2 552</w:t>
            </w:r>
          </w:p>
        </w:tc>
        <w:tc>
          <w:tcPr>
            <w:tcW w:w="939"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-5 373</w:t>
            </w:r>
          </w:p>
        </w:tc>
        <w:tc>
          <w:tcPr>
            <w:tcW w:w="851" w:type="dxa"/>
            <w:tcBorders>
              <w:top w:val="nil"/>
              <w:left w:val="nil"/>
              <w:bottom w:val="nil"/>
              <w:right w:val="nil"/>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-4 072</w:t>
            </w:r>
          </w:p>
        </w:tc>
        <w:tc>
          <w:tcPr>
            <w:tcW w:w="903" w:type="dxa"/>
            <w:tcBorders>
              <w:top w:val="nil"/>
              <w:left w:val="nil"/>
              <w:bottom w:val="nil"/>
              <w:right w:val="single" w:sz="4" w:space="0" w:color="auto"/>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-16 040</w:t>
            </w:r>
          </w:p>
        </w:tc>
      </w:tr>
      <w:tr w:rsidR="00276B9C" w:rsidRPr="002F1F0F" w:rsidTr="001E7D79">
        <w:trPr>
          <w:jc w:val="center"/>
        </w:trPr>
        <w:tc>
          <w:tcPr>
            <w:tcW w:w="3828" w:type="dxa"/>
            <w:tcBorders>
              <w:top w:val="nil"/>
              <w:left w:val="single" w:sz="4" w:space="0" w:color="auto"/>
              <w:bottom w:val="nil"/>
              <w:right w:val="nil"/>
            </w:tcBorders>
          </w:tcPr>
          <w:p w:rsidR="00276B9C" w:rsidRPr="002F1F0F" w:rsidRDefault="00276B9C" w:rsidP="001E7D79">
            <w:pPr>
              <w:tabs>
                <w:tab w:val="left" w:pos="1756"/>
              </w:tabs>
              <w:ind w:left="113"/>
              <w:jc w:val="both"/>
              <w:rPr>
                <w:rFonts w:eastAsia="Times New Roman"/>
                <w:sz w:val="18"/>
                <w:szCs w:val="18"/>
                <w:lang w:eastAsia="es-MX"/>
              </w:rPr>
            </w:pPr>
            <w:r w:rsidRPr="002F1F0F">
              <w:rPr>
                <w:rFonts w:eastAsia="Times New Roman"/>
                <w:sz w:val="18"/>
                <w:szCs w:val="18"/>
                <w:lang w:eastAsia="es-MX"/>
              </w:rPr>
              <w:t>Bienes</w:t>
            </w:r>
          </w:p>
        </w:tc>
        <w:tc>
          <w:tcPr>
            <w:tcW w:w="940" w:type="dxa"/>
            <w:gridSpan w:val="2"/>
            <w:tcBorders>
              <w:top w:val="nil"/>
              <w:left w:val="nil"/>
              <w:bottom w:val="nil"/>
              <w:right w:val="nil"/>
            </w:tcBorders>
            <w:shd w:val="clear" w:color="auto" w:fill="auto"/>
          </w:tcPr>
          <w:p w:rsidR="00276B9C" w:rsidRPr="002F1F0F" w:rsidRDefault="00276B9C" w:rsidP="001E7D79">
            <w:pPr>
              <w:ind w:left="-57"/>
              <w:jc w:val="right"/>
              <w:rPr>
                <w:rFonts w:eastAsia="Times New Roman"/>
                <w:sz w:val="18"/>
                <w:szCs w:val="18"/>
                <w:lang w:eastAsia="es-MX"/>
              </w:rPr>
            </w:pPr>
            <w:r w:rsidRPr="002F1F0F">
              <w:rPr>
                <w:rFonts w:eastAsia="Times New Roman"/>
                <w:sz w:val="18"/>
                <w:szCs w:val="18"/>
                <w:lang w:eastAsia="es-MX"/>
              </w:rPr>
              <w:t>-898</w:t>
            </w:r>
          </w:p>
        </w:tc>
        <w:tc>
          <w:tcPr>
            <w:tcW w:w="902"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-1 209</w:t>
            </w:r>
          </w:p>
        </w:tc>
        <w:tc>
          <w:tcPr>
            <w:tcW w:w="851" w:type="dxa"/>
            <w:tcBorders>
              <w:top w:val="nil"/>
              <w:left w:val="nil"/>
              <w:bottom w:val="nil"/>
              <w:right w:val="nil"/>
            </w:tcBorders>
            <w:shd w:val="clear" w:color="auto" w:fill="auto"/>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1 141</w:t>
            </w:r>
          </w:p>
        </w:tc>
        <w:tc>
          <w:tcPr>
            <w:tcW w:w="939"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-1 452</w:t>
            </w:r>
          </w:p>
        </w:tc>
        <w:tc>
          <w:tcPr>
            <w:tcW w:w="851" w:type="dxa"/>
            <w:tcBorders>
              <w:top w:val="nil"/>
              <w:left w:val="nil"/>
              <w:bottom w:val="nil"/>
              <w:right w:val="nil"/>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-646</w:t>
            </w:r>
          </w:p>
        </w:tc>
        <w:tc>
          <w:tcPr>
            <w:tcW w:w="903" w:type="dxa"/>
            <w:tcBorders>
              <w:top w:val="nil"/>
              <w:left w:val="nil"/>
              <w:bottom w:val="nil"/>
              <w:right w:val="single" w:sz="4" w:space="0" w:color="auto"/>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-2 166</w:t>
            </w:r>
          </w:p>
        </w:tc>
      </w:tr>
      <w:tr w:rsidR="00276B9C" w:rsidRPr="002F1F0F" w:rsidTr="001E7D79">
        <w:trPr>
          <w:jc w:val="center"/>
        </w:trPr>
        <w:tc>
          <w:tcPr>
            <w:tcW w:w="3828" w:type="dxa"/>
            <w:tcBorders>
              <w:top w:val="nil"/>
              <w:left w:val="single" w:sz="4" w:space="0" w:color="auto"/>
              <w:bottom w:val="nil"/>
              <w:right w:val="nil"/>
            </w:tcBorders>
          </w:tcPr>
          <w:p w:rsidR="00276B9C" w:rsidRPr="002F1F0F" w:rsidRDefault="00276B9C" w:rsidP="001E7D79">
            <w:pPr>
              <w:tabs>
                <w:tab w:val="left" w:pos="1756"/>
              </w:tabs>
              <w:ind w:left="227"/>
              <w:jc w:val="both"/>
              <w:rPr>
                <w:rFonts w:eastAsia="Times New Roman"/>
                <w:sz w:val="18"/>
                <w:szCs w:val="18"/>
                <w:lang w:eastAsia="es-MX"/>
              </w:rPr>
            </w:pPr>
            <w:r w:rsidRPr="002F1F0F">
              <w:rPr>
                <w:rFonts w:eastAsia="Times New Roman"/>
                <w:sz w:val="18"/>
                <w:szCs w:val="18"/>
                <w:lang w:eastAsia="es-MX"/>
              </w:rPr>
              <w:t>Mercancías</w:t>
            </w:r>
          </w:p>
        </w:tc>
        <w:tc>
          <w:tcPr>
            <w:tcW w:w="940" w:type="dxa"/>
            <w:gridSpan w:val="2"/>
            <w:tcBorders>
              <w:top w:val="nil"/>
              <w:left w:val="nil"/>
              <w:bottom w:val="nil"/>
              <w:right w:val="nil"/>
            </w:tcBorders>
            <w:shd w:val="clear" w:color="auto" w:fill="auto"/>
          </w:tcPr>
          <w:p w:rsidR="00276B9C" w:rsidRPr="002F1F0F" w:rsidRDefault="00276B9C" w:rsidP="001E7D79">
            <w:pPr>
              <w:ind w:left="-57"/>
              <w:jc w:val="right"/>
              <w:rPr>
                <w:rFonts w:eastAsia="Times New Roman"/>
                <w:sz w:val="18"/>
                <w:szCs w:val="18"/>
                <w:lang w:eastAsia="es-MX"/>
              </w:rPr>
            </w:pPr>
            <w:r w:rsidRPr="002F1F0F">
              <w:rPr>
                <w:rFonts w:eastAsia="Times New Roman"/>
                <w:sz w:val="18"/>
                <w:szCs w:val="18"/>
                <w:lang w:eastAsia="es-MX"/>
              </w:rPr>
              <w:t>-1 184</w:t>
            </w:r>
          </w:p>
        </w:tc>
        <w:tc>
          <w:tcPr>
            <w:tcW w:w="902"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-1 314</w:t>
            </w:r>
          </w:p>
        </w:tc>
        <w:tc>
          <w:tcPr>
            <w:tcW w:w="851" w:type="dxa"/>
            <w:tcBorders>
              <w:top w:val="nil"/>
              <w:left w:val="nil"/>
              <w:bottom w:val="nil"/>
              <w:right w:val="nil"/>
            </w:tcBorders>
            <w:shd w:val="clear" w:color="auto" w:fill="auto"/>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1 065</w:t>
            </w:r>
          </w:p>
        </w:tc>
        <w:tc>
          <w:tcPr>
            <w:tcW w:w="939"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-1 513</w:t>
            </w:r>
          </w:p>
        </w:tc>
        <w:tc>
          <w:tcPr>
            <w:tcW w:w="851" w:type="dxa"/>
            <w:tcBorders>
              <w:top w:val="nil"/>
              <w:left w:val="nil"/>
              <w:bottom w:val="nil"/>
              <w:right w:val="nil"/>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-680</w:t>
            </w:r>
          </w:p>
        </w:tc>
        <w:tc>
          <w:tcPr>
            <w:tcW w:w="903" w:type="dxa"/>
            <w:tcBorders>
              <w:top w:val="nil"/>
              <w:left w:val="nil"/>
              <w:bottom w:val="nil"/>
              <w:right w:val="single" w:sz="4" w:space="0" w:color="auto"/>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-2 442</w:t>
            </w:r>
          </w:p>
        </w:tc>
      </w:tr>
      <w:tr w:rsidR="00276B9C" w:rsidRPr="002F1F0F" w:rsidTr="001E7D79">
        <w:trPr>
          <w:jc w:val="center"/>
        </w:trPr>
        <w:tc>
          <w:tcPr>
            <w:tcW w:w="3828" w:type="dxa"/>
            <w:tcBorders>
              <w:top w:val="nil"/>
              <w:left w:val="single" w:sz="4" w:space="0" w:color="auto"/>
              <w:bottom w:val="nil"/>
              <w:right w:val="nil"/>
            </w:tcBorders>
          </w:tcPr>
          <w:p w:rsidR="00276B9C" w:rsidRPr="002F1F0F" w:rsidRDefault="00276B9C" w:rsidP="001E7D79">
            <w:pPr>
              <w:tabs>
                <w:tab w:val="left" w:pos="1756"/>
              </w:tabs>
              <w:ind w:left="340"/>
              <w:jc w:val="both"/>
              <w:rPr>
                <w:rFonts w:eastAsia="Times New Roman"/>
                <w:sz w:val="18"/>
                <w:szCs w:val="18"/>
                <w:lang w:eastAsia="es-MX"/>
              </w:rPr>
            </w:pPr>
            <w:r w:rsidRPr="002F1F0F">
              <w:rPr>
                <w:rFonts w:eastAsia="Times New Roman"/>
                <w:sz w:val="18"/>
                <w:szCs w:val="18"/>
                <w:lang w:eastAsia="es-MX"/>
              </w:rPr>
              <w:t>Exportaciones</w:t>
            </w:r>
          </w:p>
        </w:tc>
        <w:tc>
          <w:tcPr>
            <w:tcW w:w="940" w:type="dxa"/>
            <w:gridSpan w:val="2"/>
            <w:tcBorders>
              <w:top w:val="nil"/>
              <w:left w:val="nil"/>
              <w:bottom w:val="nil"/>
              <w:right w:val="nil"/>
            </w:tcBorders>
            <w:shd w:val="clear" w:color="auto" w:fill="auto"/>
          </w:tcPr>
          <w:p w:rsidR="00276B9C" w:rsidRPr="002F1F0F" w:rsidRDefault="00276B9C" w:rsidP="001E7D79">
            <w:pPr>
              <w:ind w:left="-57"/>
              <w:jc w:val="right"/>
              <w:rPr>
                <w:rFonts w:eastAsia="Times New Roman"/>
                <w:sz w:val="18"/>
                <w:szCs w:val="18"/>
                <w:lang w:eastAsia="es-MX"/>
              </w:rPr>
            </w:pPr>
            <w:r w:rsidRPr="002F1F0F">
              <w:rPr>
                <w:rFonts w:eastAsia="Times New Roman"/>
                <w:sz w:val="18"/>
                <w:szCs w:val="18"/>
                <w:lang w:eastAsia="es-MX"/>
              </w:rPr>
              <w:t>380 027</w:t>
            </w:r>
          </w:p>
        </w:tc>
        <w:tc>
          <w:tcPr>
            <w:tcW w:w="902"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90 750</w:t>
            </w:r>
          </w:p>
        </w:tc>
        <w:tc>
          <w:tcPr>
            <w:tcW w:w="851" w:type="dxa"/>
            <w:tcBorders>
              <w:top w:val="nil"/>
              <w:left w:val="nil"/>
              <w:bottom w:val="nil"/>
              <w:right w:val="nil"/>
            </w:tcBorders>
            <w:shd w:val="clear" w:color="auto" w:fill="auto"/>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101 929</w:t>
            </w:r>
          </w:p>
        </w:tc>
        <w:tc>
          <w:tcPr>
            <w:tcW w:w="939"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101 327</w:t>
            </w:r>
          </w:p>
        </w:tc>
        <w:tc>
          <w:tcPr>
            <w:tcW w:w="851" w:type="dxa"/>
            <w:tcBorders>
              <w:top w:val="nil"/>
              <w:left w:val="nil"/>
              <w:bottom w:val="nil"/>
              <w:right w:val="nil"/>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103 530</w:t>
            </w:r>
          </w:p>
        </w:tc>
        <w:tc>
          <w:tcPr>
            <w:tcW w:w="903" w:type="dxa"/>
            <w:tcBorders>
              <w:top w:val="nil"/>
              <w:left w:val="nil"/>
              <w:bottom w:val="nil"/>
              <w:right w:val="single" w:sz="4" w:space="0" w:color="auto"/>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397 535</w:t>
            </w:r>
          </w:p>
        </w:tc>
      </w:tr>
      <w:tr w:rsidR="00276B9C" w:rsidRPr="002F1F0F" w:rsidTr="001E7D79">
        <w:trPr>
          <w:jc w:val="center"/>
        </w:trPr>
        <w:tc>
          <w:tcPr>
            <w:tcW w:w="3828" w:type="dxa"/>
            <w:tcBorders>
              <w:top w:val="nil"/>
              <w:left w:val="single" w:sz="4" w:space="0" w:color="auto"/>
              <w:bottom w:val="nil"/>
              <w:right w:val="nil"/>
            </w:tcBorders>
          </w:tcPr>
          <w:p w:rsidR="00276B9C" w:rsidRPr="002F1F0F" w:rsidRDefault="00276B9C" w:rsidP="001E7D79">
            <w:pPr>
              <w:ind w:left="340"/>
              <w:jc w:val="both"/>
              <w:rPr>
                <w:rFonts w:eastAsia="Times New Roman"/>
                <w:sz w:val="18"/>
                <w:szCs w:val="18"/>
                <w:lang w:eastAsia="es-MX"/>
              </w:rPr>
            </w:pPr>
            <w:r w:rsidRPr="002F1F0F">
              <w:rPr>
                <w:rFonts w:eastAsia="Times New Roman"/>
                <w:sz w:val="18"/>
                <w:szCs w:val="18"/>
                <w:lang w:eastAsia="es-MX"/>
              </w:rPr>
              <w:t>Importaciones</w:t>
            </w:r>
          </w:p>
        </w:tc>
        <w:tc>
          <w:tcPr>
            <w:tcW w:w="940" w:type="dxa"/>
            <w:gridSpan w:val="2"/>
            <w:tcBorders>
              <w:top w:val="nil"/>
              <w:left w:val="nil"/>
              <w:bottom w:val="nil"/>
              <w:right w:val="nil"/>
            </w:tcBorders>
            <w:shd w:val="clear" w:color="auto" w:fill="auto"/>
          </w:tcPr>
          <w:p w:rsidR="00276B9C" w:rsidRPr="002F1F0F" w:rsidRDefault="00276B9C" w:rsidP="001E7D79">
            <w:pPr>
              <w:ind w:left="-57"/>
              <w:jc w:val="right"/>
              <w:rPr>
                <w:rFonts w:eastAsia="Times New Roman"/>
                <w:sz w:val="18"/>
                <w:szCs w:val="18"/>
                <w:lang w:eastAsia="es-MX"/>
              </w:rPr>
            </w:pPr>
            <w:r w:rsidRPr="002F1F0F">
              <w:rPr>
                <w:rFonts w:eastAsia="Times New Roman"/>
                <w:sz w:val="18"/>
                <w:szCs w:val="18"/>
                <w:lang w:eastAsia="es-MX"/>
              </w:rPr>
              <w:t>381 210</w:t>
            </w:r>
          </w:p>
        </w:tc>
        <w:tc>
          <w:tcPr>
            <w:tcW w:w="902"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92 064</w:t>
            </w:r>
          </w:p>
        </w:tc>
        <w:tc>
          <w:tcPr>
            <w:tcW w:w="851" w:type="dxa"/>
            <w:tcBorders>
              <w:top w:val="nil"/>
              <w:left w:val="nil"/>
              <w:bottom w:val="nil"/>
              <w:right w:val="nil"/>
            </w:tcBorders>
            <w:shd w:val="clear" w:color="auto" w:fill="auto"/>
            <w:vAlign w:val="center"/>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100 864</w:t>
            </w:r>
          </w:p>
        </w:tc>
        <w:tc>
          <w:tcPr>
            <w:tcW w:w="939"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102 840</w:t>
            </w:r>
          </w:p>
        </w:tc>
        <w:tc>
          <w:tcPr>
            <w:tcW w:w="851" w:type="dxa"/>
            <w:tcBorders>
              <w:top w:val="nil"/>
              <w:left w:val="nil"/>
              <w:bottom w:val="nil"/>
              <w:right w:val="nil"/>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104 209</w:t>
            </w:r>
          </w:p>
        </w:tc>
        <w:tc>
          <w:tcPr>
            <w:tcW w:w="903" w:type="dxa"/>
            <w:tcBorders>
              <w:top w:val="nil"/>
              <w:left w:val="nil"/>
              <w:bottom w:val="nil"/>
              <w:right w:val="single" w:sz="4" w:space="0" w:color="auto"/>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399 977</w:t>
            </w:r>
          </w:p>
        </w:tc>
      </w:tr>
      <w:tr w:rsidR="00276B9C" w:rsidRPr="002F1F0F" w:rsidTr="001E7D79">
        <w:trPr>
          <w:jc w:val="center"/>
        </w:trPr>
        <w:tc>
          <w:tcPr>
            <w:tcW w:w="3828" w:type="dxa"/>
            <w:tcBorders>
              <w:top w:val="nil"/>
              <w:left w:val="single" w:sz="4" w:space="0" w:color="auto"/>
              <w:bottom w:val="nil"/>
              <w:right w:val="nil"/>
            </w:tcBorders>
          </w:tcPr>
          <w:p w:rsidR="00276B9C" w:rsidRPr="002F1F0F" w:rsidRDefault="00276B9C" w:rsidP="001E7D79">
            <w:pPr>
              <w:tabs>
                <w:tab w:val="left" w:pos="1756"/>
              </w:tabs>
              <w:ind w:left="227"/>
              <w:jc w:val="both"/>
              <w:rPr>
                <w:rFonts w:eastAsia="Times New Roman"/>
                <w:sz w:val="18"/>
                <w:szCs w:val="18"/>
                <w:lang w:eastAsia="es-MX"/>
              </w:rPr>
            </w:pPr>
            <w:r w:rsidRPr="002F1F0F">
              <w:rPr>
                <w:rFonts w:eastAsia="Times New Roman"/>
                <w:sz w:val="18"/>
                <w:szCs w:val="18"/>
                <w:lang w:eastAsia="es-MX"/>
              </w:rPr>
              <w:t>Adquiridos en puerto por medios de transporte</w:t>
            </w:r>
          </w:p>
        </w:tc>
        <w:tc>
          <w:tcPr>
            <w:tcW w:w="940" w:type="dxa"/>
            <w:gridSpan w:val="2"/>
            <w:tcBorders>
              <w:top w:val="nil"/>
              <w:left w:val="nil"/>
              <w:bottom w:val="nil"/>
              <w:right w:val="nil"/>
            </w:tcBorders>
            <w:shd w:val="clear" w:color="auto" w:fill="auto"/>
            <w:vAlign w:val="center"/>
          </w:tcPr>
          <w:p w:rsidR="00276B9C" w:rsidRPr="002F1F0F" w:rsidRDefault="00276B9C" w:rsidP="001E7D79">
            <w:pPr>
              <w:ind w:left="-57"/>
              <w:jc w:val="right"/>
              <w:rPr>
                <w:rFonts w:eastAsia="Times New Roman"/>
                <w:sz w:val="18"/>
                <w:szCs w:val="18"/>
                <w:lang w:eastAsia="es-MX"/>
              </w:rPr>
            </w:pPr>
            <w:r w:rsidRPr="002F1F0F">
              <w:rPr>
                <w:rFonts w:eastAsia="Times New Roman"/>
                <w:sz w:val="18"/>
                <w:szCs w:val="18"/>
                <w:lang w:eastAsia="es-MX"/>
              </w:rPr>
              <w:t>286</w:t>
            </w:r>
          </w:p>
        </w:tc>
        <w:tc>
          <w:tcPr>
            <w:tcW w:w="902"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105</w:t>
            </w:r>
          </w:p>
        </w:tc>
        <w:tc>
          <w:tcPr>
            <w:tcW w:w="851" w:type="dxa"/>
            <w:tcBorders>
              <w:top w:val="nil"/>
              <w:left w:val="nil"/>
              <w:bottom w:val="nil"/>
              <w:right w:val="nil"/>
            </w:tcBorders>
            <w:shd w:val="clear" w:color="auto" w:fill="auto"/>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76</w:t>
            </w:r>
          </w:p>
        </w:tc>
        <w:tc>
          <w:tcPr>
            <w:tcW w:w="939" w:type="dxa"/>
            <w:tcBorders>
              <w:top w:val="nil"/>
              <w:left w:val="nil"/>
              <w:bottom w:val="nil"/>
              <w:right w:val="nil"/>
            </w:tcBorders>
            <w:vAlign w:val="center"/>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60</w:t>
            </w:r>
          </w:p>
        </w:tc>
        <w:tc>
          <w:tcPr>
            <w:tcW w:w="851" w:type="dxa"/>
            <w:tcBorders>
              <w:top w:val="nil"/>
              <w:left w:val="nil"/>
              <w:bottom w:val="nil"/>
              <w:right w:val="nil"/>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34</w:t>
            </w:r>
          </w:p>
        </w:tc>
        <w:tc>
          <w:tcPr>
            <w:tcW w:w="903" w:type="dxa"/>
            <w:tcBorders>
              <w:top w:val="nil"/>
              <w:left w:val="nil"/>
              <w:bottom w:val="nil"/>
              <w:right w:val="single" w:sz="4" w:space="0" w:color="auto"/>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275</w:t>
            </w:r>
          </w:p>
        </w:tc>
      </w:tr>
      <w:tr w:rsidR="00276B9C" w:rsidRPr="002F1F0F" w:rsidTr="001E7D79">
        <w:trPr>
          <w:jc w:val="center"/>
        </w:trPr>
        <w:tc>
          <w:tcPr>
            <w:tcW w:w="3828" w:type="dxa"/>
            <w:tcBorders>
              <w:top w:val="nil"/>
              <w:left w:val="single" w:sz="4" w:space="0" w:color="auto"/>
              <w:bottom w:val="nil"/>
              <w:right w:val="nil"/>
            </w:tcBorders>
          </w:tcPr>
          <w:p w:rsidR="00276B9C" w:rsidRPr="002F1F0F" w:rsidRDefault="00276B9C" w:rsidP="001E7D79">
            <w:pPr>
              <w:tabs>
                <w:tab w:val="left" w:pos="1756"/>
              </w:tabs>
              <w:ind w:left="113"/>
              <w:jc w:val="both"/>
              <w:rPr>
                <w:rFonts w:eastAsia="Times New Roman"/>
                <w:sz w:val="18"/>
                <w:szCs w:val="18"/>
                <w:lang w:eastAsia="es-MX"/>
              </w:rPr>
            </w:pPr>
            <w:r w:rsidRPr="002F1F0F">
              <w:rPr>
                <w:rFonts w:eastAsia="Times New Roman"/>
                <w:sz w:val="18"/>
                <w:szCs w:val="18"/>
                <w:lang w:eastAsia="es-MX"/>
              </w:rPr>
              <w:t xml:space="preserve">Servicios </w:t>
            </w:r>
          </w:p>
        </w:tc>
        <w:tc>
          <w:tcPr>
            <w:tcW w:w="940" w:type="dxa"/>
            <w:gridSpan w:val="2"/>
            <w:tcBorders>
              <w:top w:val="nil"/>
              <w:left w:val="nil"/>
              <w:bottom w:val="nil"/>
              <w:right w:val="nil"/>
            </w:tcBorders>
            <w:shd w:val="clear" w:color="auto" w:fill="auto"/>
          </w:tcPr>
          <w:p w:rsidR="00276B9C" w:rsidRPr="002F1F0F" w:rsidRDefault="00276B9C" w:rsidP="001E7D79">
            <w:pPr>
              <w:ind w:left="-57"/>
              <w:jc w:val="right"/>
              <w:rPr>
                <w:rFonts w:eastAsia="Times New Roman"/>
                <w:sz w:val="18"/>
                <w:szCs w:val="18"/>
                <w:lang w:eastAsia="es-MX"/>
              </w:rPr>
            </w:pPr>
            <w:r w:rsidRPr="002F1F0F">
              <w:rPr>
                <w:rFonts w:eastAsia="Times New Roman"/>
                <w:sz w:val="18"/>
                <w:szCs w:val="18"/>
                <w:lang w:eastAsia="es-MX"/>
              </w:rPr>
              <w:t>-12 012</w:t>
            </w:r>
          </w:p>
        </w:tc>
        <w:tc>
          <w:tcPr>
            <w:tcW w:w="902"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-2 833</w:t>
            </w:r>
          </w:p>
        </w:tc>
        <w:tc>
          <w:tcPr>
            <w:tcW w:w="851" w:type="dxa"/>
            <w:tcBorders>
              <w:top w:val="nil"/>
              <w:left w:val="nil"/>
              <w:bottom w:val="nil"/>
              <w:right w:val="nil"/>
            </w:tcBorders>
            <w:shd w:val="clear" w:color="auto" w:fill="auto"/>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-3 694</w:t>
            </w:r>
          </w:p>
        </w:tc>
        <w:tc>
          <w:tcPr>
            <w:tcW w:w="939"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-3 921</w:t>
            </w:r>
          </w:p>
        </w:tc>
        <w:tc>
          <w:tcPr>
            <w:tcW w:w="851" w:type="dxa"/>
            <w:tcBorders>
              <w:top w:val="nil"/>
              <w:left w:val="nil"/>
              <w:bottom w:val="nil"/>
              <w:right w:val="nil"/>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-3 426</w:t>
            </w:r>
          </w:p>
        </w:tc>
        <w:tc>
          <w:tcPr>
            <w:tcW w:w="903" w:type="dxa"/>
            <w:tcBorders>
              <w:top w:val="nil"/>
              <w:left w:val="nil"/>
              <w:bottom w:val="nil"/>
              <w:right w:val="single" w:sz="4" w:space="0" w:color="auto"/>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-13 874</w:t>
            </w:r>
          </w:p>
        </w:tc>
      </w:tr>
      <w:tr w:rsidR="00276B9C" w:rsidRPr="002F1F0F" w:rsidTr="001E7D79">
        <w:trPr>
          <w:jc w:val="center"/>
        </w:trPr>
        <w:tc>
          <w:tcPr>
            <w:tcW w:w="3828" w:type="dxa"/>
            <w:tcBorders>
              <w:top w:val="nil"/>
              <w:left w:val="single" w:sz="4" w:space="0" w:color="auto"/>
              <w:bottom w:val="nil"/>
              <w:right w:val="nil"/>
            </w:tcBorders>
          </w:tcPr>
          <w:p w:rsidR="00276B9C" w:rsidRPr="002F1F0F" w:rsidRDefault="00276B9C" w:rsidP="001E7D79">
            <w:pPr>
              <w:jc w:val="both"/>
              <w:rPr>
                <w:rFonts w:eastAsia="Times New Roman"/>
                <w:sz w:val="18"/>
                <w:szCs w:val="18"/>
                <w:lang w:eastAsia="es-MX"/>
              </w:rPr>
            </w:pPr>
            <w:r w:rsidRPr="002F1F0F">
              <w:rPr>
                <w:rFonts w:eastAsia="Times New Roman"/>
                <w:sz w:val="18"/>
                <w:szCs w:val="18"/>
                <w:lang w:eastAsia="es-MX"/>
              </w:rPr>
              <w:t>Balanza de Renta</w:t>
            </w:r>
          </w:p>
        </w:tc>
        <w:tc>
          <w:tcPr>
            <w:tcW w:w="940" w:type="dxa"/>
            <w:gridSpan w:val="2"/>
            <w:tcBorders>
              <w:top w:val="nil"/>
              <w:left w:val="nil"/>
              <w:bottom w:val="nil"/>
              <w:right w:val="nil"/>
            </w:tcBorders>
            <w:shd w:val="clear" w:color="auto" w:fill="auto"/>
          </w:tcPr>
          <w:p w:rsidR="00276B9C" w:rsidRPr="002F1F0F" w:rsidRDefault="00276B9C" w:rsidP="001E7D79">
            <w:pPr>
              <w:ind w:left="-57"/>
              <w:jc w:val="right"/>
              <w:rPr>
                <w:rFonts w:eastAsia="Times New Roman"/>
                <w:sz w:val="18"/>
                <w:szCs w:val="18"/>
                <w:lang w:eastAsia="es-MX"/>
              </w:rPr>
            </w:pPr>
            <w:r w:rsidRPr="002F1F0F">
              <w:rPr>
                <w:rFonts w:eastAsia="Times New Roman"/>
                <w:sz w:val="18"/>
                <w:szCs w:val="18"/>
                <w:lang w:eastAsia="es-MX"/>
              </w:rPr>
              <w:t>-38 882</w:t>
            </w:r>
          </w:p>
        </w:tc>
        <w:tc>
          <w:tcPr>
            <w:tcW w:w="902"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-12 089</w:t>
            </w:r>
          </w:p>
        </w:tc>
        <w:tc>
          <w:tcPr>
            <w:tcW w:w="851" w:type="dxa"/>
            <w:tcBorders>
              <w:top w:val="nil"/>
              <w:left w:val="nil"/>
              <w:bottom w:val="nil"/>
              <w:right w:val="nil"/>
            </w:tcBorders>
            <w:shd w:val="clear" w:color="auto" w:fill="auto"/>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-11 521</w:t>
            </w:r>
          </w:p>
        </w:tc>
        <w:tc>
          <w:tcPr>
            <w:tcW w:w="939"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-3 433</w:t>
            </w:r>
          </w:p>
        </w:tc>
        <w:tc>
          <w:tcPr>
            <w:tcW w:w="851" w:type="dxa"/>
            <w:tcBorders>
              <w:top w:val="nil"/>
              <w:left w:val="nil"/>
              <w:bottom w:val="nil"/>
              <w:right w:val="nil"/>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-7 339</w:t>
            </w:r>
          </w:p>
        </w:tc>
        <w:tc>
          <w:tcPr>
            <w:tcW w:w="903" w:type="dxa"/>
            <w:tcBorders>
              <w:top w:val="nil"/>
              <w:left w:val="nil"/>
              <w:bottom w:val="nil"/>
              <w:right w:val="single" w:sz="4" w:space="0" w:color="auto"/>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-34 382</w:t>
            </w:r>
          </w:p>
        </w:tc>
      </w:tr>
      <w:tr w:rsidR="00276B9C" w:rsidRPr="002F1F0F" w:rsidTr="001E7D79">
        <w:trPr>
          <w:jc w:val="center"/>
        </w:trPr>
        <w:tc>
          <w:tcPr>
            <w:tcW w:w="3828" w:type="dxa"/>
            <w:tcBorders>
              <w:top w:val="nil"/>
              <w:left w:val="single" w:sz="4" w:space="0" w:color="auto"/>
              <w:bottom w:val="nil"/>
              <w:right w:val="nil"/>
            </w:tcBorders>
          </w:tcPr>
          <w:p w:rsidR="00276B9C" w:rsidRPr="002F1F0F" w:rsidRDefault="00276B9C" w:rsidP="001E7D79">
            <w:pPr>
              <w:jc w:val="both"/>
              <w:rPr>
                <w:rFonts w:eastAsia="Times New Roman"/>
                <w:sz w:val="18"/>
                <w:szCs w:val="18"/>
                <w:lang w:eastAsia="es-MX"/>
              </w:rPr>
            </w:pPr>
            <w:r w:rsidRPr="002F1F0F">
              <w:rPr>
                <w:rFonts w:eastAsia="Times New Roman"/>
                <w:sz w:val="18"/>
                <w:szCs w:val="18"/>
                <w:lang w:eastAsia="es-MX"/>
              </w:rPr>
              <w:t>Balanza de Transferencias</w:t>
            </w:r>
          </w:p>
        </w:tc>
        <w:tc>
          <w:tcPr>
            <w:tcW w:w="940" w:type="dxa"/>
            <w:gridSpan w:val="2"/>
            <w:tcBorders>
              <w:top w:val="nil"/>
              <w:left w:val="nil"/>
              <w:bottom w:val="nil"/>
              <w:right w:val="nil"/>
            </w:tcBorders>
            <w:shd w:val="clear" w:color="auto" w:fill="auto"/>
          </w:tcPr>
          <w:p w:rsidR="00276B9C" w:rsidRPr="002F1F0F" w:rsidRDefault="00276B9C" w:rsidP="001E7D79">
            <w:pPr>
              <w:ind w:left="-57"/>
              <w:jc w:val="right"/>
              <w:rPr>
                <w:rFonts w:eastAsia="Times New Roman"/>
                <w:sz w:val="18"/>
                <w:szCs w:val="18"/>
                <w:lang w:eastAsia="es-MX"/>
              </w:rPr>
            </w:pPr>
            <w:r w:rsidRPr="002F1F0F">
              <w:rPr>
                <w:rFonts w:eastAsia="Times New Roman"/>
                <w:sz w:val="18"/>
                <w:szCs w:val="18"/>
                <w:lang w:eastAsia="es-MX"/>
              </w:rPr>
              <w:t>22 110</w:t>
            </w:r>
          </w:p>
        </w:tc>
        <w:tc>
          <w:tcPr>
            <w:tcW w:w="902"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5 545</w:t>
            </w:r>
          </w:p>
        </w:tc>
        <w:tc>
          <w:tcPr>
            <w:tcW w:w="851" w:type="dxa"/>
            <w:tcBorders>
              <w:top w:val="nil"/>
              <w:left w:val="nil"/>
              <w:bottom w:val="nil"/>
              <w:right w:val="nil"/>
            </w:tcBorders>
            <w:shd w:val="clear" w:color="auto" w:fill="auto"/>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6 205</w:t>
            </w:r>
          </w:p>
        </w:tc>
        <w:tc>
          <w:tcPr>
            <w:tcW w:w="939" w:type="dxa"/>
            <w:tcBorders>
              <w:top w:val="nil"/>
              <w:left w:val="nil"/>
              <w:bottom w:val="nil"/>
              <w:right w:val="nil"/>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6 026</w:t>
            </w:r>
          </w:p>
        </w:tc>
        <w:tc>
          <w:tcPr>
            <w:tcW w:w="851" w:type="dxa"/>
            <w:tcBorders>
              <w:top w:val="nil"/>
              <w:left w:val="nil"/>
              <w:bottom w:val="nil"/>
              <w:right w:val="nil"/>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6 100</w:t>
            </w:r>
          </w:p>
        </w:tc>
        <w:tc>
          <w:tcPr>
            <w:tcW w:w="903" w:type="dxa"/>
            <w:tcBorders>
              <w:top w:val="nil"/>
              <w:left w:val="nil"/>
              <w:bottom w:val="nil"/>
              <w:right w:val="single" w:sz="4" w:space="0" w:color="auto"/>
            </w:tcBorders>
          </w:tcPr>
          <w:p w:rsidR="00276B9C" w:rsidRPr="002F1F0F" w:rsidRDefault="00276B9C" w:rsidP="001E7D79">
            <w:pPr>
              <w:jc w:val="right"/>
              <w:rPr>
                <w:rFonts w:eastAsia="Times New Roman"/>
                <w:sz w:val="18"/>
                <w:szCs w:val="18"/>
                <w:lang w:eastAsia="es-MX"/>
              </w:rPr>
            </w:pPr>
            <w:r w:rsidRPr="002F1F0F">
              <w:rPr>
                <w:rFonts w:eastAsia="Times New Roman"/>
                <w:sz w:val="18"/>
                <w:szCs w:val="18"/>
                <w:lang w:eastAsia="es-MX"/>
              </w:rPr>
              <w:t>23 877</w:t>
            </w:r>
          </w:p>
        </w:tc>
      </w:tr>
      <w:tr w:rsidR="00276B9C" w:rsidRPr="002F1F0F" w:rsidTr="001E7D79">
        <w:trPr>
          <w:jc w:val="center"/>
        </w:trPr>
        <w:tc>
          <w:tcPr>
            <w:tcW w:w="3828" w:type="dxa"/>
            <w:tcBorders>
              <w:top w:val="nil"/>
              <w:left w:val="single" w:sz="4" w:space="0" w:color="auto"/>
              <w:bottom w:val="nil"/>
              <w:right w:val="nil"/>
            </w:tcBorders>
          </w:tcPr>
          <w:p w:rsidR="00276B9C" w:rsidRPr="002F1F0F" w:rsidRDefault="00276B9C" w:rsidP="001E7D79">
            <w:pPr>
              <w:jc w:val="both"/>
              <w:rPr>
                <w:rFonts w:eastAsia="Times New Roman"/>
                <w:sz w:val="18"/>
                <w:szCs w:val="18"/>
                <w:lang w:eastAsia="es-MX"/>
              </w:rPr>
            </w:pPr>
            <w:r w:rsidRPr="002F1F0F">
              <w:rPr>
                <w:rFonts w:eastAsia="Times New Roman"/>
                <w:b/>
                <w:bCs/>
                <w:sz w:val="18"/>
                <w:szCs w:val="18"/>
                <w:lang w:eastAsia="es-MX"/>
              </w:rPr>
              <w:t xml:space="preserve">Balanza de Mercancías Petroleras </w:t>
            </w:r>
          </w:p>
        </w:tc>
        <w:tc>
          <w:tcPr>
            <w:tcW w:w="940" w:type="dxa"/>
            <w:gridSpan w:val="2"/>
            <w:tcBorders>
              <w:top w:val="nil"/>
              <w:left w:val="nil"/>
              <w:bottom w:val="nil"/>
              <w:right w:val="nil"/>
            </w:tcBorders>
            <w:shd w:val="clear" w:color="auto" w:fill="auto"/>
          </w:tcPr>
          <w:p w:rsidR="00276B9C" w:rsidRPr="002F1F0F" w:rsidRDefault="00276B9C" w:rsidP="001E7D79">
            <w:pPr>
              <w:ind w:left="-57"/>
              <w:jc w:val="right"/>
              <w:rPr>
                <w:rFonts w:eastAsia="Times New Roman"/>
                <w:b/>
                <w:sz w:val="18"/>
                <w:szCs w:val="18"/>
                <w:lang w:eastAsia="es-MX"/>
              </w:rPr>
            </w:pPr>
            <w:r w:rsidRPr="002F1F0F">
              <w:rPr>
                <w:rFonts w:eastAsia="Times New Roman"/>
                <w:b/>
                <w:sz w:val="18"/>
                <w:szCs w:val="18"/>
                <w:lang w:eastAsia="es-MX"/>
              </w:rPr>
              <w:t>8 625</w:t>
            </w:r>
          </w:p>
        </w:tc>
        <w:tc>
          <w:tcPr>
            <w:tcW w:w="902" w:type="dxa"/>
            <w:tcBorders>
              <w:top w:val="nil"/>
              <w:left w:val="nil"/>
              <w:bottom w:val="nil"/>
              <w:right w:val="nil"/>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1 212</w:t>
            </w:r>
          </w:p>
        </w:tc>
        <w:tc>
          <w:tcPr>
            <w:tcW w:w="851" w:type="dxa"/>
            <w:tcBorders>
              <w:top w:val="nil"/>
              <w:left w:val="nil"/>
              <w:bottom w:val="nil"/>
              <w:right w:val="nil"/>
            </w:tcBorders>
            <w:shd w:val="clear" w:color="auto" w:fill="auto"/>
          </w:tcPr>
          <w:p w:rsidR="00276B9C" w:rsidRPr="002F1F0F" w:rsidRDefault="00276B9C" w:rsidP="001E7D79">
            <w:pPr>
              <w:jc w:val="right"/>
              <w:rPr>
                <w:rFonts w:eastAsia="Times New Roman"/>
                <w:b/>
                <w:sz w:val="18"/>
                <w:szCs w:val="18"/>
                <w:lang w:eastAsia="es-MX"/>
              </w:rPr>
            </w:pPr>
            <w:r w:rsidRPr="002F1F0F">
              <w:rPr>
                <w:rFonts w:eastAsia="Times New Roman"/>
                <w:b/>
                <w:sz w:val="18"/>
                <w:szCs w:val="18"/>
                <w:lang w:eastAsia="es-MX"/>
              </w:rPr>
              <w:t>1 095</w:t>
            </w:r>
          </w:p>
        </w:tc>
        <w:tc>
          <w:tcPr>
            <w:tcW w:w="939" w:type="dxa"/>
            <w:tcBorders>
              <w:top w:val="nil"/>
              <w:left w:val="nil"/>
              <w:bottom w:val="nil"/>
              <w:right w:val="nil"/>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574</w:t>
            </w:r>
          </w:p>
        </w:tc>
        <w:tc>
          <w:tcPr>
            <w:tcW w:w="851" w:type="dxa"/>
            <w:tcBorders>
              <w:top w:val="nil"/>
              <w:left w:val="nil"/>
              <w:bottom w:val="nil"/>
              <w:right w:val="nil"/>
            </w:tcBorders>
          </w:tcPr>
          <w:p w:rsidR="00276B9C" w:rsidRPr="002F1F0F" w:rsidRDefault="00276B9C" w:rsidP="001E7D79">
            <w:pPr>
              <w:jc w:val="right"/>
              <w:rPr>
                <w:rFonts w:eastAsia="Times New Roman"/>
                <w:b/>
                <w:sz w:val="18"/>
                <w:szCs w:val="18"/>
                <w:lang w:eastAsia="es-MX"/>
              </w:rPr>
            </w:pPr>
            <w:r w:rsidRPr="002F1F0F">
              <w:rPr>
                <w:rFonts w:eastAsia="Times New Roman"/>
                <w:b/>
                <w:sz w:val="18"/>
                <w:szCs w:val="18"/>
                <w:lang w:eastAsia="es-MX"/>
              </w:rPr>
              <w:t>-1 391</w:t>
            </w:r>
          </w:p>
        </w:tc>
        <w:tc>
          <w:tcPr>
            <w:tcW w:w="903" w:type="dxa"/>
            <w:tcBorders>
              <w:top w:val="nil"/>
              <w:left w:val="nil"/>
              <w:bottom w:val="nil"/>
              <w:right w:val="single" w:sz="4" w:space="0" w:color="auto"/>
            </w:tcBorders>
          </w:tcPr>
          <w:p w:rsidR="00276B9C" w:rsidRPr="002F1F0F" w:rsidRDefault="00276B9C" w:rsidP="001E7D79">
            <w:pPr>
              <w:jc w:val="right"/>
              <w:rPr>
                <w:rFonts w:eastAsia="Times New Roman"/>
                <w:b/>
                <w:sz w:val="18"/>
                <w:szCs w:val="18"/>
                <w:lang w:eastAsia="es-MX"/>
              </w:rPr>
            </w:pPr>
            <w:r w:rsidRPr="002F1F0F">
              <w:rPr>
                <w:rFonts w:eastAsia="Times New Roman"/>
                <w:b/>
                <w:sz w:val="18"/>
                <w:szCs w:val="18"/>
                <w:lang w:eastAsia="es-MX"/>
              </w:rPr>
              <w:t>1 489</w:t>
            </w:r>
          </w:p>
        </w:tc>
      </w:tr>
      <w:tr w:rsidR="00276B9C" w:rsidRPr="002F1F0F" w:rsidTr="001E7D79">
        <w:trPr>
          <w:jc w:val="center"/>
        </w:trPr>
        <w:tc>
          <w:tcPr>
            <w:tcW w:w="3828" w:type="dxa"/>
            <w:tcBorders>
              <w:top w:val="nil"/>
              <w:left w:val="single" w:sz="4" w:space="0" w:color="auto"/>
              <w:bottom w:val="single" w:sz="4" w:space="0" w:color="auto"/>
              <w:right w:val="nil"/>
            </w:tcBorders>
          </w:tcPr>
          <w:p w:rsidR="00276B9C" w:rsidRPr="002F1F0F" w:rsidRDefault="00276B9C" w:rsidP="001E7D79">
            <w:pPr>
              <w:rPr>
                <w:rFonts w:eastAsia="Times New Roman"/>
                <w:sz w:val="18"/>
                <w:szCs w:val="18"/>
                <w:lang w:eastAsia="es-MX"/>
              </w:rPr>
            </w:pPr>
            <w:r w:rsidRPr="002F1F0F">
              <w:rPr>
                <w:rFonts w:eastAsia="Times New Roman"/>
                <w:b/>
                <w:bCs/>
                <w:sz w:val="18"/>
                <w:szCs w:val="18"/>
                <w:lang w:eastAsia="es-MX"/>
              </w:rPr>
              <w:t>Balanza de Mercancías No Petroleras</w:t>
            </w:r>
          </w:p>
        </w:tc>
        <w:tc>
          <w:tcPr>
            <w:tcW w:w="940" w:type="dxa"/>
            <w:gridSpan w:val="2"/>
            <w:tcBorders>
              <w:top w:val="nil"/>
              <w:left w:val="nil"/>
              <w:bottom w:val="single" w:sz="4" w:space="0" w:color="auto"/>
              <w:right w:val="nil"/>
            </w:tcBorders>
            <w:shd w:val="clear" w:color="auto" w:fill="auto"/>
            <w:vAlign w:val="center"/>
          </w:tcPr>
          <w:p w:rsidR="00276B9C" w:rsidRPr="002F1F0F" w:rsidRDefault="00276B9C" w:rsidP="001E7D79">
            <w:pPr>
              <w:ind w:left="-57"/>
              <w:jc w:val="right"/>
              <w:rPr>
                <w:rFonts w:eastAsia="Times New Roman"/>
                <w:b/>
                <w:sz w:val="18"/>
                <w:szCs w:val="18"/>
                <w:lang w:eastAsia="es-MX"/>
              </w:rPr>
            </w:pPr>
            <w:r w:rsidRPr="002F1F0F">
              <w:rPr>
                <w:rFonts w:eastAsia="Times New Roman"/>
                <w:b/>
                <w:sz w:val="18"/>
                <w:szCs w:val="18"/>
                <w:lang w:eastAsia="es-MX"/>
              </w:rPr>
              <w:t>-9 809</w:t>
            </w:r>
          </w:p>
        </w:tc>
        <w:tc>
          <w:tcPr>
            <w:tcW w:w="902" w:type="dxa"/>
            <w:tcBorders>
              <w:top w:val="nil"/>
              <w:left w:val="nil"/>
              <w:bottom w:val="single" w:sz="4" w:space="0" w:color="auto"/>
              <w:right w:val="nil"/>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-2 527</w:t>
            </w:r>
          </w:p>
        </w:tc>
        <w:tc>
          <w:tcPr>
            <w:tcW w:w="851" w:type="dxa"/>
            <w:tcBorders>
              <w:top w:val="nil"/>
              <w:left w:val="nil"/>
              <w:bottom w:val="single" w:sz="4" w:space="0" w:color="auto"/>
              <w:right w:val="nil"/>
            </w:tcBorders>
            <w:shd w:val="clear" w:color="auto" w:fill="auto"/>
            <w:vAlign w:val="center"/>
          </w:tcPr>
          <w:p w:rsidR="00276B9C" w:rsidRPr="002F1F0F" w:rsidRDefault="00276B9C" w:rsidP="001E7D79">
            <w:pPr>
              <w:jc w:val="right"/>
              <w:rPr>
                <w:rFonts w:eastAsia="Times New Roman"/>
                <w:b/>
                <w:sz w:val="18"/>
                <w:szCs w:val="18"/>
                <w:lang w:eastAsia="es-MX"/>
              </w:rPr>
            </w:pPr>
            <w:r w:rsidRPr="002F1F0F">
              <w:rPr>
                <w:rFonts w:eastAsia="Times New Roman"/>
                <w:b/>
                <w:sz w:val="18"/>
                <w:szCs w:val="18"/>
                <w:lang w:eastAsia="es-MX"/>
              </w:rPr>
              <w:t>-29</w:t>
            </w:r>
          </w:p>
        </w:tc>
        <w:tc>
          <w:tcPr>
            <w:tcW w:w="939" w:type="dxa"/>
            <w:tcBorders>
              <w:top w:val="nil"/>
              <w:left w:val="nil"/>
              <w:bottom w:val="single" w:sz="4" w:space="0" w:color="auto"/>
              <w:right w:val="nil"/>
            </w:tcBorders>
            <w:vAlign w:val="center"/>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-2 086</w:t>
            </w:r>
          </w:p>
        </w:tc>
        <w:tc>
          <w:tcPr>
            <w:tcW w:w="851" w:type="dxa"/>
            <w:tcBorders>
              <w:top w:val="nil"/>
              <w:left w:val="nil"/>
              <w:bottom w:val="single" w:sz="4" w:space="0" w:color="auto"/>
              <w:right w:val="nil"/>
            </w:tcBorders>
          </w:tcPr>
          <w:p w:rsidR="00276B9C" w:rsidRPr="002F1F0F" w:rsidRDefault="00276B9C" w:rsidP="001E7D79">
            <w:pPr>
              <w:jc w:val="right"/>
              <w:rPr>
                <w:rFonts w:eastAsia="Times New Roman"/>
                <w:b/>
                <w:sz w:val="18"/>
                <w:szCs w:val="18"/>
                <w:lang w:eastAsia="es-MX"/>
              </w:rPr>
            </w:pPr>
            <w:r w:rsidRPr="002F1F0F">
              <w:rPr>
                <w:rFonts w:eastAsia="Times New Roman"/>
                <w:b/>
                <w:sz w:val="18"/>
                <w:szCs w:val="18"/>
                <w:lang w:eastAsia="es-MX"/>
              </w:rPr>
              <w:t>712</w:t>
            </w:r>
          </w:p>
        </w:tc>
        <w:tc>
          <w:tcPr>
            <w:tcW w:w="903" w:type="dxa"/>
            <w:tcBorders>
              <w:top w:val="nil"/>
              <w:left w:val="nil"/>
              <w:bottom w:val="single" w:sz="4" w:space="0" w:color="auto"/>
              <w:right w:val="single" w:sz="4" w:space="0" w:color="auto"/>
            </w:tcBorders>
          </w:tcPr>
          <w:p w:rsidR="00276B9C" w:rsidRPr="002F1F0F" w:rsidRDefault="00276B9C" w:rsidP="001E7D79">
            <w:pPr>
              <w:jc w:val="right"/>
              <w:rPr>
                <w:rFonts w:eastAsia="Times New Roman"/>
                <w:b/>
                <w:sz w:val="18"/>
                <w:szCs w:val="18"/>
                <w:lang w:eastAsia="es-MX"/>
              </w:rPr>
            </w:pPr>
            <w:r w:rsidRPr="002F1F0F">
              <w:rPr>
                <w:rFonts w:eastAsia="Times New Roman"/>
                <w:b/>
                <w:sz w:val="18"/>
                <w:szCs w:val="18"/>
                <w:lang w:eastAsia="es-MX"/>
              </w:rPr>
              <w:t>-3 931</w:t>
            </w:r>
          </w:p>
        </w:tc>
      </w:tr>
      <w:tr w:rsidR="00276B9C" w:rsidRPr="002F1F0F" w:rsidTr="001E7D79">
        <w:trPr>
          <w:jc w:val="center"/>
        </w:trPr>
        <w:tc>
          <w:tcPr>
            <w:tcW w:w="9214" w:type="dxa"/>
            <w:gridSpan w:val="8"/>
            <w:tcBorders>
              <w:top w:val="single" w:sz="4" w:space="0" w:color="auto"/>
              <w:left w:val="nil"/>
              <w:bottom w:val="nil"/>
              <w:right w:val="nil"/>
            </w:tcBorders>
          </w:tcPr>
          <w:p w:rsidR="00276B9C" w:rsidRPr="002F1F0F" w:rsidRDefault="00276B9C" w:rsidP="001E7D79">
            <w:pPr>
              <w:ind w:left="454" w:right="-159" w:hanging="454"/>
              <w:rPr>
                <w:rFonts w:eastAsia="Times New Roman"/>
                <w:sz w:val="18"/>
                <w:szCs w:val="18"/>
                <w:lang w:eastAsia="es-MX"/>
              </w:rPr>
            </w:pPr>
            <w:r w:rsidRPr="002F1F0F">
              <w:rPr>
                <w:rFonts w:eastAsia="Times New Roman"/>
                <w:sz w:val="18"/>
                <w:szCs w:val="18"/>
                <w:lang w:eastAsia="es-MX"/>
              </w:rPr>
              <w:t>Nota: La suma de los componentes que integran la estadística de la balanza de pagos que se presenta en este comunicado puede no coincidir con los totales debido al redondeo de las cifras.</w:t>
            </w:r>
          </w:p>
          <w:p w:rsidR="00276B9C" w:rsidRPr="002F1F0F" w:rsidRDefault="00276B9C" w:rsidP="001E7D79">
            <w:pPr>
              <w:rPr>
                <w:rFonts w:eastAsia="Times New Roman"/>
                <w:sz w:val="18"/>
                <w:szCs w:val="18"/>
                <w:lang w:eastAsia="es-MX"/>
              </w:rPr>
            </w:pPr>
            <w:r w:rsidRPr="002F1F0F">
              <w:rPr>
                <w:rFonts w:eastAsia="Times New Roman"/>
                <w:sz w:val="18"/>
                <w:szCs w:val="18"/>
                <w:lang w:eastAsia="es-MX"/>
              </w:rPr>
              <w:t>FUENTE: Banco de México.</w:t>
            </w:r>
          </w:p>
        </w:tc>
      </w:tr>
    </w:tbl>
    <w:p w:rsidR="00276B9C" w:rsidRPr="002F1F0F" w:rsidRDefault="00276B9C" w:rsidP="00276B9C">
      <w:pPr>
        <w:spacing w:after="360" w:line="360" w:lineRule="auto"/>
        <w:ind w:right="-159"/>
        <w:jc w:val="both"/>
        <w:rPr>
          <w:rFonts w:eastAsia="Calibri"/>
          <w:sz w:val="26"/>
          <w:szCs w:val="26"/>
          <w:lang w:eastAsia="en-US"/>
        </w:rPr>
      </w:pPr>
    </w:p>
    <w:p w:rsidR="00276B9C" w:rsidRPr="002F1F0F" w:rsidRDefault="00276B9C" w:rsidP="00276B9C">
      <w:pPr>
        <w:spacing w:after="360" w:line="360" w:lineRule="auto"/>
        <w:ind w:right="-159"/>
        <w:jc w:val="center"/>
        <w:rPr>
          <w:rFonts w:eastAsia="Calibri"/>
          <w:sz w:val="26"/>
          <w:szCs w:val="26"/>
          <w:lang w:eastAsia="en-US"/>
        </w:rPr>
      </w:pPr>
      <w:r w:rsidRPr="0093598C">
        <w:rPr>
          <w:rFonts w:ascii="Calibri" w:eastAsia="Calibri" w:hAnsi="Calibri"/>
          <w:sz w:val="22"/>
          <w:szCs w:val="22"/>
          <w:lang w:eastAsia="en-US"/>
        </w:rPr>
        <w:fldChar w:fldCharType="begin"/>
      </w:r>
      <w:r w:rsidRPr="0093598C">
        <w:rPr>
          <w:rFonts w:ascii="Calibri" w:eastAsia="Calibri" w:hAnsi="Calibri"/>
          <w:sz w:val="22"/>
          <w:szCs w:val="22"/>
          <w:lang w:eastAsia="en-US"/>
        </w:rPr>
        <w:instrText xml:space="preserve"> LINK PowerPoint.Slide.8 "D:\\2015\\MARZO 2014\\GRÁFICAS EN POWER POINT\\2.- GRÁFICAS DE BALANZA DE PAGOS.pptx!271" "" \a \p </w:instrText>
      </w:r>
      <w:r w:rsidRPr="0093598C">
        <w:rPr>
          <w:rFonts w:ascii="Calibri" w:eastAsia="Calibri" w:hAnsi="Calibri"/>
          <w:sz w:val="22"/>
          <w:szCs w:val="22"/>
          <w:lang w:eastAsia="en-US"/>
        </w:rPr>
        <w:fldChar w:fldCharType="separate"/>
      </w:r>
      <w:r w:rsidRPr="0093598C">
        <w:rPr>
          <w:rFonts w:ascii="Calibri" w:eastAsia="Calibri" w:hAnsi="Calibri"/>
          <w:noProof/>
          <w:sz w:val="22"/>
          <w:szCs w:val="22"/>
          <w:lang w:eastAsia="es-MX"/>
        </w:rPr>
        <w:drawing>
          <wp:inline distT="0" distB="0" distL="0" distR="0" wp14:anchorId="25BFCC9D" wp14:editId="4A19680B">
            <wp:extent cx="5572760" cy="3429000"/>
            <wp:effectExtent l="0" t="0" r="889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10" cstate="print">
                      <a:extLst>
                        <a:ext uri="{28A0092B-C50C-407E-A947-70E740481C1C}">
                          <a14:useLocalDpi xmlns:a14="http://schemas.microsoft.com/office/drawing/2010/main" val="0"/>
                        </a:ext>
                      </a:extLst>
                    </a:blip>
                    <a:srcRect l="2870" r="5492"/>
                    <a:stretch>
                      <a:fillRect/>
                    </a:stretch>
                  </pic:blipFill>
                  <pic:spPr bwMode="auto">
                    <a:xfrm>
                      <a:off x="0" y="0"/>
                      <a:ext cx="5572760" cy="3429000"/>
                    </a:xfrm>
                    <a:prstGeom prst="rect">
                      <a:avLst/>
                    </a:prstGeom>
                    <a:noFill/>
                    <a:ln>
                      <a:noFill/>
                    </a:ln>
                  </pic:spPr>
                </pic:pic>
              </a:graphicData>
            </a:graphic>
          </wp:inline>
        </w:drawing>
      </w:r>
      <w:r w:rsidRPr="0093598C">
        <w:rPr>
          <w:rFonts w:ascii="Calibri" w:eastAsia="Calibri" w:hAnsi="Calibri"/>
          <w:sz w:val="22"/>
          <w:szCs w:val="22"/>
          <w:lang w:eastAsia="en-US"/>
        </w:rPr>
        <w:fldChar w:fldCharType="end"/>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 xml:space="preserve">En 2014, la balanza de bienes y servicios registró un déficit de 16 mil 40 millones de dólares, monto que fue resultado de saldos negativos de 13 mil 874 millones de dólares en la balanza de servicios y de 2 mil 166 millones de dólares en la balanza de bienes. A su vez, el saldo de la balanza de bienes se derivó de la combinación de un déficit de 2 mil 442 millones de dólares en la balanza de mercancías y de un superávit de              </w:t>
      </w:r>
      <w:r w:rsidRPr="002F1F0F">
        <w:rPr>
          <w:rFonts w:eastAsia="Calibri"/>
          <w:sz w:val="26"/>
          <w:szCs w:val="26"/>
          <w:lang w:eastAsia="en-US"/>
        </w:rPr>
        <w:lastRenderedPageBreak/>
        <w:t xml:space="preserve">275 millones de dólares en la correspondiente a bienes adquiridos en puertos por medios de transporte. En particular, el déficit de la balanza de mercancías en 2014 fue resultado de exportaciones por 397 mil 535 millones de dólares y de importaciones por 399 mil 977 millones de dólares. </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 xml:space="preserve">En el año que se reporta, las exportaciones registraron una expansión anual de 4.6%, la cual se derivó de la combinación de un incremento de 7.3% en las exportaciones no petroleras y de una reducción de 13.2% en las petroleras. A su vez, el crecimiento de las exportaciones no petroleras fue resultado de alzas de 11.9% en las correspondientes a productos de la industria automotriz y de 5.3% en las del resto de productos no petroleros. En 2014, las exportaciones no petroleras dirigidas al mercado estadounidense exhibieron un avance anual de 9.4%, mientras que las canalizadas a otros mercados mostraron un retroceso de 1.0%. En cuanto a la disminución anual observada en las exportaciones petroleras, ésta fue resultado de menores niveles tanto del precio del petróleo exportado, como de su volumen. En efecto, el precio promedio de la mezcla mexicana de crudo de exportación pasó de 98.46 dólares por barril en 2013 a 86.94 dólares por barril en 2014. Asimismo, el volumen de crudo exportado pasó de 1.189 millones de barriles diarios a 1.142 millones de barriles diarios, en la misma comparación.  </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En cuanto a las importaciones de mercancías, en 2014</w:t>
      </w:r>
      <w:r w:rsidR="00736C45">
        <w:rPr>
          <w:rFonts w:eastAsia="Calibri"/>
          <w:sz w:val="26"/>
          <w:szCs w:val="26"/>
          <w:lang w:eastAsia="en-US"/>
        </w:rPr>
        <w:t>,</w:t>
      </w:r>
      <w:r w:rsidRPr="002F1F0F">
        <w:rPr>
          <w:rFonts w:eastAsia="Calibri"/>
          <w:sz w:val="26"/>
          <w:szCs w:val="26"/>
          <w:lang w:eastAsia="en-US"/>
        </w:rPr>
        <w:t xml:space="preserve"> éstas exhibieron un incremento anual de 4.9% (5.3% en el caso de las importaciones de bienes no petroleros), el cual se derivó de crecimientos de 6.0% en las importaciones de bienes de uso intermedio (5.9% en el caso de las importaciones de bienes de uso intermedio no petroleros), de 1.5% en las de bienes de capital y de 1.7% en las de bienes de consumo (expansión de 5.3% en las de bienes de consumo no petroleros) .</w:t>
      </w:r>
    </w:p>
    <w:p w:rsidR="00276B9C" w:rsidRDefault="00276B9C" w:rsidP="00276B9C">
      <w:pPr>
        <w:spacing w:after="360" w:line="360" w:lineRule="auto"/>
        <w:ind w:right="-159"/>
        <w:jc w:val="both"/>
        <w:rPr>
          <w:rFonts w:eastAsia="Calibri"/>
          <w:sz w:val="26"/>
          <w:szCs w:val="26"/>
          <w:lang w:eastAsia="en-US"/>
        </w:rPr>
      </w:pPr>
    </w:p>
    <w:p w:rsidR="000B0616" w:rsidRPr="002F1F0F" w:rsidRDefault="000B0616" w:rsidP="00276B9C">
      <w:pPr>
        <w:spacing w:after="360" w:line="360" w:lineRule="auto"/>
        <w:ind w:right="-159"/>
        <w:jc w:val="both"/>
        <w:rPr>
          <w:rFonts w:eastAsia="Calibri"/>
          <w:sz w:val="26"/>
          <w:szCs w:val="26"/>
          <w:lang w:eastAsia="en-US"/>
        </w:rPr>
      </w:pPr>
    </w:p>
    <w:tbl>
      <w:tblPr>
        <w:tblW w:w="9072" w:type="dxa"/>
        <w:jc w:val="center"/>
        <w:tblLayout w:type="fixed"/>
        <w:tblLook w:val="01E0" w:firstRow="1" w:lastRow="1" w:firstColumn="1" w:lastColumn="1" w:noHBand="0" w:noVBand="0"/>
      </w:tblPr>
      <w:tblGrid>
        <w:gridCol w:w="2831"/>
        <w:gridCol w:w="737"/>
        <w:gridCol w:w="773"/>
        <w:gridCol w:w="8"/>
        <w:gridCol w:w="896"/>
        <w:gridCol w:w="709"/>
        <w:gridCol w:w="709"/>
        <w:gridCol w:w="850"/>
        <w:gridCol w:w="851"/>
        <w:gridCol w:w="708"/>
      </w:tblGrid>
      <w:tr w:rsidR="00276B9C" w:rsidRPr="002F1F0F" w:rsidTr="001E7D79">
        <w:trPr>
          <w:jc w:val="center"/>
        </w:trPr>
        <w:tc>
          <w:tcPr>
            <w:tcW w:w="9072" w:type="dxa"/>
            <w:gridSpan w:val="10"/>
            <w:tcBorders>
              <w:top w:val="nil"/>
              <w:left w:val="nil"/>
              <w:bottom w:val="single" w:sz="4" w:space="0" w:color="auto"/>
              <w:right w:val="nil"/>
            </w:tcBorders>
          </w:tcPr>
          <w:p w:rsidR="00276B9C" w:rsidRPr="002F1F0F" w:rsidRDefault="00276B9C" w:rsidP="001E7D79">
            <w:pPr>
              <w:jc w:val="center"/>
              <w:rPr>
                <w:rFonts w:eastAsia="Times New Roman"/>
                <w:b/>
                <w:bCs/>
                <w:sz w:val="20"/>
                <w:szCs w:val="20"/>
                <w:lang w:eastAsia="es-MX"/>
              </w:rPr>
            </w:pPr>
            <w:r w:rsidRPr="002F1F0F">
              <w:rPr>
                <w:rFonts w:eastAsia="Times New Roman"/>
                <w:b/>
                <w:bCs/>
                <w:sz w:val="20"/>
                <w:szCs w:val="20"/>
                <w:lang w:eastAsia="es-MX"/>
              </w:rPr>
              <w:lastRenderedPageBreak/>
              <w:t>EXPORTACIONES NO PETROLERAS A DISTINTOS MERCADOS</w:t>
            </w:r>
          </w:p>
          <w:p w:rsidR="00276B9C" w:rsidRPr="002F1F0F" w:rsidRDefault="00276B9C" w:rsidP="001E7D79">
            <w:pPr>
              <w:jc w:val="center"/>
              <w:rPr>
                <w:rFonts w:eastAsia="Times New Roman"/>
                <w:b/>
                <w:bCs/>
                <w:sz w:val="20"/>
                <w:szCs w:val="20"/>
                <w:lang w:eastAsia="es-MX"/>
              </w:rPr>
            </w:pPr>
            <w:r w:rsidRPr="002F1F0F">
              <w:rPr>
                <w:rFonts w:eastAsia="Times New Roman"/>
                <w:b/>
                <w:sz w:val="20"/>
                <w:szCs w:val="20"/>
                <w:lang w:eastAsia="es-MX"/>
              </w:rPr>
              <w:t>-Porcentajes-</w:t>
            </w:r>
          </w:p>
        </w:tc>
      </w:tr>
      <w:tr w:rsidR="00276B9C" w:rsidRPr="002F1F0F" w:rsidTr="000B0616">
        <w:trPr>
          <w:jc w:val="center"/>
        </w:trPr>
        <w:tc>
          <w:tcPr>
            <w:tcW w:w="2834" w:type="dxa"/>
            <w:vMerge w:val="restart"/>
            <w:tcBorders>
              <w:top w:val="single" w:sz="4" w:space="0" w:color="auto"/>
              <w:left w:val="single" w:sz="4" w:space="0" w:color="auto"/>
              <w:bottom w:val="single" w:sz="4" w:space="0" w:color="auto"/>
              <w:right w:val="single" w:sz="4" w:space="0" w:color="auto"/>
            </w:tcBorders>
          </w:tcPr>
          <w:p w:rsidR="00276B9C" w:rsidRPr="002F1F0F" w:rsidRDefault="00276B9C" w:rsidP="001E7D79">
            <w:pPr>
              <w:jc w:val="center"/>
              <w:rPr>
                <w:rFonts w:eastAsia="Times New Roman"/>
                <w:sz w:val="18"/>
                <w:szCs w:val="18"/>
                <w:lang w:eastAsia="es-MX"/>
              </w:rPr>
            </w:pPr>
          </w:p>
        </w:tc>
        <w:tc>
          <w:tcPr>
            <w:tcW w:w="1520" w:type="dxa"/>
            <w:gridSpan w:val="3"/>
            <w:vMerge w:val="restart"/>
            <w:tcBorders>
              <w:top w:val="single" w:sz="4" w:space="0" w:color="auto"/>
              <w:left w:val="single" w:sz="4" w:space="0" w:color="auto"/>
              <w:bottom w:val="single" w:sz="4" w:space="0" w:color="auto"/>
              <w:right w:val="single" w:sz="4" w:space="0" w:color="auto"/>
            </w:tcBorders>
            <w:vAlign w:val="center"/>
          </w:tcPr>
          <w:p w:rsidR="00276B9C" w:rsidRPr="002F1F0F" w:rsidRDefault="00276B9C" w:rsidP="001E7D79">
            <w:pPr>
              <w:jc w:val="center"/>
              <w:rPr>
                <w:rFonts w:eastAsia="Times New Roman"/>
                <w:sz w:val="18"/>
                <w:szCs w:val="18"/>
                <w:lang w:eastAsia="es-MX"/>
              </w:rPr>
            </w:pPr>
            <w:r w:rsidRPr="002F1F0F">
              <w:rPr>
                <w:rFonts w:eastAsia="Times New Roman"/>
                <w:b/>
                <w:bCs/>
                <w:sz w:val="18"/>
                <w:szCs w:val="18"/>
                <w:lang w:eastAsia="es-MX"/>
              </w:rPr>
              <w:t>Participación</w:t>
            </w:r>
          </w:p>
        </w:tc>
        <w:tc>
          <w:tcPr>
            <w:tcW w:w="4718" w:type="dxa"/>
            <w:gridSpan w:val="6"/>
            <w:tcBorders>
              <w:top w:val="single" w:sz="4" w:space="0" w:color="auto"/>
              <w:left w:val="single" w:sz="4" w:space="0" w:color="auto"/>
              <w:bottom w:val="single" w:sz="4" w:space="0" w:color="auto"/>
              <w:right w:val="single" w:sz="4" w:space="0" w:color="auto"/>
            </w:tcBorders>
          </w:tcPr>
          <w:p w:rsidR="00276B9C" w:rsidRPr="002F1F0F" w:rsidRDefault="00276B9C" w:rsidP="001E7D79">
            <w:pPr>
              <w:jc w:val="center"/>
              <w:rPr>
                <w:rFonts w:eastAsia="Times New Roman"/>
                <w:b/>
                <w:bCs/>
                <w:sz w:val="18"/>
                <w:szCs w:val="18"/>
                <w:lang w:eastAsia="es-MX"/>
              </w:rPr>
            </w:pPr>
            <w:r w:rsidRPr="002F1F0F">
              <w:rPr>
                <w:rFonts w:eastAsia="Times New Roman"/>
                <w:b/>
                <w:bCs/>
                <w:sz w:val="18"/>
                <w:szCs w:val="18"/>
                <w:lang w:eastAsia="es-MX"/>
              </w:rPr>
              <w:t>Variación Anual</w:t>
            </w:r>
          </w:p>
        </w:tc>
      </w:tr>
      <w:tr w:rsidR="00276B9C" w:rsidRPr="002F1F0F" w:rsidTr="000B0616">
        <w:trPr>
          <w:jc w:val="center"/>
        </w:trPr>
        <w:tc>
          <w:tcPr>
            <w:tcW w:w="2834" w:type="dxa"/>
            <w:vMerge/>
            <w:tcBorders>
              <w:top w:val="single" w:sz="4" w:space="0" w:color="auto"/>
              <w:left w:val="single" w:sz="4" w:space="0" w:color="auto"/>
              <w:bottom w:val="single" w:sz="4" w:space="0" w:color="auto"/>
              <w:right w:val="single" w:sz="4" w:space="0" w:color="auto"/>
            </w:tcBorders>
          </w:tcPr>
          <w:p w:rsidR="00276B9C" w:rsidRPr="002F1F0F" w:rsidRDefault="00276B9C" w:rsidP="001E7D79">
            <w:pPr>
              <w:jc w:val="center"/>
              <w:rPr>
                <w:rFonts w:eastAsia="Times New Roman"/>
                <w:sz w:val="18"/>
                <w:szCs w:val="18"/>
                <w:lang w:eastAsia="es-MX"/>
              </w:rPr>
            </w:pPr>
          </w:p>
        </w:tc>
        <w:tc>
          <w:tcPr>
            <w:tcW w:w="1520" w:type="dxa"/>
            <w:gridSpan w:val="3"/>
            <w:vMerge/>
            <w:tcBorders>
              <w:top w:val="single" w:sz="4" w:space="0" w:color="auto"/>
              <w:left w:val="single" w:sz="4" w:space="0" w:color="auto"/>
              <w:bottom w:val="single" w:sz="4" w:space="0" w:color="auto"/>
              <w:right w:val="single" w:sz="4" w:space="0" w:color="auto"/>
            </w:tcBorders>
          </w:tcPr>
          <w:p w:rsidR="00276B9C" w:rsidRPr="002F1F0F" w:rsidRDefault="00276B9C" w:rsidP="001E7D79">
            <w:pPr>
              <w:jc w:val="center"/>
              <w:rPr>
                <w:rFonts w:eastAsia="Times New Roman"/>
                <w:b/>
                <w:sz w:val="18"/>
                <w:szCs w:val="18"/>
                <w:lang w:eastAsia="es-MX"/>
              </w:rPr>
            </w:pPr>
          </w:p>
        </w:tc>
        <w:tc>
          <w:tcPr>
            <w:tcW w:w="891" w:type="dxa"/>
            <w:vMerge w:val="restart"/>
            <w:tcBorders>
              <w:top w:val="single" w:sz="4" w:space="0" w:color="auto"/>
              <w:left w:val="single" w:sz="4" w:space="0" w:color="auto"/>
              <w:bottom w:val="single" w:sz="4" w:space="0" w:color="auto"/>
              <w:right w:val="single" w:sz="4" w:space="0" w:color="auto"/>
            </w:tcBorders>
            <w:vAlign w:val="center"/>
          </w:tcPr>
          <w:p w:rsidR="00276B9C" w:rsidRPr="002F1F0F" w:rsidRDefault="00276B9C" w:rsidP="001E7D79">
            <w:pPr>
              <w:ind w:left="-57" w:right="-57"/>
              <w:jc w:val="center"/>
              <w:rPr>
                <w:rFonts w:eastAsia="Times New Roman"/>
                <w:b/>
                <w:sz w:val="18"/>
                <w:szCs w:val="18"/>
                <w:lang w:eastAsia="es-MX"/>
              </w:rPr>
            </w:pPr>
            <w:r w:rsidRPr="002F1F0F">
              <w:rPr>
                <w:rFonts w:eastAsia="Times New Roman"/>
                <w:b/>
                <w:bCs/>
                <w:sz w:val="18"/>
                <w:szCs w:val="18"/>
                <w:lang w:val="en-US" w:eastAsia="es-MX"/>
              </w:rPr>
              <w:t>2013</w:t>
            </w:r>
          </w:p>
        </w:tc>
        <w:tc>
          <w:tcPr>
            <w:tcW w:w="3827" w:type="dxa"/>
            <w:gridSpan w:val="5"/>
            <w:tcBorders>
              <w:top w:val="single" w:sz="4" w:space="0" w:color="auto"/>
              <w:left w:val="single" w:sz="4" w:space="0" w:color="auto"/>
              <w:bottom w:val="single" w:sz="4" w:space="0" w:color="auto"/>
              <w:right w:val="single" w:sz="4" w:space="0" w:color="auto"/>
            </w:tcBorders>
          </w:tcPr>
          <w:p w:rsidR="00276B9C" w:rsidRPr="002F1F0F" w:rsidRDefault="00276B9C" w:rsidP="001E7D79">
            <w:pPr>
              <w:jc w:val="center"/>
              <w:rPr>
                <w:rFonts w:eastAsia="Times New Roman"/>
                <w:b/>
                <w:sz w:val="18"/>
                <w:szCs w:val="18"/>
                <w:lang w:eastAsia="es-MX"/>
              </w:rPr>
            </w:pPr>
            <w:r w:rsidRPr="002F1F0F">
              <w:rPr>
                <w:rFonts w:eastAsia="Times New Roman"/>
                <w:b/>
                <w:sz w:val="18"/>
                <w:szCs w:val="18"/>
                <w:lang w:eastAsia="es-MX"/>
              </w:rPr>
              <w:t>2014</w:t>
            </w:r>
          </w:p>
        </w:tc>
      </w:tr>
      <w:tr w:rsidR="00276B9C" w:rsidRPr="002F1F0F" w:rsidTr="000B0616">
        <w:trPr>
          <w:jc w:val="center"/>
        </w:trPr>
        <w:tc>
          <w:tcPr>
            <w:tcW w:w="2834" w:type="dxa"/>
            <w:vMerge/>
            <w:tcBorders>
              <w:top w:val="single" w:sz="4" w:space="0" w:color="auto"/>
              <w:left w:val="single" w:sz="4" w:space="0" w:color="auto"/>
              <w:bottom w:val="single" w:sz="4" w:space="0" w:color="auto"/>
              <w:right w:val="single" w:sz="4" w:space="0" w:color="auto"/>
            </w:tcBorders>
          </w:tcPr>
          <w:p w:rsidR="00276B9C" w:rsidRPr="002F1F0F" w:rsidRDefault="00276B9C" w:rsidP="001E7D79">
            <w:pPr>
              <w:jc w:val="center"/>
              <w:rPr>
                <w:rFonts w:eastAsia="Times New Roman"/>
                <w:sz w:val="18"/>
                <w:szCs w:val="18"/>
                <w:lang w:eastAsia="es-MX"/>
              </w:rPr>
            </w:pPr>
          </w:p>
        </w:tc>
        <w:tc>
          <w:tcPr>
            <w:tcW w:w="738" w:type="dxa"/>
            <w:tcBorders>
              <w:top w:val="single" w:sz="4" w:space="0" w:color="auto"/>
              <w:left w:val="single" w:sz="4" w:space="0" w:color="auto"/>
              <w:bottom w:val="single" w:sz="4" w:space="0" w:color="auto"/>
              <w:right w:val="single" w:sz="4" w:space="0" w:color="auto"/>
            </w:tcBorders>
          </w:tcPr>
          <w:p w:rsidR="00276B9C" w:rsidRPr="002F1F0F" w:rsidRDefault="00276B9C" w:rsidP="001E7D79">
            <w:pPr>
              <w:jc w:val="center"/>
              <w:rPr>
                <w:rFonts w:eastAsia="Times New Roman"/>
                <w:b/>
                <w:sz w:val="18"/>
                <w:szCs w:val="18"/>
                <w:lang w:eastAsia="es-MX"/>
              </w:rPr>
            </w:pPr>
            <w:r w:rsidRPr="002F1F0F">
              <w:rPr>
                <w:rFonts w:eastAsia="Times New Roman"/>
                <w:b/>
                <w:sz w:val="18"/>
                <w:szCs w:val="18"/>
                <w:lang w:eastAsia="es-MX"/>
              </w:rPr>
              <w:t>2013</w:t>
            </w:r>
          </w:p>
        </w:tc>
        <w:tc>
          <w:tcPr>
            <w:tcW w:w="782" w:type="dxa"/>
            <w:gridSpan w:val="2"/>
            <w:tcBorders>
              <w:top w:val="single" w:sz="4" w:space="0" w:color="auto"/>
              <w:left w:val="single" w:sz="4" w:space="0" w:color="auto"/>
              <w:bottom w:val="single" w:sz="4" w:space="0" w:color="auto"/>
              <w:right w:val="single" w:sz="4" w:space="0" w:color="auto"/>
            </w:tcBorders>
          </w:tcPr>
          <w:p w:rsidR="00276B9C" w:rsidRPr="002F1F0F" w:rsidRDefault="00276B9C" w:rsidP="001E7D79">
            <w:pPr>
              <w:jc w:val="center"/>
              <w:rPr>
                <w:rFonts w:eastAsia="Times New Roman"/>
                <w:b/>
                <w:sz w:val="18"/>
                <w:szCs w:val="18"/>
                <w:lang w:eastAsia="es-MX"/>
              </w:rPr>
            </w:pPr>
            <w:r w:rsidRPr="002F1F0F">
              <w:rPr>
                <w:rFonts w:eastAsia="Times New Roman"/>
                <w:b/>
                <w:sz w:val="18"/>
                <w:szCs w:val="18"/>
                <w:lang w:eastAsia="es-MX"/>
              </w:rPr>
              <w:t>2014</w:t>
            </w:r>
          </w:p>
        </w:tc>
        <w:tc>
          <w:tcPr>
            <w:tcW w:w="891" w:type="dxa"/>
            <w:vMerge/>
            <w:tcBorders>
              <w:top w:val="single" w:sz="4" w:space="0" w:color="auto"/>
              <w:left w:val="single" w:sz="4" w:space="0" w:color="auto"/>
              <w:bottom w:val="single" w:sz="4" w:space="0" w:color="auto"/>
              <w:right w:val="single" w:sz="4" w:space="0" w:color="auto"/>
            </w:tcBorders>
          </w:tcPr>
          <w:p w:rsidR="00276B9C" w:rsidRPr="002F1F0F" w:rsidRDefault="00276B9C" w:rsidP="001E7D79">
            <w:pPr>
              <w:ind w:left="-57" w:right="-57"/>
              <w:jc w:val="center"/>
              <w:rPr>
                <w:rFonts w:eastAsia="Times New Roman"/>
                <w:sz w:val="18"/>
                <w:szCs w:val="18"/>
                <w:lang w:val="en-US" w:eastAsia="es-MX"/>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76B9C" w:rsidRPr="002F1F0F" w:rsidRDefault="00276B9C" w:rsidP="001E7D79">
            <w:pPr>
              <w:ind w:left="-57" w:right="-57"/>
              <w:jc w:val="center"/>
              <w:rPr>
                <w:rFonts w:eastAsia="Times New Roman"/>
                <w:sz w:val="18"/>
                <w:szCs w:val="18"/>
                <w:lang w:val="en-US" w:eastAsia="es-MX"/>
              </w:rPr>
            </w:pPr>
            <w:r w:rsidRPr="002F1F0F">
              <w:rPr>
                <w:rFonts w:eastAsia="Times New Roman"/>
                <w:b/>
                <w:bCs/>
                <w:sz w:val="18"/>
                <w:szCs w:val="18"/>
                <w:lang w:val="en-US" w:eastAsia="es-MX"/>
              </w:rPr>
              <w:t>I Trim</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76B9C" w:rsidRPr="002F1F0F" w:rsidRDefault="00276B9C" w:rsidP="001E7D79">
            <w:pPr>
              <w:ind w:left="-57" w:right="-57"/>
              <w:jc w:val="center"/>
              <w:rPr>
                <w:rFonts w:eastAsia="Times New Roman"/>
                <w:b/>
                <w:sz w:val="18"/>
                <w:szCs w:val="18"/>
                <w:lang w:val="en-US" w:eastAsia="es-MX"/>
              </w:rPr>
            </w:pPr>
            <w:r w:rsidRPr="002F1F0F">
              <w:rPr>
                <w:rFonts w:eastAsia="Times New Roman"/>
                <w:b/>
                <w:sz w:val="18"/>
                <w:szCs w:val="18"/>
                <w:lang w:val="en-US" w:eastAsia="es-MX"/>
              </w:rPr>
              <w:t>II Trim</w:t>
            </w:r>
          </w:p>
        </w:tc>
        <w:tc>
          <w:tcPr>
            <w:tcW w:w="850" w:type="dxa"/>
            <w:tcBorders>
              <w:top w:val="single" w:sz="4" w:space="0" w:color="auto"/>
              <w:left w:val="single" w:sz="4" w:space="0" w:color="auto"/>
              <w:bottom w:val="single" w:sz="4" w:space="0" w:color="auto"/>
              <w:right w:val="single" w:sz="4" w:space="0" w:color="auto"/>
            </w:tcBorders>
          </w:tcPr>
          <w:p w:rsidR="00276B9C" w:rsidRPr="002F1F0F" w:rsidRDefault="00276B9C" w:rsidP="001E7D79">
            <w:pPr>
              <w:ind w:left="-57" w:right="-57"/>
              <w:jc w:val="center"/>
              <w:rPr>
                <w:rFonts w:eastAsia="Times New Roman"/>
                <w:b/>
                <w:sz w:val="18"/>
                <w:szCs w:val="18"/>
                <w:lang w:val="en-US" w:eastAsia="es-MX"/>
              </w:rPr>
            </w:pPr>
            <w:r w:rsidRPr="002F1F0F">
              <w:rPr>
                <w:rFonts w:eastAsia="Times New Roman"/>
                <w:b/>
                <w:sz w:val="18"/>
                <w:szCs w:val="18"/>
                <w:lang w:val="en-US" w:eastAsia="es-MX"/>
              </w:rPr>
              <w:t>III Trim</w:t>
            </w:r>
          </w:p>
        </w:tc>
        <w:tc>
          <w:tcPr>
            <w:tcW w:w="851" w:type="dxa"/>
            <w:tcBorders>
              <w:top w:val="single" w:sz="4" w:space="0" w:color="auto"/>
              <w:left w:val="single" w:sz="4" w:space="0" w:color="auto"/>
              <w:bottom w:val="single" w:sz="4" w:space="0" w:color="auto"/>
              <w:right w:val="single" w:sz="4" w:space="0" w:color="auto"/>
            </w:tcBorders>
          </w:tcPr>
          <w:p w:rsidR="00276B9C" w:rsidRPr="002F1F0F" w:rsidRDefault="00276B9C" w:rsidP="001E7D79">
            <w:pPr>
              <w:ind w:left="-57" w:right="-57"/>
              <w:jc w:val="center"/>
              <w:rPr>
                <w:rFonts w:eastAsia="Times New Roman"/>
                <w:b/>
                <w:sz w:val="18"/>
                <w:szCs w:val="18"/>
                <w:lang w:val="en-US" w:eastAsia="es-MX"/>
              </w:rPr>
            </w:pPr>
            <w:r w:rsidRPr="002F1F0F">
              <w:rPr>
                <w:rFonts w:eastAsia="Times New Roman"/>
                <w:b/>
                <w:sz w:val="18"/>
                <w:szCs w:val="18"/>
                <w:lang w:val="en-US" w:eastAsia="es-MX"/>
              </w:rPr>
              <w:t>IV Trim</w:t>
            </w:r>
          </w:p>
        </w:tc>
        <w:tc>
          <w:tcPr>
            <w:tcW w:w="708" w:type="dxa"/>
            <w:tcBorders>
              <w:top w:val="single" w:sz="4" w:space="0" w:color="auto"/>
              <w:left w:val="single" w:sz="4" w:space="0" w:color="auto"/>
              <w:bottom w:val="single" w:sz="4" w:space="0" w:color="auto"/>
              <w:right w:val="single" w:sz="4" w:space="0" w:color="auto"/>
            </w:tcBorders>
          </w:tcPr>
          <w:p w:rsidR="00276B9C" w:rsidRPr="002F1F0F" w:rsidRDefault="00276B9C" w:rsidP="001E7D79">
            <w:pPr>
              <w:ind w:left="-57" w:right="-57"/>
              <w:jc w:val="center"/>
              <w:rPr>
                <w:rFonts w:eastAsia="Times New Roman"/>
                <w:b/>
                <w:sz w:val="18"/>
                <w:szCs w:val="18"/>
                <w:lang w:val="en-US" w:eastAsia="es-MX"/>
              </w:rPr>
            </w:pPr>
            <w:proofErr w:type="spellStart"/>
            <w:r w:rsidRPr="002F1F0F">
              <w:rPr>
                <w:rFonts w:eastAsia="Times New Roman"/>
                <w:b/>
                <w:sz w:val="18"/>
                <w:szCs w:val="18"/>
                <w:lang w:val="en-US" w:eastAsia="es-MX"/>
              </w:rPr>
              <w:t>Anual</w:t>
            </w:r>
            <w:proofErr w:type="spellEnd"/>
          </w:p>
        </w:tc>
      </w:tr>
      <w:tr w:rsidR="00276B9C" w:rsidRPr="002F1F0F" w:rsidTr="000B0616">
        <w:trPr>
          <w:jc w:val="center"/>
        </w:trPr>
        <w:tc>
          <w:tcPr>
            <w:tcW w:w="2834" w:type="dxa"/>
            <w:tcBorders>
              <w:top w:val="single" w:sz="4" w:space="0" w:color="auto"/>
              <w:left w:val="single" w:sz="4" w:space="0" w:color="auto"/>
              <w:bottom w:val="nil"/>
              <w:right w:val="single" w:sz="4" w:space="0" w:color="auto"/>
            </w:tcBorders>
          </w:tcPr>
          <w:p w:rsidR="00276B9C" w:rsidRPr="002F1F0F" w:rsidRDefault="00276B9C" w:rsidP="001E7D79">
            <w:pPr>
              <w:jc w:val="both"/>
              <w:rPr>
                <w:rFonts w:eastAsia="Times New Roman"/>
                <w:sz w:val="18"/>
                <w:szCs w:val="18"/>
                <w:lang w:eastAsia="es-MX"/>
              </w:rPr>
            </w:pPr>
            <w:r w:rsidRPr="002F1F0F">
              <w:rPr>
                <w:rFonts w:eastAsia="Times New Roman"/>
                <w:b/>
                <w:bCs/>
                <w:sz w:val="18"/>
                <w:szCs w:val="18"/>
                <w:lang w:eastAsia="es-MX"/>
              </w:rPr>
              <w:t>Total</w:t>
            </w:r>
          </w:p>
        </w:tc>
        <w:tc>
          <w:tcPr>
            <w:tcW w:w="738" w:type="dxa"/>
            <w:tcBorders>
              <w:top w:val="single" w:sz="4" w:space="0" w:color="auto"/>
              <w:left w:val="single" w:sz="4" w:space="0" w:color="auto"/>
              <w:bottom w:val="nil"/>
              <w:right w:val="single" w:sz="4" w:space="0" w:color="auto"/>
            </w:tcBorders>
          </w:tcPr>
          <w:p w:rsidR="00276B9C" w:rsidRPr="002F1F0F" w:rsidRDefault="00276B9C" w:rsidP="001E7D79">
            <w:pPr>
              <w:ind w:left="-57" w:right="57"/>
              <w:jc w:val="right"/>
              <w:rPr>
                <w:rFonts w:eastAsia="Times New Roman"/>
                <w:b/>
                <w:sz w:val="18"/>
                <w:szCs w:val="18"/>
                <w:lang w:eastAsia="es-MX"/>
              </w:rPr>
            </w:pPr>
            <w:r w:rsidRPr="002F1F0F">
              <w:rPr>
                <w:rFonts w:eastAsia="Times New Roman"/>
                <w:b/>
                <w:sz w:val="18"/>
                <w:szCs w:val="18"/>
                <w:lang w:eastAsia="es-MX"/>
              </w:rPr>
              <w:t>100.00</w:t>
            </w:r>
          </w:p>
        </w:tc>
        <w:tc>
          <w:tcPr>
            <w:tcW w:w="774" w:type="dxa"/>
            <w:tcBorders>
              <w:top w:val="single" w:sz="4" w:space="0" w:color="auto"/>
              <w:left w:val="single" w:sz="4" w:space="0" w:color="auto"/>
              <w:bottom w:val="nil"/>
              <w:right w:val="single" w:sz="4" w:space="0" w:color="auto"/>
            </w:tcBorders>
          </w:tcPr>
          <w:p w:rsidR="00276B9C" w:rsidRPr="002F1F0F" w:rsidRDefault="00276B9C" w:rsidP="001E7D79">
            <w:pPr>
              <w:ind w:left="-57" w:right="57"/>
              <w:jc w:val="right"/>
              <w:rPr>
                <w:rFonts w:eastAsia="Times New Roman"/>
                <w:b/>
                <w:sz w:val="18"/>
                <w:szCs w:val="18"/>
                <w:lang w:eastAsia="es-MX"/>
              </w:rPr>
            </w:pPr>
            <w:r w:rsidRPr="002F1F0F">
              <w:rPr>
                <w:rFonts w:eastAsia="Times New Roman"/>
                <w:b/>
                <w:sz w:val="18"/>
                <w:szCs w:val="18"/>
                <w:lang w:eastAsia="es-MX"/>
              </w:rPr>
              <w:t>100.00</w:t>
            </w:r>
          </w:p>
        </w:tc>
        <w:tc>
          <w:tcPr>
            <w:tcW w:w="904" w:type="dxa"/>
            <w:gridSpan w:val="2"/>
            <w:tcBorders>
              <w:top w:val="single" w:sz="4" w:space="0" w:color="auto"/>
              <w:left w:val="single" w:sz="4" w:space="0" w:color="auto"/>
              <w:bottom w:val="nil"/>
              <w:right w:val="single" w:sz="4" w:space="0" w:color="auto"/>
            </w:tcBorders>
          </w:tcPr>
          <w:p w:rsidR="00276B9C" w:rsidRPr="002F1F0F" w:rsidRDefault="00276B9C" w:rsidP="000B0616">
            <w:pPr>
              <w:ind w:right="227"/>
              <w:jc w:val="right"/>
              <w:rPr>
                <w:rFonts w:eastAsia="Times New Roman"/>
                <w:b/>
                <w:sz w:val="18"/>
                <w:szCs w:val="18"/>
                <w:lang w:eastAsia="es-MX"/>
              </w:rPr>
            </w:pPr>
            <w:r w:rsidRPr="002F1F0F">
              <w:rPr>
                <w:rFonts w:eastAsia="Times New Roman"/>
                <w:b/>
                <w:sz w:val="18"/>
                <w:szCs w:val="18"/>
                <w:lang w:eastAsia="es-MX"/>
              </w:rPr>
              <w:t>4.0</w:t>
            </w:r>
          </w:p>
        </w:tc>
        <w:tc>
          <w:tcPr>
            <w:tcW w:w="704" w:type="dxa"/>
            <w:tcBorders>
              <w:top w:val="single" w:sz="4" w:space="0" w:color="auto"/>
              <w:left w:val="single" w:sz="4" w:space="0" w:color="auto"/>
              <w:bottom w:val="nil"/>
              <w:right w:val="single" w:sz="4" w:space="0" w:color="auto"/>
            </w:tcBorders>
          </w:tcPr>
          <w:p w:rsidR="00276B9C" w:rsidRPr="002F1F0F" w:rsidRDefault="00276B9C" w:rsidP="001E7D79">
            <w:pPr>
              <w:ind w:right="170"/>
              <w:jc w:val="right"/>
              <w:rPr>
                <w:rFonts w:eastAsia="Times New Roman"/>
                <w:b/>
                <w:sz w:val="18"/>
                <w:szCs w:val="18"/>
                <w:lang w:eastAsia="es-MX"/>
              </w:rPr>
            </w:pPr>
            <w:r w:rsidRPr="002F1F0F">
              <w:rPr>
                <w:rFonts w:eastAsia="Times New Roman"/>
                <w:b/>
                <w:sz w:val="18"/>
                <w:szCs w:val="18"/>
                <w:lang w:eastAsia="es-MX"/>
              </w:rPr>
              <w:t>5.1</w:t>
            </w:r>
          </w:p>
        </w:tc>
        <w:tc>
          <w:tcPr>
            <w:tcW w:w="709" w:type="dxa"/>
            <w:tcBorders>
              <w:top w:val="single" w:sz="4" w:space="0" w:color="auto"/>
              <w:left w:val="single" w:sz="4" w:space="0" w:color="auto"/>
              <w:bottom w:val="nil"/>
              <w:right w:val="single" w:sz="4" w:space="0" w:color="auto"/>
            </w:tcBorders>
          </w:tcPr>
          <w:p w:rsidR="00276B9C" w:rsidRPr="002F1F0F" w:rsidRDefault="00276B9C" w:rsidP="001E7D79">
            <w:pPr>
              <w:ind w:right="113"/>
              <w:jc w:val="right"/>
              <w:rPr>
                <w:rFonts w:eastAsia="Times New Roman"/>
                <w:b/>
                <w:sz w:val="18"/>
                <w:szCs w:val="18"/>
                <w:lang w:eastAsia="es-MX"/>
              </w:rPr>
            </w:pPr>
            <w:r w:rsidRPr="002F1F0F">
              <w:rPr>
                <w:rFonts w:eastAsia="Times New Roman"/>
                <w:b/>
                <w:sz w:val="18"/>
                <w:szCs w:val="18"/>
                <w:lang w:eastAsia="es-MX"/>
              </w:rPr>
              <w:t>6.6</w:t>
            </w:r>
          </w:p>
        </w:tc>
        <w:tc>
          <w:tcPr>
            <w:tcW w:w="850" w:type="dxa"/>
            <w:tcBorders>
              <w:top w:val="single" w:sz="4" w:space="0" w:color="auto"/>
              <w:left w:val="single" w:sz="4" w:space="0" w:color="auto"/>
              <w:bottom w:val="nil"/>
              <w:right w:val="single" w:sz="4" w:space="0" w:color="auto"/>
            </w:tcBorders>
          </w:tcPr>
          <w:p w:rsidR="00276B9C" w:rsidRPr="002F1F0F" w:rsidRDefault="00276B9C" w:rsidP="001E7D79">
            <w:pPr>
              <w:ind w:right="227"/>
              <w:jc w:val="right"/>
              <w:rPr>
                <w:rFonts w:eastAsia="Times New Roman"/>
                <w:b/>
                <w:sz w:val="18"/>
                <w:szCs w:val="18"/>
                <w:lang w:eastAsia="es-MX"/>
              </w:rPr>
            </w:pPr>
            <w:r w:rsidRPr="002F1F0F">
              <w:rPr>
                <w:rFonts w:eastAsia="Times New Roman"/>
                <w:b/>
                <w:sz w:val="18"/>
                <w:szCs w:val="18"/>
                <w:lang w:eastAsia="es-MX"/>
              </w:rPr>
              <w:t>7.8</w:t>
            </w:r>
          </w:p>
        </w:tc>
        <w:tc>
          <w:tcPr>
            <w:tcW w:w="851" w:type="dxa"/>
            <w:tcBorders>
              <w:top w:val="single" w:sz="4" w:space="0" w:color="auto"/>
              <w:left w:val="single" w:sz="4" w:space="0" w:color="auto"/>
              <w:bottom w:val="nil"/>
              <w:right w:val="single" w:sz="4" w:space="0" w:color="auto"/>
            </w:tcBorders>
          </w:tcPr>
          <w:p w:rsidR="00276B9C" w:rsidRPr="002F1F0F" w:rsidRDefault="00276B9C" w:rsidP="001E7D79">
            <w:pPr>
              <w:ind w:right="170"/>
              <w:jc w:val="right"/>
              <w:rPr>
                <w:rFonts w:eastAsia="Times New Roman"/>
                <w:b/>
                <w:sz w:val="18"/>
                <w:szCs w:val="18"/>
                <w:lang w:eastAsia="es-MX"/>
              </w:rPr>
            </w:pPr>
            <w:r w:rsidRPr="002F1F0F">
              <w:rPr>
                <w:rFonts w:eastAsia="Times New Roman"/>
                <w:b/>
                <w:sz w:val="18"/>
                <w:szCs w:val="18"/>
                <w:lang w:eastAsia="es-MX"/>
              </w:rPr>
              <w:t>9.3</w:t>
            </w:r>
          </w:p>
        </w:tc>
        <w:tc>
          <w:tcPr>
            <w:tcW w:w="708" w:type="dxa"/>
            <w:tcBorders>
              <w:top w:val="single" w:sz="4" w:space="0" w:color="auto"/>
              <w:left w:val="single" w:sz="4" w:space="0" w:color="auto"/>
              <w:bottom w:val="nil"/>
              <w:right w:val="single" w:sz="4" w:space="0" w:color="auto"/>
            </w:tcBorders>
          </w:tcPr>
          <w:p w:rsidR="00276B9C" w:rsidRPr="002F1F0F" w:rsidRDefault="00276B9C" w:rsidP="001E7D79">
            <w:pPr>
              <w:ind w:right="170"/>
              <w:jc w:val="right"/>
              <w:rPr>
                <w:rFonts w:eastAsia="Times New Roman"/>
                <w:b/>
                <w:sz w:val="18"/>
                <w:szCs w:val="18"/>
                <w:lang w:eastAsia="es-MX"/>
              </w:rPr>
            </w:pPr>
            <w:r w:rsidRPr="002F1F0F">
              <w:rPr>
                <w:rFonts w:eastAsia="Times New Roman"/>
                <w:b/>
                <w:sz w:val="18"/>
                <w:szCs w:val="18"/>
                <w:lang w:eastAsia="es-MX"/>
              </w:rPr>
              <w:t>7.3</w:t>
            </w:r>
          </w:p>
        </w:tc>
      </w:tr>
      <w:tr w:rsidR="00276B9C" w:rsidRPr="002F1F0F" w:rsidTr="000B0616">
        <w:trPr>
          <w:jc w:val="center"/>
        </w:trPr>
        <w:tc>
          <w:tcPr>
            <w:tcW w:w="2834" w:type="dxa"/>
            <w:tcBorders>
              <w:top w:val="nil"/>
              <w:left w:val="single" w:sz="4" w:space="0" w:color="auto"/>
              <w:bottom w:val="nil"/>
              <w:right w:val="single" w:sz="4" w:space="0" w:color="auto"/>
            </w:tcBorders>
          </w:tcPr>
          <w:p w:rsidR="00276B9C" w:rsidRPr="002F1F0F" w:rsidRDefault="00276B9C" w:rsidP="001E7D79">
            <w:pPr>
              <w:tabs>
                <w:tab w:val="left" w:pos="1756"/>
              </w:tabs>
              <w:jc w:val="both"/>
              <w:rPr>
                <w:rFonts w:eastAsia="Times New Roman"/>
                <w:sz w:val="18"/>
                <w:szCs w:val="18"/>
                <w:lang w:eastAsia="es-MX"/>
              </w:rPr>
            </w:pPr>
            <w:r w:rsidRPr="002F1F0F">
              <w:rPr>
                <w:rFonts w:eastAsia="Times New Roman"/>
                <w:b/>
                <w:bCs/>
                <w:sz w:val="18"/>
                <w:szCs w:val="18"/>
                <w:lang w:eastAsia="es-MX"/>
              </w:rPr>
              <w:t>Estados Unidos de Norteamérica</w:t>
            </w:r>
          </w:p>
        </w:tc>
        <w:tc>
          <w:tcPr>
            <w:tcW w:w="738" w:type="dxa"/>
            <w:tcBorders>
              <w:top w:val="nil"/>
              <w:left w:val="single" w:sz="4" w:space="0" w:color="auto"/>
              <w:bottom w:val="nil"/>
              <w:right w:val="single" w:sz="4" w:space="0" w:color="auto"/>
            </w:tcBorders>
          </w:tcPr>
          <w:p w:rsidR="00276B9C" w:rsidRPr="002F1F0F" w:rsidRDefault="00276B9C" w:rsidP="001E7D79">
            <w:pPr>
              <w:ind w:left="-57" w:right="57"/>
              <w:jc w:val="right"/>
              <w:rPr>
                <w:rFonts w:eastAsia="Times New Roman"/>
                <w:b/>
                <w:sz w:val="18"/>
                <w:szCs w:val="18"/>
                <w:lang w:eastAsia="es-MX"/>
              </w:rPr>
            </w:pPr>
            <w:r w:rsidRPr="002F1F0F">
              <w:rPr>
                <w:rFonts w:eastAsia="Times New Roman"/>
                <w:b/>
                <w:sz w:val="18"/>
                <w:szCs w:val="18"/>
                <w:lang w:eastAsia="es-MX"/>
              </w:rPr>
              <w:t>79.71</w:t>
            </w:r>
          </w:p>
        </w:tc>
        <w:tc>
          <w:tcPr>
            <w:tcW w:w="774" w:type="dxa"/>
            <w:tcBorders>
              <w:top w:val="nil"/>
              <w:left w:val="single" w:sz="4" w:space="0" w:color="auto"/>
              <w:bottom w:val="nil"/>
              <w:right w:val="single" w:sz="4" w:space="0" w:color="auto"/>
            </w:tcBorders>
          </w:tcPr>
          <w:p w:rsidR="00276B9C" w:rsidRPr="002F1F0F" w:rsidRDefault="00276B9C" w:rsidP="001E7D79">
            <w:pPr>
              <w:ind w:left="-57" w:right="57"/>
              <w:jc w:val="right"/>
              <w:rPr>
                <w:rFonts w:eastAsia="Times New Roman"/>
                <w:b/>
                <w:sz w:val="18"/>
                <w:szCs w:val="18"/>
                <w:lang w:eastAsia="es-MX"/>
              </w:rPr>
            </w:pPr>
            <w:r w:rsidRPr="002F1F0F">
              <w:rPr>
                <w:rFonts w:eastAsia="Times New Roman"/>
                <w:b/>
                <w:sz w:val="18"/>
                <w:szCs w:val="18"/>
                <w:lang w:eastAsia="es-MX"/>
              </w:rPr>
              <w:t>81.26</w:t>
            </w:r>
          </w:p>
        </w:tc>
        <w:tc>
          <w:tcPr>
            <w:tcW w:w="904" w:type="dxa"/>
            <w:gridSpan w:val="2"/>
            <w:tcBorders>
              <w:top w:val="nil"/>
              <w:left w:val="single" w:sz="4" w:space="0" w:color="auto"/>
              <w:bottom w:val="nil"/>
              <w:right w:val="single" w:sz="4" w:space="0" w:color="auto"/>
            </w:tcBorders>
          </w:tcPr>
          <w:p w:rsidR="00276B9C" w:rsidRPr="002F1F0F" w:rsidRDefault="00276B9C" w:rsidP="000B0616">
            <w:pPr>
              <w:ind w:right="227"/>
              <w:jc w:val="right"/>
              <w:rPr>
                <w:rFonts w:eastAsia="Times New Roman"/>
                <w:b/>
                <w:sz w:val="18"/>
                <w:szCs w:val="18"/>
                <w:lang w:eastAsia="es-MX"/>
              </w:rPr>
            </w:pPr>
            <w:r w:rsidRPr="002F1F0F">
              <w:rPr>
                <w:rFonts w:eastAsia="Times New Roman"/>
                <w:b/>
                <w:sz w:val="18"/>
                <w:szCs w:val="18"/>
                <w:lang w:eastAsia="es-MX"/>
              </w:rPr>
              <w:t>6.1</w:t>
            </w:r>
          </w:p>
        </w:tc>
        <w:tc>
          <w:tcPr>
            <w:tcW w:w="704"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b/>
                <w:sz w:val="18"/>
                <w:szCs w:val="18"/>
                <w:lang w:eastAsia="es-MX"/>
              </w:rPr>
            </w:pPr>
            <w:r w:rsidRPr="002F1F0F">
              <w:rPr>
                <w:rFonts w:eastAsia="Times New Roman"/>
                <w:b/>
                <w:sz w:val="18"/>
                <w:szCs w:val="18"/>
                <w:lang w:eastAsia="es-MX"/>
              </w:rPr>
              <w:t>7.6</w:t>
            </w:r>
          </w:p>
        </w:tc>
        <w:tc>
          <w:tcPr>
            <w:tcW w:w="709"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18"/>
                <w:szCs w:val="18"/>
                <w:lang w:eastAsia="es-MX"/>
              </w:rPr>
            </w:pPr>
            <w:r w:rsidRPr="002F1F0F">
              <w:rPr>
                <w:rFonts w:eastAsia="Times New Roman"/>
                <w:b/>
                <w:sz w:val="18"/>
                <w:szCs w:val="18"/>
                <w:lang w:eastAsia="es-MX"/>
              </w:rPr>
              <w:t>8.1</w:t>
            </w:r>
          </w:p>
        </w:tc>
        <w:tc>
          <w:tcPr>
            <w:tcW w:w="850" w:type="dxa"/>
            <w:tcBorders>
              <w:top w:val="nil"/>
              <w:left w:val="single" w:sz="4" w:space="0" w:color="auto"/>
              <w:bottom w:val="nil"/>
              <w:right w:val="single" w:sz="4" w:space="0" w:color="auto"/>
            </w:tcBorders>
          </w:tcPr>
          <w:p w:rsidR="00276B9C" w:rsidRPr="002F1F0F" w:rsidRDefault="00276B9C" w:rsidP="001E7D79">
            <w:pPr>
              <w:ind w:right="227"/>
              <w:jc w:val="right"/>
              <w:rPr>
                <w:rFonts w:eastAsia="Times New Roman"/>
                <w:b/>
                <w:sz w:val="18"/>
                <w:szCs w:val="18"/>
                <w:lang w:eastAsia="es-MX"/>
              </w:rPr>
            </w:pPr>
            <w:r w:rsidRPr="002F1F0F">
              <w:rPr>
                <w:rFonts w:eastAsia="Times New Roman"/>
                <w:b/>
                <w:sz w:val="18"/>
                <w:szCs w:val="18"/>
                <w:lang w:eastAsia="es-MX"/>
              </w:rPr>
              <w:t>10.6</w:t>
            </w:r>
          </w:p>
        </w:tc>
        <w:tc>
          <w:tcPr>
            <w:tcW w:w="851"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b/>
                <w:sz w:val="18"/>
                <w:szCs w:val="18"/>
                <w:lang w:eastAsia="es-MX"/>
              </w:rPr>
            </w:pPr>
            <w:r w:rsidRPr="002F1F0F">
              <w:rPr>
                <w:rFonts w:eastAsia="Times New Roman"/>
                <w:b/>
                <w:sz w:val="18"/>
                <w:szCs w:val="18"/>
                <w:lang w:eastAsia="es-MX"/>
              </w:rPr>
              <w:t>10.9</w:t>
            </w:r>
          </w:p>
        </w:tc>
        <w:tc>
          <w:tcPr>
            <w:tcW w:w="708"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b/>
                <w:sz w:val="18"/>
                <w:szCs w:val="18"/>
                <w:lang w:eastAsia="es-MX"/>
              </w:rPr>
            </w:pPr>
            <w:r w:rsidRPr="002F1F0F">
              <w:rPr>
                <w:rFonts w:eastAsia="Times New Roman"/>
                <w:b/>
                <w:sz w:val="18"/>
                <w:szCs w:val="18"/>
                <w:lang w:eastAsia="es-MX"/>
              </w:rPr>
              <w:t>9.4</w:t>
            </w:r>
          </w:p>
        </w:tc>
      </w:tr>
      <w:tr w:rsidR="00276B9C" w:rsidRPr="002F1F0F" w:rsidTr="000B0616">
        <w:trPr>
          <w:jc w:val="center"/>
        </w:trPr>
        <w:tc>
          <w:tcPr>
            <w:tcW w:w="2834" w:type="dxa"/>
            <w:tcBorders>
              <w:top w:val="nil"/>
              <w:left w:val="single" w:sz="4" w:space="0" w:color="auto"/>
              <w:bottom w:val="nil"/>
              <w:right w:val="single" w:sz="4" w:space="0" w:color="auto"/>
            </w:tcBorders>
          </w:tcPr>
          <w:p w:rsidR="00276B9C" w:rsidRPr="002F1F0F" w:rsidRDefault="00276B9C" w:rsidP="001E7D79">
            <w:pPr>
              <w:jc w:val="both"/>
              <w:rPr>
                <w:rFonts w:eastAsia="Times New Roman"/>
                <w:sz w:val="18"/>
                <w:szCs w:val="18"/>
                <w:lang w:eastAsia="es-MX"/>
              </w:rPr>
            </w:pPr>
            <w:r w:rsidRPr="002F1F0F">
              <w:rPr>
                <w:rFonts w:eastAsia="Times New Roman"/>
                <w:sz w:val="18"/>
                <w:szCs w:val="18"/>
                <w:lang w:eastAsia="es-MX"/>
              </w:rPr>
              <w:t xml:space="preserve">   Automotriz</w:t>
            </w:r>
          </w:p>
        </w:tc>
        <w:tc>
          <w:tcPr>
            <w:tcW w:w="738" w:type="dxa"/>
            <w:tcBorders>
              <w:top w:val="nil"/>
              <w:left w:val="single" w:sz="4" w:space="0" w:color="auto"/>
              <w:bottom w:val="nil"/>
              <w:right w:val="single" w:sz="4" w:space="0" w:color="auto"/>
            </w:tcBorders>
          </w:tcPr>
          <w:p w:rsidR="00276B9C" w:rsidRPr="002F1F0F" w:rsidRDefault="00276B9C" w:rsidP="001E7D79">
            <w:pPr>
              <w:ind w:left="-57" w:right="57"/>
              <w:jc w:val="right"/>
              <w:rPr>
                <w:rFonts w:eastAsia="Times New Roman"/>
                <w:sz w:val="18"/>
                <w:szCs w:val="18"/>
                <w:lang w:eastAsia="es-MX"/>
              </w:rPr>
            </w:pPr>
            <w:r w:rsidRPr="002F1F0F">
              <w:rPr>
                <w:rFonts w:eastAsia="Times New Roman"/>
                <w:sz w:val="18"/>
                <w:szCs w:val="18"/>
                <w:lang w:eastAsia="es-MX"/>
              </w:rPr>
              <w:t>24.45</w:t>
            </w:r>
          </w:p>
        </w:tc>
        <w:tc>
          <w:tcPr>
            <w:tcW w:w="774" w:type="dxa"/>
            <w:tcBorders>
              <w:top w:val="nil"/>
              <w:left w:val="single" w:sz="4" w:space="0" w:color="auto"/>
              <w:bottom w:val="nil"/>
              <w:right w:val="single" w:sz="4" w:space="0" w:color="auto"/>
            </w:tcBorders>
          </w:tcPr>
          <w:p w:rsidR="00276B9C" w:rsidRPr="002F1F0F" w:rsidRDefault="00276B9C" w:rsidP="001E7D79">
            <w:pPr>
              <w:ind w:left="-57" w:right="57"/>
              <w:jc w:val="right"/>
              <w:rPr>
                <w:rFonts w:eastAsia="Times New Roman"/>
                <w:sz w:val="18"/>
                <w:szCs w:val="18"/>
                <w:lang w:eastAsia="es-MX"/>
              </w:rPr>
            </w:pPr>
            <w:r w:rsidRPr="002F1F0F">
              <w:rPr>
                <w:rFonts w:eastAsia="Times New Roman"/>
                <w:sz w:val="18"/>
                <w:szCs w:val="18"/>
                <w:lang w:eastAsia="es-MX"/>
              </w:rPr>
              <w:t>25.90</w:t>
            </w:r>
          </w:p>
        </w:tc>
        <w:tc>
          <w:tcPr>
            <w:tcW w:w="904" w:type="dxa"/>
            <w:gridSpan w:val="2"/>
            <w:tcBorders>
              <w:top w:val="nil"/>
              <w:left w:val="single" w:sz="4" w:space="0" w:color="auto"/>
              <w:bottom w:val="nil"/>
              <w:right w:val="single" w:sz="4" w:space="0" w:color="auto"/>
            </w:tcBorders>
          </w:tcPr>
          <w:p w:rsidR="00276B9C" w:rsidRPr="002F1F0F" w:rsidRDefault="00276B9C" w:rsidP="000B0616">
            <w:pPr>
              <w:ind w:right="227"/>
              <w:jc w:val="right"/>
              <w:rPr>
                <w:rFonts w:eastAsia="Times New Roman"/>
                <w:sz w:val="18"/>
                <w:szCs w:val="18"/>
                <w:lang w:eastAsia="es-MX"/>
              </w:rPr>
            </w:pPr>
            <w:r w:rsidRPr="002F1F0F">
              <w:rPr>
                <w:rFonts w:eastAsia="Times New Roman"/>
                <w:sz w:val="18"/>
                <w:szCs w:val="18"/>
                <w:lang w:eastAsia="es-MX"/>
              </w:rPr>
              <w:t>15.6</w:t>
            </w:r>
          </w:p>
        </w:tc>
        <w:tc>
          <w:tcPr>
            <w:tcW w:w="704"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13.3</w:t>
            </w:r>
          </w:p>
        </w:tc>
        <w:tc>
          <w:tcPr>
            <w:tcW w:w="709"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11.0</w:t>
            </w:r>
          </w:p>
        </w:tc>
        <w:tc>
          <w:tcPr>
            <w:tcW w:w="850" w:type="dxa"/>
            <w:tcBorders>
              <w:top w:val="nil"/>
              <w:left w:val="single" w:sz="4" w:space="0" w:color="auto"/>
              <w:bottom w:val="nil"/>
              <w:right w:val="single" w:sz="4" w:space="0" w:color="auto"/>
            </w:tcBorders>
          </w:tcPr>
          <w:p w:rsidR="00276B9C" w:rsidRPr="002F1F0F" w:rsidRDefault="00276B9C" w:rsidP="001E7D79">
            <w:pPr>
              <w:ind w:right="227"/>
              <w:jc w:val="right"/>
              <w:rPr>
                <w:rFonts w:eastAsia="Times New Roman"/>
                <w:sz w:val="18"/>
                <w:szCs w:val="18"/>
                <w:lang w:eastAsia="es-MX"/>
              </w:rPr>
            </w:pPr>
            <w:r w:rsidRPr="002F1F0F">
              <w:rPr>
                <w:rFonts w:eastAsia="Times New Roman"/>
                <w:sz w:val="18"/>
                <w:szCs w:val="18"/>
                <w:lang w:eastAsia="es-MX"/>
              </w:rPr>
              <w:t>15.7</w:t>
            </w:r>
          </w:p>
        </w:tc>
        <w:tc>
          <w:tcPr>
            <w:tcW w:w="851"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14.4</w:t>
            </w:r>
          </w:p>
        </w:tc>
        <w:tc>
          <w:tcPr>
            <w:tcW w:w="708"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13.6</w:t>
            </w:r>
          </w:p>
        </w:tc>
      </w:tr>
      <w:tr w:rsidR="00276B9C" w:rsidRPr="002F1F0F" w:rsidTr="000B0616">
        <w:trPr>
          <w:jc w:val="center"/>
        </w:trPr>
        <w:tc>
          <w:tcPr>
            <w:tcW w:w="2834" w:type="dxa"/>
            <w:tcBorders>
              <w:top w:val="nil"/>
              <w:left w:val="single" w:sz="4" w:space="0" w:color="auto"/>
              <w:bottom w:val="nil"/>
              <w:right w:val="single" w:sz="4" w:space="0" w:color="auto"/>
            </w:tcBorders>
          </w:tcPr>
          <w:p w:rsidR="00276B9C" w:rsidRPr="002F1F0F" w:rsidRDefault="00276B9C" w:rsidP="001E7D79">
            <w:pPr>
              <w:jc w:val="both"/>
              <w:rPr>
                <w:rFonts w:eastAsia="Times New Roman"/>
                <w:sz w:val="18"/>
                <w:szCs w:val="18"/>
                <w:lang w:eastAsia="es-MX"/>
              </w:rPr>
            </w:pPr>
            <w:r w:rsidRPr="002F1F0F">
              <w:rPr>
                <w:rFonts w:eastAsia="Times New Roman"/>
                <w:sz w:val="18"/>
                <w:szCs w:val="18"/>
                <w:lang w:eastAsia="es-MX"/>
              </w:rPr>
              <w:t xml:space="preserve">   Otras</w:t>
            </w:r>
          </w:p>
        </w:tc>
        <w:tc>
          <w:tcPr>
            <w:tcW w:w="738" w:type="dxa"/>
            <w:tcBorders>
              <w:top w:val="nil"/>
              <w:left w:val="single" w:sz="4" w:space="0" w:color="auto"/>
              <w:bottom w:val="nil"/>
              <w:right w:val="single" w:sz="4" w:space="0" w:color="auto"/>
            </w:tcBorders>
          </w:tcPr>
          <w:p w:rsidR="00276B9C" w:rsidRPr="002F1F0F" w:rsidRDefault="00276B9C" w:rsidP="001E7D79">
            <w:pPr>
              <w:ind w:left="-57" w:right="57"/>
              <w:jc w:val="right"/>
              <w:rPr>
                <w:rFonts w:eastAsia="Times New Roman"/>
                <w:sz w:val="18"/>
                <w:szCs w:val="18"/>
                <w:lang w:eastAsia="es-MX"/>
              </w:rPr>
            </w:pPr>
            <w:r w:rsidRPr="002F1F0F">
              <w:rPr>
                <w:rFonts w:eastAsia="Times New Roman"/>
                <w:sz w:val="18"/>
                <w:szCs w:val="18"/>
                <w:lang w:eastAsia="es-MX"/>
              </w:rPr>
              <w:t>55.26</w:t>
            </w:r>
          </w:p>
        </w:tc>
        <w:tc>
          <w:tcPr>
            <w:tcW w:w="774" w:type="dxa"/>
            <w:tcBorders>
              <w:top w:val="nil"/>
              <w:left w:val="single" w:sz="4" w:space="0" w:color="auto"/>
              <w:bottom w:val="nil"/>
              <w:right w:val="single" w:sz="4" w:space="0" w:color="auto"/>
            </w:tcBorders>
          </w:tcPr>
          <w:p w:rsidR="00276B9C" w:rsidRPr="002F1F0F" w:rsidRDefault="00276B9C" w:rsidP="001E7D79">
            <w:pPr>
              <w:ind w:left="-57" w:right="57"/>
              <w:jc w:val="right"/>
              <w:rPr>
                <w:rFonts w:eastAsia="Times New Roman"/>
                <w:sz w:val="18"/>
                <w:szCs w:val="18"/>
                <w:lang w:eastAsia="es-MX"/>
              </w:rPr>
            </w:pPr>
            <w:r w:rsidRPr="002F1F0F">
              <w:rPr>
                <w:rFonts w:eastAsia="Times New Roman"/>
                <w:sz w:val="18"/>
                <w:szCs w:val="18"/>
                <w:lang w:eastAsia="es-MX"/>
              </w:rPr>
              <w:t>55.36</w:t>
            </w:r>
          </w:p>
        </w:tc>
        <w:tc>
          <w:tcPr>
            <w:tcW w:w="904" w:type="dxa"/>
            <w:gridSpan w:val="2"/>
            <w:tcBorders>
              <w:top w:val="nil"/>
              <w:left w:val="single" w:sz="4" w:space="0" w:color="auto"/>
              <w:bottom w:val="nil"/>
              <w:right w:val="single" w:sz="4" w:space="0" w:color="auto"/>
            </w:tcBorders>
          </w:tcPr>
          <w:p w:rsidR="00276B9C" w:rsidRPr="002F1F0F" w:rsidRDefault="00276B9C" w:rsidP="000B0616">
            <w:pPr>
              <w:ind w:right="227"/>
              <w:jc w:val="right"/>
              <w:rPr>
                <w:rFonts w:eastAsia="Times New Roman"/>
                <w:sz w:val="18"/>
                <w:szCs w:val="18"/>
                <w:lang w:eastAsia="es-MX"/>
              </w:rPr>
            </w:pPr>
            <w:r w:rsidRPr="002F1F0F">
              <w:rPr>
                <w:rFonts w:eastAsia="Times New Roman"/>
                <w:sz w:val="18"/>
                <w:szCs w:val="18"/>
                <w:lang w:eastAsia="es-MX"/>
              </w:rPr>
              <w:t>2.4</w:t>
            </w:r>
          </w:p>
        </w:tc>
        <w:tc>
          <w:tcPr>
            <w:tcW w:w="704"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5.2</w:t>
            </w:r>
          </w:p>
        </w:tc>
        <w:tc>
          <w:tcPr>
            <w:tcW w:w="709"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6.8</w:t>
            </w:r>
          </w:p>
        </w:tc>
        <w:tc>
          <w:tcPr>
            <w:tcW w:w="850" w:type="dxa"/>
            <w:tcBorders>
              <w:top w:val="nil"/>
              <w:left w:val="single" w:sz="4" w:space="0" w:color="auto"/>
              <w:bottom w:val="nil"/>
              <w:right w:val="single" w:sz="4" w:space="0" w:color="auto"/>
            </w:tcBorders>
          </w:tcPr>
          <w:p w:rsidR="00276B9C" w:rsidRPr="002F1F0F" w:rsidRDefault="00276B9C" w:rsidP="001E7D79">
            <w:pPr>
              <w:ind w:right="227"/>
              <w:jc w:val="right"/>
              <w:rPr>
                <w:rFonts w:eastAsia="Times New Roman"/>
                <w:sz w:val="18"/>
                <w:szCs w:val="18"/>
                <w:lang w:eastAsia="es-MX"/>
              </w:rPr>
            </w:pPr>
            <w:r w:rsidRPr="002F1F0F">
              <w:rPr>
                <w:rFonts w:eastAsia="Times New Roman"/>
                <w:sz w:val="18"/>
                <w:szCs w:val="18"/>
                <w:lang w:eastAsia="es-MX"/>
              </w:rPr>
              <w:t>8.4</w:t>
            </w:r>
          </w:p>
        </w:tc>
        <w:tc>
          <w:tcPr>
            <w:tcW w:w="851"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9.4</w:t>
            </w:r>
          </w:p>
        </w:tc>
        <w:tc>
          <w:tcPr>
            <w:tcW w:w="708"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7.5</w:t>
            </w:r>
          </w:p>
        </w:tc>
      </w:tr>
      <w:tr w:rsidR="00276B9C" w:rsidRPr="002F1F0F" w:rsidTr="000B0616">
        <w:trPr>
          <w:jc w:val="center"/>
        </w:trPr>
        <w:tc>
          <w:tcPr>
            <w:tcW w:w="2834" w:type="dxa"/>
            <w:tcBorders>
              <w:top w:val="nil"/>
              <w:left w:val="single" w:sz="4" w:space="0" w:color="auto"/>
              <w:bottom w:val="nil"/>
              <w:right w:val="single" w:sz="4" w:space="0" w:color="auto"/>
            </w:tcBorders>
          </w:tcPr>
          <w:p w:rsidR="00276B9C" w:rsidRPr="002F1F0F" w:rsidRDefault="00276B9C" w:rsidP="001E7D79">
            <w:pPr>
              <w:jc w:val="both"/>
              <w:rPr>
                <w:rFonts w:eastAsia="Times New Roman"/>
                <w:sz w:val="18"/>
                <w:szCs w:val="18"/>
                <w:lang w:eastAsia="es-MX"/>
              </w:rPr>
            </w:pPr>
            <w:r w:rsidRPr="002F1F0F">
              <w:rPr>
                <w:rFonts w:eastAsia="Times New Roman"/>
                <w:b/>
                <w:bCs/>
                <w:sz w:val="18"/>
                <w:szCs w:val="18"/>
                <w:lang w:eastAsia="es-MX"/>
              </w:rPr>
              <w:t>Resto del Mundo</w:t>
            </w:r>
          </w:p>
        </w:tc>
        <w:tc>
          <w:tcPr>
            <w:tcW w:w="738" w:type="dxa"/>
            <w:tcBorders>
              <w:top w:val="nil"/>
              <w:left w:val="single" w:sz="4" w:space="0" w:color="auto"/>
              <w:bottom w:val="nil"/>
              <w:right w:val="single" w:sz="4" w:space="0" w:color="auto"/>
            </w:tcBorders>
          </w:tcPr>
          <w:p w:rsidR="00276B9C" w:rsidRPr="002F1F0F" w:rsidRDefault="00276B9C" w:rsidP="001E7D79">
            <w:pPr>
              <w:ind w:left="-57" w:right="57"/>
              <w:jc w:val="right"/>
              <w:rPr>
                <w:rFonts w:eastAsia="Times New Roman"/>
                <w:b/>
                <w:sz w:val="18"/>
                <w:szCs w:val="18"/>
                <w:lang w:eastAsia="es-MX"/>
              </w:rPr>
            </w:pPr>
            <w:r w:rsidRPr="002F1F0F">
              <w:rPr>
                <w:rFonts w:eastAsia="Times New Roman"/>
                <w:b/>
                <w:sz w:val="18"/>
                <w:szCs w:val="18"/>
                <w:lang w:eastAsia="es-MX"/>
              </w:rPr>
              <w:t>20.29</w:t>
            </w:r>
          </w:p>
        </w:tc>
        <w:tc>
          <w:tcPr>
            <w:tcW w:w="774" w:type="dxa"/>
            <w:tcBorders>
              <w:top w:val="nil"/>
              <w:left w:val="single" w:sz="4" w:space="0" w:color="auto"/>
              <w:bottom w:val="nil"/>
              <w:right w:val="single" w:sz="4" w:space="0" w:color="auto"/>
            </w:tcBorders>
          </w:tcPr>
          <w:p w:rsidR="00276B9C" w:rsidRPr="002F1F0F" w:rsidRDefault="00276B9C" w:rsidP="001E7D79">
            <w:pPr>
              <w:ind w:left="-57" w:right="57"/>
              <w:jc w:val="right"/>
              <w:rPr>
                <w:rFonts w:eastAsia="Times New Roman"/>
                <w:b/>
                <w:sz w:val="18"/>
                <w:szCs w:val="18"/>
                <w:lang w:eastAsia="es-MX"/>
              </w:rPr>
            </w:pPr>
            <w:r w:rsidRPr="002F1F0F">
              <w:rPr>
                <w:rFonts w:eastAsia="Times New Roman"/>
                <w:b/>
                <w:sz w:val="18"/>
                <w:szCs w:val="18"/>
                <w:lang w:eastAsia="es-MX"/>
              </w:rPr>
              <w:t>18.74</w:t>
            </w:r>
          </w:p>
        </w:tc>
        <w:tc>
          <w:tcPr>
            <w:tcW w:w="904" w:type="dxa"/>
            <w:gridSpan w:val="2"/>
            <w:tcBorders>
              <w:top w:val="nil"/>
              <w:left w:val="single" w:sz="4" w:space="0" w:color="auto"/>
              <w:bottom w:val="nil"/>
              <w:right w:val="single" w:sz="4" w:space="0" w:color="auto"/>
            </w:tcBorders>
          </w:tcPr>
          <w:p w:rsidR="00276B9C" w:rsidRPr="002F1F0F" w:rsidRDefault="00276B9C" w:rsidP="000B0616">
            <w:pPr>
              <w:ind w:right="227"/>
              <w:jc w:val="right"/>
              <w:rPr>
                <w:rFonts w:eastAsia="Times New Roman"/>
                <w:b/>
                <w:sz w:val="18"/>
                <w:szCs w:val="18"/>
                <w:lang w:eastAsia="es-MX"/>
              </w:rPr>
            </w:pPr>
            <w:r w:rsidRPr="002F1F0F">
              <w:rPr>
                <w:rFonts w:eastAsia="Times New Roman"/>
                <w:b/>
                <w:sz w:val="18"/>
                <w:szCs w:val="18"/>
                <w:lang w:eastAsia="es-MX"/>
              </w:rPr>
              <w:t>-3.6</w:t>
            </w:r>
          </w:p>
        </w:tc>
        <w:tc>
          <w:tcPr>
            <w:tcW w:w="704"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b/>
                <w:sz w:val="18"/>
                <w:szCs w:val="18"/>
                <w:lang w:eastAsia="es-MX"/>
              </w:rPr>
            </w:pPr>
            <w:r w:rsidRPr="002F1F0F">
              <w:rPr>
                <w:rFonts w:eastAsia="Times New Roman"/>
                <w:b/>
                <w:sz w:val="18"/>
                <w:szCs w:val="18"/>
                <w:lang w:eastAsia="es-MX"/>
              </w:rPr>
              <w:t>-4.3</w:t>
            </w:r>
          </w:p>
        </w:tc>
        <w:tc>
          <w:tcPr>
            <w:tcW w:w="709"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18"/>
                <w:szCs w:val="18"/>
                <w:lang w:eastAsia="es-MX"/>
              </w:rPr>
            </w:pPr>
            <w:r w:rsidRPr="002F1F0F">
              <w:rPr>
                <w:rFonts w:eastAsia="Times New Roman"/>
                <w:b/>
                <w:sz w:val="18"/>
                <w:szCs w:val="18"/>
                <w:lang w:eastAsia="es-MX"/>
              </w:rPr>
              <w:t>1.0</w:t>
            </w:r>
          </w:p>
        </w:tc>
        <w:tc>
          <w:tcPr>
            <w:tcW w:w="850" w:type="dxa"/>
            <w:tcBorders>
              <w:top w:val="nil"/>
              <w:left w:val="single" w:sz="4" w:space="0" w:color="auto"/>
              <w:bottom w:val="nil"/>
              <w:right w:val="single" w:sz="4" w:space="0" w:color="auto"/>
            </w:tcBorders>
          </w:tcPr>
          <w:p w:rsidR="00276B9C" w:rsidRPr="002F1F0F" w:rsidRDefault="00276B9C" w:rsidP="001E7D79">
            <w:pPr>
              <w:ind w:right="227"/>
              <w:jc w:val="right"/>
              <w:rPr>
                <w:rFonts w:eastAsia="Times New Roman"/>
                <w:b/>
                <w:sz w:val="18"/>
                <w:szCs w:val="18"/>
                <w:lang w:eastAsia="es-MX"/>
              </w:rPr>
            </w:pPr>
            <w:r w:rsidRPr="002F1F0F">
              <w:rPr>
                <w:rFonts w:eastAsia="Times New Roman"/>
                <w:b/>
                <w:sz w:val="18"/>
                <w:szCs w:val="18"/>
                <w:lang w:eastAsia="es-MX"/>
              </w:rPr>
              <w:t>-2.8</w:t>
            </w:r>
          </w:p>
        </w:tc>
        <w:tc>
          <w:tcPr>
            <w:tcW w:w="851"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b/>
                <w:sz w:val="18"/>
                <w:szCs w:val="18"/>
                <w:lang w:eastAsia="es-MX"/>
              </w:rPr>
            </w:pPr>
            <w:r w:rsidRPr="002F1F0F">
              <w:rPr>
                <w:rFonts w:eastAsia="Times New Roman"/>
                <w:b/>
                <w:sz w:val="18"/>
                <w:szCs w:val="18"/>
                <w:lang w:eastAsia="es-MX"/>
              </w:rPr>
              <w:t>2.2</w:t>
            </w:r>
          </w:p>
        </w:tc>
        <w:tc>
          <w:tcPr>
            <w:tcW w:w="708"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b/>
                <w:sz w:val="18"/>
                <w:szCs w:val="18"/>
                <w:lang w:eastAsia="es-MX"/>
              </w:rPr>
            </w:pPr>
            <w:r w:rsidRPr="002F1F0F">
              <w:rPr>
                <w:rFonts w:eastAsia="Times New Roman"/>
                <w:b/>
                <w:sz w:val="18"/>
                <w:szCs w:val="18"/>
                <w:lang w:eastAsia="es-MX"/>
              </w:rPr>
              <w:t>-1.0</w:t>
            </w:r>
          </w:p>
        </w:tc>
      </w:tr>
      <w:tr w:rsidR="00276B9C" w:rsidRPr="002F1F0F" w:rsidTr="000B0616">
        <w:trPr>
          <w:jc w:val="center"/>
        </w:trPr>
        <w:tc>
          <w:tcPr>
            <w:tcW w:w="2834" w:type="dxa"/>
            <w:tcBorders>
              <w:top w:val="nil"/>
              <w:left w:val="single" w:sz="4" w:space="0" w:color="auto"/>
              <w:bottom w:val="nil"/>
              <w:right w:val="single" w:sz="4" w:space="0" w:color="auto"/>
            </w:tcBorders>
          </w:tcPr>
          <w:p w:rsidR="00276B9C" w:rsidRPr="002F1F0F" w:rsidRDefault="00276B9C" w:rsidP="001E7D79">
            <w:pPr>
              <w:jc w:val="both"/>
              <w:rPr>
                <w:rFonts w:eastAsia="Times New Roman"/>
                <w:sz w:val="18"/>
                <w:szCs w:val="18"/>
                <w:lang w:eastAsia="es-MX"/>
              </w:rPr>
            </w:pPr>
            <w:r w:rsidRPr="002F1F0F">
              <w:rPr>
                <w:rFonts w:eastAsia="Times New Roman"/>
                <w:sz w:val="18"/>
                <w:szCs w:val="18"/>
                <w:lang w:eastAsia="es-MX"/>
              </w:rPr>
              <w:t xml:space="preserve">   Automotriz</w:t>
            </w:r>
          </w:p>
        </w:tc>
        <w:tc>
          <w:tcPr>
            <w:tcW w:w="738" w:type="dxa"/>
            <w:tcBorders>
              <w:top w:val="nil"/>
              <w:left w:val="single" w:sz="4" w:space="0" w:color="auto"/>
              <w:bottom w:val="nil"/>
              <w:right w:val="single" w:sz="4" w:space="0" w:color="auto"/>
            </w:tcBorders>
          </w:tcPr>
          <w:p w:rsidR="00276B9C" w:rsidRPr="002F1F0F" w:rsidRDefault="00276B9C" w:rsidP="001E7D79">
            <w:pPr>
              <w:ind w:left="-57" w:right="57"/>
              <w:jc w:val="right"/>
              <w:rPr>
                <w:rFonts w:eastAsia="Times New Roman"/>
                <w:sz w:val="18"/>
                <w:szCs w:val="18"/>
                <w:lang w:eastAsia="es-MX"/>
              </w:rPr>
            </w:pPr>
            <w:r w:rsidRPr="002F1F0F">
              <w:rPr>
                <w:rFonts w:eastAsia="Times New Roman"/>
                <w:sz w:val="18"/>
                <w:szCs w:val="18"/>
                <w:lang w:eastAsia="es-MX"/>
              </w:rPr>
              <w:t>5.13</w:t>
            </w:r>
          </w:p>
        </w:tc>
        <w:tc>
          <w:tcPr>
            <w:tcW w:w="774" w:type="dxa"/>
            <w:tcBorders>
              <w:top w:val="nil"/>
              <w:left w:val="single" w:sz="4" w:space="0" w:color="auto"/>
              <w:bottom w:val="nil"/>
              <w:right w:val="single" w:sz="4" w:space="0" w:color="auto"/>
            </w:tcBorders>
          </w:tcPr>
          <w:p w:rsidR="00276B9C" w:rsidRPr="002F1F0F" w:rsidRDefault="00736C45" w:rsidP="00736C45">
            <w:pPr>
              <w:ind w:left="-57" w:right="57"/>
              <w:jc w:val="right"/>
              <w:rPr>
                <w:rFonts w:eastAsia="Times New Roman"/>
                <w:sz w:val="18"/>
                <w:szCs w:val="18"/>
                <w:lang w:eastAsia="es-MX"/>
              </w:rPr>
            </w:pPr>
            <w:r>
              <w:rPr>
                <w:rFonts w:eastAsia="Times New Roman"/>
                <w:sz w:val="18"/>
                <w:szCs w:val="18"/>
                <w:lang w:eastAsia="es-MX"/>
              </w:rPr>
              <w:t>4</w:t>
            </w:r>
            <w:r w:rsidR="00276B9C" w:rsidRPr="002F1F0F">
              <w:rPr>
                <w:rFonts w:eastAsia="Times New Roman"/>
                <w:sz w:val="18"/>
                <w:szCs w:val="18"/>
                <w:lang w:eastAsia="es-MX"/>
              </w:rPr>
              <w:t>.96</w:t>
            </w:r>
          </w:p>
        </w:tc>
        <w:tc>
          <w:tcPr>
            <w:tcW w:w="904" w:type="dxa"/>
            <w:gridSpan w:val="2"/>
            <w:tcBorders>
              <w:top w:val="nil"/>
              <w:left w:val="single" w:sz="4" w:space="0" w:color="auto"/>
              <w:bottom w:val="nil"/>
              <w:right w:val="single" w:sz="4" w:space="0" w:color="auto"/>
            </w:tcBorders>
          </w:tcPr>
          <w:p w:rsidR="00276B9C" w:rsidRPr="002F1F0F" w:rsidRDefault="00276B9C" w:rsidP="000B0616">
            <w:pPr>
              <w:ind w:right="227"/>
              <w:jc w:val="right"/>
              <w:rPr>
                <w:rFonts w:eastAsia="Times New Roman"/>
                <w:sz w:val="18"/>
                <w:szCs w:val="18"/>
                <w:lang w:eastAsia="es-MX"/>
              </w:rPr>
            </w:pPr>
            <w:r w:rsidRPr="002F1F0F">
              <w:rPr>
                <w:rFonts w:eastAsia="Times New Roman"/>
                <w:sz w:val="18"/>
                <w:szCs w:val="18"/>
                <w:lang w:eastAsia="es-MX"/>
              </w:rPr>
              <w:t>-8.2</w:t>
            </w:r>
          </w:p>
        </w:tc>
        <w:tc>
          <w:tcPr>
            <w:tcW w:w="704"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-5.6</w:t>
            </w:r>
          </w:p>
        </w:tc>
        <w:tc>
          <w:tcPr>
            <w:tcW w:w="709"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3.9</w:t>
            </w:r>
          </w:p>
        </w:tc>
        <w:tc>
          <w:tcPr>
            <w:tcW w:w="850" w:type="dxa"/>
            <w:tcBorders>
              <w:top w:val="nil"/>
              <w:left w:val="single" w:sz="4" w:space="0" w:color="auto"/>
              <w:bottom w:val="nil"/>
              <w:right w:val="single" w:sz="4" w:space="0" w:color="auto"/>
            </w:tcBorders>
          </w:tcPr>
          <w:p w:rsidR="00276B9C" w:rsidRPr="002F1F0F" w:rsidRDefault="00276B9C" w:rsidP="001E7D79">
            <w:pPr>
              <w:ind w:right="227"/>
              <w:jc w:val="right"/>
              <w:rPr>
                <w:rFonts w:eastAsia="Times New Roman"/>
                <w:sz w:val="18"/>
                <w:szCs w:val="18"/>
                <w:lang w:eastAsia="es-MX"/>
              </w:rPr>
            </w:pPr>
            <w:r w:rsidRPr="002F1F0F">
              <w:rPr>
                <w:rFonts w:eastAsia="Times New Roman"/>
                <w:sz w:val="18"/>
                <w:szCs w:val="18"/>
                <w:lang w:eastAsia="es-MX"/>
              </w:rPr>
              <w:t>-3.6</w:t>
            </w:r>
          </w:p>
        </w:tc>
        <w:tc>
          <w:tcPr>
            <w:tcW w:w="851"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22.1</w:t>
            </w:r>
          </w:p>
        </w:tc>
        <w:tc>
          <w:tcPr>
            <w:tcW w:w="708"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3.6</w:t>
            </w:r>
          </w:p>
        </w:tc>
      </w:tr>
      <w:tr w:rsidR="00276B9C" w:rsidRPr="002F1F0F" w:rsidTr="000B0616">
        <w:trPr>
          <w:jc w:val="center"/>
        </w:trPr>
        <w:tc>
          <w:tcPr>
            <w:tcW w:w="2834" w:type="dxa"/>
            <w:tcBorders>
              <w:top w:val="nil"/>
              <w:left w:val="single" w:sz="4" w:space="0" w:color="auto"/>
              <w:bottom w:val="nil"/>
              <w:right w:val="single" w:sz="4" w:space="0" w:color="auto"/>
            </w:tcBorders>
          </w:tcPr>
          <w:p w:rsidR="00276B9C" w:rsidRPr="002F1F0F" w:rsidRDefault="00276B9C" w:rsidP="001E7D79">
            <w:pPr>
              <w:jc w:val="both"/>
              <w:rPr>
                <w:rFonts w:eastAsia="Times New Roman"/>
                <w:sz w:val="18"/>
                <w:szCs w:val="18"/>
                <w:lang w:eastAsia="es-MX"/>
              </w:rPr>
            </w:pPr>
            <w:r w:rsidRPr="002F1F0F">
              <w:rPr>
                <w:rFonts w:eastAsia="Times New Roman"/>
                <w:sz w:val="18"/>
                <w:szCs w:val="18"/>
                <w:lang w:eastAsia="es-MX"/>
              </w:rPr>
              <w:t xml:space="preserve">   Otras</w:t>
            </w:r>
          </w:p>
        </w:tc>
        <w:tc>
          <w:tcPr>
            <w:tcW w:w="738" w:type="dxa"/>
            <w:tcBorders>
              <w:top w:val="nil"/>
              <w:left w:val="single" w:sz="4" w:space="0" w:color="auto"/>
              <w:bottom w:val="nil"/>
              <w:right w:val="single" w:sz="4" w:space="0" w:color="auto"/>
            </w:tcBorders>
          </w:tcPr>
          <w:p w:rsidR="00276B9C" w:rsidRPr="002F1F0F" w:rsidRDefault="00276B9C" w:rsidP="001E7D79">
            <w:pPr>
              <w:ind w:left="-57" w:right="57"/>
              <w:jc w:val="right"/>
              <w:rPr>
                <w:rFonts w:eastAsia="Times New Roman"/>
                <w:sz w:val="18"/>
                <w:szCs w:val="18"/>
                <w:lang w:eastAsia="es-MX"/>
              </w:rPr>
            </w:pPr>
            <w:r w:rsidRPr="002F1F0F">
              <w:rPr>
                <w:rFonts w:eastAsia="Times New Roman"/>
                <w:sz w:val="18"/>
                <w:szCs w:val="18"/>
                <w:lang w:eastAsia="es-MX"/>
              </w:rPr>
              <w:t>15.16</w:t>
            </w:r>
          </w:p>
        </w:tc>
        <w:tc>
          <w:tcPr>
            <w:tcW w:w="774" w:type="dxa"/>
            <w:tcBorders>
              <w:top w:val="nil"/>
              <w:left w:val="single" w:sz="4" w:space="0" w:color="auto"/>
              <w:bottom w:val="nil"/>
              <w:right w:val="single" w:sz="4" w:space="0" w:color="auto"/>
            </w:tcBorders>
          </w:tcPr>
          <w:p w:rsidR="00276B9C" w:rsidRPr="002F1F0F" w:rsidRDefault="00276B9C" w:rsidP="001E7D79">
            <w:pPr>
              <w:ind w:left="-57" w:right="57"/>
              <w:jc w:val="right"/>
              <w:rPr>
                <w:rFonts w:eastAsia="Times New Roman"/>
                <w:sz w:val="18"/>
                <w:szCs w:val="18"/>
                <w:lang w:eastAsia="es-MX"/>
              </w:rPr>
            </w:pPr>
            <w:r w:rsidRPr="002F1F0F">
              <w:rPr>
                <w:rFonts w:eastAsia="Times New Roman"/>
                <w:sz w:val="18"/>
                <w:szCs w:val="18"/>
                <w:lang w:eastAsia="es-MX"/>
              </w:rPr>
              <w:t>13.78</w:t>
            </w:r>
          </w:p>
        </w:tc>
        <w:tc>
          <w:tcPr>
            <w:tcW w:w="904" w:type="dxa"/>
            <w:gridSpan w:val="2"/>
            <w:tcBorders>
              <w:top w:val="nil"/>
              <w:left w:val="single" w:sz="4" w:space="0" w:color="auto"/>
              <w:bottom w:val="nil"/>
              <w:right w:val="single" w:sz="4" w:space="0" w:color="auto"/>
            </w:tcBorders>
          </w:tcPr>
          <w:p w:rsidR="00276B9C" w:rsidRPr="002F1F0F" w:rsidRDefault="00276B9C" w:rsidP="000B0616">
            <w:pPr>
              <w:ind w:right="227"/>
              <w:jc w:val="right"/>
              <w:rPr>
                <w:rFonts w:eastAsia="Times New Roman"/>
                <w:sz w:val="18"/>
                <w:szCs w:val="18"/>
                <w:lang w:eastAsia="es-MX"/>
              </w:rPr>
            </w:pPr>
            <w:r w:rsidRPr="002F1F0F">
              <w:rPr>
                <w:rFonts w:eastAsia="Times New Roman"/>
                <w:sz w:val="18"/>
                <w:szCs w:val="18"/>
                <w:lang w:eastAsia="es-MX"/>
              </w:rPr>
              <w:t>-1.9</w:t>
            </w:r>
          </w:p>
        </w:tc>
        <w:tc>
          <w:tcPr>
            <w:tcW w:w="704"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-3.9</w:t>
            </w:r>
          </w:p>
        </w:tc>
        <w:tc>
          <w:tcPr>
            <w:tcW w:w="709"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0.0</w:t>
            </w:r>
          </w:p>
        </w:tc>
        <w:tc>
          <w:tcPr>
            <w:tcW w:w="850" w:type="dxa"/>
            <w:tcBorders>
              <w:top w:val="nil"/>
              <w:left w:val="single" w:sz="4" w:space="0" w:color="auto"/>
              <w:bottom w:val="nil"/>
              <w:right w:val="single" w:sz="4" w:space="0" w:color="auto"/>
            </w:tcBorders>
          </w:tcPr>
          <w:p w:rsidR="00276B9C" w:rsidRPr="002F1F0F" w:rsidRDefault="00276B9C" w:rsidP="001E7D79">
            <w:pPr>
              <w:ind w:right="227"/>
              <w:jc w:val="right"/>
              <w:rPr>
                <w:rFonts w:eastAsia="Times New Roman"/>
                <w:sz w:val="18"/>
                <w:szCs w:val="18"/>
                <w:lang w:eastAsia="es-MX"/>
              </w:rPr>
            </w:pPr>
            <w:r w:rsidRPr="002F1F0F">
              <w:rPr>
                <w:rFonts w:eastAsia="Times New Roman"/>
                <w:sz w:val="18"/>
                <w:szCs w:val="18"/>
                <w:lang w:eastAsia="es-MX"/>
              </w:rPr>
              <w:t>-2.5</w:t>
            </w:r>
          </w:p>
        </w:tc>
        <w:tc>
          <w:tcPr>
            <w:tcW w:w="851"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-3.8</w:t>
            </w:r>
          </w:p>
        </w:tc>
        <w:tc>
          <w:tcPr>
            <w:tcW w:w="708"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-2.5</w:t>
            </w:r>
          </w:p>
        </w:tc>
      </w:tr>
      <w:tr w:rsidR="00276B9C" w:rsidRPr="002F1F0F" w:rsidTr="000B0616">
        <w:trPr>
          <w:jc w:val="center"/>
        </w:trPr>
        <w:tc>
          <w:tcPr>
            <w:tcW w:w="2834" w:type="dxa"/>
            <w:tcBorders>
              <w:top w:val="nil"/>
              <w:left w:val="single" w:sz="4" w:space="0" w:color="auto"/>
              <w:bottom w:val="nil"/>
              <w:right w:val="single" w:sz="4" w:space="0" w:color="auto"/>
            </w:tcBorders>
          </w:tcPr>
          <w:p w:rsidR="00276B9C" w:rsidRPr="002F1F0F" w:rsidRDefault="00276B9C" w:rsidP="001E7D79">
            <w:pPr>
              <w:jc w:val="both"/>
              <w:rPr>
                <w:rFonts w:eastAsia="Times New Roman"/>
                <w:bCs/>
                <w:sz w:val="18"/>
                <w:szCs w:val="18"/>
                <w:lang w:eastAsia="es-MX"/>
              </w:rPr>
            </w:pPr>
            <w:r w:rsidRPr="002F1F0F">
              <w:rPr>
                <w:rFonts w:eastAsia="Times New Roman"/>
                <w:bCs/>
                <w:sz w:val="18"/>
                <w:szCs w:val="18"/>
                <w:lang w:eastAsia="es-MX"/>
              </w:rPr>
              <w:t>Automotriz Total</w:t>
            </w:r>
          </w:p>
        </w:tc>
        <w:tc>
          <w:tcPr>
            <w:tcW w:w="738" w:type="dxa"/>
            <w:tcBorders>
              <w:top w:val="nil"/>
              <w:left w:val="single" w:sz="4" w:space="0" w:color="auto"/>
              <w:bottom w:val="nil"/>
              <w:right w:val="single" w:sz="4" w:space="0" w:color="auto"/>
            </w:tcBorders>
          </w:tcPr>
          <w:p w:rsidR="00276B9C" w:rsidRPr="002F1F0F" w:rsidRDefault="00276B9C" w:rsidP="001E7D79">
            <w:pPr>
              <w:ind w:left="-57" w:right="57"/>
              <w:jc w:val="right"/>
              <w:rPr>
                <w:rFonts w:eastAsia="Times New Roman"/>
                <w:sz w:val="18"/>
                <w:szCs w:val="18"/>
                <w:lang w:eastAsia="es-MX"/>
              </w:rPr>
            </w:pPr>
            <w:r w:rsidRPr="002F1F0F">
              <w:rPr>
                <w:rFonts w:eastAsia="Times New Roman"/>
                <w:sz w:val="18"/>
                <w:szCs w:val="18"/>
                <w:lang w:eastAsia="es-MX"/>
              </w:rPr>
              <w:t>29.58</w:t>
            </w:r>
          </w:p>
        </w:tc>
        <w:tc>
          <w:tcPr>
            <w:tcW w:w="774" w:type="dxa"/>
            <w:tcBorders>
              <w:top w:val="nil"/>
              <w:left w:val="single" w:sz="4" w:space="0" w:color="auto"/>
              <w:bottom w:val="nil"/>
              <w:right w:val="single" w:sz="4" w:space="0" w:color="auto"/>
            </w:tcBorders>
          </w:tcPr>
          <w:p w:rsidR="00276B9C" w:rsidRPr="002F1F0F" w:rsidRDefault="00276B9C" w:rsidP="001E7D79">
            <w:pPr>
              <w:ind w:left="-57" w:right="57"/>
              <w:jc w:val="right"/>
              <w:rPr>
                <w:rFonts w:eastAsia="Times New Roman"/>
                <w:sz w:val="18"/>
                <w:szCs w:val="18"/>
                <w:lang w:eastAsia="es-MX"/>
              </w:rPr>
            </w:pPr>
            <w:r w:rsidRPr="002F1F0F">
              <w:rPr>
                <w:rFonts w:eastAsia="Times New Roman"/>
                <w:sz w:val="18"/>
                <w:szCs w:val="18"/>
                <w:lang w:eastAsia="es-MX"/>
              </w:rPr>
              <w:t>30.86</w:t>
            </w:r>
          </w:p>
        </w:tc>
        <w:tc>
          <w:tcPr>
            <w:tcW w:w="904" w:type="dxa"/>
            <w:gridSpan w:val="2"/>
            <w:tcBorders>
              <w:top w:val="nil"/>
              <w:left w:val="single" w:sz="4" w:space="0" w:color="auto"/>
              <w:bottom w:val="nil"/>
              <w:right w:val="single" w:sz="4" w:space="0" w:color="auto"/>
            </w:tcBorders>
          </w:tcPr>
          <w:p w:rsidR="00276B9C" w:rsidRPr="002F1F0F" w:rsidRDefault="00276B9C" w:rsidP="000B0616">
            <w:pPr>
              <w:ind w:right="227"/>
              <w:jc w:val="right"/>
              <w:rPr>
                <w:rFonts w:eastAsia="Times New Roman"/>
                <w:sz w:val="18"/>
                <w:szCs w:val="18"/>
                <w:lang w:eastAsia="es-MX"/>
              </w:rPr>
            </w:pPr>
            <w:r w:rsidRPr="002F1F0F">
              <w:rPr>
                <w:rFonts w:eastAsia="Times New Roman"/>
                <w:sz w:val="18"/>
                <w:szCs w:val="18"/>
                <w:lang w:eastAsia="es-MX"/>
              </w:rPr>
              <w:t>10.6</w:t>
            </w:r>
          </w:p>
        </w:tc>
        <w:tc>
          <w:tcPr>
            <w:tcW w:w="704"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9.7</w:t>
            </w:r>
          </w:p>
        </w:tc>
        <w:tc>
          <w:tcPr>
            <w:tcW w:w="709"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9.8</w:t>
            </w:r>
          </w:p>
        </w:tc>
        <w:tc>
          <w:tcPr>
            <w:tcW w:w="850" w:type="dxa"/>
            <w:tcBorders>
              <w:top w:val="nil"/>
              <w:left w:val="single" w:sz="4" w:space="0" w:color="auto"/>
              <w:bottom w:val="nil"/>
              <w:right w:val="single" w:sz="4" w:space="0" w:color="auto"/>
            </w:tcBorders>
          </w:tcPr>
          <w:p w:rsidR="00276B9C" w:rsidRPr="002F1F0F" w:rsidRDefault="00276B9C" w:rsidP="001E7D79">
            <w:pPr>
              <w:ind w:right="227"/>
              <w:jc w:val="right"/>
              <w:rPr>
                <w:rFonts w:eastAsia="Times New Roman"/>
                <w:sz w:val="18"/>
                <w:szCs w:val="18"/>
                <w:lang w:eastAsia="es-MX"/>
              </w:rPr>
            </w:pPr>
            <w:r w:rsidRPr="002F1F0F">
              <w:rPr>
                <w:rFonts w:eastAsia="Times New Roman"/>
                <w:sz w:val="18"/>
                <w:szCs w:val="18"/>
                <w:lang w:eastAsia="es-MX"/>
              </w:rPr>
              <w:t>12.2</w:t>
            </w:r>
          </w:p>
        </w:tc>
        <w:tc>
          <w:tcPr>
            <w:tcW w:w="851"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15.6</w:t>
            </w:r>
          </w:p>
        </w:tc>
        <w:tc>
          <w:tcPr>
            <w:tcW w:w="708" w:type="dxa"/>
            <w:tcBorders>
              <w:top w:val="nil"/>
              <w:left w:val="single" w:sz="4" w:space="0" w:color="auto"/>
              <w:bottom w:val="nil"/>
              <w:right w:val="single" w:sz="4" w:space="0" w:color="auto"/>
            </w:tcBorders>
          </w:tcPr>
          <w:p w:rsidR="00276B9C" w:rsidRPr="00736C45" w:rsidRDefault="00276B9C" w:rsidP="001E7D79">
            <w:pPr>
              <w:ind w:right="170"/>
              <w:jc w:val="right"/>
              <w:rPr>
                <w:rFonts w:eastAsia="Times New Roman"/>
                <w:sz w:val="18"/>
                <w:szCs w:val="18"/>
                <w:lang w:eastAsia="es-MX"/>
              </w:rPr>
            </w:pPr>
            <w:r w:rsidRPr="00736C45">
              <w:rPr>
                <w:rFonts w:eastAsia="Times New Roman"/>
                <w:sz w:val="18"/>
                <w:szCs w:val="18"/>
                <w:lang w:eastAsia="es-MX"/>
              </w:rPr>
              <w:t>11.9</w:t>
            </w:r>
          </w:p>
        </w:tc>
      </w:tr>
      <w:tr w:rsidR="00276B9C" w:rsidRPr="002F1F0F" w:rsidTr="000B0616">
        <w:trPr>
          <w:jc w:val="center"/>
        </w:trPr>
        <w:tc>
          <w:tcPr>
            <w:tcW w:w="2834" w:type="dxa"/>
            <w:tcBorders>
              <w:top w:val="nil"/>
              <w:left w:val="single" w:sz="4" w:space="0" w:color="auto"/>
              <w:bottom w:val="single" w:sz="4" w:space="0" w:color="auto"/>
              <w:right w:val="single" w:sz="4" w:space="0" w:color="auto"/>
            </w:tcBorders>
          </w:tcPr>
          <w:p w:rsidR="00276B9C" w:rsidRPr="002F1F0F" w:rsidRDefault="00276B9C" w:rsidP="001E7D79">
            <w:pPr>
              <w:jc w:val="both"/>
              <w:rPr>
                <w:rFonts w:eastAsia="Times New Roman"/>
                <w:sz w:val="18"/>
                <w:szCs w:val="18"/>
                <w:lang w:eastAsia="es-MX"/>
              </w:rPr>
            </w:pPr>
            <w:r w:rsidRPr="002F1F0F">
              <w:rPr>
                <w:rFonts w:eastAsia="Times New Roman"/>
                <w:bCs/>
                <w:sz w:val="18"/>
                <w:szCs w:val="18"/>
                <w:lang w:eastAsia="es-MX"/>
              </w:rPr>
              <w:t>Otras Total</w:t>
            </w:r>
          </w:p>
        </w:tc>
        <w:tc>
          <w:tcPr>
            <w:tcW w:w="738" w:type="dxa"/>
            <w:tcBorders>
              <w:top w:val="nil"/>
              <w:left w:val="single" w:sz="4" w:space="0" w:color="auto"/>
              <w:bottom w:val="single" w:sz="4" w:space="0" w:color="auto"/>
              <w:right w:val="single" w:sz="4" w:space="0" w:color="auto"/>
            </w:tcBorders>
          </w:tcPr>
          <w:p w:rsidR="00276B9C" w:rsidRPr="002F1F0F" w:rsidRDefault="00276B9C" w:rsidP="001E7D79">
            <w:pPr>
              <w:ind w:left="-57" w:right="57"/>
              <w:jc w:val="right"/>
              <w:rPr>
                <w:rFonts w:eastAsia="Times New Roman"/>
                <w:sz w:val="18"/>
                <w:szCs w:val="18"/>
                <w:lang w:eastAsia="es-MX"/>
              </w:rPr>
            </w:pPr>
            <w:r w:rsidRPr="002F1F0F">
              <w:rPr>
                <w:rFonts w:eastAsia="Times New Roman"/>
                <w:sz w:val="18"/>
                <w:szCs w:val="18"/>
                <w:lang w:eastAsia="es-MX"/>
              </w:rPr>
              <w:t>70.42</w:t>
            </w:r>
          </w:p>
        </w:tc>
        <w:tc>
          <w:tcPr>
            <w:tcW w:w="774" w:type="dxa"/>
            <w:tcBorders>
              <w:top w:val="nil"/>
              <w:left w:val="single" w:sz="4" w:space="0" w:color="auto"/>
              <w:bottom w:val="single" w:sz="4" w:space="0" w:color="auto"/>
              <w:right w:val="single" w:sz="4" w:space="0" w:color="auto"/>
            </w:tcBorders>
          </w:tcPr>
          <w:p w:rsidR="00276B9C" w:rsidRPr="002F1F0F" w:rsidRDefault="00276B9C" w:rsidP="001E7D79">
            <w:pPr>
              <w:ind w:left="-57" w:right="57"/>
              <w:jc w:val="right"/>
              <w:rPr>
                <w:rFonts w:eastAsia="Times New Roman"/>
                <w:sz w:val="18"/>
                <w:szCs w:val="18"/>
                <w:lang w:eastAsia="es-MX"/>
              </w:rPr>
            </w:pPr>
            <w:r w:rsidRPr="002F1F0F">
              <w:rPr>
                <w:rFonts w:eastAsia="Times New Roman"/>
                <w:sz w:val="18"/>
                <w:szCs w:val="18"/>
                <w:lang w:eastAsia="es-MX"/>
              </w:rPr>
              <w:t>69.14</w:t>
            </w:r>
          </w:p>
        </w:tc>
        <w:tc>
          <w:tcPr>
            <w:tcW w:w="904" w:type="dxa"/>
            <w:gridSpan w:val="2"/>
            <w:tcBorders>
              <w:top w:val="nil"/>
              <w:left w:val="single" w:sz="4" w:space="0" w:color="auto"/>
              <w:bottom w:val="single" w:sz="4" w:space="0" w:color="auto"/>
              <w:right w:val="single" w:sz="4" w:space="0" w:color="auto"/>
            </w:tcBorders>
          </w:tcPr>
          <w:p w:rsidR="00276B9C" w:rsidRPr="002F1F0F" w:rsidRDefault="00276B9C" w:rsidP="000B0616">
            <w:pPr>
              <w:ind w:right="227"/>
              <w:jc w:val="right"/>
              <w:rPr>
                <w:rFonts w:eastAsia="Times New Roman"/>
                <w:sz w:val="18"/>
                <w:szCs w:val="18"/>
                <w:lang w:eastAsia="es-MX"/>
              </w:rPr>
            </w:pPr>
            <w:r w:rsidRPr="002F1F0F">
              <w:rPr>
                <w:rFonts w:eastAsia="Times New Roman"/>
                <w:sz w:val="18"/>
                <w:szCs w:val="18"/>
                <w:lang w:eastAsia="es-MX"/>
              </w:rPr>
              <w:t>1.4</w:t>
            </w:r>
          </w:p>
        </w:tc>
        <w:tc>
          <w:tcPr>
            <w:tcW w:w="704" w:type="dxa"/>
            <w:tcBorders>
              <w:top w:val="nil"/>
              <w:left w:val="single" w:sz="4" w:space="0" w:color="auto"/>
              <w:bottom w:val="single" w:sz="4" w:space="0" w:color="auto"/>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3.2</w:t>
            </w:r>
          </w:p>
        </w:tc>
        <w:tc>
          <w:tcPr>
            <w:tcW w:w="709" w:type="dxa"/>
            <w:tcBorders>
              <w:top w:val="nil"/>
              <w:left w:val="single" w:sz="4" w:space="0" w:color="auto"/>
              <w:bottom w:val="single" w:sz="4" w:space="0" w:color="auto"/>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5.3</w:t>
            </w:r>
          </w:p>
        </w:tc>
        <w:tc>
          <w:tcPr>
            <w:tcW w:w="850" w:type="dxa"/>
            <w:tcBorders>
              <w:top w:val="nil"/>
              <w:left w:val="single" w:sz="4" w:space="0" w:color="auto"/>
              <w:bottom w:val="single" w:sz="4" w:space="0" w:color="auto"/>
              <w:right w:val="single" w:sz="4" w:space="0" w:color="auto"/>
            </w:tcBorders>
          </w:tcPr>
          <w:p w:rsidR="00276B9C" w:rsidRPr="002F1F0F" w:rsidRDefault="00276B9C" w:rsidP="001E7D79">
            <w:pPr>
              <w:ind w:right="227"/>
              <w:jc w:val="right"/>
              <w:rPr>
                <w:rFonts w:eastAsia="Times New Roman"/>
                <w:sz w:val="18"/>
                <w:szCs w:val="18"/>
                <w:lang w:eastAsia="es-MX"/>
              </w:rPr>
            </w:pPr>
            <w:r w:rsidRPr="002F1F0F">
              <w:rPr>
                <w:rFonts w:eastAsia="Times New Roman"/>
                <w:sz w:val="18"/>
                <w:szCs w:val="18"/>
                <w:lang w:eastAsia="es-MX"/>
              </w:rPr>
              <w:t>6.0</w:t>
            </w:r>
          </w:p>
        </w:tc>
        <w:tc>
          <w:tcPr>
            <w:tcW w:w="851" w:type="dxa"/>
            <w:tcBorders>
              <w:top w:val="nil"/>
              <w:left w:val="single" w:sz="4" w:space="0" w:color="auto"/>
              <w:bottom w:val="single" w:sz="4" w:space="0" w:color="auto"/>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6.6</w:t>
            </w:r>
          </w:p>
        </w:tc>
        <w:tc>
          <w:tcPr>
            <w:tcW w:w="708" w:type="dxa"/>
            <w:tcBorders>
              <w:top w:val="nil"/>
              <w:left w:val="single" w:sz="4" w:space="0" w:color="auto"/>
              <w:bottom w:val="single" w:sz="4" w:space="0" w:color="auto"/>
              <w:right w:val="single" w:sz="4" w:space="0" w:color="auto"/>
            </w:tcBorders>
          </w:tcPr>
          <w:p w:rsidR="00276B9C" w:rsidRPr="00736C45" w:rsidRDefault="00276B9C" w:rsidP="001E7D79">
            <w:pPr>
              <w:ind w:right="170"/>
              <w:jc w:val="right"/>
              <w:rPr>
                <w:rFonts w:eastAsia="Times New Roman"/>
                <w:sz w:val="18"/>
                <w:szCs w:val="18"/>
                <w:lang w:eastAsia="es-MX"/>
              </w:rPr>
            </w:pPr>
            <w:r w:rsidRPr="00736C45">
              <w:rPr>
                <w:rFonts w:eastAsia="Times New Roman"/>
                <w:sz w:val="18"/>
                <w:szCs w:val="18"/>
                <w:lang w:eastAsia="es-MX"/>
              </w:rPr>
              <w:t>5.3</w:t>
            </w:r>
          </w:p>
        </w:tc>
      </w:tr>
      <w:tr w:rsidR="00276B9C" w:rsidRPr="002F1F0F" w:rsidTr="001E7D79">
        <w:trPr>
          <w:jc w:val="center"/>
        </w:trPr>
        <w:tc>
          <w:tcPr>
            <w:tcW w:w="9072" w:type="dxa"/>
            <w:gridSpan w:val="10"/>
            <w:tcBorders>
              <w:top w:val="single" w:sz="4" w:space="0" w:color="auto"/>
              <w:left w:val="nil"/>
              <w:bottom w:val="nil"/>
              <w:right w:val="nil"/>
            </w:tcBorders>
          </w:tcPr>
          <w:p w:rsidR="00276B9C" w:rsidRPr="002F1F0F" w:rsidRDefault="00276B9C" w:rsidP="001E7D79">
            <w:pPr>
              <w:jc w:val="both"/>
              <w:rPr>
                <w:rFonts w:eastAsia="Times New Roman"/>
                <w:sz w:val="18"/>
                <w:szCs w:val="18"/>
                <w:lang w:eastAsia="es-MX"/>
              </w:rPr>
            </w:pPr>
            <w:r w:rsidRPr="002F1F0F">
              <w:rPr>
                <w:rFonts w:eastAsia="Times New Roman"/>
                <w:sz w:val="18"/>
                <w:szCs w:val="18"/>
                <w:lang w:eastAsia="es-MX"/>
              </w:rPr>
              <w:t>FUENTE: Banxico.</w:t>
            </w:r>
          </w:p>
        </w:tc>
      </w:tr>
    </w:tbl>
    <w:p w:rsidR="00276B9C" w:rsidRPr="002F1F0F" w:rsidRDefault="00276B9C" w:rsidP="00276B9C">
      <w:pPr>
        <w:spacing w:after="360" w:line="360" w:lineRule="auto"/>
        <w:ind w:right="-159"/>
        <w:jc w:val="both"/>
        <w:rPr>
          <w:rFonts w:eastAsia="Calibri"/>
          <w:sz w:val="26"/>
          <w:szCs w:val="26"/>
          <w:lang w:eastAsia="en-US"/>
        </w:rPr>
      </w:pP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En 2014, el déficit de la balanza de servicios fue de 13 mil 874 millones de dólares. Dicho saldo fue resultado de ingresos por 21 mil 37 millones de dólares y de egresos por 34 mil 910 millones de dólares. Al interior de esta balanza, la cuenta de viajeros internacionales mostró un superávit de 6 mil 601 millones de dólares, derivado de ingresos por 16 mil 258 millones de dólares (incremento anual de 16.6%) y de egresos por 9 mil 657 millones de dólares (crecimiento de 5.9% a tasa anual). Cabe destacar que la suma del resto de los renglones que integran la balanza de servicios arrojó en el año que se reporta un déficit de 20 mil 474 millones de dólares, reflejo en buena medida de los gastos asociados al intercambio de mercancías con el exterior, principalmente fletes y seguros.</w:t>
      </w:r>
    </w:p>
    <w:p w:rsidR="00276B9C" w:rsidRPr="002F1F0F" w:rsidRDefault="00276B9C" w:rsidP="00276B9C">
      <w:pPr>
        <w:spacing w:after="360" w:line="360" w:lineRule="auto"/>
        <w:ind w:right="-159"/>
        <w:jc w:val="center"/>
        <w:rPr>
          <w:rFonts w:eastAsia="Calibri"/>
          <w:sz w:val="26"/>
          <w:szCs w:val="26"/>
          <w:lang w:eastAsia="en-US"/>
        </w:rPr>
      </w:pPr>
      <w:r w:rsidRPr="0093598C">
        <w:rPr>
          <w:rFonts w:ascii="Calibri" w:eastAsia="Calibri" w:hAnsi="Calibri"/>
          <w:sz w:val="22"/>
          <w:szCs w:val="22"/>
          <w:lang w:eastAsia="en-US"/>
        </w:rPr>
        <w:lastRenderedPageBreak/>
        <w:fldChar w:fldCharType="begin"/>
      </w:r>
      <w:r w:rsidRPr="0093598C">
        <w:rPr>
          <w:rFonts w:ascii="Calibri" w:eastAsia="Calibri" w:hAnsi="Calibri"/>
          <w:sz w:val="22"/>
          <w:szCs w:val="22"/>
          <w:lang w:eastAsia="en-US"/>
        </w:rPr>
        <w:instrText xml:space="preserve"> LINK PowerPoint.Slide.8 "D:\\2015\\MARZO 2014\\GRÁFICAS EN POWER POINT\\2.- GRÁFICAS DE BALANZA DE PAGOS.pptx!273" "" \a \p </w:instrText>
      </w:r>
      <w:r w:rsidRPr="0093598C">
        <w:rPr>
          <w:rFonts w:ascii="Calibri" w:eastAsia="Calibri" w:hAnsi="Calibri"/>
          <w:sz w:val="22"/>
          <w:szCs w:val="22"/>
          <w:lang w:eastAsia="en-US"/>
        </w:rPr>
        <w:fldChar w:fldCharType="separate"/>
      </w:r>
      <w:r w:rsidRPr="0093598C">
        <w:rPr>
          <w:rFonts w:ascii="Calibri" w:eastAsia="Calibri" w:hAnsi="Calibri"/>
          <w:noProof/>
          <w:sz w:val="22"/>
          <w:szCs w:val="22"/>
          <w:lang w:eastAsia="es-MX"/>
        </w:rPr>
        <w:drawing>
          <wp:inline distT="0" distB="0" distL="0" distR="0" wp14:anchorId="4BB95300" wp14:editId="1FB1FB26">
            <wp:extent cx="5430520" cy="2922270"/>
            <wp:effectExtent l="0" t="0" r="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11" cstate="print">
                      <a:extLst>
                        <a:ext uri="{28A0092B-C50C-407E-A947-70E740481C1C}">
                          <a14:useLocalDpi xmlns:a14="http://schemas.microsoft.com/office/drawing/2010/main" val="0"/>
                        </a:ext>
                      </a:extLst>
                    </a:blip>
                    <a:srcRect l="6274" t="7208" r="4448" b="7428"/>
                    <a:stretch>
                      <a:fillRect/>
                    </a:stretch>
                  </pic:blipFill>
                  <pic:spPr bwMode="auto">
                    <a:xfrm>
                      <a:off x="0" y="0"/>
                      <a:ext cx="5430520" cy="2922270"/>
                    </a:xfrm>
                    <a:prstGeom prst="rect">
                      <a:avLst/>
                    </a:prstGeom>
                    <a:noFill/>
                    <a:ln>
                      <a:noFill/>
                    </a:ln>
                  </pic:spPr>
                </pic:pic>
              </a:graphicData>
            </a:graphic>
          </wp:inline>
        </w:drawing>
      </w:r>
      <w:r w:rsidRPr="0093598C">
        <w:rPr>
          <w:rFonts w:ascii="Calibri" w:eastAsia="Calibri" w:hAnsi="Calibri"/>
          <w:sz w:val="22"/>
          <w:szCs w:val="22"/>
          <w:lang w:eastAsia="en-US"/>
        </w:rPr>
        <w:fldChar w:fldCharType="end"/>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 xml:space="preserve">En el período de referencia, la balanza de renta presentó un déficit de 34 mil 382 millones de dólares, el cual fue reflejo de ingresos por 7 mil 810 millones de dólares y de egresos por 42 mil 192 millones de dólares. En particular, el pago neto por intereses al exterior sumó 23 mil 106 millones de dólares, cifra 10.5% mayor a la observada en 2013. Los demás renglones que integran esta balanza registraron en su conjunto un saldo deficitario de 11 mil 275 millones de dólares. Destacan dentro de esta cuenta los egresos por concepto de utilidades remitidas y reinvertidas de las empresas que tienen participación extranjera en su capital y que ascendieron a 16 mil 781 millones de dólares, de los cuales 12 mil 769 millones de dólares se reinvirtieron en el país. Cabe recordar que las utilidades reinvertidas se contabilizan en la cuenta corriente como una erogación por renta y en la cuenta financiera como un ingreso por concepto de inversión extranjera directa. </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 xml:space="preserve">En 2014, la cuenta de transferencias mostró un superávit de 23 mil 877 millones de dólares. El principal rubro de esta cuenta es el de las remesas familiares provenientes del exterior, mismas que en el período que se reporta sumaron 23 mil 607 millones de dólares, monto superior en 7.8% al registrado en el año previo. Estos ingresos se </w:t>
      </w:r>
      <w:r w:rsidRPr="002F1F0F">
        <w:rPr>
          <w:rFonts w:eastAsia="Calibri"/>
          <w:sz w:val="26"/>
          <w:szCs w:val="26"/>
          <w:lang w:eastAsia="en-US"/>
        </w:rPr>
        <w:lastRenderedPageBreak/>
        <w:t>originaron de 80.4 millones de transferencias, con un valor promedio por remesa de 294 dólares.</w:t>
      </w:r>
    </w:p>
    <w:p w:rsidR="00276B9C" w:rsidRPr="002F1F0F" w:rsidRDefault="00276B9C" w:rsidP="00276B9C">
      <w:pPr>
        <w:spacing w:after="360" w:line="360" w:lineRule="auto"/>
        <w:ind w:right="-159"/>
        <w:jc w:val="center"/>
        <w:rPr>
          <w:rFonts w:eastAsia="Calibri"/>
          <w:sz w:val="26"/>
          <w:szCs w:val="26"/>
          <w:lang w:eastAsia="en-US"/>
        </w:rPr>
      </w:pPr>
      <w:r w:rsidRPr="0093598C">
        <w:rPr>
          <w:rFonts w:ascii="Calibri" w:eastAsia="Calibri" w:hAnsi="Calibri"/>
          <w:sz w:val="22"/>
          <w:szCs w:val="22"/>
          <w:lang w:eastAsia="en-US"/>
        </w:rPr>
        <w:fldChar w:fldCharType="begin"/>
      </w:r>
      <w:r w:rsidRPr="0093598C">
        <w:rPr>
          <w:rFonts w:ascii="Calibri" w:eastAsia="Calibri" w:hAnsi="Calibri"/>
          <w:sz w:val="22"/>
          <w:szCs w:val="22"/>
          <w:lang w:eastAsia="en-US"/>
        </w:rPr>
        <w:instrText xml:space="preserve"> LINK PowerPoint.Slide.8 "D:\\2015\\MARZO 2014\\GRÁFICAS EN POWER POINT\\2.- GRÁFICAS DE BALANZA DE PAGOS.pptx!274" "" \a \p </w:instrText>
      </w:r>
      <w:r w:rsidRPr="0093598C">
        <w:rPr>
          <w:rFonts w:ascii="Calibri" w:eastAsia="Calibri" w:hAnsi="Calibri"/>
          <w:sz w:val="22"/>
          <w:szCs w:val="22"/>
          <w:lang w:eastAsia="en-US"/>
        </w:rPr>
        <w:fldChar w:fldCharType="separate"/>
      </w:r>
      <w:r w:rsidRPr="0093598C">
        <w:rPr>
          <w:rFonts w:ascii="Calibri" w:eastAsia="Calibri" w:hAnsi="Calibri"/>
          <w:noProof/>
          <w:sz w:val="22"/>
          <w:szCs w:val="22"/>
          <w:lang w:eastAsia="es-MX"/>
        </w:rPr>
        <w:drawing>
          <wp:inline distT="0" distB="0" distL="0" distR="0" wp14:anchorId="09FC939C" wp14:editId="39B780FE">
            <wp:extent cx="5504815" cy="3429000"/>
            <wp:effectExtent l="0" t="0" r="635"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12" cstate="print">
                      <a:extLst>
                        <a:ext uri="{28A0092B-C50C-407E-A947-70E740481C1C}">
                          <a14:useLocalDpi xmlns:a14="http://schemas.microsoft.com/office/drawing/2010/main" val="0"/>
                        </a:ext>
                      </a:extLst>
                    </a:blip>
                    <a:srcRect l="5220" r="4312"/>
                    <a:stretch>
                      <a:fillRect/>
                    </a:stretch>
                  </pic:blipFill>
                  <pic:spPr bwMode="auto">
                    <a:xfrm>
                      <a:off x="0" y="0"/>
                      <a:ext cx="5504815" cy="3429000"/>
                    </a:xfrm>
                    <a:prstGeom prst="rect">
                      <a:avLst/>
                    </a:prstGeom>
                    <a:noFill/>
                    <a:ln>
                      <a:noFill/>
                    </a:ln>
                  </pic:spPr>
                </pic:pic>
              </a:graphicData>
            </a:graphic>
          </wp:inline>
        </w:drawing>
      </w:r>
      <w:r w:rsidRPr="0093598C">
        <w:rPr>
          <w:rFonts w:ascii="Calibri" w:eastAsia="Calibri" w:hAnsi="Calibri"/>
          <w:sz w:val="22"/>
          <w:szCs w:val="22"/>
          <w:lang w:eastAsia="en-US"/>
        </w:rPr>
        <w:fldChar w:fldCharType="end"/>
      </w:r>
    </w:p>
    <w:p w:rsidR="00276B9C"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La cuenta financiera de la balanza de pagos registró en 2014 un superávit de 55 mil</w:t>
      </w:r>
      <w:r w:rsidR="002C0B6D">
        <w:rPr>
          <w:rFonts w:eastAsia="Calibri"/>
          <w:sz w:val="26"/>
          <w:szCs w:val="26"/>
          <w:lang w:eastAsia="en-US"/>
        </w:rPr>
        <w:t xml:space="preserve">   </w:t>
      </w:r>
      <w:r w:rsidRPr="002F1F0F">
        <w:rPr>
          <w:rFonts w:eastAsia="Calibri"/>
          <w:sz w:val="26"/>
          <w:szCs w:val="26"/>
          <w:lang w:eastAsia="en-US"/>
        </w:rPr>
        <w:t xml:space="preserve"> 962 millones de dólares. Este resultado se derivó de la combinación de entradas netas por 14 mil 958 millones de dólares en la cuenta de inversión directa y por 46 mil </w:t>
      </w:r>
      <w:r w:rsidR="002C0B6D">
        <w:rPr>
          <w:rFonts w:eastAsia="Calibri"/>
          <w:sz w:val="26"/>
          <w:szCs w:val="26"/>
          <w:lang w:eastAsia="en-US"/>
        </w:rPr>
        <w:t xml:space="preserve">           </w:t>
      </w:r>
      <w:r w:rsidRPr="002F1F0F">
        <w:rPr>
          <w:rFonts w:eastAsia="Calibri"/>
          <w:sz w:val="26"/>
          <w:szCs w:val="26"/>
          <w:lang w:eastAsia="en-US"/>
        </w:rPr>
        <w:t xml:space="preserve">490 millones de dólares en la cuenta de inversión de cartera, y de salidas netas por </w:t>
      </w:r>
      <w:r w:rsidR="002C0B6D">
        <w:rPr>
          <w:rFonts w:eastAsia="Calibri"/>
          <w:sz w:val="26"/>
          <w:szCs w:val="26"/>
          <w:lang w:eastAsia="en-US"/>
        </w:rPr>
        <w:t xml:space="preserve">          </w:t>
      </w:r>
      <w:r w:rsidRPr="002F1F0F">
        <w:rPr>
          <w:rFonts w:eastAsia="Calibri"/>
          <w:sz w:val="26"/>
          <w:szCs w:val="26"/>
          <w:lang w:eastAsia="en-US"/>
        </w:rPr>
        <w:t>5 mil 486 millones de dólares en la cuenta de otra inversión.</w:t>
      </w:r>
    </w:p>
    <w:p w:rsidR="00276B9C" w:rsidRDefault="00276B9C" w:rsidP="00276B9C">
      <w:pPr>
        <w:spacing w:after="360" w:line="360" w:lineRule="auto"/>
        <w:ind w:right="-159"/>
        <w:jc w:val="both"/>
        <w:rPr>
          <w:rFonts w:eastAsia="Calibri"/>
          <w:sz w:val="26"/>
          <w:szCs w:val="26"/>
          <w:lang w:eastAsia="en-US"/>
        </w:rPr>
      </w:pPr>
    </w:p>
    <w:p w:rsidR="00276B9C" w:rsidRDefault="00276B9C" w:rsidP="00276B9C">
      <w:pPr>
        <w:spacing w:after="360" w:line="360" w:lineRule="auto"/>
        <w:ind w:right="-159"/>
        <w:jc w:val="both"/>
        <w:rPr>
          <w:rFonts w:eastAsia="Calibri"/>
          <w:sz w:val="26"/>
          <w:szCs w:val="26"/>
          <w:lang w:eastAsia="en-US"/>
        </w:rPr>
      </w:pPr>
    </w:p>
    <w:p w:rsidR="00276B9C" w:rsidRDefault="00276B9C" w:rsidP="00276B9C">
      <w:pPr>
        <w:spacing w:after="360" w:line="360" w:lineRule="auto"/>
        <w:ind w:right="-159"/>
        <w:jc w:val="both"/>
        <w:rPr>
          <w:rFonts w:eastAsia="Calibri"/>
          <w:sz w:val="26"/>
          <w:szCs w:val="26"/>
          <w:lang w:eastAsia="en-US"/>
        </w:rPr>
      </w:pPr>
    </w:p>
    <w:p w:rsidR="00276B9C" w:rsidRPr="002F1F0F" w:rsidRDefault="00276B9C" w:rsidP="00276B9C">
      <w:pPr>
        <w:spacing w:after="360" w:line="360" w:lineRule="auto"/>
        <w:ind w:right="-159"/>
        <w:jc w:val="both"/>
        <w:rPr>
          <w:rFonts w:eastAsia="Calibri"/>
          <w:sz w:val="26"/>
          <w:szCs w:val="26"/>
          <w:lang w:eastAsia="en-US"/>
        </w:rPr>
      </w:pPr>
    </w:p>
    <w:tbl>
      <w:tblPr>
        <w:tblW w:w="9781" w:type="dxa"/>
        <w:jc w:val="center"/>
        <w:tblLook w:val="01E0" w:firstRow="1" w:lastRow="1" w:firstColumn="1" w:lastColumn="1" w:noHBand="0" w:noVBand="0"/>
      </w:tblPr>
      <w:tblGrid>
        <w:gridCol w:w="4112"/>
        <w:gridCol w:w="950"/>
        <w:gridCol w:w="933"/>
        <w:gridCol w:w="933"/>
        <w:gridCol w:w="933"/>
        <w:gridCol w:w="928"/>
        <w:gridCol w:w="992"/>
      </w:tblGrid>
      <w:tr w:rsidR="00276B9C" w:rsidRPr="002F1F0F" w:rsidTr="001E7D79">
        <w:trPr>
          <w:jc w:val="center"/>
        </w:trPr>
        <w:tc>
          <w:tcPr>
            <w:tcW w:w="9781" w:type="dxa"/>
            <w:gridSpan w:val="7"/>
            <w:tcBorders>
              <w:top w:val="nil"/>
              <w:left w:val="nil"/>
              <w:bottom w:val="single" w:sz="4" w:space="0" w:color="auto"/>
              <w:right w:val="nil"/>
            </w:tcBorders>
          </w:tcPr>
          <w:p w:rsidR="00276B9C" w:rsidRPr="002F1F0F" w:rsidRDefault="00276B9C" w:rsidP="001E7D79">
            <w:pPr>
              <w:jc w:val="center"/>
              <w:rPr>
                <w:rFonts w:eastAsia="Times New Roman"/>
                <w:b/>
                <w:sz w:val="20"/>
                <w:szCs w:val="20"/>
                <w:lang w:eastAsia="es-MX"/>
              </w:rPr>
            </w:pPr>
            <w:r w:rsidRPr="002F1F0F">
              <w:rPr>
                <w:rFonts w:eastAsia="Times New Roman"/>
                <w:b/>
                <w:sz w:val="20"/>
                <w:szCs w:val="20"/>
                <w:lang w:eastAsia="es-MX"/>
              </w:rPr>
              <w:lastRenderedPageBreak/>
              <w:t>BALANZA DE PAGOS</w:t>
            </w:r>
          </w:p>
          <w:p w:rsidR="00276B9C" w:rsidRPr="002F1F0F" w:rsidRDefault="00276B9C" w:rsidP="001E7D79">
            <w:pPr>
              <w:jc w:val="center"/>
              <w:rPr>
                <w:rFonts w:eastAsia="Times New Roman"/>
                <w:b/>
                <w:sz w:val="20"/>
                <w:szCs w:val="20"/>
                <w:lang w:eastAsia="es-MX"/>
              </w:rPr>
            </w:pPr>
            <w:r w:rsidRPr="002F1F0F">
              <w:rPr>
                <w:rFonts w:eastAsia="Times New Roman"/>
                <w:b/>
                <w:sz w:val="20"/>
                <w:szCs w:val="20"/>
                <w:lang w:eastAsia="es-MX"/>
              </w:rPr>
              <w:t>-Millones de dólares-</w:t>
            </w:r>
          </w:p>
        </w:tc>
      </w:tr>
      <w:tr w:rsidR="00276B9C" w:rsidRPr="002F1F0F" w:rsidTr="000B0616">
        <w:trPr>
          <w:jc w:val="center"/>
        </w:trPr>
        <w:tc>
          <w:tcPr>
            <w:tcW w:w="4112" w:type="dxa"/>
            <w:tcBorders>
              <w:top w:val="single" w:sz="4" w:space="0" w:color="auto"/>
              <w:left w:val="single" w:sz="4" w:space="0" w:color="auto"/>
              <w:bottom w:val="nil"/>
              <w:right w:val="single" w:sz="4" w:space="0" w:color="auto"/>
            </w:tcBorders>
          </w:tcPr>
          <w:p w:rsidR="00276B9C" w:rsidRPr="002F1F0F" w:rsidRDefault="00276B9C" w:rsidP="001E7D79">
            <w:pPr>
              <w:jc w:val="center"/>
              <w:rPr>
                <w:rFonts w:eastAsia="Times New Roman"/>
                <w:b/>
                <w:bCs/>
                <w:sz w:val="20"/>
                <w:szCs w:val="20"/>
                <w:lang w:eastAsia="es-MX"/>
              </w:rPr>
            </w:pPr>
          </w:p>
        </w:tc>
        <w:tc>
          <w:tcPr>
            <w:tcW w:w="950" w:type="dxa"/>
            <w:tcBorders>
              <w:top w:val="single" w:sz="4" w:space="0" w:color="auto"/>
              <w:left w:val="single" w:sz="4" w:space="0" w:color="auto"/>
              <w:bottom w:val="single" w:sz="4" w:space="0" w:color="auto"/>
              <w:right w:val="single" w:sz="4" w:space="0" w:color="auto"/>
            </w:tcBorders>
          </w:tcPr>
          <w:p w:rsidR="00276B9C" w:rsidRPr="002F1F0F" w:rsidRDefault="00276B9C" w:rsidP="001E7D79">
            <w:pPr>
              <w:jc w:val="center"/>
              <w:rPr>
                <w:rFonts w:eastAsia="Times New Roman"/>
                <w:b/>
                <w:sz w:val="20"/>
                <w:szCs w:val="20"/>
                <w:lang w:eastAsia="es-MX"/>
              </w:rPr>
            </w:pPr>
            <w:r w:rsidRPr="002F1F0F">
              <w:rPr>
                <w:rFonts w:eastAsia="Times New Roman"/>
                <w:b/>
                <w:sz w:val="20"/>
                <w:szCs w:val="20"/>
                <w:lang w:eastAsia="es-MX"/>
              </w:rPr>
              <w:t>2013</w:t>
            </w:r>
          </w:p>
        </w:tc>
        <w:tc>
          <w:tcPr>
            <w:tcW w:w="4719" w:type="dxa"/>
            <w:gridSpan w:val="5"/>
            <w:tcBorders>
              <w:top w:val="single" w:sz="4" w:space="0" w:color="auto"/>
              <w:left w:val="single" w:sz="4" w:space="0" w:color="auto"/>
              <w:bottom w:val="single" w:sz="4" w:space="0" w:color="auto"/>
              <w:right w:val="single" w:sz="4" w:space="0" w:color="auto"/>
            </w:tcBorders>
          </w:tcPr>
          <w:p w:rsidR="00276B9C" w:rsidRPr="002F1F0F" w:rsidRDefault="00276B9C" w:rsidP="001E7D79">
            <w:pPr>
              <w:jc w:val="center"/>
              <w:rPr>
                <w:rFonts w:eastAsia="Times New Roman"/>
                <w:b/>
                <w:sz w:val="20"/>
                <w:szCs w:val="20"/>
                <w:lang w:eastAsia="es-MX"/>
              </w:rPr>
            </w:pPr>
            <w:r w:rsidRPr="002F1F0F">
              <w:rPr>
                <w:rFonts w:eastAsia="Times New Roman"/>
                <w:b/>
                <w:sz w:val="20"/>
                <w:szCs w:val="20"/>
                <w:lang w:eastAsia="es-MX"/>
              </w:rPr>
              <w:t>2014</w:t>
            </w:r>
          </w:p>
        </w:tc>
      </w:tr>
      <w:tr w:rsidR="00276B9C" w:rsidRPr="002F1F0F" w:rsidTr="000B0616">
        <w:trPr>
          <w:jc w:val="center"/>
        </w:trPr>
        <w:tc>
          <w:tcPr>
            <w:tcW w:w="4112" w:type="dxa"/>
            <w:tcBorders>
              <w:top w:val="nil"/>
              <w:left w:val="single" w:sz="4" w:space="0" w:color="auto"/>
              <w:bottom w:val="single" w:sz="4" w:space="0" w:color="auto"/>
              <w:right w:val="single" w:sz="4" w:space="0" w:color="auto"/>
            </w:tcBorders>
          </w:tcPr>
          <w:p w:rsidR="00276B9C" w:rsidRPr="002F1F0F" w:rsidRDefault="00276B9C" w:rsidP="001E7D79">
            <w:pPr>
              <w:jc w:val="center"/>
              <w:rPr>
                <w:rFonts w:eastAsia="Times New Roman"/>
                <w:b/>
                <w:bCs/>
                <w:sz w:val="20"/>
                <w:szCs w:val="20"/>
                <w:lang w:eastAsia="es-MX"/>
              </w:rPr>
            </w:pPr>
          </w:p>
        </w:tc>
        <w:tc>
          <w:tcPr>
            <w:tcW w:w="950" w:type="dxa"/>
            <w:tcBorders>
              <w:top w:val="nil"/>
              <w:left w:val="single" w:sz="4" w:space="0" w:color="auto"/>
              <w:bottom w:val="single" w:sz="4" w:space="0" w:color="auto"/>
              <w:right w:val="single" w:sz="4" w:space="0" w:color="auto"/>
            </w:tcBorders>
          </w:tcPr>
          <w:p w:rsidR="00276B9C" w:rsidRPr="002F1F0F" w:rsidRDefault="00276B9C" w:rsidP="001E7D79">
            <w:pPr>
              <w:jc w:val="center"/>
              <w:rPr>
                <w:rFonts w:eastAsia="Times New Roman"/>
                <w:b/>
                <w:sz w:val="20"/>
                <w:szCs w:val="20"/>
                <w:lang w:eastAsia="es-MX"/>
              </w:rPr>
            </w:pPr>
            <w:r w:rsidRPr="002F1F0F">
              <w:rPr>
                <w:rFonts w:eastAsia="Times New Roman"/>
                <w:b/>
                <w:sz w:val="20"/>
                <w:szCs w:val="20"/>
                <w:lang w:eastAsia="es-MX"/>
              </w:rPr>
              <w:t>Anual</w:t>
            </w:r>
          </w:p>
        </w:tc>
        <w:tc>
          <w:tcPr>
            <w:tcW w:w="933" w:type="dxa"/>
            <w:tcBorders>
              <w:top w:val="nil"/>
              <w:left w:val="single" w:sz="4" w:space="0" w:color="auto"/>
              <w:bottom w:val="single" w:sz="4" w:space="0" w:color="auto"/>
              <w:right w:val="single" w:sz="4" w:space="0" w:color="auto"/>
            </w:tcBorders>
          </w:tcPr>
          <w:p w:rsidR="00276B9C" w:rsidRPr="002F1F0F" w:rsidRDefault="00276B9C" w:rsidP="001E7D79">
            <w:pPr>
              <w:ind w:left="-57" w:right="-57"/>
              <w:jc w:val="center"/>
              <w:rPr>
                <w:rFonts w:eastAsia="Times New Roman"/>
                <w:b/>
                <w:sz w:val="20"/>
                <w:szCs w:val="20"/>
                <w:lang w:eastAsia="es-MX"/>
              </w:rPr>
            </w:pPr>
            <w:r w:rsidRPr="002F1F0F">
              <w:rPr>
                <w:rFonts w:eastAsia="Times New Roman"/>
                <w:b/>
                <w:sz w:val="20"/>
                <w:szCs w:val="20"/>
                <w:lang w:eastAsia="es-MX"/>
              </w:rPr>
              <w:t xml:space="preserve">I </w:t>
            </w:r>
            <w:proofErr w:type="spellStart"/>
            <w:r w:rsidRPr="002F1F0F">
              <w:rPr>
                <w:rFonts w:eastAsia="Times New Roman"/>
                <w:b/>
                <w:sz w:val="20"/>
                <w:szCs w:val="20"/>
                <w:lang w:eastAsia="es-MX"/>
              </w:rPr>
              <w:t>Trim</w:t>
            </w:r>
            <w:proofErr w:type="spellEnd"/>
          </w:p>
        </w:tc>
        <w:tc>
          <w:tcPr>
            <w:tcW w:w="933" w:type="dxa"/>
            <w:tcBorders>
              <w:top w:val="nil"/>
              <w:left w:val="single" w:sz="4" w:space="0" w:color="auto"/>
              <w:bottom w:val="single" w:sz="4" w:space="0" w:color="auto"/>
              <w:right w:val="single" w:sz="4" w:space="0" w:color="auto"/>
            </w:tcBorders>
          </w:tcPr>
          <w:p w:rsidR="00276B9C" w:rsidRPr="002F1F0F" w:rsidRDefault="00276B9C" w:rsidP="001E7D79">
            <w:pPr>
              <w:ind w:left="-57" w:right="-57"/>
              <w:jc w:val="center"/>
              <w:rPr>
                <w:rFonts w:eastAsia="Times New Roman"/>
                <w:b/>
                <w:sz w:val="20"/>
                <w:szCs w:val="20"/>
                <w:lang w:eastAsia="es-MX"/>
              </w:rPr>
            </w:pPr>
            <w:r w:rsidRPr="002F1F0F">
              <w:rPr>
                <w:rFonts w:eastAsia="Times New Roman"/>
                <w:b/>
                <w:sz w:val="20"/>
                <w:szCs w:val="20"/>
                <w:lang w:eastAsia="es-MX"/>
              </w:rPr>
              <w:t xml:space="preserve">II </w:t>
            </w:r>
            <w:proofErr w:type="spellStart"/>
            <w:r w:rsidRPr="002F1F0F">
              <w:rPr>
                <w:rFonts w:eastAsia="Times New Roman"/>
                <w:b/>
                <w:sz w:val="20"/>
                <w:szCs w:val="20"/>
                <w:lang w:eastAsia="es-MX"/>
              </w:rPr>
              <w:t>Trim</w:t>
            </w:r>
            <w:proofErr w:type="spellEnd"/>
          </w:p>
        </w:tc>
        <w:tc>
          <w:tcPr>
            <w:tcW w:w="933" w:type="dxa"/>
            <w:tcBorders>
              <w:top w:val="nil"/>
              <w:left w:val="single" w:sz="4" w:space="0" w:color="auto"/>
              <w:bottom w:val="single" w:sz="4" w:space="0" w:color="auto"/>
              <w:right w:val="single" w:sz="4" w:space="0" w:color="auto"/>
            </w:tcBorders>
          </w:tcPr>
          <w:p w:rsidR="00276B9C" w:rsidRPr="002F1F0F" w:rsidRDefault="00276B9C" w:rsidP="001E7D79">
            <w:pPr>
              <w:ind w:left="-57" w:right="-57"/>
              <w:jc w:val="center"/>
              <w:rPr>
                <w:rFonts w:eastAsia="Times New Roman"/>
                <w:b/>
                <w:sz w:val="20"/>
                <w:szCs w:val="20"/>
                <w:lang w:eastAsia="es-MX"/>
              </w:rPr>
            </w:pPr>
            <w:r w:rsidRPr="002F1F0F">
              <w:rPr>
                <w:rFonts w:eastAsia="Times New Roman"/>
                <w:b/>
                <w:sz w:val="20"/>
                <w:szCs w:val="20"/>
                <w:lang w:eastAsia="es-MX"/>
              </w:rPr>
              <w:t xml:space="preserve">III </w:t>
            </w:r>
            <w:proofErr w:type="spellStart"/>
            <w:r w:rsidRPr="002F1F0F">
              <w:rPr>
                <w:rFonts w:eastAsia="Times New Roman"/>
                <w:b/>
                <w:sz w:val="20"/>
                <w:szCs w:val="20"/>
                <w:lang w:eastAsia="es-MX"/>
              </w:rPr>
              <w:t>Trim</w:t>
            </w:r>
            <w:proofErr w:type="spellEnd"/>
          </w:p>
        </w:tc>
        <w:tc>
          <w:tcPr>
            <w:tcW w:w="928" w:type="dxa"/>
            <w:tcBorders>
              <w:top w:val="nil"/>
              <w:left w:val="single" w:sz="4" w:space="0" w:color="auto"/>
              <w:bottom w:val="single" w:sz="4" w:space="0" w:color="auto"/>
              <w:right w:val="single" w:sz="4" w:space="0" w:color="auto"/>
            </w:tcBorders>
          </w:tcPr>
          <w:p w:rsidR="00276B9C" w:rsidRPr="002F1F0F" w:rsidRDefault="00276B9C" w:rsidP="001E7D79">
            <w:pPr>
              <w:ind w:left="-57" w:right="-57"/>
              <w:jc w:val="center"/>
              <w:rPr>
                <w:rFonts w:eastAsia="Times New Roman"/>
                <w:b/>
                <w:sz w:val="20"/>
                <w:szCs w:val="20"/>
                <w:lang w:eastAsia="es-MX"/>
              </w:rPr>
            </w:pPr>
            <w:r w:rsidRPr="002F1F0F">
              <w:rPr>
                <w:rFonts w:eastAsia="Times New Roman"/>
                <w:b/>
                <w:sz w:val="20"/>
                <w:szCs w:val="20"/>
                <w:lang w:eastAsia="es-MX"/>
              </w:rPr>
              <w:t xml:space="preserve">IV </w:t>
            </w:r>
            <w:proofErr w:type="spellStart"/>
            <w:r w:rsidRPr="002F1F0F">
              <w:rPr>
                <w:rFonts w:eastAsia="Times New Roman"/>
                <w:b/>
                <w:sz w:val="20"/>
                <w:szCs w:val="20"/>
                <w:lang w:eastAsia="es-MX"/>
              </w:rPr>
              <w:t>Trim</w:t>
            </w:r>
            <w:proofErr w:type="spellEnd"/>
          </w:p>
        </w:tc>
        <w:tc>
          <w:tcPr>
            <w:tcW w:w="992" w:type="dxa"/>
            <w:tcBorders>
              <w:top w:val="nil"/>
              <w:left w:val="single" w:sz="4" w:space="0" w:color="auto"/>
              <w:bottom w:val="single" w:sz="4" w:space="0" w:color="auto"/>
              <w:right w:val="single" w:sz="4" w:space="0" w:color="auto"/>
            </w:tcBorders>
          </w:tcPr>
          <w:p w:rsidR="00276B9C" w:rsidRPr="002F1F0F" w:rsidRDefault="00276B9C" w:rsidP="001E7D79">
            <w:pPr>
              <w:ind w:left="-57" w:right="-57"/>
              <w:jc w:val="center"/>
              <w:rPr>
                <w:rFonts w:eastAsia="Times New Roman"/>
                <w:b/>
                <w:sz w:val="20"/>
                <w:szCs w:val="20"/>
                <w:lang w:eastAsia="es-MX"/>
              </w:rPr>
            </w:pPr>
            <w:r w:rsidRPr="002F1F0F">
              <w:rPr>
                <w:rFonts w:eastAsia="Times New Roman"/>
                <w:b/>
                <w:sz w:val="20"/>
                <w:szCs w:val="20"/>
                <w:lang w:eastAsia="es-MX"/>
              </w:rPr>
              <w:t>Anual</w:t>
            </w:r>
          </w:p>
        </w:tc>
      </w:tr>
      <w:tr w:rsidR="00276B9C" w:rsidRPr="002F1F0F" w:rsidTr="000B0616">
        <w:trPr>
          <w:jc w:val="center"/>
        </w:trPr>
        <w:tc>
          <w:tcPr>
            <w:tcW w:w="4112" w:type="dxa"/>
            <w:tcBorders>
              <w:top w:val="single" w:sz="4" w:space="0" w:color="auto"/>
              <w:left w:val="single" w:sz="4" w:space="0" w:color="auto"/>
              <w:bottom w:val="nil"/>
              <w:right w:val="single" w:sz="4" w:space="0" w:color="auto"/>
            </w:tcBorders>
          </w:tcPr>
          <w:p w:rsidR="00276B9C" w:rsidRPr="002F1F0F" w:rsidRDefault="00276B9C" w:rsidP="001E7D79">
            <w:pPr>
              <w:jc w:val="both"/>
              <w:rPr>
                <w:rFonts w:eastAsia="Times New Roman"/>
                <w:b/>
                <w:sz w:val="20"/>
                <w:szCs w:val="20"/>
                <w:lang w:eastAsia="es-MX"/>
              </w:rPr>
            </w:pPr>
            <w:r w:rsidRPr="002F1F0F">
              <w:rPr>
                <w:rFonts w:eastAsia="Times New Roman"/>
                <w:b/>
                <w:sz w:val="20"/>
                <w:szCs w:val="20"/>
                <w:lang w:eastAsia="es-MX"/>
              </w:rPr>
              <w:t>Cuenta Corriente</w:t>
            </w:r>
          </w:p>
        </w:tc>
        <w:tc>
          <w:tcPr>
            <w:tcW w:w="950" w:type="dxa"/>
            <w:tcBorders>
              <w:top w:val="single" w:sz="4" w:space="0" w:color="auto"/>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-29 682</w:t>
            </w:r>
          </w:p>
        </w:tc>
        <w:tc>
          <w:tcPr>
            <w:tcW w:w="933" w:type="dxa"/>
            <w:tcBorders>
              <w:top w:val="single" w:sz="4" w:space="0" w:color="auto"/>
              <w:left w:val="single" w:sz="4" w:space="0" w:color="auto"/>
              <w:bottom w:val="nil"/>
              <w:right w:val="single" w:sz="4" w:space="0" w:color="auto"/>
            </w:tcBorders>
          </w:tcPr>
          <w:p w:rsidR="00276B9C" w:rsidRPr="002F1F0F" w:rsidRDefault="00276B9C" w:rsidP="001E7D79">
            <w:pPr>
              <w:ind w:right="57"/>
              <w:jc w:val="right"/>
              <w:rPr>
                <w:rFonts w:eastAsia="Times New Roman"/>
                <w:b/>
                <w:sz w:val="20"/>
                <w:szCs w:val="20"/>
                <w:lang w:eastAsia="es-MX"/>
              </w:rPr>
            </w:pPr>
            <w:r w:rsidRPr="002F1F0F">
              <w:rPr>
                <w:rFonts w:eastAsia="Times New Roman"/>
                <w:b/>
                <w:sz w:val="20"/>
                <w:szCs w:val="20"/>
                <w:lang w:eastAsia="es-MX"/>
              </w:rPr>
              <w:t>-10 587</w:t>
            </w:r>
          </w:p>
        </w:tc>
        <w:tc>
          <w:tcPr>
            <w:tcW w:w="933" w:type="dxa"/>
            <w:tcBorders>
              <w:top w:val="single" w:sz="4" w:space="0" w:color="auto"/>
              <w:left w:val="single" w:sz="4" w:space="0" w:color="auto"/>
              <w:bottom w:val="nil"/>
              <w:right w:val="single" w:sz="4" w:space="0" w:color="auto"/>
            </w:tcBorders>
          </w:tcPr>
          <w:p w:rsidR="00276B9C" w:rsidRPr="002F1F0F" w:rsidRDefault="00276B9C" w:rsidP="001E7D79">
            <w:pPr>
              <w:ind w:right="57"/>
              <w:jc w:val="right"/>
              <w:rPr>
                <w:rFonts w:eastAsia="Times New Roman"/>
                <w:b/>
                <w:sz w:val="20"/>
                <w:szCs w:val="20"/>
                <w:lang w:eastAsia="es-MX"/>
              </w:rPr>
            </w:pPr>
            <w:r w:rsidRPr="002F1F0F">
              <w:rPr>
                <w:rFonts w:eastAsia="Times New Roman"/>
                <w:b/>
                <w:sz w:val="20"/>
                <w:szCs w:val="20"/>
                <w:lang w:eastAsia="es-MX"/>
              </w:rPr>
              <w:t>-7 869</w:t>
            </w:r>
          </w:p>
        </w:tc>
        <w:tc>
          <w:tcPr>
            <w:tcW w:w="933" w:type="dxa"/>
            <w:tcBorders>
              <w:top w:val="single" w:sz="4" w:space="0" w:color="auto"/>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-2 780</w:t>
            </w:r>
          </w:p>
        </w:tc>
        <w:tc>
          <w:tcPr>
            <w:tcW w:w="928" w:type="dxa"/>
            <w:tcBorders>
              <w:top w:val="single" w:sz="4" w:space="0" w:color="auto"/>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-5 310</w:t>
            </w:r>
          </w:p>
        </w:tc>
        <w:tc>
          <w:tcPr>
            <w:tcW w:w="992" w:type="dxa"/>
            <w:tcBorders>
              <w:top w:val="single" w:sz="4" w:space="0" w:color="auto"/>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-26 545</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jc w:val="both"/>
              <w:rPr>
                <w:rFonts w:eastAsia="Times New Roman"/>
                <w:b/>
                <w:sz w:val="20"/>
                <w:szCs w:val="20"/>
                <w:lang w:eastAsia="es-MX"/>
              </w:rPr>
            </w:pPr>
            <w:r w:rsidRPr="002F1F0F">
              <w:rPr>
                <w:rFonts w:eastAsia="Times New Roman"/>
                <w:b/>
                <w:sz w:val="20"/>
                <w:szCs w:val="20"/>
                <w:lang w:eastAsia="es-MX"/>
              </w:rPr>
              <w:t>Cuenta Financiera</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65 231</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20"/>
                <w:szCs w:val="20"/>
                <w:lang w:eastAsia="es-MX"/>
              </w:rPr>
            </w:pPr>
            <w:r w:rsidRPr="002F1F0F">
              <w:rPr>
                <w:rFonts w:eastAsia="Times New Roman"/>
                <w:b/>
                <w:sz w:val="20"/>
                <w:szCs w:val="20"/>
                <w:lang w:eastAsia="es-MX"/>
              </w:rPr>
              <w:t>14 013</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20"/>
                <w:szCs w:val="20"/>
                <w:lang w:eastAsia="es-MX"/>
              </w:rPr>
            </w:pPr>
            <w:r w:rsidRPr="002F1F0F">
              <w:rPr>
                <w:rFonts w:eastAsia="Times New Roman"/>
                <w:b/>
                <w:sz w:val="20"/>
                <w:szCs w:val="20"/>
                <w:lang w:eastAsia="es-MX"/>
              </w:rPr>
              <w:t>24 501</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-220</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17 669</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55 962</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113"/>
              <w:jc w:val="both"/>
              <w:rPr>
                <w:rFonts w:eastAsia="Times New Roman"/>
                <w:b/>
                <w:sz w:val="20"/>
                <w:szCs w:val="20"/>
                <w:lang w:eastAsia="es-MX"/>
              </w:rPr>
            </w:pPr>
            <w:r w:rsidRPr="002F1F0F">
              <w:rPr>
                <w:rFonts w:eastAsia="Times New Roman"/>
                <w:b/>
                <w:sz w:val="20"/>
                <w:szCs w:val="20"/>
                <w:lang w:eastAsia="es-MX"/>
              </w:rPr>
              <w:t>Inversión directa</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31 060</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20"/>
                <w:szCs w:val="20"/>
                <w:lang w:eastAsia="es-MX"/>
              </w:rPr>
            </w:pPr>
            <w:r w:rsidRPr="002F1F0F">
              <w:rPr>
                <w:rFonts w:eastAsia="Times New Roman"/>
                <w:b/>
                <w:sz w:val="20"/>
                <w:szCs w:val="20"/>
                <w:lang w:eastAsia="es-MX"/>
              </w:rPr>
              <w:t>9 527</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20"/>
                <w:szCs w:val="20"/>
                <w:lang w:eastAsia="es-MX"/>
              </w:rPr>
            </w:pPr>
            <w:r w:rsidRPr="002F1F0F">
              <w:rPr>
                <w:rFonts w:eastAsia="Times New Roman"/>
                <w:b/>
                <w:sz w:val="20"/>
                <w:szCs w:val="20"/>
                <w:lang w:eastAsia="es-MX"/>
              </w:rPr>
              <w:t>3 578</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-1 454</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3 307</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14 958</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227"/>
              <w:jc w:val="both"/>
              <w:rPr>
                <w:rFonts w:eastAsia="Times New Roman"/>
                <w:sz w:val="20"/>
                <w:szCs w:val="20"/>
                <w:lang w:eastAsia="es-MX"/>
              </w:rPr>
            </w:pPr>
            <w:r w:rsidRPr="002F1F0F">
              <w:rPr>
                <w:rFonts w:eastAsia="Times New Roman"/>
                <w:sz w:val="20"/>
                <w:szCs w:val="20"/>
                <w:lang w:eastAsia="es-MX"/>
              </w:rPr>
              <w:t>En México</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44 199</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11 391</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2 757</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2 776</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5 645</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22 568</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227"/>
              <w:jc w:val="both"/>
              <w:rPr>
                <w:rFonts w:eastAsia="Times New Roman"/>
                <w:sz w:val="20"/>
                <w:szCs w:val="20"/>
                <w:lang w:eastAsia="es-MX"/>
              </w:rPr>
            </w:pPr>
            <w:r w:rsidRPr="002F1F0F">
              <w:rPr>
                <w:rFonts w:eastAsia="Times New Roman"/>
                <w:sz w:val="20"/>
                <w:szCs w:val="20"/>
                <w:lang w:eastAsia="es-MX"/>
              </w:rPr>
              <w:t>De mexicanos en el exterior</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-13 138</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-1 864</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821</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-4 230</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-2 337</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-7 610</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113"/>
              <w:jc w:val="both"/>
              <w:rPr>
                <w:rFonts w:eastAsia="Times New Roman"/>
                <w:b/>
                <w:sz w:val="20"/>
                <w:szCs w:val="20"/>
                <w:lang w:eastAsia="es-MX"/>
              </w:rPr>
            </w:pPr>
            <w:r w:rsidRPr="002F1F0F">
              <w:rPr>
                <w:rFonts w:eastAsia="Times New Roman"/>
                <w:b/>
                <w:sz w:val="20"/>
                <w:szCs w:val="20"/>
                <w:lang w:eastAsia="es-MX"/>
              </w:rPr>
              <w:t>Inversión de cartera</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48 181</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20"/>
                <w:szCs w:val="20"/>
                <w:lang w:eastAsia="es-MX"/>
              </w:rPr>
            </w:pPr>
            <w:r w:rsidRPr="002F1F0F">
              <w:rPr>
                <w:rFonts w:eastAsia="Times New Roman"/>
                <w:b/>
                <w:sz w:val="20"/>
                <w:szCs w:val="20"/>
                <w:lang w:eastAsia="es-MX"/>
              </w:rPr>
              <w:t>10 228</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20"/>
                <w:szCs w:val="20"/>
                <w:lang w:eastAsia="es-MX"/>
              </w:rPr>
            </w:pPr>
            <w:r w:rsidRPr="002F1F0F">
              <w:rPr>
                <w:rFonts w:eastAsia="Times New Roman"/>
                <w:b/>
                <w:sz w:val="20"/>
                <w:szCs w:val="20"/>
                <w:lang w:eastAsia="es-MX"/>
              </w:rPr>
              <w:t>22 501</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5 335</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8 427</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46 490</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227"/>
              <w:jc w:val="both"/>
              <w:rPr>
                <w:rFonts w:eastAsia="Times New Roman"/>
                <w:sz w:val="20"/>
                <w:szCs w:val="20"/>
                <w:lang w:eastAsia="es-MX"/>
              </w:rPr>
            </w:pPr>
            <w:r w:rsidRPr="002F1F0F">
              <w:rPr>
                <w:rFonts w:eastAsia="Times New Roman"/>
                <w:sz w:val="20"/>
                <w:szCs w:val="20"/>
                <w:lang w:eastAsia="es-MX"/>
              </w:rPr>
              <w:t>Pasivos</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50 267</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9 871</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23 266</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3 994</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10 112</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47 243</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340"/>
              <w:jc w:val="both"/>
              <w:rPr>
                <w:rFonts w:eastAsia="Times New Roman"/>
                <w:sz w:val="20"/>
                <w:szCs w:val="20"/>
                <w:lang w:eastAsia="es-MX"/>
              </w:rPr>
            </w:pPr>
            <w:r w:rsidRPr="002F1F0F">
              <w:rPr>
                <w:rFonts w:eastAsia="Times New Roman"/>
                <w:sz w:val="20"/>
                <w:szCs w:val="20"/>
                <w:lang w:eastAsia="es-MX"/>
              </w:rPr>
              <w:t>Sector público</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33 156</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10 057</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11 266</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2 892</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12 654</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36 869</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454"/>
              <w:jc w:val="both"/>
              <w:rPr>
                <w:rFonts w:eastAsia="Times New Roman"/>
                <w:sz w:val="20"/>
                <w:szCs w:val="20"/>
                <w:lang w:eastAsia="es-MX"/>
              </w:rPr>
            </w:pPr>
            <w:r w:rsidRPr="002F1F0F">
              <w:rPr>
                <w:rFonts w:eastAsia="Times New Roman"/>
                <w:sz w:val="20"/>
                <w:szCs w:val="20"/>
                <w:lang w:eastAsia="es-MX"/>
              </w:rPr>
              <w:t>Mercado de dinero</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21 973</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4 503</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7 190</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2 364</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9 856</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23 913</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454"/>
              <w:jc w:val="both"/>
              <w:rPr>
                <w:rFonts w:eastAsia="Times New Roman"/>
                <w:sz w:val="20"/>
                <w:szCs w:val="20"/>
                <w:lang w:eastAsia="es-MX"/>
              </w:rPr>
            </w:pPr>
            <w:r w:rsidRPr="002F1F0F">
              <w:rPr>
                <w:rFonts w:eastAsia="Times New Roman"/>
                <w:sz w:val="20"/>
                <w:szCs w:val="20"/>
                <w:lang w:eastAsia="es-MX"/>
              </w:rPr>
              <w:t>Valores emitidos en el exterior</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11 184</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5 554</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4 076</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528</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2 799</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12 956</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340"/>
              <w:jc w:val="both"/>
              <w:rPr>
                <w:rFonts w:eastAsia="Times New Roman"/>
                <w:sz w:val="20"/>
                <w:szCs w:val="20"/>
                <w:lang w:eastAsia="es-MX"/>
              </w:rPr>
            </w:pPr>
            <w:r w:rsidRPr="002F1F0F">
              <w:rPr>
                <w:rFonts w:eastAsia="Times New Roman"/>
                <w:sz w:val="20"/>
                <w:szCs w:val="20"/>
                <w:lang w:eastAsia="es-MX"/>
              </w:rPr>
              <w:t>Sector privado</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17 111</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-186</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12 000</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1 102</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-2 543</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10 374</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454"/>
              <w:jc w:val="both"/>
              <w:rPr>
                <w:rFonts w:eastAsia="Times New Roman"/>
                <w:sz w:val="20"/>
                <w:szCs w:val="20"/>
                <w:lang w:eastAsia="es-MX"/>
              </w:rPr>
            </w:pPr>
            <w:r w:rsidRPr="002F1F0F">
              <w:rPr>
                <w:rFonts w:eastAsia="Times New Roman"/>
                <w:sz w:val="20"/>
                <w:szCs w:val="20"/>
                <w:lang w:eastAsia="es-MX"/>
              </w:rPr>
              <w:t>Mercado accionario y de dinero</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-942</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281</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6 264</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-658</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-1 054</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4 833</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454"/>
              <w:jc w:val="both"/>
              <w:rPr>
                <w:rFonts w:eastAsia="Times New Roman"/>
                <w:sz w:val="20"/>
                <w:szCs w:val="20"/>
                <w:lang w:eastAsia="es-MX"/>
              </w:rPr>
            </w:pPr>
            <w:r w:rsidRPr="002F1F0F">
              <w:rPr>
                <w:rFonts w:eastAsia="Times New Roman"/>
                <w:sz w:val="20"/>
                <w:szCs w:val="20"/>
                <w:lang w:eastAsia="es-MX"/>
              </w:rPr>
              <w:t>Valores emitidos en el exterior</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18 054</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-468</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5 736</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1 761</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-1 488</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5 541</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227"/>
              <w:jc w:val="both"/>
              <w:rPr>
                <w:rFonts w:eastAsia="Times New Roman"/>
                <w:sz w:val="20"/>
                <w:szCs w:val="20"/>
                <w:lang w:eastAsia="es-MX"/>
              </w:rPr>
            </w:pPr>
            <w:r w:rsidRPr="002F1F0F">
              <w:rPr>
                <w:rFonts w:eastAsia="Times New Roman"/>
                <w:sz w:val="20"/>
                <w:szCs w:val="20"/>
                <w:lang w:eastAsia="es-MX"/>
              </w:rPr>
              <w:t>Activos</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-2 086</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357</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-766</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1 341</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-1 685</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-752</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113"/>
              <w:jc w:val="both"/>
              <w:rPr>
                <w:rFonts w:eastAsia="Times New Roman"/>
                <w:b/>
                <w:sz w:val="20"/>
                <w:szCs w:val="20"/>
                <w:lang w:eastAsia="es-MX"/>
              </w:rPr>
            </w:pPr>
            <w:r w:rsidRPr="002F1F0F">
              <w:rPr>
                <w:rFonts w:eastAsia="Times New Roman"/>
                <w:b/>
                <w:sz w:val="20"/>
                <w:szCs w:val="20"/>
                <w:lang w:eastAsia="es-MX"/>
              </w:rPr>
              <w:t>Otra inversión</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-14 010</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20"/>
                <w:szCs w:val="20"/>
                <w:lang w:eastAsia="es-MX"/>
              </w:rPr>
            </w:pPr>
            <w:r w:rsidRPr="002F1F0F">
              <w:rPr>
                <w:rFonts w:eastAsia="Times New Roman"/>
                <w:b/>
                <w:sz w:val="20"/>
                <w:szCs w:val="20"/>
                <w:lang w:eastAsia="es-MX"/>
              </w:rPr>
              <w:t>-5 742</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20"/>
                <w:szCs w:val="20"/>
                <w:lang w:eastAsia="es-MX"/>
              </w:rPr>
            </w:pPr>
            <w:r w:rsidRPr="002F1F0F">
              <w:rPr>
                <w:rFonts w:eastAsia="Times New Roman"/>
                <w:b/>
                <w:sz w:val="20"/>
                <w:szCs w:val="20"/>
                <w:lang w:eastAsia="es-MX"/>
              </w:rPr>
              <w:t>-1 578</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-4 101</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5 935</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-5 486</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227"/>
              <w:jc w:val="both"/>
              <w:rPr>
                <w:rFonts w:eastAsia="Times New Roman"/>
                <w:sz w:val="20"/>
                <w:szCs w:val="20"/>
                <w:lang w:eastAsia="es-MX"/>
              </w:rPr>
            </w:pPr>
            <w:r w:rsidRPr="002F1F0F">
              <w:rPr>
                <w:rFonts w:eastAsia="Times New Roman"/>
                <w:sz w:val="20"/>
                <w:szCs w:val="20"/>
                <w:lang w:eastAsia="es-MX"/>
              </w:rPr>
              <w:t>Pasivos</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13 269</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-2 271</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10 430</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674</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5 781</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14 613</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340"/>
              <w:jc w:val="both"/>
              <w:rPr>
                <w:rFonts w:eastAsia="Times New Roman"/>
                <w:sz w:val="20"/>
                <w:szCs w:val="20"/>
                <w:lang w:eastAsia="es-MX"/>
              </w:rPr>
            </w:pPr>
            <w:r w:rsidRPr="002F1F0F">
              <w:rPr>
                <w:rFonts w:eastAsia="Times New Roman"/>
                <w:sz w:val="20"/>
                <w:szCs w:val="20"/>
                <w:lang w:eastAsia="es-MX"/>
              </w:rPr>
              <w:t>Sector público</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-2 553</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2 231</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671</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314</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-84</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3 133</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340"/>
              <w:jc w:val="both"/>
              <w:rPr>
                <w:rFonts w:eastAsia="Times New Roman"/>
                <w:sz w:val="20"/>
                <w:szCs w:val="20"/>
                <w:lang w:eastAsia="es-MX"/>
              </w:rPr>
            </w:pPr>
            <w:r w:rsidRPr="002F1F0F">
              <w:rPr>
                <w:rFonts w:eastAsia="Times New Roman"/>
                <w:sz w:val="20"/>
                <w:szCs w:val="20"/>
                <w:lang w:eastAsia="es-MX"/>
              </w:rPr>
              <w:t>Banco de México</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0</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0</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0</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0</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0</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0</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340"/>
              <w:jc w:val="both"/>
              <w:rPr>
                <w:rFonts w:eastAsia="Times New Roman"/>
                <w:sz w:val="20"/>
                <w:szCs w:val="20"/>
                <w:lang w:eastAsia="es-MX"/>
              </w:rPr>
            </w:pPr>
            <w:r w:rsidRPr="002F1F0F">
              <w:rPr>
                <w:rFonts w:eastAsia="Times New Roman"/>
                <w:sz w:val="20"/>
                <w:szCs w:val="20"/>
                <w:lang w:eastAsia="es-MX"/>
              </w:rPr>
              <w:t>Sector privado</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15 822</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-4 503</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9 759</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359</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5 864</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11 480</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ind w:left="227"/>
              <w:jc w:val="both"/>
              <w:rPr>
                <w:rFonts w:eastAsia="Times New Roman"/>
                <w:sz w:val="20"/>
                <w:szCs w:val="20"/>
                <w:lang w:eastAsia="es-MX"/>
              </w:rPr>
            </w:pPr>
            <w:r w:rsidRPr="002F1F0F">
              <w:rPr>
                <w:rFonts w:eastAsia="Times New Roman"/>
                <w:sz w:val="20"/>
                <w:szCs w:val="20"/>
                <w:lang w:eastAsia="es-MX"/>
              </w:rPr>
              <w:t>Activos</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-27 279</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-3 471</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20"/>
                <w:szCs w:val="20"/>
                <w:lang w:eastAsia="es-MX"/>
              </w:rPr>
            </w:pPr>
            <w:r w:rsidRPr="002F1F0F">
              <w:rPr>
                <w:rFonts w:eastAsia="Times New Roman"/>
                <w:sz w:val="20"/>
                <w:szCs w:val="20"/>
                <w:lang w:eastAsia="es-MX"/>
              </w:rPr>
              <w:t>-12 007</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-4 775</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154</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20"/>
                <w:szCs w:val="20"/>
                <w:lang w:eastAsia="es-MX"/>
              </w:rPr>
            </w:pPr>
            <w:r w:rsidRPr="002F1F0F">
              <w:rPr>
                <w:rFonts w:eastAsia="Times New Roman"/>
                <w:sz w:val="20"/>
                <w:szCs w:val="20"/>
                <w:lang w:eastAsia="es-MX"/>
              </w:rPr>
              <w:t>-20 099</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jc w:val="both"/>
              <w:rPr>
                <w:rFonts w:eastAsia="Times New Roman"/>
                <w:b/>
                <w:sz w:val="20"/>
                <w:szCs w:val="20"/>
                <w:lang w:eastAsia="es-MX"/>
              </w:rPr>
            </w:pPr>
            <w:r w:rsidRPr="002F1F0F">
              <w:rPr>
                <w:rFonts w:eastAsia="Times New Roman"/>
                <w:b/>
                <w:sz w:val="20"/>
                <w:szCs w:val="20"/>
                <w:lang w:eastAsia="es-MX"/>
              </w:rPr>
              <w:t>Errores y Omisiones</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-17 760</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20"/>
                <w:szCs w:val="20"/>
                <w:lang w:eastAsia="es-MX"/>
              </w:rPr>
            </w:pPr>
            <w:r w:rsidRPr="002F1F0F">
              <w:rPr>
                <w:rFonts w:eastAsia="Times New Roman"/>
                <w:b/>
                <w:sz w:val="20"/>
                <w:szCs w:val="20"/>
                <w:lang w:eastAsia="es-MX"/>
              </w:rPr>
              <w:t>1 623</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20"/>
                <w:szCs w:val="20"/>
                <w:lang w:eastAsia="es-MX"/>
              </w:rPr>
            </w:pPr>
            <w:r w:rsidRPr="002F1F0F">
              <w:rPr>
                <w:rFonts w:eastAsia="Times New Roman"/>
                <w:b/>
                <w:sz w:val="20"/>
                <w:szCs w:val="20"/>
                <w:lang w:eastAsia="es-MX"/>
              </w:rPr>
              <w:t>-10 227</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5 035</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-9 520</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-13 088</w:t>
            </w:r>
          </w:p>
        </w:tc>
      </w:tr>
      <w:tr w:rsidR="00276B9C" w:rsidRPr="002F1F0F" w:rsidTr="000B0616">
        <w:trPr>
          <w:jc w:val="center"/>
        </w:trPr>
        <w:tc>
          <w:tcPr>
            <w:tcW w:w="4112" w:type="dxa"/>
            <w:tcBorders>
              <w:top w:val="nil"/>
              <w:left w:val="single" w:sz="4" w:space="0" w:color="auto"/>
              <w:bottom w:val="nil"/>
              <w:right w:val="single" w:sz="4" w:space="0" w:color="auto"/>
            </w:tcBorders>
          </w:tcPr>
          <w:p w:rsidR="00276B9C" w:rsidRPr="002F1F0F" w:rsidRDefault="00276B9C" w:rsidP="001E7D79">
            <w:pPr>
              <w:jc w:val="both"/>
              <w:rPr>
                <w:rFonts w:eastAsia="Times New Roman"/>
                <w:b/>
                <w:sz w:val="20"/>
                <w:szCs w:val="20"/>
                <w:lang w:eastAsia="es-MX"/>
              </w:rPr>
            </w:pPr>
            <w:r w:rsidRPr="002F1F0F">
              <w:rPr>
                <w:rFonts w:eastAsia="Times New Roman"/>
                <w:b/>
                <w:sz w:val="20"/>
                <w:szCs w:val="20"/>
                <w:lang w:eastAsia="es-MX"/>
              </w:rPr>
              <w:t xml:space="preserve">Variación de </w:t>
            </w:r>
            <w:smartTag w:uri="urn:schemas-microsoft-com:office:smarttags" w:element="PersonName">
              <w:smartTagPr>
                <w:attr w:name="ProductID" w:val="la Reserva Internacional"/>
              </w:smartTagPr>
              <w:r w:rsidRPr="002F1F0F">
                <w:rPr>
                  <w:rFonts w:eastAsia="Times New Roman"/>
                  <w:b/>
                  <w:sz w:val="20"/>
                  <w:szCs w:val="20"/>
                  <w:lang w:eastAsia="es-MX"/>
                </w:rPr>
                <w:t>la Reserva Internacional</w:t>
              </w:r>
            </w:smartTag>
            <w:r w:rsidRPr="002F1F0F">
              <w:rPr>
                <w:rFonts w:eastAsia="Times New Roman"/>
                <w:b/>
                <w:sz w:val="20"/>
                <w:szCs w:val="20"/>
                <w:lang w:eastAsia="es-MX"/>
              </w:rPr>
              <w:t xml:space="preserve"> Bruta</w:t>
            </w:r>
          </w:p>
        </w:tc>
        <w:tc>
          <w:tcPr>
            <w:tcW w:w="950"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13 150</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20"/>
                <w:szCs w:val="20"/>
                <w:lang w:eastAsia="es-MX"/>
              </w:rPr>
            </w:pPr>
            <w:r w:rsidRPr="002F1F0F">
              <w:rPr>
                <w:rFonts w:eastAsia="Times New Roman"/>
                <w:b/>
                <w:sz w:val="20"/>
                <w:szCs w:val="20"/>
                <w:lang w:eastAsia="es-MX"/>
              </w:rPr>
              <w:t>5 267</w:t>
            </w:r>
          </w:p>
        </w:tc>
        <w:tc>
          <w:tcPr>
            <w:tcW w:w="93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20"/>
                <w:szCs w:val="20"/>
                <w:lang w:eastAsia="es-MX"/>
              </w:rPr>
            </w:pPr>
            <w:r w:rsidRPr="002F1F0F">
              <w:rPr>
                <w:rFonts w:eastAsia="Times New Roman"/>
                <w:b/>
                <w:sz w:val="20"/>
                <w:szCs w:val="20"/>
                <w:lang w:eastAsia="es-MX"/>
              </w:rPr>
              <w:t>7 072</w:t>
            </w:r>
          </w:p>
        </w:tc>
        <w:tc>
          <w:tcPr>
            <w:tcW w:w="933"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793</w:t>
            </w:r>
          </w:p>
        </w:tc>
        <w:tc>
          <w:tcPr>
            <w:tcW w:w="928"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2 350</w:t>
            </w:r>
          </w:p>
        </w:tc>
        <w:tc>
          <w:tcPr>
            <w:tcW w:w="992"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15 482</w:t>
            </w:r>
          </w:p>
        </w:tc>
      </w:tr>
      <w:tr w:rsidR="00276B9C" w:rsidRPr="002F1F0F" w:rsidTr="000B0616">
        <w:trPr>
          <w:jc w:val="center"/>
        </w:trPr>
        <w:tc>
          <w:tcPr>
            <w:tcW w:w="4112" w:type="dxa"/>
            <w:tcBorders>
              <w:top w:val="nil"/>
              <w:left w:val="single" w:sz="4" w:space="0" w:color="auto"/>
              <w:bottom w:val="single" w:sz="4" w:space="0" w:color="auto"/>
              <w:right w:val="single" w:sz="4" w:space="0" w:color="auto"/>
            </w:tcBorders>
          </w:tcPr>
          <w:p w:rsidR="00276B9C" w:rsidRPr="002F1F0F" w:rsidRDefault="00276B9C" w:rsidP="001E7D79">
            <w:pPr>
              <w:jc w:val="both"/>
              <w:rPr>
                <w:rFonts w:eastAsia="Times New Roman"/>
                <w:b/>
                <w:sz w:val="20"/>
                <w:szCs w:val="20"/>
                <w:lang w:eastAsia="es-MX"/>
              </w:rPr>
            </w:pPr>
            <w:r w:rsidRPr="002F1F0F">
              <w:rPr>
                <w:rFonts w:eastAsia="Times New Roman"/>
                <w:b/>
                <w:sz w:val="20"/>
                <w:szCs w:val="20"/>
                <w:lang w:eastAsia="es-MX"/>
              </w:rPr>
              <w:t>Ajustes por Valoración</w:t>
            </w:r>
          </w:p>
        </w:tc>
        <w:tc>
          <w:tcPr>
            <w:tcW w:w="950" w:type="dxa"/>
            <w:tcBorders>
              <w:top w:val="nil"/>
              <w:left w:val="single" w:sz="4" w:space="0" w:color="auto"/>
              <w:bottom w:val="single" w:sz="4" w:space="0" w:color="auto"/>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4 639</w:t>
            </w:r>
          </w:p>
        </w:tc>
        <w:tc>
          <w:tcPr>
            <w:tcW w:w="933" w:type="dxa"/>
            <w:tcBorders>
              <w:top w:val="nil"/>
              <w:left w:val="single" w:sz="4" w:space="0" w:color="auto"/>
              <w:bottom w:val="single" w:sz="4" w:space="0" w:color="auto"/>
              <w:right w:val="single" w:sz="4" w:space="0" w:color="auto"/>
            </w:tcBorders>
          </w:tcPr>
          <w:p w:rsidR="00276B9C" w:rsidRPr="002F1F0F" w:rsidRDefault="00276B9C" w:rsidP="001E7D79">
            <w:pPr>
              <w:ind w:right="57"/>
              <w:jc w:val="right"/>
              <w:rPr>
                <w:rFonts w:eastAsia="Times New Roman"/>
                <w:b/>
                <w:sz w:val="20"/>
                <w:szCs w:val="20"/>
                <w:lang w:eastAsia="es-MX"/>
              </w:rPr>
            </w:pPr>
            <w:r w:rsidRPr="002F1F0F">
              <w:rPr>
                <w:rFonts w:eastAsia="Times New Roman"/>
                <w:b/>
                <w:sz w:val="20"/>
                <w:szCs w:val="20"/>
                <w:lang w:eastAsia="es-MX"/>
              </w:rPr>
              <w:t>-218</w:t>
            </w:r>
          </w:p>
        </w:tc>
        <w:tc>
          <w:tcPr>
            <w:tcW w:w="933" w:type="dxa"/>
            <w:tcBorders>
              <w:top w:val="nil"/>
              <w:left w:val="single" w:sz="4" w:space="0" w:color="auto"/>
              <w:bottom w:val="single" w:sz="4" w:space="0" w:color="auto"/>
              <w:right w:val="single" w:sz="4" w:space="0" w:color="auto"/>
            </w:tcBorders>
          </w:tcPr>
          <w:p w:rsidR="00276B9C" w:rsidRPr="002F1F0F" w:rsidRDefault="00276B9C" w:rsidP="001E7D79">
            <w:pPr>
              <w:ind w:right="57"/>
              <w:jc w:val="right"/>
              <w:rPr>
                <w:rFonts w:eastAsia="Times New Roman"/>
                <w:b/>
                <w:sz w:val="20"/>
                <w:szCs w:val="20"/>
                <w:lang w:eastAsia="es-MX"/>
              </w:rPr>
            </w:pPr>
            <w:r w:rsidRPr="002F1F0F">
              <w:rPr>
                <w:rFonts w:eastAsia="Times New Roman"/>
                <w:b/>
                <w:sz w:val="20"/>
                <w:szCs w:val="20"/>
                <w:lang w:eastAsia="es-MX"/>
              </w:rPr>
              <w:t>-667</w:t>
            </w:r>
          </w:p>
        </w:tc>
        <w:tc>
          <w:tcPr>
            <w:tcW w:w="933" w:type="dxa"/>
            <w:tcBorders>
              <w:top w:val="nil"/>
              <w:left w:val="single" w:sz="4" w:space="0" w:color="auto"/>
              <w:bottom w:val="single" w:sz="4" w:space="0" w:color="auto"/>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1 243</w:t>
            </w:r>
          </w:p>
        </w:tc>
        <w:tc>
          <w:tcPr>
            <w:tcW w:w="928" w:type="dxa"/>
            <w:tcBorders>
              <w:top w:val="nil"/>
              <w:left w:val="single" w:sz="4" w:space="0" w:color="auto"/>
              <w:bottom w:val="single" w:sz="4" w:space="0" w:color="auto"/>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489</w:t>
            </w:r>
          </w:p>
        </w:tc>
        <w:tc>
          <w:tcPr>
            <w:tcW w:w="992" w:type="dxa"/>
            <w:tcBorders>
              <w:top w:val="nil"/>
              <w:left w:val="single" w:sz="4" w:space="0" w:color="auto"/>
              <w:bottom w:val="single" w:sz="4" w:space="0" w:color="auto"/>
              <w:right w:val="single" w:sz="4" w:space="0" w:color="auto"/>
            </w:tcBorders>
          </w:tcPr>
          <w:p w:rsidR="00276B9C" w:rsidRPr="002F1F0F" w:rsidRDefault="00276B9C" w:rsidP="001E7D79">
            <w:pPr>
              <w:ind w:right="113"/>
              <w:jc w:val="right"/>
              <w:rPr>
                <w:rFonts w:eastAsia="Times New Roman"/>
                <w:b/>
                <w:sz w:val="20"/>
                <w:szCs w:val="20"/>
                <w:lang w:eastAsia="es-MX"/>
              </w:rPr>
            </w:pPr>
            <w:r w:rsidRPr="002F1F0F">
              <w:rPr>
                <w:rFonts w:eastAsia="Times New Roman"/>
                <w:b/>
                <w:sz w:val="20"/>
                <w:szCs w:val="20"/>
                <w:lang w:eastAsia="es-MX"/>
              </w:rPr>
              <w:t>847</w:t>
            </w:r>
          </w:p>
        </w:tc>
      </w:tr>
      <w:tr w:rsidR="00276B9C" w:rsidRPr="002F1F0F" w:rsidTr="001E7D79">
        <w:trPr>
          <w:jc w:val="center"/>
        </w:trPr>
        <w:tc>
          <w:tcPr>
            <w:tcW w:w="9781" w:type="dxa"/>
            <w:gridSpan w:val="7"/>
            <w:tcBorders>
              <w:top w:val="single" w:sz="4" w:space="0" w:color="auto"/>
              <w:left w:val="nil"/>
              <w:bottom w:val="nil"/>
              <w:right w:val="nil"/>
            </w:tcBorders>
          </w:tcPr>
          <w:p w:rsidR="00276B9C" w:rsidRPr="002F1F0F" w:rsidRDefault="00276B9C" w:rsidP="001E7D79">
            <w:pPr>
              <w:ind w:left="454" w:right="-159" w:hanging="454"/>
              <w:rPr>
                <w:rFonts w:eastAsia="Times New Roman"/>
                <w:sz w:val="18"/>
                <w:szCs w:val="18"/>
                <w:lang w:eastAsia="es-MX"/>
              </w:rPr>
            </w:pPr>
            <w:r w:rsidRPr="002F1F0F">
              <w:rPr>
                <w:rFonts w:eastAsia="Times New Roman"/>
                <w:sz w:val="18"/>
                <w:szCs w:val="18"/>
                <w:lang w:eastAsia="es-MX"/>
              </w:rPr>
              <w:t>Nota: La suma de los componentes que integran la estadística de la balanza de pagos que se presenta en este comunicado puede no coincidir con los totales debido al redondeo de las cifras.</w:t>
            </w:r>
          </w:p>
          <w:p w:rsidR="00276B9C" w:rsidRPr="002F1F0F" w:rsidRDefault="00276B9C" w:rsidP="001E7D79">
            <w:pPr>
              <w:jc w:val="both"/>
              <w:rPr>
                <w:rFonts w:eastAsia="Times New Roman"/>
                <w:sz w:val="20"/>
                <w:szCs w:val="20"/>
                <w:lang w:eastAsia="es-MX"/>
              </w:rPr>
            </w:pPr>
            <w:r w:rsidRPr="002F1F0F">
              <w:rPr>
                <w:rFonts w:eastAsia="Times New Roman"/>
                <w:sz w:val="20"/>
                <w:szCs w:val="20"/>
                <w:lang w:eastAsia="es-MX"/>
              </w:rPr>
              <w:t>FUENTE: Banxico.</w:t>
            </w:r>
          </w:p>
        </w:tc>
      </w:tr>
    </w:tbl>
    <w:p w:rsidR="00276B9C" w:rsidRDefault="00276B9C" w:rsidP="00276B9C">
      <w:pPr>
        <w:spacing w:after="360" w:line="360" w:lineRule="auto"/>
        <w:ind w:right="-159"/>
        <w:jc w:val="center"/>
        <w:rPr>
          <w:rFonts w:eastAsia="Calibri"/>
          <w:sz w:val="26"/>
          <w:szCs w:val="26"/>
          <w:lang w:eastAsia="en-US"/>
        </w:rPr>
      </w:pPr>
    </w:p>
    <w:p w:rsidR="00276B9C" w:rsidRDefault="00276B9C" w:rsidP="00276B9C">
      <w:pPr>
        <w:spacing w:after="360" w:line="360" w:lineRule="auto"/>
        <w:ind w:right="-159"/>
        <w:jc w:val="center"/>
        <w:rPr>
          <w:rFonts w:eastAsia="Calibri"/>
          <w:sz w:val="26"/>
          <w:szCs w:val="26"/>
          <w:lang w:eastAsia="en-US"/>
        </w:rPr>
      </w:pPr>
      <w:r w:rsidRPr="0093598C">
        <w:rPr>
          <w:rFonts w:ascii="Calibri" w:eastAsia="Calibri" w:hAnsi="Calibri"/>
          <w:sz w:val="22"/>
          <w:szCs w:val="22"/>
          <w:lang w:eastAsia="en-US"/>
        </w:rPr>
        <w:fldChar w:fldCharType="begin"/>
      </w:r>
      <w:r w:rsidRPr="0093598C">
        <w:rPr>
          <w:rFonts w:ascii="Calibri" w:eastAsia="Calibri" w:hAnsi="Calibri"/>
          <w:sz w:val="22"/>
          <w:szCs w:val="22"/>
          <w:lang w:eastAsia="en-US"/>
        </w:rPr>
        <w:instrText xml:space="preserve"> LINK PowerPoint.Slide.8 "D:\\2015\\MARZO 2014\\GRÁFICAS EN POWER POINT\\2.- GRÁFICAS DE BALANZA DE PAGOS.pptx!280" "" \a \p </w:instrText>
      </w:r>
      <w:r w:rsidRPr="0093598C">
        <w:rPr>
          <w:rFonts w:ascii="Calibri" w:eastAsia="Calibri" w:hAnsi="Calibri"/>
          <w:sz w:val="22"/>
          <w:szCs w:val="22"/>
          <w:lang w:eastAsia="en-US"/>
        </w:rPr>
        <w:fldChar w:fldCharType="separate"/>
      </w:r>
      <w:r w:rsidRPr="0093598C">
        <w:rPr>
          <w:rFonts w:ascii="Calibri" w:eastAsia="Calibri" w:hAnsi="Calibri"/>
          <w:noProof/>
          <w:sz w:val="22"/>
          <w:szCs w:val="22"/>
          <w:lang w:eastAsia="es-MX"/>
        </w:rPr>
        <w:drawing>
          <wp:inline distT="0" distB="0" distL="0" distR="0" wp14:anchorId="4FDC6863" wp14:editId="559D8F2E">
            <wp:extent cx="5072380" cy="3261995"/>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ChangeAspect="1" noChangeArrowheads="1"/>
                    </pic:cNvPicPr>
                  </pic:nvPicPr>
                  <pic:blipFill>
                    <a:blip r:embed="rId13" cstate="print">
                      <a:extLst>
                        <a:ext uri="{28A0092B-C50C-407E-A947-70E740481C1C}">
                          <a14:useLocalDpi xmlns:a14="http://schemas.microsoft.com/office/drawing/2010/main" val="0"/>
                        </a:ext>
                      </a:extLst>
                    </a:blip>
                    <a:srcRect l="7840" r="8759" b="4874"/>
                    <a:stretch>
                      <a:fillRect/>
                    </a:stretch>
                  </pic:blipFill>
                  <pic:spPr bwMode="auto">
                    <a:xfrm>
                      <a:off x="0" y="0"/>
                      <a:ext cx="5072380" cy="3261995"/>
                    </a:xfrm>
                    <a:prstGeom prst="rect">
                      <a:avLst/>
                    </a:prstGeom>
                    <a:noFill/>
                    <a:ln>
                      <a:noFill/>
                    </a:ln>
                  </pic:spPr>
                </pic:pic>
              </a:graphicData>
            </a:graphic>
          </wp:inline>
        </w:drawing>
      </w:r>
      <w:r w:rsidRPr="0093598C">
        <w:rPr>
          <w:rFonts w:ascii="Calibri" w:eastAsia="Calibri" w:hAnsi="Calibri"/>
          <w:sz w:val="22"/>
          <w:szCs w:val="22"/>
          <w:lang w:eastAsia="en-US"/>
        </w:rPr>
        <w:fldChar w:fldCharType="end"/>
      </w:r>
    </w:p>
    <w:p w:rsidR="00276B9C"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lastRenderedPageBreak/>
        <w:t>En particular, en 2014</w:t>
      </w:r>
      <w:r w:rsidR="00736C45">
        <w:rPr>
          <w:rFonts w:eastAsia="Calibri"/>
          <w:sz w:val="26"/>
          <w:szCs w:val="26"/>
          <w:lang w:eastAsia="en-US"/>
        </w:rPr>
        <w:t>,</w:t>
      </w:r>
      <w:r w:rsidRPr="002F1F0F">
        <w:rPr>
          <w:rFonts w:eastAsia="Calibri"/>
          <w:sz w:val="26"/>
          <w:szCs w:val="26"/>
          <w:lang w:eastAsia="en-US"/>
        </w:rPr>
        <w:t xml:space="preserve"> la economía mexicana captó un monto de inversión extranjera directa de 22 mil 568 millones de dólares, en tanto que el valor de la inversión directa en el exterior de residentes en México registró un flujo de 7 mil 610 millones de dólares</w:t>
      </w:r>
      <w:r w:rsidRPr="006B134F">
        <w:rPr>
          <w:rFonts w:eastAsia="Calibri"/>
          <w:sz w:val="20"/>
          <w:szCs w:val="20"/>
          <w:vertAlign w:val="superscript"/>
          <w:lang w:eastAsia="en-US"/>
        </w:rPr>
        <w:footnoteReference w:id="4"/>
      </w:r>
      <w:r>
        <w:rPr>
          <w:rFonts w:eastAsia="Calibri"/>
          <w:sz w:val="26"/>
          <w:szCs w:val="26"/>
          <w:lang w:eastAsia="en-US"/>
        </w:rPr>
        <w:t>.</w:t>
      </w:r>
      <w:r w:rsidRPr="002F1F0F">
        <w:rPr>
          <w:rFonts w:eastAsia="Calibri"/>
          <w:sz w:val="26"/>
          <w:szCs w:val="26"/>
          <w:lang w:eastAsia="en-US"/>
        </w:rPr>
        <w:t xml:space="preserve"> Con estos resultados, el saldo neto de la cuenta de inversión directa fue de </w:t>
      </w:r>
      <w:r w:rsidR="006B134F">
        <w:rPr>
          <w:rFonts w:eastAsia="Calibri"/>
          <w:sz w:val="26"/>
          <w:szCs w:val="26"/>
          <w:lang w:eastAsia="en-US"/>
        </w:rPr>
        <w:t xml:space="preserve"> </w:t>
      </w:r>
      <w:r w:rsidR="002C0B6D">
        <w:rPr>
          <w:rFonts w:eastAsia="Calibri"/>
          <w:sz w:val="26"/>
          <w:szCs w:val="26"/>
          <w:lang w:eastAsia="en-US"/>
        </w:rPr>
        <w:t xml:space="preserve">  </w:t>
      </w:r>
      <w:r w:rsidR="006B134F">
        <w:rPr>
          <w:rFonts w:eastAsia="Calibri"/>
          <w:sz w:val="26"/>
          <w:szCs w:val="26"/>
          <w:lang w:eastAsia="en-US"/>
        </w:rPr>
        <w:t xml:space="preserve">  </w:t>
      </w:r>
      <w:r w:rsidRPr="002F1F0F">
        <w:rPr>
          <w:rFonts w:eastAsia="Calibri"/>
          <w:sz w:val="26"/>
          <w:szCs w:val="26"/>
          <w:lang w:eastAsia="en-US"/>
        </w:rPr>
        <w:t xml:space="preserve">14 mil 958 millones de dólares. El flujo de inversión extranjera directa que ingresó al país se integró por 4 mil 235 millones de dólares de nuevas inversiones, 12 mil </w:t>
      </w:r>
      <w:r w:rsidR="002C0B6D">
        <w:rPr>
          <w:rFonts w:eastAsia="Calibri"/>
          <w:sz w:val="26"/>
          <w:szCs w:val="26"/>
          <w:lang w:eastAsia="en-US"/>
        </w:rPr>
        <w:t xml:space="preserve">             </w:t>
      </w:r>
      <w:r w:rsidRPr="002F1F0F">
        <w:rPr>
          <w:rFonts w:eastAsia="Calibri"/>
          <w:sz w:val="26"/>
          <w:szCs w:val="26"/>
          <w:lang w:eastAsia="en-US"/>
        </w:rPr>
        <w:t>769 millones de dólares de reinversiones de utilidades y 5 mil 565 millones de dólares de un aumento de los pasivos netos de las empresas con sus matrices en el exterior (cuentas entre compañías). Durante 2014, los principales sectores receptores de estos recursos fueron el de manufacturas (57.0%), el de servicios financieros (24.6%) y el de minería (9.8%).</w:t>
      </w:r>
    </w:p>
    <w:p w:rsidR="00276B9C" w:rsidRDefault="00276B9C" w:rsidP="00276B9C">
      <w:pPr>
        <w:spacing w:after="360" w:line="360" w:lineRule="auto"/>
        <w:ind w:right="-159"/>
        <w:jc w:val="center"/>
        <w:rPr>
          <w:rFonts w:eastAsia="Calibri"/>
          <w:sz w:val="26"/>
          <w:szCs w:val="26"/>
          <w:lang w:eastAsia="en-US"/>
        </w:rPr>
      </w:pPr>
      <w:r w:rsidRPr="0093598C">
        <w:rPr>
          <w:rFonts w:ascii="Calibri" w:eastAsia="Calibri" w:hAnsi="Calibri"/>
          <w:sz w:val="22"/>
          <w:szCs w:val="22"/>
          <w:lang w:eastAsia="en-US"/>
        </w:rPr>
        <w:fldChar w:fldCharType="begin"/>
      </w:r>
      <w:r w:rsidRPr="0093598C">
        <w:rPr>
          <w:rFonts w:ascii="Calibri" w:eastAsia="Calibri" w:hAnsi="Calibri"/>
          <w:sz w:val="22"/>
          <w:szCs w:val="22"/>
          <w:lang w:eastAsia="en-US"/>
        </w:rPr>
        <w:instrText xml:space="preserve"> LINK PowerPoint.Slide.8 "D:\\2015\\MARZO 2014\\GRÁFICAS EN POWER POINT\\2.- GRÁFICAS DE BALANZA DE PAGOS.pptx!262" "" \a \p </w:instrText>
      </w:r>
      <w:r w:rsidRPr="0093598C">
        <w:rPr>
          <w:rFonts w:ascii="Calibri" w:eastAsia="Calibri" w:hAnsi="Calibri"/>
          <w:sz w:val="22"/>
          <w:szCs w:val="22"/>
          <w:lang w:eastAsia="en-US"/>
        </w:rPr>
        <w:fldChar w:fldCharType="separate"/>
      </w:r>
      <w:r w:rsidRPr="0093598C">
        <w:rPr>
          <w:rFonts w:ascii="Calibri" w:eastAsia="Calibri" w:hAnsi="Calibri"/>
          <w:noProof/>
          <w:sz w:val="22"/>
          <w:szCs w:val="22"/>
          <w:lang w:eastAsia="es-MX"/>
        </w:rPr>
        <w:drawing>
          <wp:inline distT="0" distB="0" distL="0" distR="0" wp14:anchorId="188AC329" wp14:editId="1E6DC181">
            <wp:extent cx="4353884" cy="3048000"/>
            <wp:effectExtent l="0" t="0" r="889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7"/>
                    <pic:cNvPicPr>
                      <a:picLocks noChangeAspect="1" noChangeArrowheads="1"/>
                    </pic:cNvPicPr>
                  </pic:nvPicPr>
                  <pic:blipFill>
                    <a:blip r:embed="rId14" cstate="print">
                      <a:extLst>
                        <a:ext uri="{28A0092B-C50C-407E-A947-70E740481C1C}">
                          <a14:useLocalDpi xmlns:a14="http://schemas.microsoft.com/office/drawing/2010/main" val="0"/>
                        </a:ext>
                      </a:extLst>
                    </a:blip>
                    <a:srcRect l="15033" t="6041" r="20264" b="13693"/>
                    <a:stretch>
                      <a:fillRect/>
                    </a:stretch>
                  </pic:blipFill>
                  <pic:spPr bwMode="auto">
                    <a:xfrm>
                      <a:off x="0" y="0"/>
                      <a:ext cx="4357361" cy="3050434"/>
                    </a:xfrm>
                    <a:prstGeom prst="rect">
                      <a:avLst/>
                    </a:prstGeom>
                    <a:noFill/>
                    <a:ln>
                      <a:noFill/>
                    </a:ln>
                  </pic:spPr>
                </pic:pic>
              </a:graphicData>
            </a:graphic>
          </wp:inline>
        </w:drawing>
      </w:r>
      <w:r w:rsidRPr="0093598C">
        <w:rPr>
          <w:rFonts w:ascii="Calibri" w:eastAsia="Calibri" w:hAnsi="Calibri"/>
          <w:sz w:val="22"/>
          <w:szCs w:val="22"/>
          <w:lang w:eastAsia="en-US"/>
        </w:rPr>
        <w:fldChar w:fldCharType="end"/>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lastRenderedPageBreak/>
        <w:t>Por país de origen, el flujo de inversión extranjera directa provino principalmente de Estados Unidos de Norteamérica (28.9%), España (18.1%), Canadá (10.7%) y Alemania (6.9%).</w:t>
      </w:r>
    </w:p>
    <w:p w:rsidR="00276B9C" w:rsidRPr="002F1F0F" w:rsidRDefault="00276B9C" w:rsidP="00276B9C">
      <w:pPr>
        <w:spacing w:after="360" w:line="360" w:lineRule="auto"/>
        <w:ind w:right="-159"/>
        <w:jc w:val="center"/>
        <w:rPr>
          <w:rFonts w:eastAsia="Calibri"/>
          <w:sz w:val="26"/>
          <w:szCs w:val="26"/>
          <w:lang w:eastAsia="en-US"/>
        </w:rPr>
      </w:pPr>
      <w:r w:rsidRPr="0093598C">
        <w:rPr>
          <w:rFonts w:ascii="Calibri" w:eastAsia="Calibri" w:hAnsi="Calibri"/>
          <w:sz w:val="22"/>
          <w:szCs w:val="22"/>
          <w:lang w:eastAsia="en-US"/>
        </w:rPr>
        <w:fldChar w:fldCharType="begin"/>
      </w:r>
      <w:r w:rsidRPr="0093598C">
        <w:rPr>
          <w:rFonts w:ascii="Calibri" w:eastAsia="Calibri" w:hAnsi="Calibri"/>
          <w:sz w:val="22"/>
          <w:szCs w:val="22"/>
          <w:lang w:eastAsia="en-US"/>
        </w:rPr>
        <w:instrText xml:space="preserve"> LINK PowerPoint.Slide.8 "D:\\2015\\MARZO 2014\\GRÁFICAS EN POWER POINT\\2.- GRÁFICAS DE BALANZA DE PAGOS.pptx!263" "" \a \p </w:instrText>
      </w:r>
      <w:r w:rsidRPr="0093598C">
        <w:rPr>
          <w:rFonts w:ascii="Calibri" w:eastAsia="Calibri" w:hAnsi="Calibri"/>
          <w:sz w:val="22"/>
          <w:szCs w:val="22"/>
          <w:lang w:eastAsia="en-US"/>
        </w:rPr>
        <w:fldChar w:fldCharType="separate"/>
      </w:r>
      <w:r w:rsidRPr="0093598C">
        <w:rPr>
          <w:rFonts w:ascii="Calibri" w:eastAsia="Calibri" w:hAnsi="Calibri"/>
          <w:noProof/>
          <w:sz w:val="22"/>
          <w:szCs w:val="22"/>
          <w:lang w:eastAsia="es-MX"/>
        </w:rPr>
        <w:drawing>
          <wp:inline distT="0" distB="0" distL="0" distR="0" wp14:anchorId="73A541E2" wp14:editId="25DD7B02">
            <wp:extent cx="4880610" cy="3256280"/>
            <wp:effectExtent l="0" t="0" r="0" b="127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15" cstate="print">
                      <a:extLst>
                        <a:ext uri="{28A0092B-C50C-407E-A947-70E740481C1C}">
                          <a14:useLocalDpi xmlns:a14="http://schemas.microsoft.com/office/drawing/2010/main" val="0"/>
                        </a:ext>
                      </a:extLst>
                    </a:blip>
                    <a:srcRect l="11107" r="8633" b="5095"/>
                    <a:stretch>
                      <a:fillRect/>
                    </a:stretch>
                  </pic:blipFill>
                  <pic:spPr bwMode="auto">
                    <a:xfrm>
                      <a:off x="0" y="0"/>
                      <a:ext cx="4880610" cy="3256280"/>
                    </a:xfrm>
                    <a:prstGeom prst="rect">
                      <a:avLst/>
                    </a:prstGeom>
                    <a:noFill/>
                    <a:ln>
                      <a:noFill/>
                    </a:ln>
                  </pic:spPr>
                </pic:pic>
              </a:graphicData>
            </a:graphic>
          </wp:inline>
        </w:drawing>
      </w:r>
      <w:r w:rsidRPr="0093598C">
        <w:rPr>
          <w:rFonts w:ascii="Calibri" w:eastAsia="Calibri" w:hAnsi="Calibri"/>
          <w:sz w:val="22"/>
          <w:szCs w:val="22"/>
          <w:lang w:eastAsia="en-US"/>
        </w:rPr>
        <w:fldChar w:fldCharType="end"/>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 xml:space="preserve">En 2014, la cuenta de inversión de cartera registró un ingreso neto de 46 mil </w:t>
      </w:r>
      <w:r w:rsidR="002C0B6D">
        <w:rPr>
          <w:rFonts w:eastAsia="Calibri"/>
          <w:sz w:val="26"/>
          <w:szCs w:val="26"/>
          <w:lang w:eastAsia="en-US"/>
        </w:rPr>
        <w:t xml:space="preserve">                  </w:t>
      </w:r>
      <w:r w:rsidRPr="002F1F0F">
        <w:rPr>
          <w:rFonts w:eastAsia="Calibri"/>
          <w:sz w:val="26"/>
          <w:szCs w:val="26"/>
          <w:lang w:eastAsia="en-US"/>
        </w:rPr>
        <w:t xml:space="preserve">490 millones de dólares. Esta cifra se derivó de entradas de recursos en el mercado de dinero del sector público por 23 mil 913 millones de dólares; de la colocación neta en el exterior de valores emitidos por el sector público por 12 mil 956 millones de dólares; de un flujo de inversión extranjera en el mercado accionario y de dinero del sector privado por 4 mil 833 millones de dólares; de un aumento neto de valores emitidos en el exterior por el sector privado por 5 mil 541 millones de dólares; y de la compra neta de valores extranjeros por parte de residentes en México por 752 millones de dólares. </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 xml:space="preserve">La cuenta de otra inversión mostró una salida neta de recursos por 5 mil 486 millones de dólares durante el período que se reporta. Dicha cifra se derivó de la combinación de un crecimiento de los créditos netos del sector público por 3 mil 133 millones de dólares, de un incremento de los créditos netos del sector privado por 11 mil </w:t>
      </w:r>
      <w:r w:rsidR="002C0B6D">
        <w:rPr>
          <w:rFonts w:eastAsia="Calibri"/>
          <w:sz w:val="26"/>
          <w:szCs w:val="26"/>
          <w:lang w:eastAsia="en-US"/>
        </w:rPr>
        <w:t xml:space="preserve">                   </w:t>
      </w:r>
      <w:r w:rsidRPr="002F1F0F">
        <w:rPr>
          <w:rFonts w:eastAsia="Calibri"/>
          <w:sz w:val="26"/>
          <w:szCs w:val="26"/>
          <w:lang w:eastAsia="en-US"/>
        </w:rPr>
        <w:lastRenderedPageBreak/>
        <w:t>480 millones de dólares y de una expansión de los activos en el exterior propiedad de residentes en México por 20 mil 99 millones de dólares.</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 xml:space="preserve">Con base en lo anterior, el endeudamiento neto con el exterior considerando tanto el originado mediante la obtención de créditos, como a través de la colocación de valores, ascendió a 33 mil 110 millones de dólares en 2014. Este monto se derivó de disposiciones netas por 16 mil 89 millones de dólares por parte del sector público y por 17 mil 21 millones de dólares por parte del sector privado. </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 xml:space="preserve">En resumen, los principales aspectos que caracterizaron la evolución de la balanza de pagos en 2014 fueron los siguientes: un déficit de la cuenta corriente de 26 mil </w:t>
      </w:r>
      <w:r w:rsidR="002C0B6D">
        <w:rPr>
          <w:rFonts w:eastAsia="Calibri"/>
          <w:sz w:val="26"/>
          <w:szCs w:val="26"/>
          <w:lang w:eastAsia="en-US"/>
        </w:rPr>
        <w:t xml:space="preserve">              </w:t>
      </w:r>
      <w:r w:rsidRPr="002F1F0F">
        <w:rPr>
          <w:rFonts w:eastAsia="Calibri"/>
          <w:sz w:val="26"/>
          <w:szCs w:val="26"/>
          <w:lang w:eastAsia="en-US"/>
        </w:rPr>
        <w:t>545 millones de dólares; una entrada neta de recursos en la cuenta financiera de 55 mil 962 millones de dólares; un flujo negativo de 13 mil 88 millones de dólares en el renglón de errores y omisiones; un aumento de la reserva internacional bruta del Banco de México por 15 mil 482 millones de dólares; y un cambio negativo por valoración de dicha reserva por 847 millones de dólares. Con esto último, el saldo de la reserva internacional bruta se ubicó en 195 mil 682 millones de dólares al cierre de 2014.</w:t>
      </w:r>
    </w:p>
    <w:p w:rsidR="00276B9C" w:rsidRPr="002F1F0F" w:rsidRDefault="00276B9C" w:rsidP="00276B9C">
      <w:pPr>
        <w:spacing w:after="360" w:line="360" w:lineRule="auto"/>
        <w:ind w:right="-159"/>
        <w:jc w:val="center"/>
        <w:rPr>
          <w:rFonts w:eastAsia="Calibri"/>
          <w:sz w:val="26"/>
          <w:szCs w:val="26"/>
          <w:lang w:eastAsia="en-US"/>
        </w:rPr>
      </w:pPr>
      <w:r w:rsidRPr="0093598C">
        <w:rPr>
          <w:rFonts w:ascii="Calibri" w:eastAsia="Calibri" w:hAnsi="Calibri"/>
          <w:sz w:val="22"/>
          <w:szCs w:val="22"/>
          <w:lang w:eastAsia="en-US"/>
        </w:rPr>
        <w:fldChar w:fldCharType="begin"/>
      </w:r>
      <w:r w:rsidRPr="0093598C">
        <w:rPr>
          <w:rFonts w:ascii="Calibri" w:eastAsia="Calibri" w:hAnsi="Calibri"/>
          <w:sz w:val="22"/>
          <w:szCs w:val="22"/>
          <w:lang w:eastAsia="en-US"/>
        </w:rPr>
        <w:instrText xml:space="preserve"> LINK PowerPoint.Slide.8 "D:\\2015\\MARZO 2014\\GRÁFICAS EN POWER POINT\\2.- GRÁFICAS DE BALANZA DE PAGOS.pptx!276" "" \a \p </w:instrText>
      </w:r>
      <w:r w:rsidRPr="0093598C">
        <w:rPr>
          <w:rFonts w:ascii="Calibri" w:eastAsia="Calibri" w:hAnsi="Calibri"/>
          <w:sz w:val="22"/>
          <w:szCs w:val="22"/>
          <w:lang w:eastAsia="en-US"/>
        </w:rPr>
        <w:fldChar w:fldCharType="separate"/>
      </w:r>
      <w:r w:rsidRPr="0093598C">
        <w:rPr>
          <w:rFonts w:ascii="Calibri" w:eastAsia="Calibri" w:hAnsi="Calibri"/>
          <w:noProof/>
          <w:sz w:val="22"/>
          <w:szCs w:val="22"/>
          <w:lang w:eastAsia="es-MX"/>
        </w:rPr>
        <w:drawing>
          <wp:inline distT="0" distB="0" distL="0" distR="0" wp14:anchorId="3CC4B19A" wp14:editId="60DE2B6C">
            <wp:extent cx="5220970" cy="3107690"/>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9"/>
                    <pic:cNvPicPr>
                      <a:picLocks noChangeAspect="1" noChangeArrowheads="1"/>
                    </pic:cNvPicPr>
                  </pic:nvPicPr>
                  <pic:blipFill>
                    <a:blip r:embed="rId16" cstate="print">
                      <a:extLst>
                        <a:ext uri="{28A0092B-C50C-407E-A947-70E740481C1C}">
                          <a14:useLocalDpi xmlns:a14="http://schemas.microsoft.com/office/drawing/2010/main" val="0"/>
                        </a:ext>
                      </a:extLst>
                    </a:blip>
                    <a:srcRect l="6139" t="3706" r="8101" b="5559"/>
                    <a:stretch>
                      <a:fillRect/>
                    </a:stretch>
                  </pic:blipFill>
                  <pic:spPr bwMode="auto">
                    <a:xfrm>
                      <a:off x="0" y="0"/>
                      <a:ext cx="5220970" cy="3107690"/>
                    </a:xfrm>
                    <a:prstGeom prst="rect">
                      <a:avLst/>
                    </a:prstGeom>
                    <a:noFill/>
                    <a:ln>
                      <a:noFill/>
                    </a:ln>
                  </pic:spPr>
                </pic:pic>
              </a:graphicData>
            </a:graphic>
          </wp:inline>
        </w:drawing>
      </w:r>
      <w:r w:rsidRPr="0093598C">
        <w:rPr>
          <w:rFonts w:ascii="Calibri" w:eastAsia="Calibri" w:hAnsi="Calibri"/>
          <w:sz w:val="22"/>
          <w:szCs w:val="22"/>
          <w:lang w:eastAsia="en-US"/>
        </w:rPr>
        <w:fldChar w:fldCharType="end"/>
      </w:r>
    </w:p>
    <w:p w:rsidR="00276B9C" w:rsidRDefault="00276B9C" w:rsidP="00276B9C">
      <w:pPr>
        <w:spacing w:after="360" w:line="360" w:lineRule="auto"/>
        <w:ind w:right="-159"/>
        <w:jc w:val="center"/>
        <w:rPr>
          <w:rFonts w:eastAsia="Calibri"/>
          <w:b/>
          <w:sz w:val="26"/>
          <w:szCs w:val="26"/>
          <w:lang w:eastAsia="en-US"/>
        </w:rPr>
      </w:pPr>
      <w:r w:rsidRPr="0093598C">
        <w:rPr>
          <w:rFonts w:ascii="Calibri" w:eastAsia="Calibri" w:hAnsi="Calibri"/>
          <w:sz w:val="22"/>
          <w:szCs w:val="22"/>
          <w:lang w:eastAsia="en-US"/>
        </w:rPr>
        <w:lastRenderedPageBreak/>
        <w:fldChar w:fldCharType="begin"/>
      </w:r>
      <w:r w:rsidRPr="0093598C">
        <w:rPr>
          <w:rFonts w:ascii="Calibri" w:eastAsia="Calibri" w:hAnsi="Calibri"/>
          <w:sz w:val="22"/>
          <w:szCs w:val="22"/>
          <w:lang w:eastAsia="en-US"/>
        </w:rPr>
        <w:instrText xml:space="preserve"> LINK PowerPoint.Slide.8 "D:\\2015\\MARZO 2014\\GRÁFICAS EN POWER POINT\\2.- GRÁFICAS DE BALANZA DE PAGOS.pptx!277" "" \a \p </w:instrText>
      </w:r>
      <w:r w:rsidRPr="0093598C">
        <w:rPr>
          <w:rFonts w:ascii="Calibri" w:eastAsia="Calibri" w:hAnsi="Calibri"/>
          <w:sz w:val="22"/>
          <w:szCs w:val="22"/>
          <w:lang w:eastAsia="en-US"/>
        </w:rPr>
        <w:fldChar w:fldCharType="separate"/>
      </w:r>
      <w:r w:rsidRPr="0093598C">
        <w:rPr>
          <w:rFonts w:ascii="Calibri" w:eastAsia="Calibri" w:hAnsi="Calibri"/>
          <w:noProof/>
          <w:sz w:val="22"/>
          <w:szCs w:val="22"/>
          <w:lang w:eastAsia="es-MX"/>
        </w:rPr>
        <w:drawing>
          <wp:inline distT="0" distB="0" distL="0" distR="0" wp14:anchorId="4634BD34" wp14:editId="704B4E1A">
            <wp:extent cx="5153025" cy="3429000"/>
            <wp:effectExtent l="0" t="0" r="9525"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1"/>
                    <pic:cNvPicPr>
                      <a:picLocks noChangeAspect="1" noChangeArrowheads="1"/>
                    </pic:cNvPicPr>
                  </pic:nvPicPr>
                  <pic:blipFill>
                    <a:blip r:embed="rId17" cstate="print">
                      <a:extLst>
                        <a:ext uri="{28A0092B-C50C-407E-A947-70E740481C1C}">
                          <a14:useLocalDpi xmlns:a14="http://schemas.microsoft.com/office/drawing/2010/main" val="0"/>
                        </a:ext>
                      </a:extLst>
                    </a:blip>
                    <a:srcRect l="6012" r="9291"/>
                    <a:stretch>
                      <a:fillRect/>
                    </a:stretch>
                  </pic:blipFill>
                  <pic:spPr bwMode="auto">
                    <a:xfrm>
                      <a:off x="0" y="0"/>
                      <a:ext cx="5153025" cy="3429000"/>
                    </a:xfrm>
                    <a:prstGeom prst="rect">
                      <a:avLst/>
                    </a:prstGeom>
                    <a:noFill/>
                    <a:ln>
                      <a:noFill/>
                    </a:ln>
                  </pic:spPr>
                </pic:pic>
              </a:graphicData>
            </a:graphic>
          </wp:inline>
        </w:drawing>
      </w:r>
      <w:r w:rsidRPr="0093598C">
        <w:rPr>
          <w:rFonts w:ascii="Calibri" w:eastAsia="Calibri" w:hAnsi="Calibri"/>
          <w:sz w:val="22"/>
          <w:szCs w:val="22"/>
          <w:lang w:eastAsia="en-US"/>
        </w:rPr>
        <w:fldChar w:fldCharType="end"/>
      </w:r>
    </w:p>
    <w:p w:rsidR="00276B9C" w:rsidRPr="002F1F0F" w:rsidRDefault="00276B9C" w:rsidP="00276B9C">
      <w:pPr>
        <w:spacing w:after="360" w:line="360" w:lineRule="auto"/>
        <w:ind w:right="-159"/>
        <w:jc w:val="both"/>
        <w:rPr>
          <w:rFonts w:eastAsia="Calibri"/>
          <w:b/>
          <w:sz w:val="26"/>
          <w:szCs w:val="26"/>
          <w:lang w:eastAsia="en-US"/>
        </w:rPr>
      </w:pPr>
      <w:r w:rsidRPr="002F1F0F">
        <w:rPr>
          <w:rFonts w:eastAsia="Calibri"/>
          <w:b/>
          <w:sz w:val="26"/>
          <w:szCs w:val="26"/>
          <w:lang w:eastAsia="en-US"/>
        </w:rPr>
        <w:t>Anexo</w:t>
      </w:r>
    </w:p>
    <w:p w:rsidR="00276B9C" w:rsidRPr="002F1F0F" w:rsidRDefault="00276B9C" w:rsidP="00276B9C">
      <w:pPr>
        <w:spacing w:after="360" w:line="360" w:lineRule="auto"/>
        <w:ind w:right="-159"/>
        <w:jc w:val="both"/>
        <w:rPr>
          <w:rFonts w:eastAsia="Calibri"/>
          <w:sz w:val="26"/>
          <w:szCs w:val="26"/>
          <w:lang w:eastAsia="en-US"/>
        </w:rPr>
      </w:pPr>
      <w:r w:rsidRPr="002F1F0F">
        <w:rPr>
          <w:rFonts w:eastAsia="Calibri"/>
          <w:sz w:val="26"/>
          <w:szCs w:val="26"/>
          <w:lang w:eastAsia="en-US"/>
        </w:rPr>
        <w:t>A continuación se presenta el formato con base en el cual se divulgaba previamente el Comunicado de Prensa de la Balanza de Pagos. Una descripción de la concordancia entre la nueva presentación y la anterior se puede encontrar en:</w:t>
      </w:r>
    </w:p>
    <w:p w:rsidR="00276B9C" w:rsidRPr="002C0B6D" w:rsidRDefault="004638E5" w:rsidP="00276B9C">
      <w:pPr>
        <w:spacing w:after="360" w:line="360" w:lineRule="auto"/>
        <w:ind w:right="-159"/>
        <w:jc w:val="both"/>
        <w:rPr>
          <w:rFonts w:eastAsia="Calibri"/>
          <w:color w:val="0000FF"/>
          <w:sz w:val="26"/>
          <w:szCs w:val="26"/>
          <w:u w:val="single"/>
          <w:lang w:eastAsia="en-US"/>
        </w:rPr>
      </w:pPr>
      <w:hyperlink r:id="rId18" w:history="1">
        <w:r w:rsidR="00276B9C" w:rsidRPr="002C0B6D">
          <w:rPr>
            <w:rFonts w:eastAsia="Calibri"/>
            <w:color w:val="0000FF"/>
            <w:sz w:val="26"/>
            <w:szCs w:val="26"/>
            <w:u w:val="single"/>
            <w:lang w:eastAsia="en-US"/>
          </w:rPr>
          <w:t>http://www.banxico.org.mx/estadisticas/sie/%7b74DDD8E3-9A34-D805-9472-992D16FF67E6%7d.pdf</w:t>
        </w:r>
      </w:hyperlink>
    </w:p>
    <w:p w:rsidR="00276B9C" w:rsidRDefault="00276B9C" w:rsidP="00276B9C">
      <w:pPr>
        <w:spacing w:after="360" w:line="360" w:lineRule="auto"/>
        <w:ind w:right="-159"/>
        <w:jc w:val="both"/>
        <w:rPr>
          <w:rFonts w:eastAsia="Calibri"/>
          <w:sz w:val="26"/>
          <w:szCs w:val="26"/>
          <w:u w:val="single"/>
          <w:lang w:eastAsia="en-US"/>
        </w:rPr>
      </w:pPr>
    </w:p>
    <w:p w:rsidR="00276B9C" w:rsidRDefault="00276B9C" w:rsidP="00276B9C">
      <w:pPr>
        <w:spacing w:after="360" w:line="360" w:lineRule="auto"/>
        <w:ind w:right="-159"/>
        <w:jc w:val="both"/>
        <w:rPr>
          <w:rFonts w:eastAsia="Calibri"/>
          <w:sz w:val="26"/>
          <w:szCs w:val="26"/>
          <w:u w:val="single"/>
          <w:lang w:eastAsia="en-US"/>
        </w:rPr>
      </w:pPr>
    </w:p>
    <w:p w:rsidR="002C0B6D" w:rsidRDefault="002C0B6D" w:rsidP="00276B9C">
      <w:pPr>
        <w:spacing w:after="360" w:line="360" w:lineRule="auto"/>
        <w:ind w:right="-159"/>
        <w:jc w:val="both"/>
        <w:rPr>
          <w:rFonts w:eastAsia="Calibri"/>
          <w:sz w:val="26"/>
          <w:szCs w:val="26"/>
          <w:u w:val="single"/>
          <w:lang w:eastAsia="en-US"/>
        </w:rPr>
      </w:pPr>
    </w:p>
    <w:p w:rsidR="00276B9C" w:rsidRPr="00C848DB" w:rsidRDefault="00276B9C" w:rsidP="00276B9C">
      <w:pPr>
        <w:spacing w:after="360" w:line="360" w:lineRule="auto"/>
        <w:ind w:right="-159"/>
        <w:jc w:val="both"/>
        <w:rPr>
          <w:rFonts w:eastAsia="Calibri"/>
          <w:sz w:val="26"/>
          <w:szCs w:val="26"/>
          <w:u w:val="single"/>
          <w:lang w:eastAsia="en-US"/>
        </w:rPr>
      </w:pPr>
    </w:p>
    <w:tbl>
      <w:tblPr>
        <w:tblW w:w="8931" w:type="dxa"/>
        <w:jc w:val="center"/>
        <w:tblLayout w:type="fixed"/>
        <w:tblLook w:val="01E0" w:firstRow="1" w:lastRow="1" w:firstColumn="1" w:lastColumn="1" w:noHBand="0" w:noVBand="0"/>
      </w:tblPr>
      <w:tblGrid>
        <w:gridCol w:w="3623"/>
        <w:gridCol w:w="913"/>
        <w:gridCol w:w="851"/>
        <w:gridCol w:w="850"/>
        <w:gridCol w:w="851"/>
        <w:gridCol w:w="992"/>
        <w:gridCol w:w="851"/>
      </w:tblGrid>
      <w:tr w:rsidR="00276B9C" w:rsidRPr="002F1F0F" w:rsidTr="001E7D79">
        <w:trPr>
          <w:jc w:val="center"/>
        </w:trPr>
        <w:tc>
          <w:tcPr>
            <w:tcW w:w="8931" w:type="dxa"/>
            <w:gridSpan w:val="7"/>
            <w:tcBorders>
              <w:top w:val="nil"/>
              <w:left w:val="nil"/>
              <w:bottom w:val="single" w:sz="4" w:space="0" w:color="auto"/>
              <w:right w:val="nil"/>
            </w:tcBorders>
          </w:tcPr>
          <w:p w:rsidR="00276B9C" w:rsidRPr="002F1F0F" w:rsidRDefault="00276B9C" w:rsidP="001E7D79">
            <w:pPr>
              <w:jc w:val="center"/>
              <w:rPr>
                <w:rFonts w:eastAsia="Times New Roman"/>
                <w:b/>
                <w:sz w:val="20"/>
                <w:szCs w:val="20"/>
                <w:lang w:eastAsia="es-MX"/>
              </w:rPr>
            </w:pPr>
            <w:r w:rsidRPr="002F1F0F">
              <w:rPr>
                <w:rFonts w:eastAsia="Times New Roman"/>
                <w:b/>
                <w:sz w:val="20"/>
                <w:szCs w:val="20"/>
                <w:lang w:eastAsia="es-MX"/>
              </w:rPr>
              <w:lastRenderedPageBreak/>
              <w:t>BALANZA DE PAGOS</w:t>
            </w:r>
          </w:p>
          <w:p w:rsidR="00276B9C" w:rsidRPr="002F1F0F" w:rsidRDefault="00276B9C" w:rsidP="001E7D79">
            <w:pPr>
              <w:jc w:val="center"/>
              <w:rPr>
                <w:rFonts w:eastAsia="Times New Roman"/>
                <w:b/>
                <w:sz w:val="20"/>
                <w:szCs w:val="20"/>
                <w:lang w:eastAsia="es-MX"/>
              </w:rPr>
            </w:pPr>
            <w:r w:rsidRPr="002F1F0F">
              <w:rPr>
                <w:rFonts w:eastAsia="Times New Roman"/>
                <w:b/>
                <w:sz w:val="20"/>
                <w:szCs w:val="20"/>
                <w:lang w:eastAsia="es-MX"/>
              </w:rPr>
              <w:t>Presentación Anterior</w:t>
            </w:r>
          </w:p>
          <w:p w:rsidR="00276B9C" w:rsidRPr="002F1F0F" w:rsidRDefault="00276B9C" w:rsidP="001E7D79">
            <w:pPr>
              <w:spacing w:after="120"/>
              <w:jc w:val="center"/>
              <w:rPr>
                <w:rFonts w:eastAsia="Times New Roman"/>
                <w:b/>
                <w:sz w:val="20"/>
                <w:szCs w:val="20"/>
                <w:lang w:val="pt-BR" w:eastAsia="es-MX"/>
              </w:rPr>
            </w:pPr>
            <w:r w:rsidRPr="002F1F0F">
              <w:rPr>
                <w:rFonts w:eastAsia="Times New Roman"/>
                <w:b/>
                <w:sz w:val="20"/>
                <w:szCs w:val="20"/>
                <w:lang w:eastAsia="es-MX"/>
              </w:rPr>
              <w:t>-Millones de dólares-</w:t>
            </w:r>
          </w:p>
        </w:tc>
      </w:tr>
      <w:tr w:rsidR="00276B9C" w:rsidRPr="002F1F0F" w:rsidTr="001E7D79">
        <w:trPr>
          <w:jc w:val="center"/>
        </w:trPr>
        <w:tc>
          <w:tcPr>
            <w:tcW w:w="3623" w:type="dxa"/>
            <w:tcBorders>
              <w:top w:val="single" w:sz="4" w:space="0" w:color="auto"/>
              <w:left w:val="single" w:sz="4" w:space="0" w:color="auto"/>
              <w:bottom w:val="nil"/>
              <w:right w:val="single" w:sz="4" w:space="0" w:color="auto"/>
            </w:tcBorders>
          </w:tcPr>
          <w:p w:rsidR="00276B9C" w:rsidRPr="002F1F0F" w:rsidRDefault="00276B9C" w:rsidP="001E7D79">
            <w:pPr>
              <w:jc w:val="center"/>
              <w:rPr>
                <w:rFonts w:eastAsia="Times New Roman"/>
                <w:b/>
                <w:sz w:val="18"/>
                <w:szCs w:val="18"/>
                <w:lang w:val="pt-BR" w:eastAsia="es-MX"/>
              </w:rPr>
            </w:pPr>
          </w:p>
        </w:tc>
        <w:tc>
          <w:tcPr>
            <w:tcW w:w="913" w:type="dxa"/>
            <w:tcBorders>
              <w:top w:val="single" w:sz="4" w:space="0" w:color="auto"/>
              <w:left w:val="single" w:sz="4" w:space="0" w:color="auto"/>
              <w:bottom w:val="single" w:sz="4" w:space="0" w:color="auto"/>
              <w:right w:val="single" w:sz="4" w:space="0" w:color="auto"/>
            </w:tcBorders>
          </w:tcPr>
          <w:p w:rsidR="00276B9C" w:rsidRPr="002F1F0F" w:rsidRDefault="00276B9C" w:rsidP="001E7D79">
            <w:pPr>
              <w:jc w:val="center"/>
              <w:rPr>
                <w:rFonts w:eastAsia="Times New Roman"/>
                <w:b/>
                <w:sz w:val="18"/>
                <w:szCs w:val="18"/>
                <w:lang w:val="pt-BR" w:eastAsia="es-MX"/>
              </w:rPr>
            </w:pPr>
            <w:r w:rsidRPr="002F1F0F">
              <w:rPr>
                <w:rFonts w:eastAsia="Times New Roman"/>
                <w:b/>
                <w:sz w:val="18"/>
                <w:szCs w:val="18"/>
                <w:lang w:val="pt-BR" w:eastAsia="es-MX"/>
              </w:rPr>
              <w:t>2013</w:t>
            </w:r>
          </w:p>
        </w:tc>
        <w:tc>
          <w:tcPr>
            <w:tcW w:w="4395" w:type="dxa"/>
            <w:gridSpan w:val="5"/>
            <w:tcBorders>
              <w:top w:val="single" w:sz="4" w:space="0" w:color="auto"/>
              <w:left w:val="single" w:sz="4" w:space="0" w:color="auto"/>
              <w:bottom w:val="single" w:sz="4" w:space="0" w:color="auto"/>
              <w:right w:val="single" w:sz="4" w:space="0" w:color="auto"/>
            </w:tcBorders>
          </w:tcPr>
          <w:p w:rsidR="00276B9C" w:rsidRPr="002F1F0F" w:rsidRDefault="00276B9C" w:rsidP="001E7D79">
            <w:pPr>
              <w:jc w:val="center"/>
              <w:rPr>
                <w:rFonts w:eastAsia="Times New Roman"/>
                <w:b/>
                <w:sz w:val="18"/>
                <w:szCs w:val="18"/>
                <w:lang w:val="pt-BR" w:eastAsia="es-MX"/>
              </w:rPr>
            </w:pPr>
            <w:r w:rsidRPr="002F1F0F">
              <w:rPr>
                <w:rFonts w:eastAsia="Times New Roman"/>
                <w:b/>
                <w:sz w:val="18"/>
                <w:szCs w:val="18"/>
                <w:lang w:val="pt-BR" w:eastAsia="es-MX"/>
              </w:rPr>
              <w:t>2014</w:t>
            </w:r>
          </w:p>
        </w:tc>
      </w:tr>
      <w:tr w:rsidR="00276B9C" w:rsidRPr="002F1F0F" w:rsidTr="001E7D79">
        <w:trPr>
          <w:jc w:val="center"/>
        </w:trPr>
        <w:tc>
          <w:tcPr>
            <w:tcW w:w="3623" w:type="dxa"/>
            <w:tcBorders>
              <w:top w:val="nil"/>
              <w:left w:val="single" w:sz="4" w:space="0" w:color="auto"/>
              <w:bottom w:val="single" w:sz="4" w:space="0" w:color="auto"/>
              <w:right w:val="single" w:sz="4" w:space="0" w:color="auto"/>
            </w:tcBorders>
          </w:tcPr>
          <w:p w:rsidR="00276B9C" w:rsidRPr="002F1F0F" w:rsidRDefault="00276B9C" w:rsidP="001E7D79">
            <w:pPr>
              <w:jc w:val="center"/>
              <w:rPr>
                <w:rFonts w:eastAsia="Times New Roman"/>
                <w:b/>
                <w:sz w:val="18"/>
                <w:szCs w:val="18"/>
                <w:lang w:val="pt-BR" w:eastAsia="es-MX"/>
              </w:rPr>
            </w:pPr>
          </w:p>
        </w:tc>
        <w:tc>
          <w:tcPr>
            <w:tcW w:w="913" w:type="dxa"/>
            <w:tcBorders>
              <w:top w:val="nil"/>
              <w:left w:val="single" w:sz="4" w:space="0" w:color="auto"/>
              <w:bottom w:val="single" w:sz="4" w:space="0" w:color="auto"/>
              <w:right w:val="single" w:sz="4" w:space="0" w:color="auto"/>
            </w:tcBorders>
          </w:tcPr>
          <w:p w:rsidR="00276B9C" w:rsidRPr="002F1F0F" w:rsidRDefault="00276B9C" w:rsidP="001E7D79">
            <w:pPr>
              <w:ind w:left="-57" w:right="-57"/>
              <w:jc w:val="center"/>
              <w:rPr>
                <w:rFonts w:eastAsia="Times New Roman"/>
                <w:b/>
                <w:sz w:val="18"/>
                <w:szCs w:val="18"/>
                <w:lang w:val="pt-BR" w:eastAsia="es-MX"/>
              </w:rPr>
            </w:pPr>
            <w:r w:rsidRPr="002F1F0F">
              <w:rPr>
                <w:rFonts w:eastAsia="Times New Roman"/>
                <w:b/>
                <w:sz w:val="18"/>
                <w:szCs w:val="18"/>
                <w:lang w:val="pt-BR" w:eastAsia="es-MX"/>
              </w:rPr>
              <w:t>Anual</w:t>
            </w:r>
          </w:p>
        </w:tc>
        <w:tc>
          <w:tcPr>
            <w:tcW w:w="851" w:type="dxa"/>
            <w:tcBorders>
              <w:top w:val="nil"/>
              <w:left w:val="single" w:sz="4" w:space="0" w:color="auto"/>
              <w:bottom w:val="single" w:sz="4" w:space="0" w:color="auto"/>
              <w:right w:val="single" w:sz="4" w:space="0" w:color="auto"/>
            </w:tcBorders>
          </w:tcPr>
          <w:p w:rsidR="00276B9C" w:rsidRPr="002F1F0F" w:rsidRDefault="00276B9C" w:rsidP="001E7D79">
            <w:pPr>
              <w:ind w:left="-57"/>
              <w:jc w:val="center"/>
              <w:rPr>
                <w:rFonts w:eastAsia="Times New Roman"/>
                <w:b/>
                <w:sz w:val="18"/>
                <w:szCs w:val="18"/>
                <w:lang w:val="pt-BR" w:eastAsia="es-MX"/>
              </w:rPr>
            </w:pPr>
            <w:r w:rsidRPr="002F1F0F">
              <w:rPr>
                <w:rFonts w:eastAsia="Times New Roman"/>
                <w:b/>
                <w:sz w:val="18"/>
                <w:szCs w:val="18"/>
                <w:lang w:val="pt-BR" w:eastAsia="es-MX"/>
              </w:rPr>
              <w:t xml:space="preserve">I </w:t>
            </w:r>
            <w:proofErr w:type="spellStart"/>
            <w:r w:rsidRPr="002F1F0F">
              <w:rPr>
                <w:rFonts w:eastAsia="Times New Roman"/>
                <w:b/>
                <w:sz w:val="18"/>
                <w:szCs w:val="18"/>
                <w:lang w:val="pt-BR" w:eastAsia="es-MX"/>
              </w:rPr>
              <w:t>Trim</w:t>
            </w:r>
            <w:proofErr w:type="spellEnd"/>
          </w:p>
        </w:tc>
        <w:tc>
          <w:tcPr>
            <w:tcW w:w="850" w:type="dxa"/>
            <w:tcBorders>
              <w:top w:val="nil"/>
              <w:left w:val="single" w:sz="4" w:space="0" w:color="auto"/>
              <w:bottom w:val="single" w:sz="4" w:space="0" w:color="auto"/>
              <w:right w:val="single" w:sz="4" w:space="0" w:color="auto"/>
            </w:tcBorders>
          </w:tcPr>
          <w:p w:rsidR="00276B9C" w:rsidRPr="002F1F0F" w:rsidRDefault="00276B9C" w:rsidP="001E7D79">
            <w:pPr>
              <w:jc w:val="center"/>
              <w:rPr>
                <w:rFonts w:eastAsia="Times New Roman"/>
                <w:b/>
                <w:sz w:val="18"/>
                <w:szCs w:val="18"/>
                <w:lang w:val="pt-BR" w:eastAsia="es-MX"/>
              </w:rPr>
            </w:pPr>
            <w:r w:rsidRPr="002F1F0F">
              <w:rPr>
                <w:rFonts w:eastAsia="Times New Roman"/>
                <w:b/>
                <w:sz w:val="18"/>
                <w:szCs w:val="18"/>
                <w:lang w:val="pt-BR" w:eastAsia="es-MX"/>
              </w:rPr>
              <w:t xml:space="preserve">II </w:t>
            </w:r>
            <w:proofErr w:type="spellStart"/>
            <w:r w:rsidRPr="002F1F0F">
              <w:rPr>
                <w:rFonts w:eastAsia="Times New Roman"/>
                <w:b/>
                <w:sz w:val="18"/>
                <w:szCs w:val="18"/>
                <w:lang w:val="pt-BR" w:eastAsia="es-MX"/>
              </w:rPr>
              <w:t>Trim</w:t>
            </w:r>
            <w:proofErr w:type="spellEnd"/>
          </w:p>
        </w:tc>
        <w:tc>
          <w:tcPr>
            <w:tcW w:w="851" w:type="dxa"/>
            <w:tcBorders>
              <w:top w:val="nil"/>
              <w:left w:val="single" w:sz="4" w:space="0" w:color="auto"/>
              <w:bottom w:val="single" w:sz="4" w:space="0" w:color="auto"/>
              <w:right w:val="single" w:sz="4" w:space="0" w:color="auto"/>
            </w:tcBorders>
          </w:tcPr>
          <w:p w:rsidR="00276B9C" w:rsidRPr="002F1F0F" w:rsidRDefault="00276B9C" w:rsidP="001E7D79">
            <w:pPr>
              <w:ind w:left="-57"/>
              <w:jc w:val="center"/>
              <w:rPr>
                <w:rFonts w:eastAsia="Times New Roman"/>
                <w:b/>
                <w:sz w:val="18"/>
                <w:szCs w:val="18"/>
                <w:lang w:val="pt-BR" w:eastAsia="es-MX"/>
              </w:rPr>
            </w:pPr>
            <w:r w:rsidRPr="002F1F0F">
              <w:rPr>
                <w:rFonts w:eastAsia="Times New Roman"/>
                <w:b/>
                <w:sz w:val="18"/>
                <w:szCs w:val="18"/>
                <w:lang w:val="pt-BR" w:eastAsia="es-MX"/>
              </w:rPr>
              <w:t xml:space="preserve">III </w:t>
            </w:r>
            <w:proofErr w:type="spellStart"/>
            <w:r w:rsidRPr="002F1F0F">
              <w:rPr>
                <w:rFonts w:eastAsia="Times New Roman"/>
                <w:b/>
                <w:sz w:val="18"/>
                <w:szCs w:val="18"/>
                <w:lang w:val="pt-BR" w:eastAsia="es-MX"/>
              </w:rPr>
              <w:t>Trim</w:t>
            </w:r>
            <w:proofErr w:type="spellEnd"/>
          </w:p>
        </w:tc>
        <w:tc>
          <w:tcPr>
            <w:tcW w:w="992" w:type="dxa"/>
            <w:tcBorders>
              <w:top w:val="nil"/>
              <w:left w:val="single" w:sz="4" w:space="0" w:color="auto"/>
              <w:bottom w:val="single" w:sz="4" w:space="0" w:color="auto"/>
              <w:right w:val="single" w:sz="4" w:space="0" w:color="auto"/>
            </w:tcBorders>
          </w:tcPr>
          <w:p w:rsidR="00276B9C" w:rsidRPr="002F1F0F" w:rsidRDefault="00276B9C" w:rsidP="001E7D79">
            <w:pPr>
              <w:jc w:val="center"/>
              <w:rPr>
                <w:rFonts w:eastAsia="Times New Roman"/>
                <w:b/>
                <w:sz w:val="18"/>
                <w:szCs w:val="18"/>
                <w:lang w:val="pt-BR" w:eastAsia="es-MX"/>
              </w:rPr>
            </w:pPr>
            <w:r w:rsidRPr="002F1F0F">
              <w:rPr>
                <w:rFonts w:eastAsia="Times New Roman"/>
                <w:b/>
                <w:sz w:val="18"/>
                <w:szCs w:val="18"/>
                <w:lang w:val="pt-BR" w:eastAsia="es-MX"/>
              </w:rPr>
              <w:t xml:space="preserve">IV </w:t>
            </w:r>
            <w:proofErr w:type="spellStart"/>
            <w:r w:rsidRPr="002F1F0F">
              <w:rPr>
                <w:rFonts w:eastAsia="Times New Roman"/>
                <w:b/>
                <w:sz w:val="18"/>
                <w:szCs w:val="18"/>
                <w:lang w:val="pt-BR" w:eastAsia="es-MX"/>
              </w:rPr>
              <w:t>Trim</w:t>
            </w:r>
            <w:proofErr w:type="spellEnd"/>
          </w:p>
        </w:tc>
        <w:tc>
          <w:tcPr>
            <w:tcW w:w="851" w:type="dxa"/>
            <w:tcBorders>
              <w:top w:val="nil"/>
              <w:left w:val="single" w:sz="4" w:space="0" w:color="auto"/>
              <w:bottom w:val="single" w:sz="4" w:space="0" w:color="auto"/>
              <w:right w:val="single" w:sz="4" w:space="0" w:color="auto"/>
            </w:tcBorders>
          </w:tcPr>
          <w:p w:rsidR="00276B9C" w:rsidRPr="002F1F0F" w:rsidRDefault="00276B9C" w:rsidP="001E7D79">
            <w:pPr>
              <w:ind w:left="-57"/>
              <w:jc w:val="center"/>
              <w:rPr>
                <w:rFonts w:eastAsia="Times New Roman"/>
                <w:b/>
                <w:sz w:val="18"/>
                <w:szCs w:val="18"/>
                <w:lang w:val="pt-BR" w:eastAsia="es-MX"/>
              </w:rPr>
            </w:pPr>
            <w:r w:rsidRPr="002F1F0F">
              <w:rPr>
                <w:rFonts w:eastAsia="Times New Roman"/>
                <w:b/>
                <w:sz w:val="18"/>
                <w:szCs w:val="18"/>
                <w:lang w:val="pt-BR" w:eastAsia="es-MX"/>
              </w:rPr>
              <w:t>Anual</w:t>
            </w:r>
          </w:p>
        </w:tc>
      </w:tr>
      <w:tr w:rsidR="00276B9C" w:rsidRPr="002F1F0F" w:rsidTr="001E7D79">
        <w:trPr>
          <w:jc w:val="center"/>
        </w:trPr>
        <w:tc>
          <w:tcPr>
            <w:tcW w:w="3623" w:type="dxa"/>
            <w:tcBorders>
              <w:top w:val="single" w:sz="4" w:space="0" w:color="auto"/>
              <w:left w:val="single" w:sz="4" w:space="0" w:color="auto"/>
              <w:bottom w:val="nil"/>
              <w:right w:val="single" w:sz="4" w:space="0" w:color="auto"/>
            </w:tcBorders>
          </w:tcPr>
          <w:p w:rsidR="00276B9C" w:rsidRPr="002F1F0F" w:rsidRDefault="00276B9C" w:rsidP="001E7D79">
            <w:pPr>
              <w:jc w:val="both"/>
              <w:rPr>
                <w:rFonts w:eastAsia="Times New Roman"/>
                <w:b/>
                <w:sz w:val="18"/>
                <w:szCs w:val="18"/>
                <w:lang w:eastAsia="es-MX"/>
              </w:rPr>
            </w:pPr>
            <w:r w:rsidRPr="002F1F0F">
              <w:rPr>
                <w:rFonts w:eastAsia="Times New Roman"/>
                <w:b/>
                <w:sz w:val="18"/>
                <w:szCs w:val="18"/>
                <w:lang w:eastAsia="es-MX"/>
              </w:rPr>
              <w:t>Cuenta Corriente</w:t>
            </w:r>
          </w:p>
        </w:tc>
        <w:tc>
          <w:tcPr>
            <w:tcW w:w="913" w:type="dxa"/>
            <w:tcBorders>
              <w:top w:val="single" w:sz="4" w:space="0" w:color="auto"/>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-29 682</w:t>
            </w:r>
          </w:p>
        </w:tc>
        <w:tc>
          <w:tcPr>
            <w:tcW w:w="851" w:type="dxa"/>
            <w:tcBorders>
              <w:top w:val="single" w:sz="4" w:space="0" w:color="auto"/>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-10 587</w:t>
            </w:r>
          </w:p>
        </w:tc>
        <w:tc>
          <w:tcPr>
            <w:tcW w:w="850" w:type="dxa"/>
            <w:tcBorders>
              <w:top w:val="single" w:sz="4" w:space="0" w:color="auto"/>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-7 869</w:t>
            </w:r>
          </w:p>
        </w:tc>
        <w:tc>
          <w:tcPr>
            <w:tcW w:w="851" w:type="dxa"/>
            <w:tcBorders>
              <w:top w:val="single" w:sz="4" w:space="0" w:color="auto"/>
              <w:left w:val="single" w:sz="4" w:space="0" w:color="auto"/>
              <w:bottom w:val="nil"/>
              <w:right w:val="single" w:sz="4" w:space="0" w:color="auto"/>
            </w:tcBorders>
          </w:tcPr>
          <w:p w:rsidR="00276B9C" w:rsidRPr="002F1F0F" w:rsidRDefault="00276B9C" w:rsidP="001E7D79">
            <w:pPr>
              <w:ind w:right="113"/>
              <w:jc w:val="right"/>
              <w:rPr>
                <w:rFonts w:eastAsia="Times New Roman"/>
                <w:b/>
                <w:sz w:val="18"/>
                <w:szCs w:val="18"/>
                <w:lang w:eastAsia="es-MX"/>
              </w:rPr>
            </w:pPr>
            <w:r w:rsidRPr="002F1F0F">
              <w:rPr>
                <w:rFonts w:eastAsia="Times New Roman"/>
                <w:b/>
                <w:sz w:val="18"/>
                <w:szCs w:val="18"/>
                <w:lang w:eastAsia="es-MX"/>
              </w:rPr>
              <w:t>-2 780</w:t>
            </w:r>
          </w:p>
        </w:tc>
        <w:tc>
          <w:tcPr>
            <w:tcW w:w="992" w:type="dxa"/>
            <w:tcBorders>
              <w:top w:val="single" w:sz="4" w:space="0" w:color="auto"/>
              <w:left w:val="single" w:sz="4" w:space="0" w:color="auto"/>
              <w:bottom w:val="nil"/>
              <w:right w:val="single" w:sz="4" w:space="0" w:color="auto"/>
            </w:tcBorders>
          </w:tcPr>
          <w:p w:rsidR="00276B9C" w:rsidRPr="002F1F0F" w:rsidRDefault="00276B9C" w:rsidP="001E7D79">
            <w:pPr>
              <w:ind w:right="170"/>
              <w:jc w:val="right"/>
              <w:rPr>
                <w:rFonts w:eastAsia="Times New Roman"/>
                <w:b/>
                <w:sz w:val="18"/>
                <w:szCs w:val="18"/>
                <w:lang w:eastAsia="es-MX"/>
              </w:rPr>
            </w:pPr>
            <w:r w:rsidRPr="002F1F0F">
              <w:rPr>
                <w:rFonts w:eastAsia="Times New Roman"/>
                <w:b/>
                <w:sz w:val="18"/>
                <w:szCs w:val="18"/>
                <w:lang w:eastAsia="es-MX"/>
              </w:rPr>
              <w:t>-5 310</w:t>
            </w:r>
          </w:p>
        </w:tc>
        <w:tc>
          <w:tcPr>
            <w:tcW w:w="851" w:type="dxa"/>
            <w:tcBorders>
              <w:top w:val="single" w:sz="4" w:space="0" w:color="auto"/>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-26 545</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jc w:val="both"/>
              <w:rPr>
                <w:rFonts w:eastAsia="Times New Roman"/>
                <w:b/>
                <w:sz w:val="18"/>
                <w:szCs w:val="18"/>
                <w:lang w:eastAsia="es-MX"/>
              </w:rPr>
            </w:pPr>
            <w:r w:rsidRPr="002F1F0F">
              <w:rPr>
                <w:rFonts w:eastAsia="Times New Roman"/>
                <w:b/>
                <w:sz w:val="18"/>
                <w:szCs w:val="18"/>
                <w:lang w:eastAsia="es-MX"/>
              </w:rPr>
              <w:t>Cuenta de Capital</w:t>
            </w:r>
          </w:p>
        </w:tc>
        <w:tc>
          <w:tcPr>
            <w:tcW w:w="91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65 087</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14 984</w:t>
            </w:r>
          </w:p>
        </w:tc>
        <w:tc>
          <w:tcPr>
            <w:tcW w:w="850"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25 003</w:t>
            </w:r>
          </w:p>
        </w:tc>
        <w:tc>
          <w:tcPr>
            <w:tcW w:w="851"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18"/>
                <w:szCs w:val="18"/>
                <w:lang w:eastAsia="es-MX"/>
              </w:rPr>
            </w:pPr>
            <w:r w:rsidRPr="002F1F0F">
              <w:rPr>
                <w:rFonts w:eastAsia="Times New Roman"/>
                <w:b/>
                <w:sz w:val="18"/>
                <w:szCs w:val="18"/>
                <w:lang w:eastAsia="es-MX"/>
              </w:rPr>
              <w:t>-764</w:t>
            </w:r>
          </w:p>
        </w:tc>
        <w:tc>
          <w:tcPr>
            <w:tcW w:w="992"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b/>
                <w:sz w:val="18"/>
                <w:szCs w:val="18"/>
                <w:lang w:eastAsia="es-MX"/>
              </w:rPr>
            </w:pPr>
            <w:r w:rsidRPr="002F1F0F">
              <w:rPr>
                <w:rFonts w:eastAsia="Times New Roman"/>
                <w:b/>
                <w:sz w:val="18"/>
                <w:szCs w:val="18"/>
                <w:lang w:eastAsia="es-MX"/>
              </w:rPr>
              <w:t>17 975</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57 198</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ind w:left="113"/>
              <w:jc w:val="both"/>
              <w:rPr>
                <w:rFonts w:eastAsia="Times New Roman"/>
                <w:b/>
                <w:sz w:val="18"/>
                <w:szCs w:val="18"/>
                <w:lang w:eastAsia="es-MX"/>
              </w:rPr>
            </w:pPr>
            <w:r w:rsidRPr="002F1F0F">
              <w:rPr>
                <w:rFonts w:eastAsia="Times New Roman"/>
                <w:b/>
                <w:sz w:val="18"/>
                <w:szCs w:val="18"/>
                <w:lang w:eastAsia="es-MX"/>
              </w:rPr>
              <w:t>Pasivos</w:t>
            </w:r>
          </w:p>
        </w:tc>
        <w:tc>
          <w:tcPr>
            <w:tcW w:w="91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107 735</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18 991</w:t>
            </w:r>
          </w:p>
        </w:tc>
        <w:tc>
          <w:tcPr>
            <w:tcW w:w="850"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36 452</w:t>
            </w:r>
          </w:p>
        </w:tc>
        <w:tc>
          <w:tcPr>
            <w:tcW w:w="851"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18"/>
                <w:szCs w:val="18"/>
                <w:lang w:eastAsia="es-MX"/>
              </w:rPr>
            </w:pPr>
            <w:r w:rsidRPr="002F1F0F">
              <w:rPr>
                <w:rFonts w:eastAsia="Times New Roman"/>
                <w:b/>
                <w:sz w:val="18"/>
                <w:szCs w:val="18"/>
                <w:lang w:eastAsia="es-MX"/>
              </w:rPr>
              <w:t>7 444</w:t>
            </w:r>
          </w:p>
        </w:tc>
        <w:tc>
          <w:tcPr>
            <w:tcW w:w="992"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b/>
                <w:sz w:val="18"/>
                <w:szCs w:val="18"/>
                <w:lang w:eastAsia="es-MX"/>
              </w:rPr>
            </w:pPr>
            <w:r w:rsidRPr="002F1F0F">
              <w:rPr>
                <w:rFonts w:eastAsia="Times New Roman"/>
                <w:b/>
                <w:sz w:val="18"/>
                <w:szCs w:val="18"/>
                <w:lang w:eastAsia="es-MX"/>
              </w:rPr>
              <w:t>21 537</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84 424</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ind w:left="227"/>
              <w:jc w:val="both"/>
              <w:rPr>
                <w:rFonts w:eastAsia="Times New Roman"/>
                <w:sz w:val="18"/>
                <w:szCs w:val="18"/>
                <w:lang w:eastAsia="es-MX"/>
              </w:rPr>
            </w:pPr>
            <w:r w:rsidRPr="002F1F0F">
              <w:rPr>
                <w:rFonts w:eastAsia="Times New Roman"/>
                <w:sz w:val="18"/>
                <w:szCs w:val="18"/>
                <w:lang w:eastAsia="es-MX"/>
              </w:rPr>
              <w:t>Endeudamiento</w:t>
            </w:r>
          </w:p>
        </w:tc>
        <w:tc>
          <w:tcPr>
            <w:tcW w:w="91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42 506</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2 815</w:t>
            </w:r>
          </w:p>
        </w:tc>
        <w:tc>
          <w:tcPr>
            <w:tcW w:w="850"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20 242</w:t>
            </w:r>
          </w:p>
        </w:tc>
        <w:tc>
          <w:tcPr>
            <w:tcW w:w="851"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2 962</w:t>
            </w:r>
          </w:p>
        </w:tc>
        <w:tc>
          <w:tcPr>
            <w:tcW w:w="992"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7 091</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33 110</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ind w:left="340"/>
              <w:jc w:val="both"/>
              <w:rPr>
                <w:rFonts w:eastAsia="Times New Roman"/>
                <w:sz w:val="18"/>
                <w:szCs w:val="18"/>
                <w:lang w:eastAsia="es-MX"/>
              </w:rPr>
            </w:pPr>
            <w:r w:rsidRPr="002F1F0F">
              <w:rPr>
                <w:rFonts w:eastAsia="Times New Roman"/>
                <w:sz w:val="18"/>
                <w:szCs w:val="18"/>
                <w:lang w:eastAsia="es-MX"/>
              </w:rPr>
              <w:t>Banca de Desarrollo</w:t>
            </w:r>
          </w:p>
        </w:tc>
        <w:tc>
          <w:tcPr>
            <w:tcW w:w="91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426</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323</w:t>
            </w:r>
          </w:p>
        </w:tc>
        <w:tc>
          <w:tcPr>
            <w:tcW w:w="850"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-319</w:t>
            </w:r>
          </w:p>
        </w:tc>
        <w:tc>
          <w:tcPr>
            <w:tcW w:w="851"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184</w:t>
            </w:r>
          </w:p>
        </w:tc>
        <w:tc>
          <w:tcPr>
            <w:tcW w:w="992"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682</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870</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ind w:left="340"/>
              <w:jc w:val="both"/>
              <w:rPr>
                <w:rFonts w:eastAsia="Times New Roman"/>
                <w:sz w:val="18"/>
                <w:szCs w:val="18"/>
                <w:lang w:eastAsia="es-MX"/>
              </w:rPr>
            </w:pPr>
            <w:r w:rsidRPr="002F1F0F">
              <w:rPr>
                <w:rFonts w:eastAsia="Times New Roman"/>
                <w:sz w:val="18"/>
                <w:szCs w:val="18"/>
                <w:lang w:eastAsia="es-MX"/>
              </w:rPr>
              <w:t>Banca Comercial</w:t>
            </w:r>
          </w:p>
        </w:tc>
        <w:tc>
          <w:tcPr>
            <w:tcW w:w="91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15 112</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-5 488</w:t>
            </w:r>
          </w:p>
        </w:tc>
        <w:tc>
          <w:tcPr>
            <w:tcW w:w="850"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9 648</w:t>
            </w:r>
          </w:p>
        </w:tc>
        <w:tc>
          <w:tcPr>
            <w:tcW w:w="851"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316</w:t>
            </w:r>
          </w:p>
        </w:tc>
        <w:tc>
          <w:tcPr>
            <w:tcW w:w="992"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3 705</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8 182</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ind w:left="340"/>
              <w:jc w:val="both"/>
              <w:rPr>
                <w:rFonts w:eastAsia="Times New Roman"/>
                <w:sz w:val="18"/>
                <w:szCs w:val="18"/>
                <w:lang w:eastAsia="es-MX"/>
              </w:rPr>
            </w:pPr>
            <w:r w:rsidRPr="002F1F0F">
              <w:rPr>
                <w:rFonts w:eastAsia="Times New Roman"/>
                <w:sz w:val="18"/>
                <w:szCs w:val="18"/>
                <w:lang w:eastAsia="es-MX"/>
              </w:rPr>
              <w:t>Banco de México</w:t>
            </w:r>
          </w:p>
        </w:tc>
        <w:tc>
          <w:tcPr>
            <w:tcW w:w="91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0</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0</w:t>
            </w:r>
          </w:p>
        </w:tc>
        <w:tc>
          <w:tcPr>
            <w:tcW w:w="850"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0</w:t>
            </w:r>
          </w:p>
        </w:tc>
        <w:tc>
          <w:tcPr>
            <w:tcW w:w="851"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0</w:t>
            </w:r>
          </w:p>
        </w:tc>
        <w:tc>
          <w:tcPr>
            <w:tcW w:w="992"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0</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0</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ind w:left="340"/>
              <w:jc w:val="both"/>
              <w:rPr>
                <w:rFonts w:eastAsia="Times New Roman"/>
                <w:sz w:val="18"/>
                <w:szCs w:val="18"/>
                <w:lang w:eastAsia="es-MX"/>
              </w:rPr>
            </w:pPr>
            <w:r w:rsidRPr="002F1F0F">
              <w:rPr>
                <w:rFonts w:eastAsia="Times New Roman"/>
                <w:sz w:val="18"/>
                <w:szCs w:val="18"/>
                <w:lang w:eastAsia="es-MX"/>
              </w:rPr>
              <w:t>Sector Público No Bancario</w:t>
            </w:r>
          </w:p>
        </w:tc>
        <w:tc>
          <w:tcPr>
            <w:tcW w:w="913" w:type="dxa"/>
            <w:tcBorders>
              <w:top w:val="nil"/>
              <w:left w:val="single" w:sz="4" w:space="0" w:color="auto"/>
              <w:bottom w:val="nil"/>
              <w:right w:val="single" w:sz="4" w:space="0" w:color="auto"/>
            </w:tcBorders>
            <w:vAlign w:val="center"/>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8 204</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7 462</w:t>
            </w:r>
          </w:p>
        </w:tc>
        <w:tc>
          <w:tcPr>
            <w:tcW w:w="850" w:type="dxa"/>
            <w:tcBorders>
              <w:top w:val="nil"/>
              <w:left w:val="single" w:sz="4" w:space="0" w:color="auto"/>
              <w:bottom w:val="nil"/>
              <w:right w:val="single" w:sz="4" w:space="0" w:color="auto"/>
            </w:tcBorders>
            <w:vAlign w:val="center"/>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5 066</w:t>
            </w:r>
          </w:p>
        </w:tc>
        <w:tc>
          <w:tcPr>
            <w:tcW w:w="851" w:type="dxa"/>
            <w:tcBorders>
              <w:top w:val="nil"/>
              <w:left w:val="single" w:sz="4" w:space="0" w:color="auto"/>
              <w:bottom w:val="nil"/>
              <w:right w:val="single" w:sz="4" w:space="0" w:color="auto"/>
            </w:tcBorders>
            <w:vAlign w:val="center"/>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658</w:t>
            </w:r>
          </w:p>
        </w:tc>
        <w:tc>
          <w:tcPr>
            <w:tcW w:w="992" w:type="dxa"/>
            <w:tcBorders>
              <w:top w:val="nil"/>
              <w:left w:val="single" w:sz="4" w:space="0" w:color="auto"/>
              <w:bottom w:val="nil"/>
              <w:right w:val="single" w:sz="4" w:space="0" w:color="auto"/>
            </w:tcBorders>
            <w:vAlign w:val="center"/>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2 033</w:t>
            </w:r>
          </w:p>
        </w:tc>
        <w:tc>
          <w:tcPr>
            <w:tcW w:w="851" w:type="dxa"/>
            <w:tcBorders>
              <w:top w:val="nil"/>
              <w:left w:val="single" w:sz="4" w:space="0" w:color="auto"/>
              <w:bottom w:val="nil"/>
              <w:right w:val="single" w:sz="4" w:space="0" w:color="auto"/>
            </w:tcBorders>
            <w:vAlign w:val="center"/>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15 219</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ind w:left="340"/>
              <w:jc w:val="both"/>
              <w:rPr>
                <w:rFonts w:eastAsia="Times New Roman"/>
                <w:sz w:val="18"/>
                <w:szCs w:val="18"/>
                <w:lang w:eastAsia="es-MX"/>
              </w:rPr>
            </w:pPr>
            <w:r w:rsidRPr="002F1F0F">
              <w:rPr>
                <w:rFonts w:eastAsia="Times New Roman"/>
                <w:sz w:val="18"/>
                <w:szCs w:val="18"/>
                <w:lang w:eastAsia="es-MX"/>
              </w:rPr>
              <w:t>Sector Privado No Bancario</w:t>
            </w:r>
          </w:p>
        </w:tc>
        <w:tc>
          <w:tcPr>
            <w:tcW w:w="91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18 763</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517</w:t>
            </w:r>
          </w:p>
        </w:tc>
        <w:tc>
          <w:tcPr>
            <w:tcW w:w="850"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5 847</w:t>
            </w:r>
          </w:p>
        </w:tc>
        <w:tc>
          <w:tcPr>
            <w:tcW w:w="851"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1 804</w:t>
            </w:r>
          </w:p>
        </w:tc>
        <w:tc>
          <w:tcPr>
            <w:tcW w:w="992" w:type="dxa"/>
            <w:tcBorders>
              <w:top w:val="nil"/>
              <w:left w:val="single" w:sz="4" w:space="0" w:color="auto"/>
              <w:bottom w:val="nil"/>
              <w:right w:val="single" w:sz="4" w:space="0" w:color="auto"/>
            </w:tcBorders>
          </w:tcPr>
          <w:p w:rsidR="00276B9C" w:rsidRPr="002F1F0F" w:rsidRDefault="006B134F" w:rsidP="006B134F">
            <w:pPr>
              <w:ind w:right="170"/>
              <w:jc w:val="right"/>
              <w:rPr>
                <w:rFonts w:eastAsia="Times New Roman"/>
                <w:sz w:val="18"/>
                <w:szCs w:val="18"/>
                <w:lang w:eastAsia="es-MX"/>
              </w:rPr>
            </w:pPr>
            <w:r>
              <w:rPr>
                <w:rFonts w:eastAsia="Times New Roman"/>
                <w:sz w:val="18"/>
                <w:szCs w:val="18"/>
                <w:lang w:eastAsia="es-MX"/>
              </w:rPr>
              <w:t>67</w:t>
            </w:r>
            <w:r w:rsidR="00276B9C" w:rsidRPr="002F1F0F">
              <w:rPr>
                <w:rFonts w:eastAsia="Times New Roman"/>
                <w:sz w:val="18"/>
                <w:szCs w:val="18"/>
                <w:lang w:eastAsia="es-MX"/>
              </w:rPr>
              <w:t>1</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8 839</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ind w:left="227"/>
              <w:jc w:val="both"/>
              <w:rPr>
                <w:rFonts w:eastAsia="Times New Roman"/>
                <w:sz w:val="18"/>
                <w:szCs w:val="18"/>
                <w:lang w:eastAsia="es-MX"/>
              </w:rPr>
            </w:pPr>
            <w:r w:rsidRPr="002F1F0F">
              <w:rPr>
                <w:rFonts w:eastAsia="Times New Roman"/>
                <w:sz w:val="18"/>
                <w:szCs w:val="18"/>
                <w:lang w:eastAsia="es-MX"/>
              </w:rPr>
              <w:t>Inversión extranjera</w:t>
            </w:r>
          </w:p>
        </w:tc>
        <w:tc>
          <w:tcPr>
            <w:tcW w:w="91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65 229</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16 175</w:t>
            </w:r>
          </w:p>
        </w:tc>
        <w:tc>
          <w:tcPr>
            <w:tcW w:w="850"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16 211</w:t>
            </w:r>
          </w:p>
        </w:tc>
        <w:tc>
          <w:tcPr>
            <w:tcW w:w="851"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4 482</w:t>
            </w:r>
          </w:p>
        </w:tc>
        <w:tc>
          <w:tcPr>
            <w:tcW w:w="992"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14 446</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51 314</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ind w:left="340"/>
              <w:jc w:val="both"/>
              <w:rPr>
                <w:rFonts w:eastAsia="Times New Roman"/>
                <w:sz w:val="18"/>
                <w:szCs w:val="18"/>
                <w:lang w:eastAsia="es-MX"/>
              </w:rPr>
            </w:pPr>
            <w:r w:rsidRPr="002F1F0F">
              <w:rPr>
                <w:rFonts w:eastAsia="Times New Roman"/>
                <w:sz w:val="18"/>
                <w:szCs w:val="18"/>
                <w:lang w:eastAsia="es-MX"/>
              </w:rPr>
              <w:t>Directa</w:t>
            </w:r>
          </w:p>
        </w:tc>
        <w:tc>
          <w:tcPr>
            <w:tcW w:w="91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44 199</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11 391</w:t>
            </w:r>
          </w:p>
        </w:tc>
        <w:tc>
          <w:tcPr>
            <w:tcW w:w="850"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2 757</w:t>
            </w:r>
          </w:p>
        </w:tc>
        <w:tc>
          <w:tcPr>
            <w:tcW w:w="851"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2 776</w:t>
            </w:r>
          </w:p>
        </w:tc>
        <w:tc>
          <w:tcPr>
            <w:tcW w:w="992"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5 645</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22 568</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ind w:left="340"/>
              <w:jc w:val="both"/>
              <w:rPr>
                <w:rFonts w:eastAsia="Times New Roman"/>
                <w:sz w:val="18"/>
                <w:szCs w:val="18"/>
                <w:lang w:eastAsia="es-MX"/>
              </w:rPr>
            </w:pPr>
            <w:r w:rsidRPr="002F1F0F">
              <w:rPr>
                <w:rFonts w:eastAsia="Times New Roman"/>
                <w:sz w:val="18"/>
                <w:szCs w:val="18"/>
                <w:lang w:eastAsia="es-MX"/>
              </w:rPr>
              <w:t>De Cartera</w:t>
            </w:r>
          </w:p>
        </w:tc>
        <w:tc>
          <w:tcPr>
            <w:tcW w:w="91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21 030</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4 784</w:t>
            </w:r>
          </w:p>
        </w:tc>
        <w:tc>
          <w:tcPr>
            <w:tcW w:w="850"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13 454</w:t>
            </w:r>
          </w:p>
        </w:tc>
        <w:tc>
          <w:tcPr>
            <w:tcW w:w="851"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1 706</w:t>
            </w:r>
          </w:p>
        </w:tc>
        <w:tc>
          <w:tcPr>
            <w:tcW w:w="992"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8 801</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28 746</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ind w:left="454"/>
              <w:jc w:val="both"/>
              <w:rPr>
                <w:rFonts w:eastAsia="Times New Roman"/>
                <w:sz w:val="18"/>
                <w:szCs w:val="18"/>
                <w:lang w:eastAsia="es-MX"/>
              </w:rPr>
            </w:pPr>
            <w:r w:rsidRPr="002F1F0F">
              <w:rPr>
                <w:rFonts w:eastAsia="Times New Roman"/>
                <w:sz w:val="18"/>
                <w:szCs w:val="18"/>
                <w:lang w:eastAsia="es-MX"/>
              </w:rPr>
              <w:t>Mercado Accionario</w:t>
            </w:r>
          </w:p>
        </w:tc>
        <w:tc>
          <w:tcPr>
            <w:tcW w:w="91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-943</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282</w:t>
            </w:r>
          </w:p>
        </w:tc>
        <w:tc>
          <w:tcPr>
            <w:tcW w:w="850"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6 264</w:t>
            </w:r>
          </w:p>
        </w:tc>
        <w:tc>
          <w:tcPr>
            <w:tcW w:w="851"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-658</w:t>
            </w:r>
          </w:p>
        </w:tc>
        <w:tc>
          <w:tcPr>
            <w:tcW w:w="992"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-1 054</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4 833</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ind w:left="454"/>
              <w:jc w:val="both"/>
              <w:rPr>
                <w:rFonts w:eastAsia="Times New Roman"/>
                <w:sz w:val="18"/>
                <w:szCs w:val="18"/>
                <w:lang w:eastAsia="es-MX"/>
              </w:rPr>
            </w:pPr>
            <w:r w:rsidRPr="002F1F0F">
              <w:rPr>
                <w:rFonts w:eastAsia="Times New Roman"/>
                <w:sz w:val="18"/>
                <w:szCs w:val="18"/>
                <w:lang w:eastAsia="es-MX"/>
              </w:rPr>
              <w:t>Mercado de Dinero</w:t>
            </w:r>
          </w:p>
        </w:tc>
        <w:tc>
          <w:tcPr>
            <w:tcW w:w="91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21 973</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4 503</w:t>
            </w:r>
          </w:p>
        </w:tc>
        <w:tc>
          <w:tcPr>
            <w:tcW w:w="850"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7 190</w:t>
            </w:r>
          </w:p>
        </w:tc>
        <w:tc>
          <w:tcPr>
            <w:tcW w:w="851"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2 364</w:t>
            </w:r>
          </w:p>
        </w:tc>
        <w:tc>
          <w:tcPr>
            <w:tcW w:w="992"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9 856</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23 912</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ind w:left="113"/>
              <w:jc w:val="both"/>
              <w:rPr>
                <w:rFonts w:eastAsia="Times New Roman"/>
                <w:b/>
                <w:sz w:val="18"/>
                <w:szCs w:val="18"/>
                <w:lang w:eastAsia="es-MX"/>
              </w:rPr>
            </w:pPr>
            <w:r w:rsidRPr="002F1F0F">
              <w:rPr>
                <w:rFonts w:eastAsia="Times New Roman"/>
                <w:b/>
                <w:sz w:val="18"/>
                <w:szCs w:val="18"/>
                <w:lang w:eastAsia="es-MX"/>
              </w:rPr>
              <w:t>Activos</w:t>
            </w:r>
          </w:p>
        </w:tc>
        <w:tc>
          <w:tcPr>
            <w:tcW w:w="91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-42 647</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-4 007</w:t>
            </w:r>
          </w:p>
        </w:tc>
        <w:tc>
          <w:tcPr>
            <w:tcW w:w="850"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-11 449</w:t>
            </w:r>
          </w:p>
        </w:tc>
        <w:tc>
          <w:tcPr>
            <w:tcW w:w="851"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18"/>
                <w:szCs w:val="18"/>
                <w:lang w:eastAsia="es-MX"/>
              </w:rPr>
            </w:pPr>
            <w:r w:rsidRPr="002F1F0F">
              <w:rPr>
                <w:rFonts w:eastAsia="Times New Roman"/>
                <w:b/>
                <w:sz w:val="18"/>
                <w:szCs w:val="18"/>
                <w:lang w:eastAsia="es-MX"/>
              </w:rPr>
              <w:t>-8 207</w:t>
            </w:r>
          </w:p>
        </w:tc>
        <w:tc>
          <w:tcPr>
            <w:tcW w:w="992"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b/>
                <w:sz w:val="18"/>
                <w:szCs w:val="18"/>
                <w:lang w:eastAsia="es-MX"/>
              </w:rPr>
            </w:pPr>
            <w:r w:rsidRPr="002F1F0F">
              <w:rPr>
                <w:rFonts w:eastAsia="Times New Roman"/>
                <w:b/>
                <w:sz w:val="18"/>
                <w:szCs w:val="18"/>
                <w:lang w:eastAsia="es-MX"/>
              </w:rPr>
              <w:t>-3 563</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-27 226</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ind w:left="227"/>
              <w:jc w:val="both"/>
              <w:rPr>
                <w:rFonts w:eastAsia="Times New Roman"/>
                <w:sz w:val="18"/>
                <w:szCs w:val="18"/>
                <w:lang w:eastAsia="es-MX"/>
              </w:rPr>
            </w:pPr>
            <w:r w:rsidRPr="002F1F0F">
              <w:rPr>
                <w:rFonts w:eastAsia="Times New Roman"/>
                <w:sz w:val="18"/>
                <w:szCs w:val="18"/>
                <w:lang w:eastAsia="es-MX"/>
              </w:rPr>
              <w:t>Inversión Directa en el Exterior</w:t>
            </w:r>
          </w:p>
        </w:tc>
        <w:tc>
          <w:tcPr>
            <w:tcW w:w="913" w:type="dxa"/>
            <w:tcBorders>
              <w:top w:val="nil"/>
              <w:left w:val="single" w:sz="4" w:space="0" w:color="auto"/>
              <w:bottom w:val="nil"/>
              <w:right w:val="single" w:sz="4" w:space="0" w:color="auto"/>
            </w:tcBorders>
            <w:vAlign w:val="center"/>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-13 138</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-1 864</w:t>
            </w:r>
          </w:p>
        </w:tc>
        <w:tc>
          <w:tcPr>
            <w:tcW w:w="850" w:type="dxa"/>
            <w:tcBorders>
              <w:top w:val="nil"/>
              <w:left w:val="single" w:sz="4" w:space="0" w:color="auto"/>
              <w:bottom w:val="nil"/>
              <w:right w:val="single" w:sz="4" w:space="0" w:color="auto"/>
            </w:tcBorders>
            <w:vAlign w:val="center"/>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821</w:t>
            </w:r>
          </w:p>
        </w:tc>
        <w:tc>
          <w:tcPr>
            <w:tcW w:w="851" w:type="dxa"/>
            <w:tcBorders>
              <w:top w:val="nil"/>
              <w:left w:val="single" w:sz="4" w:space="0" w:color="auto"/>
              <w:bottom w:val="nil"/>
              <w:right w:val="single" w:sz="4" w:space="0" w:color="auto"/>
            </w:tcBorders>
            <w:vAlign w:val="center"/>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-4 230</w:t>
            </w:r>
          </w:p>
        </w:tc>
        <w:tc>
          <w:tcPr>
            <w:tcW w:w="992" w:type="dxa"/>
            <w:tcBorders>
              <w:top w:val="nil"/>
              <w:left w:val="single" w:sz="4" w:space="0" w:color="auto"/>
              <w:bottom w:val="nil"/>
              <w:right w:val="single" w:sz="4" w:space="0" w:color="auto"/>
            </w:tcBorders>
            <w:vAlign w:val="center"/>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-2 337</w:t>
            </w:r>
          </w:p>
        </w:tc>
        <w:tc>
          <w:tcPr>
            <w:tcW w:w="851" w:type="dxa"/>
            <w:tcBorders>
              <w:top w:val="nil"/>
              <w:left w:val="single" w:sz="4" w:space="0" w:color="auto"/>
              <w:bottom w:val="nil"/>
              <w:right w:val="single" w:sz="4" w:space="0" w:color="auto"/>
            </w:tcBorders>
            <w:vAlign w:val="center"/>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-7 610</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ind w:left="227"/>
              <w:jc w:val="both"/>
              <w:rPr>
                <w:rFonts w:eastAsia="Times New Roman"/>
                <w:sz w:val="18"/>
                <w:szCs w:val="18"/>
                <w:lang w:eastAsia="es-MX"/>
              </w:rPr>
            </w:pPr>
            <w:r w:rsidRPr="002F1F0F">
              <w:rPr>
                <w:rFonts w:eastAsia="Times New Roman"/>
                <w:sz w:val="18"/>
                <w:szCs w:val="18"/>
                <w:lang w:eastAsia="es-MX"/>
              </w:rPr>
              <w:t>Resto</w:t>
            </w:r>
          </w:p>
        </w:tc>
        <w:tc>
          <w:tcPr>
            <w:tcW w:w="91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-29 509</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-2 143</w:t>
            </w:r>
          </w:p>
        </w:tc>
        <w:tc>
          <w:tcPr>
            <w:tcW w:w="850"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-12 271</w:t>
            </w:r>
          </w:p>
        </w:tc>
        <w:tc>
          <w:tcPr>
            <w:tcW w:w="851"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sz w:val="18"/>
                <w:szCs w:val="18"/>
                <w:lang w:eastAsia="es-MX"/>
              </w:rPr>
            </w:pPr>
            <w:r w:rsidRPr="002F1F0F">
              <w:rPr>
                <w:rFonts w:eastAsia="Times New Roman"/>
                <w:sz w:val="18"/>
                <w:szCs w:val="18"/>
                <w:lang w:eastAsia="es-MX"/>
              </w:rPr>
              <w:t>-3 977</w:t>
            </w:r>
          </w:p>
        </w:tc>
        <w:tc>
          <w:tcPr>
            <w:tcW w:w="992"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sz w:val="18"/>
                <w:szCs w:val="18"/>
                <w:lang w:eastAsia="es-MX"/>
              </w:rPr>
            </w:pPr>
            <w:r w:rsidRPr="002F1F0F">
              <w:rPr>
                <w:rFonts w:eastAsia="Times New Roman"/>
                <w:sz w:val="18"/>
                <w:szCs w:val="18"/>
                <w:lang w:eastAsia="es-MX"/>
              </w:rPr>
              <w:t>-1 225</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sz w:val="18"/>
                <w:szCs w:val="18"/>
                <w:lang w:eastAsia="es-MX"/>
              </w:rPr>
            </w:pPr>
            <w:r w:rsidRPr="002F1F0F">
              <w:rPr>
                <w:rFonts w:eastAsia="Times New Roman"/>
                <w:sz w:val="18"/>
                <w:szCs w:val="18"/>
                <w:lang w:eastAsia="es-MX"/>
              </w:rPr>
              <w:t>-19 616</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jc w:val="both"/>
              <w:rPr>
                <w:rFonts w:eastAsia="Times New Roman"/>
                <w:b/>
                <w:sz w:val="18"/>
                <w:szCs w:val="18"/>
                <w:lang w:eastAsia="es-MX"/>
              </w:rPr>
            </w:pPr>
            <w:r w:rsidRPr="002F1F0F">
              <w:rPr>
                <w:rFonts w:eastAsia="Times New Roman"/>
                <w:b/>
                <w:sz w:val="18"/>
                <w:szCs w:val="18"/>
                <w:lang w:eastAsia="es-MX"/>
              </w:rPr>
              <w:t>Errores y Omisiones</w:t>
            </w:r>
          </w:p>
        </w:tc>
        <w:tc>
          <w:tcPr>
            <w:tcW w:w="913"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-17 760</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1 623</w:t>
            </w:r>
          </w:p>
        </w:tc>
        <w:tc>
          <w:tcPr>
            <w:tcW w:w="850"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-10 227</w:t>
            </w:r>
          </w:p>
        </w:tc>
        <w:tc>
          <w:tcPr>
            <w:tcW w:w="851" w:type="dxa"/>
            <w:tcBorders>
              <w:top w:val="nil"/>
              <w:left w:val="single" w:sz="4" w:space="0" w:color="auto"/>
              <w:bottom w:val="nil"/>
              <w:right w:val="single" w:sz="4" w:space="0" w:color="auto"/>
            </w:tcBorders>
          </w:tcPr>
          <w:p w:rsidR="00276B9C" w:rsidRPr="002F1F0F" w:rsidRDefault="00276B9C" w:rsidP="001E7D79">
            <w:pPr>
              <w:ind w:right="113"/>
              <w:jc w:val="right"/>
              <w:rPr>
                <w:rFonts w:eastAsia="Times New Roman"/>
                <w:b/>
                <w:sz w:val="18"/>
                <w:szCs w:val="18"/>
                <w:lang w:eastAsia="es-MX"/>
              </w:rPr>
            </w:pPr>
            <w:r w:rsidRPr="002F1F0F">
              <w:rPr>
                <w:rFonts w:eastAsia="Times New Roman"/>
                <w:b/>
                <w:sz w:val="18"/>
                <w:szCs w:val="18"/>
                <w:lang w:eastAsia="es-MX"/>
              </w:rPr>
              <w:t>5 035</w:t>
            </w:r>
          </w:p>
        </w:tc>
        <w:tc>
          <w:tcPr>
            <w:tcW w:w="992" w:type="dxa"/>
            <w:tcBorders>
              <w:top w:val="nil"/>
              <w:left w:val="single" w:sz="4" w:space="0" w:color="auto"/>
              <w:bottom w:val="nil"/>
              <w:right w:val="single" w:sz="4" w:space="0" w:color="auto"/>
            </w:tcBorders>
          </w:tcPr>
          <w:p w:rsidR="00276B9C" w:rsidRPr="002F1F0F" w:rsidRDefault="00276B9C" w:rsidP="001E7D79">
            <w:pPr>
              <w:ind w:right="170"/>
              <w:jc w:val="right"/>
              <w:rPr>
                <w:rFonts w:eastAsia="Times New Roman"/>
                <w:b/>
                <w:sz w:val="18"/>
                <w:szCs w:val="18"/>
                <w:lang w:eastAsia="es-MX"/>
              </w:rPr>
            </w:pPr>
            <w:r w:rsidRPr="002F1F0F">
              <w:rPr>
                <w:rFonts w:eastAsia="Times New Roman"/>
                <w:b/>
                <w:sz w:val="18"/>
                <w:szCs w:val="18"/>
                <w:lang w:eastAsia="es-MX"/>
              </w:rPr>
              <w:t>-9 520</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-13 088</w:t>
            </w:r>
          </w:p>
        </w:tc>
      </w:tr>
      <w:tr w:rsidR="00276B9C" w:rsidRPr="002F1F0F" w:rsidTr="001E7D79">
        <w:trPr>
          <w:jc w:val="center"/>
        </w:trPr>
        <w:tc>
          <w:tcPr>
            <w:tcW w:w="3623" w:type="dxa"/>
            <w:tcBorders>
              <w:top w:val="nil"/>
              <w:left w:val="single" w:sz="4" w:space="0" w:color="auto"/>
              <w:bottom w:val="nil"/>
              <w:right w:val="single" w:sz="4" w:space="0" w:color="auto"/>
            </w:tcBorders>
          </w:tcPr>
          <w:p w:rsidR="00276B9C" w:rsidRPr="002F1F0F" w:rsidRDefault="00276B9C" w:rsidP="001E7D79">
            <w:pPr>
              <w:rPr>
                <w:rFonts w:eastAsia="Times New Roman"/>
                <w:b/>
                <w:sz w:val="18"/>
                <w:szCs w:val="18"/>
                <w:lang w:eastAsia="es-MX"/>
              </w:rPr>
            </w:pPr>
            <w:r w:rsidRPr="002F1F0F">
              <w:rPr>
                <w:rFonts w:eastAsia="Times New Roman"/>
                <w:b/>
                <w:sz w:val="18"/>
                <w:szCs w:val="18"/>
                <w:lang w:eastAsia="es-MX"/>
              </w:rPr>
              <w:t>Variación de la Reserva Internacional Neta</w:t>
            </w:r>
          </w:p>
        </w:tc>
        <w:tc>
          <w:tcPr>
            <w:tcW w:w="913" w:type="dxa"/>
            <w:tcBorders>
              <w:top w:val="nil"/>
              <w:left w:val="single" w:sz="4" w:space="0" w:color="auto"/>
              <w:bottom w:val="nil"/>
              <w:right w:val="single" w:sz="4" w:space="0" w:color="auto"/>
            </w:tcBorders>
            <w:vAlign w:val="center"/>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13 006</w:t>
            </w:r>
          </w:p>
        </w:tc>
        <w:tc>
          <w:tcPr>
            <w:tcW w:w="851" w:type="dxa"/>
            <w:tcBorders>
              <w:top w:val="nil"/>
              <w:left w:val="single" w:sz="4" w:space="0" w:color="auto"/>
              <w:bottom w:val="nil"/>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6 238</w:t>
            </w:r>
          </w:p>
        </w:tc>
        <w:tc>
          <w:tcPr>
            <w:tcW w:w="850" w:type="dxa"/>
            <w:tcBorders>
              <w:top w:val="nil"/>
              <w:left w:val="single" w:sz="4" w:space="0" w:color="auto"/>
              <w:bottom w:val="nil"/>
              <w:right w:val="single" w:sz="4" w:space="0" w:color="auto"/>
            </w:tcBorders>
            <w:vAlign w:val="center"/>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7 575</w:t>
            </w:r>
          </w:p>
        </w:tc>
        <w:tc>
          <w:tcPr>
            <w:tcW w:w="851" w:type="dxa"/>
            <w:tcBorders>
              <w:top w:val="nil"/>
              <w:left w:val="single" w:sz="4" w:space="0" w:color="auto"/>
              <w:bottom w:val="nil"/>
              <w:right w:val="single" w:sz="4" w:space="0" w:color="auto"/>
            </w:tcBorders>
            <w:vAlign w:val="center"/>
          </w:tcPr>
          <w:p w:rsidR="00276B9C" w:rsidRPr="002F1F0F" w:rsidRDefault="00276B9C" w:rsidP="001E7D79">
            <w:pPr>
              <w:ind w:right="113"/>
              <w:jc w:val="right"/>
              <w:rPr>
                <w:rFonts w:eastAsia="Times New Roman"/>
                <w:b/>
                <w:sz w:val="18"/>
                <w:szCs w:val="18"/>
                <w:lang w:eastAsia="es-MX"/>
              </w:rPr>
            </w:pPr>
            <w:r w:rsidRPr="002F1F0F">
              <w:rPr>
                <w:rFonts w:eastAsia="Times New Roman"/>
                <w:b/>
                <w:sz w:val="18"/>
                <w:szCs w:val="18"/>
                <w:lang w:eastAsia="es-MX"/>
              </w:rPr>
              <w:t>249</w:t>
            </w:r>
          </w:p>
        </w:tc>
        <w:tc>
          <w:tcPr>
            <w:tcW w:w="992" w:type="dxa"/>
            <w:tcBorders>
              <w:top w:val="nil"/>
              <w:left w:val="single" w:sz="4" w:space="0" w:color="auto"/>
              <w:bottom w:val="nil"/>
              <w:right w:val="single" w:sz="4" w:space="0" w:color="auto"/>
            </w:tcBorders>
            <w:vAlign w:val="center"/>
          </w:tcPr>
          <w:p w:rsidR="00276B9C" w:rsidRPr="002F1F0F" w:rsidRDefault="00276B9C" w:rsidP="001E7D79">
            <w:pPr>
              <w:ind w:right="170"/>
              <w:jc w:val="right"/>
              <w:rPr>
                <w:rFonts w:eastAsia="Times New Roman"/>
                <w:b/>
                <w:sz w:val="18"/>
                <w:szCs w:val="18"/>
                <w:lang w:eastAsia="es-MX"/>
              </w:rPr>
            </w:pPr>
            <w:r w:rsidRPr="002F1F0F">
              <w:rPr>
                <w:rFonts w:eastAsia="Times New Roman"/>
                <w:b/>
                <w:sz w:val="18"/>
                <w:szCs w:val="18"/>
                <w:lang w:eastAsia="es-MX"/>
              </w:rPr>
              <w:t>2 656</w:t>
            </w:r>
          </w:p>
        </w:tc>
        <w:tc>
          <w:tcPr>
            <w:tcW w:w="851" w:type="dxa"/>
            <w:tcBorders>
              <w:top w:val="nil"/>
              <w:left w:val="single" w:sz="4" w:space="0" w:color="auto"/>
              <w:bottom w:val="nil"/>
              <w:right w:val="single" w:sz="4" w:space="0" w:color="auto"/>
            </w:tcBorders>
            <w:vAlign w:val="center"/>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16 717</w:t>
            </w:r>
          </w:p>
        </w:tc>
      </w:tr>
      <w:tr w:rsidR="00276B9C" w:rsidRPr="002F1F0F" w:rsidTr="001E7D79">
        <w:trPr>
          <w:jc w:val="center"/>
        </w:trPr>
        <w:tc>
          <w:tcPr>
            <w:tcW w:w="3623" w:type="dxa"/>
            <w:tcBorders>
              <w:top w:val="nil"/>
              <w:left w:val="single" w:sz="4" w:space="0" w:color="auto"/>
              <w:bottom w:val="single" w:sz="4" w:space="0" w:color="auto"/>
              <w:right w:val="single" w:sz="4" w:space="0" w:color="auto"/>
            </w:tcBorders>
          </w:tcPr>
          <w:p w:rsidR="00276B9C" w:rsidRPr="002F1F0F" w:rsidRDefault="00276B9C" w:rsidP="001E7D79">
            <w:pPr>
              <w:jc w:val="both"/>
              <w:rPr>
                <w:rFonts w:eastAsia="Times New Roman"/>
                <w:b/>
                <w:sz w:val="18"/>
                <w:szCs w:val="18"/>
                <w:lang w:eastAsia="es-MX"/>
              </w:rPr>
            </w:pPr>
            <w:r w:rsidRPr="002F1F0F">
              <w:rPr>
                <w:rFonts w:eastAsia="Times New Roman"/>
                <w:b/>
                <w:sz w:val="18"/>
                <w:szCs w:val="18"/>
                <w:lang w:eastAsia="es-MX"/>
              </w:rPr>
              <w:t>Ajustes por Valoración</w:t>
            </w:r>
          </w:p>
        </w:tc>
        <w:tc>
          <w:tcPr>
            <w:tcW w:w="913" w:type="dxa"/>
            <w:tcBorders>
              <w:top w:val="nil"/>
              <w:left w:val="single" w:sz="4" w:space="0" w:color="auto"/>
              <w:bottom w:val="single" w:sz="4" w:space="0" w:color="auto"/>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4 639</w:t>
            </w:r>
          </w:p>
        </w:tc>
        <w:tc>
          <w:tcPr>
            <w:tcW w:w="851" w:type="dxa"/>
            <w:tcBorders>
              <w:top w:val="nil"/>
              <w:left w:val="single" w:sz="4" w:space="0" w:color="auto"/>
              <w:bottom w:val="single" w:sz="4" w:space="0" w:color="auto"/>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-218</w:t>
            </w:r>
          </w:p>
        </w:tc>
        <w:tc>
          <w:tcPr>
            <w:tcW w:w="850" w:type="dxa"/>
            <w:tcBorders>
              <w:top w:val="nil"/>
              <w:left w:val="single" w:sz="4" w:space="0" w:color="auto"/>
              <w:bottom w:val="single" w:sz="4" w:space="0" w:color="auto"/>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-667</w:t>
            </w:r>
          </w:p>
        </w:tc>
        <w:tc>
          <w:tcPr>
            <w:tcW w:w="851" w:type="dxa"/>
            <w:tcBorders>
              <w:top w:val="nil"/>
              <w:left w:val="single" w:sz="4" w:space="0" w:color="auto"/>
              <w:bottom w:val="single" w:sz="4" w:space="0" w:color="auto"/>
              <w:right w:val="single" w:sz="4" w:space="0" w:color="auto"/>
            </w:tcBorders>
          </w:tcPr>
          <w:p w:rsidR="00276B9C" w:rsidRPr="002F1F0F" w:rsidRDefault="00276B9C" w:rsidP="001E7D79">
            <w:pPr>
              <w:ind w:right="113"/>
              <w:jc w:val="right"/>
              <w:rPr>
                <w:rFonts w:eastAsia="Times New Roman"/>
                <w:b/>
                <w:sz w:val="18"/>
                <w:szCs w:val="18"/>
                <w:lang w:eastAsia="es-MX"/>
              </w:rPr>
            </w:pPr>
            <w:r w:rsidRPr="002F1F0F">
              <w:rPr>
                <w:rFonts w:eastAsia="Times New Roman"/>
                <w:b/>
                <w:sz w:val="18"/>
                <w:szCs w:val="18"/>
                <w:lang w:eastAsia="es-MX"/>
              </w:rPr>
              <w:t>1 243</w:t>
            </w:r>
          </w:p>
        </w:tc>
        <w:tc>
          <w:tcPr>
            <w:tcW w:w="992" w:type="dxa"/>
            <w:tcBorders>
              <w:top w:val="nil"/>
              <w:left w:val="single" w:sz="4" w:space="0" w:color="auto"/>
              <w:bottom w:val="single" w:sz="4" w:space="0" w:color="auto"/>
              <w:right w:val="single" w:sz="4" w:space="0" w:color="auto"/>
            </w:tcBorders>
          </w:tcPr>
          <w:p w:rsidR="00276B9C" w:rsidRPr="002F1F0F" w:rsidRDefault="00276B9C" w:rsidP="001E7D79">
            <w:pPr>
              <w:ind w:right="170"/>
              <w:jc w:val="right"/>
              <w:rPr>
                <w:rFonts w:eastAsia="Times New Roman"/>
                <w:b/>
                <w:sz w:val="18"/>
                <w:szCs w:val="18"/>
                <w:lang w:eastAsia="es-MX"/>
              </w:rPr>
            </w:pPr>
            <w:r w:rsidRPr="002F1F0F">
              <w:rPr>
                <w:rFonts w:eastAsia="Times New Roman"/>
                <w:b/>
                <w:sz w:val="18"/>
                <w:szCs w:val="18"/>
                <w:lang w:eastAsia="es-MX"/>
              </w:rPr>
              <w:t>489</w:t>
            </w:r>
          </w:p>
        </w:tc>
        <w:tc>
          <w:tcPr>
            <w:tcW w:w="851" w:type="dxa"/>
            <w:tcBorders>
              <w:top w:val="nil"/>
              <w:left w:val="single" w:sz="4" w:space="0" w:color="auto"/>
              <w:bottom w:val="single" w:sz="4" w:space="0" w:color="auto"/>
              <w:right w:val="single" w:sz="4" w:space="0" w:color="auto"/>
            </w:tcBorders>
          </w:tcPr>
          <w:p w:rsidR="00276B9C" w:rsidRPr="002F1F0F" w:rsidRDefault="00276B9C" w:rsidP="001E7D79">
            <w:pPr>
              <w:ind w:right="57"/>
              <w:jc w:val="right"/>
              <w:rPr>
                <w:rFonts w:eastAsia="Times New Roman"/>
                <w:b/>
                <w:sz w:val="18"/>
                <w:szCs w:val="18"/>
                <w:lang w:eastAsia="es-MX"/>
              </w:rPr>
            </w:pPr>
            <w:r w:rsidRPr="002F1F0F">
              <w:rPr>
                <w:rFonts w:eastAsia="Times New Roman"/>
                <w:b/>
                <w:sz w:val="18"/>
                <w:szCs w:val="18"/>
                <w:lang w:eastAsia="es-MX"/>
              </w:rPr>
              <w:t>847</w:t>
            </w:r>
          </w:p>
        </w:tc>
      </w:tr>
      <w:tr w:rsidR="00276B9C" w:rsidRPr="002F1F0F" w:rsidTr="001E7D79">
        <w:trPr>
          <w:jc w:val="center"/>
        </w:trPr>
        <w:tc>
          <w:tcPr>
            <w:tcW w:w="8931" w:type="dxa"/>
            <w:gridSpan w:val="7"/>
            <w:tcBorders>
              <w:top w:val="single" w:sz="4" w:space="0" w:color="auto"/>
              <w:left w:val="nil"/>
              <w:bottom w:val="nil"/>
              <w:right w:val="nil"/>
            </w:tcBorders>
          </w:tcPr>
          <w:p w:rsidR="00276B9C" w:rsidRPr="002F1F0F" w:rsidRDefault="00276B9C" w:rsidP="001E7D79">
            <w:pPr>
              <w:ind w:left="454" w:right="-159" w:hanging="454"/>
              <w:rPr>
                <w:rFonts w:eastAsia="Times New Roman"/>
                <w:sz w:val="18"/>
                <w:szCs w:val="18"/>
                <w:lang w:eastAsia="es-MX"/>
              </w:rPr>
            </w:pPr>
            <w:r w:rsidRPr="002F1F0F">
              <w:rPr>
                <w:rFonts w:eastAsia="Times New Roman"/>
                <w:sz w:val="18"/>
                <w:szCs w:val="18"/>
                <w:lang w:eastAsia="es-MX"/>
              </w:rPr>
              <w:t>Nota: La suma de los componentes que integran la estadística de la balanza de pagos que se presenta en este comunicado puede no coincidir con los totales debido al redondeo de las cifras.</w:t>
            </w:r>
          </w:p>
          <w:p w:rsidR="00276B9C" w:rsidRPr="002F1F0F" w:rsidRDefault="00276B9C" w:rsidP="001E7D79">
            <w:pPr>
              <w:jc w:val="both"/>
              <w:rPr>
                <w:rFonts w:eastAsia="Times New Roman"/>
                <w:sz w:val="18"/>
                <w:szCs w:val="18"/>
                <w:lang w:eastAsia="es-MX"/>
              </w:rPr>
            </w:pPr>
            <w:r w:rsidRPr="002F1F0F">
              <w:rPr>
                <w:rFonts w:eastAsia="Times New Roman"/>
                <w:sz w:val="18"/>
                <w:szCs w:val="18"/>
                <w:lang w:eastAsia="es-MX"/>
              </w:rPr>
              <w:t>FUENTE: Banxico.</w:t>
            </w:r>
          </w:p>
        </w:tc>
      </w:tr>
    </w:tbl>
    <w:p w:rsidR="00276B9C" w:rsidRPr="002F1F0F" w:rsidRDefault="00276B9C" w:rsidP="00276B9C">
      <w:pPr>
        <w:spacing w:after="360" w:line="360" w:lineRule="auto"/>
        <w:ind w:right="-159"/>
        <w:jc w:val="both"/>
        <w:rPr>
          <w:rFonts w:eastAsia="Calibri"/>
          <w:sz w:val="26"/>
          <w:szCs w:val="26"/>
          <w:lang w:eastAsia="en-US"/>
        </w:rPr>
      </w:pPr>
    </w:p>
    <w:p w:rsidR="00276B9C" w:rsidRPr="002F1F0F" w:rsidRDefault="00276B9C" w:rsidP="00276B9C">
      <w:pPr>
        <w:ind w:right="-159"/>
        <w:jc w:val="both"/>
        <w:rPr>
          <w:rFonts w:eastAsia="Calibri"/>
          <w:b/>
          <w:sz w:val="20"/>
          <w:szCs w:val="20"/>
          <w:lang w:eastAsia="en-US"/>
        </w:rPr>
      </w:pPr>
      <w:r w:rsidRPr="002F1F0F">
        <w:rPr>
          <w:rFonts w:eastAsia="Calibri"/>
          <w:b/>
          <w:sz w:val="20"/>
          <w:szCs w:val="20"/>
          <w:lang w:eastAsia="en-US"/>
        </w:rPr>
        <w:t>Fuente de información.</w:t>
      </w:r>
    </w:p>
    <w:p w:rsidR="00276B9C" w:rsidRPr="002C0B6D" w:rsidRDefault="004638E5" w:rsidP="002C0B6D">
      <w:pPr>
        <w:spacing w:after="720"/>
        <w:ind w:right="-159"/>
        <w:jc w:val="both"/>
        <w:rPr>
          <w:rFonts w:eastAsia="Calibri"/>
          <w:color w:val="0000FF"/>
          <w:sz w:val="20"/>
          <w:szCs w:val="20"/>
          <w:lang w:eastAsia="en-US"/>
        </w:rPr>
      </w:pPr>
      <w:hyperlink r:id="rId19" w:history="1">
        <w:r w:rsidR="00276B9C" w:rsidRPr="002C0B6D">
          <w:rPr>
            <w:rFonts w:eastAsia="Calibri"/>
            <w:color w:val="0000FF"/>
            <w:sz w:val="20"/>
            <w:szCs w:val="20"/>
            <w:u w:val="single"/>
            <w:lang w:eastAsia="en-US"/>
          </w:rPr>
          <w:t>http://www.banxico.org.mx/informacion-para-la-prensa/comunicados/sector-externo/balanza-de-pagos/%7BAEE2CBD4-2C71-DA27-336B-8F558037ED1E%7D.pdf</w:t>
        </w:r>
      </w:hyperlink>
      <w:r w:rsidR="00276B9C" w:rsidRPr="002C0B6D">
        <w:rPr>
          <w:rFonts w:eastAsia="Calibri"/>
          <w:color w:val="0000FF"/>
          <w:sz w:val="20"/>
          <w:szCs w:val="20"/>
          <w:lang w:eastAsia="en-US"/>
        </w:rPr>
        <w:t xml:space="preserve"> </w:t>
      </w:r>
    </w:p>
    <w:p w:rsidR="0089502E" w:rsidRPr="0089502E" w:rsidRDefault="0089502E" w:rsidP="0089502E">
      <w:pPr>
        <w:spacing w:after="360" w:line="360" w:lineRule="auto"/>
        <w:ind w:right="-159"/>
        <w:jc w:val="both"/>
        <w:rPr>
          <w:b/>
          <w:sz w:val="26"/>
          <w:szCs w:val="26"/>
          <w:lang w:val="es-ES"/>
        </w:rPr>
      </w:pPr>
      <w:r w:rsidRPr="0089502E">
        <w:rPr>
          <w:b/>
          <w:sz w:val="26"/>
          <w:szCs w:val="26"/>
          <w:lang w:val="es-ES"/>
        </w:rPr>
        <w:t>Comercio Exterior (Banxico, INEGI, SAT, SE)</w:t>
      </w:r>
    </w:p>
    <w:p w:rsidR="0089502E" w:rsidRPr="0089502E" w:rsidRDefault="0089502E" w:rsidP="0089502E">
      <w:pPr>
        <w:spacing w:after="360" w:line="360" w:lineRule="auto"/>
        <w:ind w:right="-159"/>
        <w:jc w:val="both"/>
        <w:rPr>
          <w:sz w:val="26"/>
          <w:szCs w:val="26"/>
          <w:lang w:val="es-ES_tradnl"/>
        </w:rPr>
      </w:pPr>
      <w:r w:rsidRPr="0089502E">
        <w:rPr>
          <w:sz w:val="26"/>
          <w:szCs w:val="26"/>
          <w:lang w:val="es-ES"/>
        </w:rPr>
        <w:t xml:space="preserve">El 26 de febrero de 2015, el Instituto Nacional de Estadística y Geografía (INEGI) informó que, de acuerdo con información oportuna de comercio exterior elaborada por el grupo de trabajo integrado por el Banco de México (Banxico), el INEGI, el Servicio de Administración Tributaria (SAT) y la Secretaría de Economía (SE), </w:t>
      </w:r>
      <w:bookmarkStart w:id="8" w:name="OLE_LINK111"/>
      <w:bookmarkStart w:id="9" w:name="OLE_LINK112"/>
      <w:r w:rsidRPr="0089502E">
        <w:rPr>
          <w:sz w:val="26"/>
          <w:szCs w:val="26"/>
          <w:lang w:val="es-ES"/>
        </w:rPr>
        <w:t>la balanza comercial de México en</w:t>
      </w:r>
      <w:r w:rsidRPr="0089502E">
        <w:rPr>
          <w:sz w:val="26"/>
          <w:szCs w:val="26"/>
        </w:rPr>
        <w:t xml:space="preserve"> </w:t>
      </w:r>
      <w:bookmarkEnd w:id="8"/>
      <w:bookmarkEnd w:id="9"/>
      <w:r w:rsidRPr="0089502E">
        <w:rPr>
          <w:sz w:val="26"/>
          <w:szCs w:val="26"/>
        </w:rPr>
        <w:t xml:space="preserve">enero de 2015 registró un déficit </w:t>
      </w:r>
      <w:r w:rsidRPr="0089502E">
        <w:rPr>
          <w:sz w:val="26"/>
          <w:szCs w:val="26"/>
          <w:lang w:val="es-ES"/>
        </w:rPr>
        <w:t>de 3 mil 247.5</w:t>
      </w:r>
      <w:r w:rsidRPr="0089502E">
        <w:rPr>
          <w:sz w:val="26"/>
          <w:szCs w:val="26"/>
          <w:lang w:val="es-ES_tradnl"/>
        </w:rPr>
        <w:t xml:space="preserve"> millones de dólares, el cual se compara con el superávit de 254 millones de dólares registrado en diciembre de 2014. Tal evolución se originó de una reducción en el saldo de la balanza de productos no petroleros, el cual pasó de un superávit de 1 mil 225 millones de dólares en diciembre pasado a un déficit de 2 mil 228 millones de dólares en enero de este año, </w:t>
      </w:r>
      <w:r w:rsidRPr="0089502E">
        <w:rPr>
          <w:sz w:val="26"/>
          <w:szCs w:val="26"/>
          <w:lang w:val="es-ES_tradnl"/>
        </w:rPr>
        <w:lastRenderedPageBreak/>
        <w:t>y de un aumento en el déficit de la balanza de productos petroleros, que pasó de 971 millones de dólares a 1 mil 19 millones de dólares, en esa misma comparación.</w:t>
      </w:r>
    </w:p>
    <w:p w:rsidR="0089502E" w:rsidRPr="0089502E" w:rsidRDefault="0089502E" w:rsidP="0089502E">
      <w:pPr>
        <w:spacing w:after="360" w:line="360" w:lineRule="auto"/>
        <w:ind w:right="-159"/>
        <w:jc w:val="center"/>
        <w:rPr>
          <w:sz w:val="26"/>
          <w:szCs w:val="26"/>
          <w:lang w:val="es-ES_tradnl"/>
        </w:rPr>
      </w:pPr>
      <w:r w:rsidRPr="0089502E">
        <w:rPr>
          <w:rFonts w:ascii="Calibri" w:eastAsia="Calibri" w:hAnsi="Calibri"/>
          <w:sz w:val="22"/>
          <w:szCs w:val="22"/>
          <w:lang w:eastAsia="en-US"/>
        </w:rPr>
        <w:fldChar w:fldCharType="begin"/>
      </w:r>
      <w:r w:rsidRPr="0089502E">
        <w:rPr>
          <w:rFonts w:ascii="Calibri" w:eastAsia="Calibri" w:hAnsi="Calibri"/>
          <w:sz w:val="22"/>
          <w:szCs w:val="22"/>
          <w:lang w:eastAsia="en-US"/>
        </w:rPr>
        <w:instrText xml:space="preserve"> LINK PowerPoint.Slide.8 "D:\\2015\\MARZO 2014\\GRÁFICAS EN POWER POINT\\2.- GRÁFICAS DE BAL COM.pptx!286" "" \a \p </w:instrText>
      </w:r>
      <w:r w:rsidRPr="0089502E">
        <w:rPr>
          <w:rFonts w:ascii="Calibri" w:eastAsia="Calibri" w:hAnsi="Calibri"/>
          <w:sz w:val="22"/>
          <w:szCs w:val="22"/>
          <w:lang w:eastAsia="en-US"/>
        </w:rPr>
        <w:fldChar w:fldCharType="separate"/>
      </w:r>
      <w:r w:rsidRPr="0089502E">
        <w:rPr>
          <w:rFonts w:ascii="Calibri" w:eastAsia="Calibri" w:hAnsi="Calibri"/>
          <w:noProof/>
          <w:sz w:val="22"/>
          <w:szCs w:val="22"/>
          <w:lang w:eastAsia="es-MX"/>
        </w:rPr>
        <w:drawing>
          <wp:inline distT="0" distB="0" distL="0" distR="0" wp14:anchorId="14002FF6" wp14:editId="663CB539">
            <wp:extent cx="4627880" cy="3429000"/>
            <wp:effectExtent l="0" t="0" r="127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20" cstate="print">
                      <a:extLst>
                        <a:ext uri="{28A0092B-C50C-407E-A947-70E740481C1C}">
                          <a14:useLocalDpi xmlns:a14="http://schemas.microsoft.com/office/drawing/2010/main" val="0"/>
                        </a:ext>
                      </a:extLst>
                    </a:blip>
                    <a:srcRect l="11243" r="12674"/>
                    <a:stretch>
                      <a:fillRect/>
                    </a:stretch>
                  </pic:blipFill>
                  <pic:spPr bwMode="auto">
                    <a:xfrm>
                      <a:off x="0" y="0"/>
                      <a:ext cx="4627880" cy="3429000"/>
                    </a:xfrm>
                    <a:prstGeom prst="rect">
                      <a:avLst/>
                    </a:prstGeom>
                    <a:noFill/>
                    <a:ln>
                      <a:noFill/>
                    </a:ln>
                  </pic:spPr>
                </pic:pic>
              </a:graphicData>
            </a:graphic>
          </wp:inline>
        </w:drawing>
      </w:r>
      <w:r w:rsidRPr="0089502E">
        <w:rPr>
          <w:rFonts w:ascii="Calibri" w:eastAsia="Calibri" w:hAnsi="Calibri"/>
          <w:sz w:val="22"/>
          <w:szCs w:val="22"/>
          <w:lang w:eastAsia="en-US"/>
        </w:rPr>
        <w:fldChar w:fldCharType="end"/>
      </w:r>
    </w:p>
    <w:p w:rsidR="0089502E" w:rsidRDefault="0089502E" w:rsidP="0089502E">
      <w:pPr>
        <w:spacing w:after="360" w:line="360" w:lineRule="auto"/>
        <w:ind w:right="-159"/>
        <w:jc w:val="center"/>
        <w:rPr>
          <w:rFonts w:ascii="Calibri" w:eastAsia="Calibri" w:hAnsi="Calibri"/>
          <w:sz w:val="22"/>
          <w:szCs w:val="22"/>
          <w:lang w:eastAsia="en-US"/>
        </w:rPr>
      </w:pPr>
      <w:r w:rsidRPr="0089502E">
        <w:rPr>
          <w:rFonts w:ascii="Calibri" w:eastAsia="Calibri" w:hAnsi="Calibri"/>
          <w:sz w:val="22"/>
          <w:szCs w:val="22"/>
          <w:lang w:eastAsia="en-US"/>
        </w:rPr>
        <w:fldChar w:fldCharType="begin"/>
      </w:r>
      <w:r w:rsidRPr="0089502E">
        <w:rPr>
          <w:rFonts w:ascii="Calibri" w:eastAsia="Calibri" w:hAnsi="Calibri"/>
          <w:sz w:val="22"/>
          <w:szCs w:val="22"/>
          <w:lang w:eastAsia="en-US"/>
        </w:rPr>
        <w:instrText xml:space="preserve"> LINK PowerPoint.Slide.8 "D:\\2015\\MARZO 2014\\GRÁFICAS EN POWER POINT\\2.- GRÁFICAS DE BAL COM.pptx!289" "" \a \p </w:instrText>
      </w:r>
      <w:r w:rsidRPr="0089502E">
        <w:rPr>
          <w:rFonts w:ascii="Calibri" w:eastAsia="Calibri" w:hAnsi="Calibri"/>
          <w:sz w:val="22"/>
          <w:szCs w:val="22"/>
          <w:lang w:eastAsia="en-US"/>
        </w:rPr>
        <w:fldChar w:fldCharType="separate"/>
      </w:r>
      <w:r w:rsidRPr="0089502E">
        <w:rPr>
          <w:rFonts w:ascii="Calibri" w:eastAsia="Calibri" w:hAnsi="Calibri"/>
          <w:noProof/>
          <w:sz w:val="22"/>
          <w:szCs w:val="22"/>
          <w:lang w:eastAsia="es-MX"/>
        </w:rPr>
        <w:drawing>
          <wp:inline distT="0" distB="0" distL="0" distR="0" wp14:anchorId="42014923" wp14:editId="465FA01A">
            <wp:extent cx="4584065" cy="3429000"/>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21" cstate="print">
                      <a:extLst>
                        <a:ext uri="{28A0092B-C50C-407E-A947-70E740481C1C}">
                          <a14:useLocalDpi xmlns:a14="http://schemas.microsoft.com/office/drawing/2010/main" val="0"/>
                        </a:ext>
                      </a:extLst>
                    </a:blip>
                    <a:srcRect l="12672" r="11900"/>
                    <a:stretch>
                      <a:fillRect/>
                    </a:stretch>
                  </pic:blipFill>
                  <pic:spPr bwMode="auto">
                    <a:xfrm>
                      <a:off x="0" y="0"/>
                      <a:ext cx="4584065" cy="3429000"/>
                    </a:xfrm>
                    <a:prstGeom prst="rect">
                      <a:avLst/>
                    </a:prstGeom>
                    <a:noFill/>
                    <a:ln>
                      <a:noFill/>
                    </a:ln>
                  </pic:spPr>
                </pic:pic>
              </a:graphicData>
            </a:graphic>
          </wp:inline>
        </w:drawing>
      </w:r>
      <w:r w:rsidRPr="0089502E">
        <w:rPr>
          <w:rFonts w:ascii="Calibri" w:eastAsia="Calibri" w:hAnsi="Calibri"/>
          <w:sz w:val="22"/>
          <w:szCs w:val="22"/>
          <w:lang w:eastAsia="en-US"/>
        </w:rPr>
        <w:fldChar w:fldCharType="end"/>
      </w:r>
    </w:p>
    <w:tbl>
      <w:tblPr>
        <w:tblW w:w="8505" w:type="dxa"/>
        <w:jc w:val="center"/>
        <w:tblLayout w:type="fixed"/>
        <w:tblLook w:val="04A0" w:firstRow="1" w:lastRow="0" w:firstColumn="1" w:lastColumn="0" w:noHBand="0" w:noVBand="1"/>
      </w:tblPr>
      <w:tblGrid>
        <w:gridCol w:w="2357"/>
        <w:gridCol w:w="992"/>
        <w:gridCol w:w="1046"/>
        <w:gridCol w:w="992"/>
        <w:gridCol w:w="992"/>
        <w:gridCol w:w="992"/>
        <w:gridCol w:w="1134"/>
      </w:tblGrid>
      <w:tr w:rsidR="0089502E" w:rsidRPr="0089502E" w:rsidTr="006E652B">
        <w:trPr>
          <w:jc w:val="center"/>
        </w:trPr>
        <w:tc>
          <w:tcPr>
            <w:tcW w:w="8505" w:type="dxa"/>
            <w:gridSpan w:val="7"/>
            <w:tcBorders>
              <w:top w:val="nil"/>
              <w:left w:val="nil"/>
              <w:bottom w:val="single" w:sz="4" w:space="0" w:color="auto"/>
              <w:right w:val="nil"/>
            </w:tcBorders>
          </w:tcPr>
          <w:p w:rsidR="0089502E" w:rsidRPr="0089502E" w:rsidRDefault="0089502E" w:rsidP="0089502E">
            <w:pPr>
              <w:ind w:right="57"/>
              <w:jc w:val="center"/>
              <w:rPr>
                <w:rFonts w:eastAsia="Times New Roman"/>
                <w:b/>
                <w:sz w:val="18"/>
                <w:szCs w:val="18"/>
              </w:rPr>
            </w:pPr>
            <w:r w:rsidRPr="0089502E">
              <w:rPr>
                <w:rFonts w:eastAsia="Times New Roman"/>
                <w:b/>
                <w:sz w:val="18"/>
                <w:szCs w:val="18"/>
              </w:rPr>
              <w:lastRenderedPageBreak/>
              <w:t>BALANZA COMERCIAL DE MERCANCÍAS DE MÉXICO</w:t>
            </w:r>
          </w:p>
          <w:p w:rsidR="0089502E" w:rsidRPr="0089502E" w:rsidRDefault="0089502E" w:rsidP="0089502E">
            <w:pPr>
              <w:ind w:right="57"/>
              <w:jc w:val="center"/>
              <w:rPr>
                <w:rFonts w:eastAsia="Times New Roman"/>
                <w:b/>
                <w:sz w:val="18"/>
                <w:szCs w:val="18"/>
              </w:rPr>
            </w:pPr>
            <w:r w:rsidRPr="0089502E">
              <w:rPr>
                <w:rFonts w:eastAsia="Times New Roman"/>
                <w:b/>
                <w:sz w:val="18"/>
                <w:szCs w:val="18"/>
              </w:rPr>
              <w:t>-Millones de dólares-</w:t>
            </w:r>
          </w:p>
        </w:tc>
      </w:tr>
      <w:tr w:rsidR="0089502E" w:rsidRPr="0089502E" w:rsidTr="006E652B">
        <w:trPr>
          <w:jc w:val="center"/>
        </w:trPr>
        <w:tc>
          <w:tcPr>
            <w:tcW w:w="2357" w:type="dxa"/>
            <w:vMerge w:val="restart"/>
            <w:tcBorders>
              <w:top w:val="single" w:sz="4" w:space="0" w:color="auto"/>
              <w:left w:val="single" w:sz="4" w:space="0" w:color="auto"/>
              <w:bottom w:val="single" w:sz="4" w:space="0" w:color="auto"/>
              <w:right w:val="single" w:sz="4" w:space="0" w:color="auto"/>
            </w:tcBorders>
            <w:vAlign w:val="center"/>
          </w:tcPr>
          <w:p w:rsidR="0089502E" w:rsidRPr="0089502E" w:rsidRDefault="0089502E" w:rsidP="0089502E">
            <w:pPr>
              <w:ind w:right="57"/>
              <w:jc w:val="center"/>
              <w:rPr>
                <w:rFonts w:eastAsia="Times New Roman"/>
                <w:b/>
                <w:sz w:val="18"/>
                <w:szCs w:val="18"/>
              </w:rPr>
            </w:pPr>
            <w:r w:rsidRPr="0089502E">
              <w:rPr>
                <w:rFonts w:eastAsia="Times New Roman"/>
                <w:b/>
                <w:sz w:val="18"/>
                <w:szCs w:val="18"/>
              </w:rPr>
              <w:t>Concepto</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rsidR="0089502E" w:rsidRPr="0089502E" w:rsidRDefault="0089502E" w:rsidP="0089502E">
            <w:pPr>
              <w:ind w:right="57"/>
              <w:jc w:val="center"/>
              <w:rPr>
                <w:rFonts w:eastAsia="Times New Roman"/>
                <w:b/>
                <w:sz w:val="18"/>
                <w:szCs w:val="18"/>
              </w:rPr>
            </w:pPr>
            <w:r w:rsidRPr="0089502E">
              <w:rPr>
                <w:rFonts w:eastAsia="Times New Roman"/>
                <w:b/>
                <w:sz w:val="18"/>
                <w:szCs w:val="18"/>
              </w:rPr>
              <w:t>2013</w:t>
            </w:r>
          </w:p>
        </w:tc>
        <w:tc>
          <w:tcPr>
            <w:tcW w:w="4022" w:type="dxa"/>
            <w:gridSpan w:val="4"/>
            <w:tcBorders>
              <w:top w:val="single" w:sz="4" w:space="0" w:color="auto"/>
              <w:left w:val="single" w:sz="4" w:space="0" w:color="auto"/>
              <w:bottom w:val="single" w:sz="4" w:space="0" w:color="auto"/>
              <w:right w:val="single" w:sz="4" w:space="0" w:color="auto"/>
            </w:tcBorders>
            <w:vAlign w:val="center"/>
          </w:tcPr>
          <w:p w:rsidR="0089502E" w:rsidRPr="0089502E" w:rsidRDefault="0089502E" w:rsidP="0089502E">
            <w:pPr>
              <w:ind w:right="57"/>
              <w:jc w:val="center"/>
              <w:rPr>
                <w:rFonts w:eastAsia="Times New Roman"/>
                <w:b/>
                <w:sz w:val="18"/>
                <w:szCs w:val="18"/>
              </w:rPr>
            </w:pPr>
            <w:r w:rsidRPr="0089502E">
              <w:rPr>
                <w:rFonts w:eastAsia="Times New Roman"/>
                <w:b/>
                <w:sz w:val="18"/>
                <w:szCs w:val="18"/>
              </w:rPr>
              <w:t>2014</w:t>
            </w:r>
          </w:p>
        </w:tc>
        <w:tc>
          <w:tcPr>
            <w:tcW w:w="1134" w:type="dxa"/>
            <w:tcBorders>
              <w:top w:val="single" w:sz="4" w:space="0" w:color="auto"/>
              <w:left w:val="single" w:sz="4" w:space="0" w:color="auto"/>
              <w:bottom w:val="single" w:sz="4" w:space="0" w:color="auto"/>
              <w:right w:val="single" w:sz="4" w:space="0" w:color="auto"/>
            </w:tcBorders>
            <w:vAlign w:val="center"/>
          </w:tcPr>
          <w:p w:rsidR="0089502E" w:rsidRPr="0089502E" w:rsidRDefault="0089502E" w:rsidP="0089502E">
            <w:pPr>
              <w:ind w:right="57"/>
              <w:jc w:val="center"/>
              <w:rPr>
                <w:rFonts w:eastAsia="Times New Roman"/>
                <w:b/>
                <w:sz w:val="18"/>
                <w:szCs w:val="18"/>
              </w:rPr>
            </w:pPr>
            <w:r w:rsidRPr="0089502E">
              <w:rPr>
                <w:rFonts w:eastAsia="Times New Roman"/>
                <w:b/>
                <w:sz w:val="18"/>
                <w:szCs w:val="18"/>
              </w:rPr>
              <w:t>2015</w:t>
            </w:r>
          </w:p>
        </w:tc>
      </w:tr>
      <w:tr w:rsidR="0089502E" w:rsidRPr="0089502E" w:rsidTr="006E652B">
        <w:trPr>
          <w:jc w:val="center"/>
        </w:trPr>
        <w:tc>
          <w:tcPr>
            <w:tcW w:w="2357" w:type="dxa"/>
            <w:vMerge/>
            <w:tcBorders>
              <w:top w:val="single" w:sz="4" w:space="0" w:color="auto"/>
              <w:left w:val="single" w:sz="4" w:space="0" w:color="auto"/>
              <w:bottom w:val="single" w:sz="4" w:space="0" w:color="auto"/>
              <w:right w:val="single" w:sz="4" w:space="0" w:color="auto"/>
            </w:tcBorders>
          </w:tcPr>
          <w:p w:rsidR="0089502E" w:rsidRPr="0089502E" w:rsidRDefault="0089502E" w:rsidP="0089502E">
            <w:pPr>
              <w:ind w:right="57"/>
              <w:rPr>
                <w:rFonts w:eastAsia="Times New Roman"/>
                <w:sz w:val="18"/>
                <w:szCs w:val="18"/>
              </w:rPr>
            </w:pPr>
          </w:p>
        </w:tc>
        <w:tc>
          <w:tcPr>
            <w:tcW w:w="992" w:type="dxa"/>
            <w:vMerge/>
            <w:tcBorders>
              <w:top w:val="single" w:sz="4" w:space="0" w:color="auto"/>
              <w:left w:val="single" w:sz="4" w:space="0" w:color="auto"/>
              <w:bottom w:val="single" w:sz="4" w:space="0" w:color="auto"/>
              <w:right w:val="single" w:sz="4" w:space="0" w:color="auto"/>
            </w:tcBorders>
          </w:tcPr>
          <w:p w:rsidR="0089502E" w:rsidRPr="0089502E" w:rsidRDefault="0089502E" w:rsidP="0089502E">
            <w:pPr>
              <w:jc w:val="center"/>
              <w:rPr>
                <w:rFonts w:eastAsia="Times New Roman"/>
                <w:b/>
                <w:sz w:val="18"/>
                <w:szCs w:val="18"/>
              </w:rPr>
            </w:pPr>
          </w:p>
        </w:tc>
        <w:tc>
          <w:tcPr>
            <w:tcW w:w="1046" w:type="dxa"/>
            <w:tcBorders>
              <w:top w:val="single" w:sz="4" w:space="0" w:color="auto"/>
              <w:left w:val="single" w:sz="4" w:space="0" w:color="auto"/>
              <w:bottom w:val="single" w:sz="4" w:space="0" w:color="auto"/>
              <w:right w:val="single" w:sz="4" w:space="0" w:color="auto"/>
            </w:tcBorders>
          </w:tcPr>
          <w:p w:rsidR="0089502E" w:rsidRPr="0089502E" w:rsidRDefault="0089502E" w:rsidP="0089502E">
            <w:pPr>
              <w:jc w:val="center"/>
              <w:rPr>
                <w:rFonts w:eastAsia="Times New Roman"/>
                <w:b/>
                <w:sz w:val="18"/>
                <w:szCs w:val="18"/>
              </w:rPr>
            </w:pPr>
            <w:r w:rsidRPr="0089502E">
              <w:rPr>
                <w:rFonts w:eastAsia="Times New Roman"/>
                <w:b/>
                <w:sz w:val="18"/>
                <w:szCs w:val="18"/>
              </w:rPr>
              <w:t>Oct</w:t>
            </w:r>
          </w:p>
        </w:tc>
        <w:tc>
          <w:tcPr>
            <w:tcW w:w="992" w:type="dxa"/>
            <w:tcBorders>
              <w:top w:val="single" w:sz="4" w:space="0" w:color="auto"/>
              <w:left w:val="single" w:sz="4" w:space="0" w:color="auto"/>
              <w:bottom w:val="single" w:sz="4" w:space="0" w:color="auto"/>
              <w:right w:val="single" w:sz="4" w:space="0" w:color="auto"/>
            </w:tcBorders>
          </w:tcPr>
          <w:p w:rsidR="0089502E" w:rsidRPr="0089502E" w:rsidRDefault="0089502E" w:rsidP="0089502E">
            <w:pPr>
              <w:jc w:val="center"/>
              <w:rPr>
                <w:rFonts w:eastAsia="Times New Roman"/>
                <w:b/>
                <w:sz w:val="18"/>
                <w:szCs w:val="18"/>
              </w:rPr>
            </w:pPr>
            <w:r w:rsidRPr="0089502E">
              <w:rPr>
                <w:rFonts w:eastAsia="Times New Roman"/>
                <w:b/>
                <w:sz w:val="18"/>
                <w:szCs w:val="18"/>
              </w:rPr>
              <w:t>Nov</w:t>
            </w:r>
          </w:p>
        </w:tc>
        <w:tc>
          <w:tcPr>
            <w:tcW w:w="992" w:type="dxa"/>
            <w:tcBorders>
              <w:top w:val="single" w:sz="4" w:space="0" w:color="auto"/>
              <w:left w:val="single" w:sz="4" w:space="0" w:color="auto"/>
              <w:bottom w:val="single" w:sz="4" w:space="0" w:color="auto"/>
              <w:right w:val="single" w:sz="4" w:space="0" w:color="auto"/>
            </w:tcBorders>
          </w:tcPr>
          <w:p w:rsidR="0089502E" w:rsidRPr="0089502E" w:rsidRDefault="0089502E" w:rsidP="0089502E">
            <w:pPr>
              <w:jc w:val="center"/>
              <w:rPr>
                <w:rFonts w:eastAsia="Times New Roman"/>
                <w:b/>
                <w:sz w:val="18"/>
                <w:szCs w:val="18"/>
              </w:rPr>
            </w:pPr>
            <w:r w:rsidRPr="0089502E">
              <w:rPr>
                <w:rFonts w:eastAsia="Times New Roman"/>
                <w:b/>
                <w:sz w:val="18"/>
                <w:szCs w:val="18"/>
              </w:rPr>
              <w:t>Dic</w:t>
            </w:r>
          </w:p>
        </w:tc>
        <w:tc>
          <w:tcPr>
            <w:tcW w:w="992" w:type="dxa"/>
            <w:tcBorders>
              <w:top w:val="single" w:sz="4" w:space="0" w:color="auto"/>
              <w:left w:val="single" w:sz="4" w:space="0" w:color="auto"/>
              <w:bottom w:val="single" w:sz="4" w:space="0" w:color="auto"/>
              <w:right w:val="single" w:sz="4" w:space="0" w:color="auto"/>
            </w:tcBorders>
          </w:tcPr>
          <w:p w:rsidR="0089502E" w:rsidRPr="0089502E" w:rsidRDefault="0089502E" w:rsidP="0089502E">
            <w:pPr>
              <w:jc w:val="center"/>
              <w:rPr>
                <w:rFonts w:eastAsia="Times New Roman"/>
                <w:b/>
                <w:sz w:val="18"/>
                <w:szCs w:val="18"/>
              </w:rPr>
            </w:pPr>
            <w:r w:rsidRPr="0089502E">
              <w:rPr>
                <w:rFonts w:eastAsia="Times New Roman"/>
                <w:b/>
                <w:sz w:val="18"/>
                <w:szCs w:val="18"/>
              </w:rPr>
              <w:t>Anual</w:t>
            </w:r>
          </w:p>
        </w:tc>
        <w:tc>
          <w:tcPr>
            <w:tcW w:w="1134" w:type="dxa"/>
            <w:tcBorders>
              <w:top w:val="single" w:sz="4" w:space="0" w:color="auto"/>
              <w:left w:val="single" w:sz="4" w:space="0" w:color="auto"/>
              <w:bottom w:val="single" w:sz="4" w:space="0" w:color="auto"/>
              <w:right w:val="single" w:sz="4" w:space="0" w:color="auto"/>
            </w:tcBorders>
          </w:tcPr>
          <w:p w:rsidR="0089502E" w:rsidRPr="0089502E" w:rsidRDefault="0089502E" w:rsidP="0089502E">
            <w:pPr>
              <w:jc w:val="center"/>
              <w:rPr>
                <w:rFonts w:eastAsia="Times New Roman"/>
                <w:b/>
                <w:sz w:val="18"/>
                <w:szCs w:val="18"/>
              </w:rPr>
            </w:pPr>
            <w:r w:rsidRPr="0089502E">
              <w:rPr>
                <w:rFonts w:eastAsia="Times New Roman"/>
                <w:b/>
                <w:sz w:val="18"/>
                <w:szCs w:val="18"/>
              </w:rPr>
              <w:t>Enero*</w:t>
            </w:r>
          </w:p>
        </w:tc>
      </w:tr>
      <w:tr w:rsidR="0089502E" w:rsidRPr="0089502E" w:rsidTr="006E652B">
        <w:trPr>
          <w:jc w:val="center"/>
        </w:trPr>
        <w:tc>
          <w:tcPr>
            <w:tcW w:w="2357" w:type="dxa"/>
            <w:tcBorders>
              <w:top w:val="single" w:sz="4" w:space="0" w:color="auto"/>
              <w:left w:val="single" w:sz="4" w:space="0" w:color="auto"/>
              <w:bottom w:val="nil"/>
              <w:right w:val="single" w:sz="4" w:space="0" w:color="auto"/>
            </w:tcBorders>
          </w:tcPr>
          <w:p w:rsidR="0089502E" w:rsidRPr="0089502E" w:rsidRDefault="0089502E" w:rsidP="0089502E">
            <w:pPr>
              <w:ind w:right="57"/>
              <w:rPr>
                <w:rFonts w:eastAsia="Times New Roman"/>
                <w:b/>
                <w:sz w:val="18"/>
                <w:szCs w:val="18"/>
              </w:rPr>
            </w:pPr>
            <w:r w:rsidRPr="0089502E">
              <w:rPr>
                <w:rFonts w:eastAsia="Times New Roman"/>
                <w:b/>
                <w:sz w:val="18"/>
                <w:szCs w:val="18"/>
              </w:rPr>
              <w:t>Exportaciones Totales</w:t>
            </w:r>
          </w:p>
        </w:tc>
        <w:tc>
          <w:tcPr>
            <w:tcW w:w="992" w:type="dxa"/>
            <w:tcBorders>
              <w:top w:val="single" w:sz="4" w:space="0" w:color="auto"/>
              <w:left w:val="single" w:sz="4" w:space="0" w:color="auto"/>
              <w:bottom w:val="nil"/>
              <w:right w:val="single" w:sz="4" w:space="0" w:color="auto"/>
            </w:tcBorders>
          </w:tcPr>
          <w:p w:rsidR="0089502E" w:rsidRPr="0089502E" w:rsidRDefault="0089502E" w:rsidP="0089502E">
            <w:pPr>
              <w:ind w:right="113"/>
              <w:jc w:val="right"/>
              <w:rPr>
                <w:rFonts w:eastAsia="Times New Roman"/>
                <w:b/>
                <w:sz w:val="18"/>
                <w:szCs w:val="18"/>
              </w:rPr>
            </w:pPr>
            <w:r w:rsidRPr="0089502E">
              <w:rPr>
                <w:rFonts w:eastAsia="Times New Roman"/>
                <w:b/>
                <w:sz w:val="18"/>
                <w:szCs w:val="18"/>
              </w:rPr>
              <w:t>380 027</w:t>
            </w:r>
          </w:p>
        </w:tc>
        <w:tc>
          <w:tcPr>
            <w:tcW w:w="1046" w:type="dxa"/>
            <w:tcBorders>
              <w:top w:val="single" w:sz="4" w:space="0" w:color="auto"/>
              <w:left w:val="single" w:sz="4" w:space="0" w:color="auto"/>
              <w:bottom w:val="nil"/>
              <w:right w:val="single" w:sz="4" w:space="0" w:color="auto"/>
            </w:tcBorders>
          </w:tcPr>
          <w:p w:rsidR="0089502E" w:rsidRPr="0089502E" w:rsidRDefault="0089502E" w:rsidP="0089502E">
            <w:pPr>
              <w:ind w:right="170"/>
              <w:jc w:val="right"/>
              <w:rPr>
                <w:rFonts w:eastAsia="Times New Roman"/>
                <w:b/>
                <w:sz w:val="18"/>
                <w:szCs w:val="18"/>
              </w:rPr>
            </w:pPr>
            <w:r w:rsidRPr="0089502E">
              <w:rPr>
                <w:rFonts w:eastAsia="Times New Roman"/>
                <w:b/>
                <w:sz w:val="18"/>
                <w:szCs w:val="18"/>
              </w:rPr>
              <w:t>37 086</w:t>
            </w:r>
          </w:p>
        </w:tc>
        <w:tc>
          <w:tcPr>
            <w:tcW w:w="992" w:type="dxa"/>
            <w:tcBorders>
              <w:top w:val="single" w:sz="4" w:space="0" w:color="auto"/>
              <w:left w:val="single" w:sz="4" w:space="0" w:color="auto"/>
              <w:bottom w:val="nil"/>
              <w:right w:val="single" w:sz="4" w:space="0" w:color="auto"/>
            </w:tcBorders>
          </w:tcPr>
          <w:p w:rsidR="0089502E" w:rsidRPr="0089502E" w:rsidRDefault="0089502E" w:rsidP="0089502E">
            <w:pPr>
              <w:ind w:right="170"/>
              <w:jc w:val="right"/>
              <w:rPr>
                <w:rFonts w:eastAsia="Times New Roman"/>
                <w:b/>
                <w:sz w:val="18"/>
                <w:szCs w:val="18"/>
              </w:rPr>
            </w:pPr>
            <w:r w:rsidRPr="0089502E">
              <w:rPr>
                <w:rFonts w:eastAsia="Times New Roman"/>
                <w:b/>
                <w:sz w:val="18"/>
                <w:szCs w:val="18"/>
              </w:rPr>
              <w:t>32 329</w:t>
            </w:r>
          </w:p>
        </w:tc>
        <w:tc>
          <w:tcPr>
            <w:tcW w:w="992" w:type="dxa"/>
            <w:tcBorders>
              <w:top w:val="single" w:sz="4" w:space="0" w:color="auto"/>
              <w:left w:val="single" w:sz="4" w:space="0" w:color="auto"/>
              <w:bottom w:val="nil"/>
              <w:right w:val="single" w:sz="4" w:space="0" w:color="auto"/>
            </w:tcBorders>
          </w:tcPr>
          <w:p w:rsidR="0089502E" w:rsidRPr="0089502E" w:rsidRDefault="0089502E" w:rsidP="0089502E">
            <w:pPr>
              <w:ind w:right="170"/>
              <w:jc w:val="right"/>
              <w:rPr>
                <w:rFonts w:eastAsia="Times New Roman"/>
                <w:b/>
                <w:sz w:val="18"/>
                <w:szCs w:val="18"/>
              </w:rPr>
            </w:pPr>
            <w:r w:rsidRPr="0089502E">
              <w:rPr>
                <w:rFonts w:eastAsia="Times New Roman"/>
                <w:b/>
                <w:sz w:val="18"/>
                <w:szCs w:val="18"/>
              </w:rPr>
              <w:t>34 114</w:t>
            </w:r>
          </w:p>
        </w:tc>
        <w:tc>
          <w:tcPr>
            <w:tcW w:w="992" w:type="dxa"/>
            <w:tcBorders>
              <w:top w:val="single" w:sz="4" w:space="0" w:color="auto"/>
              <w:left w:val="single" w:sz="4" w:space="0" w:color="auto"/>
              <w:bottom w:val="nil"/>
              <w:right w:val="single" w:sz="4" w:space="0" w:color="auto"/>
            </w:tcBorders>
          </w:tcPr>
          <w:p w:rsidR="0089502E" w:rsidRPr="0089502E" w:rsidRDefault="0089502E" w:rsidP="0089502E">
            <w:pPr>
              <w:ind w:right="113"/>
              <w:jc w:val="right"/>
              <w:rPr>
                <w:rFonts w:eastAsia="Times New Roman"/>
                <w:b/>
                <w:sz w:val="18"/>
                <w:szCs w:val="18"/>
              </w:rPr>
            </w:pPr>
            <w:r w:rsidRPr="0089502E">
              <w:rPr>
                <w:rFonts w:eastAsia="Times New Roman"/>
                <w:b/>
                <w:sz w:val="18"/>
                <w:szCs w:val="18"/>
              </w:rPr>
              <w:t>397 535</w:t>
            </w:r>
          </w:p>
        </w:tc>
        <w:tc>
          <w:tcPr>
            <w:tcW w:w="1134" w:type="dxa"/>
            <w:tcBorders>
              <w:top w:val="single" w:sz="4" w:space="0" w:color="auto"/>
              <w:left w:val="single" w:sz="4" w:space="0" w:color="auto"/>
              <w:bottom w:val="nil"/>
              <w:right w:val="single" w:sz="4" w:space="0" w:color="auto"/>
            </w:tcBorders>
          </w:tcPr>
          <w:p w:rsidR="0089502E" w:rsidRPr="0089502E" w:rsidRDefault="0089502E" w:rsidP="0089502E">
            <w:pPr>
              <w:ind w:right="227"/>
              <w:jc w:val="right"/>
              <w:rPr>
                <w:rFonts w:eastAsia="Times New Roman"/>
                <w:b/>
                <w:sz w:val="18"/>
                <w:szCs w:val="18"/>
              </w:rPr>
            </w:pPr>
            <w:r w:rsidRPr="0089502E">
              <w:rPr>
                <w:rFonts w:eastAsia="Times New Roman"/>
                <w:b/>
                <w:sz w:val="18"/>
                <w:szCs w:val="18"/>
              </w:rPr>
              <w:t>26 568</w:t>
            </w:r>
          </w:p>
        </w:tc>
      </w:tr>
      <w:tr w:rsidR="0089502E" w:rsidRPr="0089502E" w:rsidTr="006E652B">
        <w:trPr>
          <w:jc w:val="center"/>
        </w:trPr>
        <w:tc>
          <w:tcPr>
            <w:tcW w:w="2357" w:type="dxa"/>
            <w:tcBorders>
              <w:top w:val="nil"/>
              <w:left w:val="single" w:sz="4" w:space="0" w:color="auto"/>
              <w:bottom w:val="nil"/>
              <w:right w:val="single" w:sz="4" w:space="0" w:color="auto"/>
            </w:tcBorders>
          </w:tcPr>
          <w:p w:rsidR="0089502E" w:rsidRPr="0089502E" w:rsidRDefault="0089502E" w:rsidP="0089502E">
            <w:pPr>
              <w:ind w:right="57"/>
              <w:rPr>
                <w:rFonts w:eastAsia="Times New Roman"/>
                <w:sz w:val="18"/>
                <w:szCs w:val="18"/>
              </w:rPr>
            </w:pPr>
            <w:r w:rsidRPr="0089502E">
              <w:rPr>
                <w:rFonts w:eastAsia="Times New Roman"/>
                <w:sz w:val="18"/>
                <w:szCs w:val="18"/>
              </w:rPr>
              <w:t xml:space="preserve">     Petroleras</w:t>
            </w:r>
          </w:p>
        </w:tc>
        <w:tc>
          <w:tcPr>
            <w:tcW w:w="992"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sz w:val="18"/>
                <w:szCs w:val="18"/>
              </w:rPr>
            </w:pPr>
            <w:r w:rsidRPr="0089502E">
              <w:rPr>
                <w:rFonts w:eastAsia="Times New Roman"/>
                <w:sz w:val="18"/>
                <w:szCs w:val="18"/>
              </w:rPr>
              <w:t>49 493</w:t>
            </w:r>
          </w:p>
        </w:tc>
        <w:tc>
          <w:tcPr>
            <w:tcW w:w="1046"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3 430</w:t>
            </w:r>
          </w:p>
        </w:tc>
        <w:tc>
          <w:tcPr>
            <w:tcW w:w="992"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3 162</w:t>
            </w:r>
          </w:p>
        </w:tc>
        <w:tc>
          <w:tcPr>
            <w:tcW w:w="992"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2 467</w:t>
            </w:r>
          </w:p>
        </w:tc>
        <w:tc>
          <w:tcPr>
            <w:tcW w:w="992"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sz w:val="18"/>
                <w:szCs w:val="18"/>
              </w:rPr>
            </w:pPr>
            <w:r w:rsidRPr="0089502E">
              <w:rPr>
                <w:rFonts w:eastAsia="Times New Roman"/>
                <w:sz w:val="18"/>
                <w:szCs w:val="18"/>
              </w:rPr>
              <w:t>42 979</w:t>
            </w:r>
          </w:p>
        </w:tc>
        <w:tc>
          <w:tcPr>
            <w:tcW w:w="1134" w:type="dxa"/>
            <w:tcBorders>
              <w:top w:val="nil"/>
              <w:left w:val="single" w:sz="4" w:space="0" w:color="auto"/>
              <w:bottom w:val="nil"/>
              <w:right w:val="single" w:sz="4" w:space="0" w:color="auto"/>
            </w:tcBorders>
          </w:tcPr>
          <w:p w:rsidR="0089502E" w:rsidRPr="0089502E" w:rsidRDefault="0089502E" w:rsidP="0089502E">
            <w:pPr>
              <w:ind w:right="227"/>
              <w:jc w:val="right"/>
              <w:rPr>
                <w:rFonts w:eastAsia="Times New Roman"/>
                <w:sz w:val="18"/>
                <w:szCs w:val="18"/>
              </w:rPr>
            </w:pPr>
            <w:r w:rsidRPr="0089502E">
              <w:rPr>
                <w:rFonts w:eastAsia="Times New Roman"/>
                <w:sz w:val="18"/>
                <w:szCs w:val="18"/>
              </w:rPr>
              <w:t>2 016</w:t>
            </w:r>
          </w:p>
        </w:tc>
      </w:tr>
      <w:tr w:rsidR="0089502E" w:rsidRPr="0089502E" w:rsidTr="006E652B">
        <w:trPr>
          <w:jc w:val="center"/>
        </w:trPr>
        <w:tc>
          <w:tcPr>
            <w:tcW w:w="2357" w:type="dxa"/>
            <w:tcBorders>
              <w:top w:val="nil"/>
              <w:left w:val="single" w:sz="4" w:space="0" w:color="auto"/>
              <w:bottom w:val="nil"/>
              <w:right w:val="single" w:sz="4" w:space="0" w:color="auto"/>
            </w:tcBorders>
          </w:tcPr>
          <w:p w:rsidR="0089502E" w:rsidRPr="0089502E" w:rsidRDefault="0089502E" w:rsidP="0089502E">
            <w:pPr>
              <w:ind w:right="57"/>
              <w:rPr>
                <w:rFonts w:eastAsia="Times New Roman"/>
                <w:sz w:val="18"/>
                <w:szCs w:val="18"/>
              </w:rPr>
            </w:pPr>
            <w:r w:rsidRPr="0089502E">
              <w:rPr>
                <w:rFonts w:eastAsia="Times New Roman"/>
                <w:sz w:val="18"/>
                <w:szCs w:val="18"/>
              </w:rPr>
              <w:t xml:space="preserve">     No petroleras</w:t>
            </w:r>
          </w:p>
        </w:tc>
        <w:tc>
          <w:tcPr>
            <w:tcW w:w="992"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sz w:val="18"/>
                <w:szCs w:val="18"/>
              </w:rPr>
            </w:pPr>
            <w:r w:rsidRPr="0089502E">
              <w:rPr>
                <w:rFonts w:eastAsia="Times New Roman"/>
                <w:sz w:val="18"/>
                <w:szCs w:val="18"/>
              </w:rPr>
              <w:t>330 534</w:t>
            </w:r>
          </w:p>
        </w:tc>
        <w:tc>
          <w:tcPr>
            <w:tcW w:w="1046"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33 656</w:t>
            </w:r>
          </w:p>
        </w:tc>
        <w:tc>
          <w:tcPr>
            <w:tcW w:w="992"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29 167</w:t>
            </w:r>
          </w:p>
        </w:tc>
        <w:tc>
          <w:tcPr>
            <w:tcW w:w="992"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31 647</w:t>
            </w:r>
          </w:p>
        </w:tc>
        <w:tc>
          <w:tcPr>
            <w:tcW w:w="992"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sz w:val="18"/>
                <w:szCs w:val="18"/>
              </w:rPr>
            </w:pPr>
            <w:r w:rsidRPr="0089502E">
              <w:rPr>
                <w:rFonts w:eastAsia="Times New Roman"/>
                <w:sz w:val="18"/>
                <w:szCs w:val="18"/>
              </w:rPr>
              <w:t>354 556</w:t>
            </w:r>
          </w:p>
        </w:tc>
        <w:tc>
          <w:tcPr>
            <w:tcW w:w="1134" w:type="dxa"/>
            <w:tcBorders>
              <w:top w:val="nil"/>
              <w:left w:val="single" w:sz="4" w:space="0" w:color="auto"/>
              <w:bottom w:val="nil"/>
              <w:right w:val="single" w:sz="4" w:space="0" w:color="auto"/>
            </w:tcBorders>
          </w:tcPr>
          <w:p w:rsidR="0089502E" w:rsidRPr="0089502E" w:rsidRDefault="0089502E" w:rsidP="0089502E">
            <w:pPr>
              <w:ind w:right="227"/>
              <w:jc w:val="right"/>
              <w:rPr>
                <w:rFonts w:eastAsia="Times New Roman"/>
                <w:sz w:val="18"/>
                <w:szCs w:val="18"/>
              </w:rPr>
            </w:pPr>
            <w:r w:rsidRPr="0089502E">
              <w:rPr>
                <w:rFonts w:eastAsia="Times New Roman"/>
                <w:sz w:val="18"/>
                <w:szCs w:val="18"/>
              </w:rPr>
              <w:t>24 553</w:t>
            </w:r>
          </w:p>
        </w:tc>
      </w:tr>
      <w:tr w:rsidR="0089502E" w:rsidRPr="0089502E" w:rsidTr="006E652B">
        <w:trPr>
          <w:jc w:val="center"/>
        </w:trPr>
        <w:tc>
          <w:tcPr>
            <w:tcW w:w="2357" w:type="dxa"/>
            <w:tcBorders>
              <w:top w:val="nil"/>
              <w:left w:val="single" w:sz="4" w:space="0" w:color="auto"/>
              <w:bottom w:val="nil"/>
              <w:right w:val="single" w:sz="4" w:space="0" w:color="auto"/>
            </w:tcBorders>
          </w:tcPr>
          <w:p w:rsidR="0089502E" w:rsidRPr="0089502E" w:rsidRDefault="0089502E" w:rsidP="0089502E">
            <w:pPr>
              <w:ind w:right="57"/>
              <w:rPr>
                <w:rFonts w:eastAsia="Times New Roman"/>
                <w:b/>
                <w:sz w:val="18"/>
                <w:szCs w:val="18"/>
              </w:rPr>
            </w:pPr>
            <w:r w:rsidRPr="0089502E">
              <w:rPr>
                <w:rFonts w:eastAsia="Times New Roman"/>
                <w:b/>
                <w:sz w:val="18"/>
                <w:szCs w:val="18"/>
              </w:rPr>
              <w:t>Importaciones Totales</w:t>
            </w:r>
          </w:p>
        </w:tc>
        <w:tc>
          <w:tcPr>
            <w:tcW w:w="992"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b/>
                <w:sz w:val="18"/>
                <w:szCs w:val="18"/>
              </w:rPr>
            </w:pPr>
            <w:r w:rsidRPr="0089502E">
              <w:rPr>
                <w:rFonts w:eastAsia="Times New Roman"/>
                <w:b/>
                <w:sz w:val="18"/>
                <w:szCs w:val="18"/>
              </w:rPr>
              <w:t>381 210</w:t>
            </w:r>
          </w:p>
        </w:tc>
        <w:tc>
          <w:tcPr>
            <w:tcW w:w="1046"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b/>
                <w:sz w:val="18"/>
                <w:szCs w:val="18"/>
              </w:rPr>
            </w:pPr>
            <w:r w:rsidRPr="0089502E">
              <w:rPr>
                <w:rFonts w:eastAsia="Times New Roman"/>
                <w:b/>
                <w:sz w:val="18"/>
                <w:szCs w:val="18"/>
              </w:rPr>
              <w:t>36 943</w:t>
            </w:r>
          </w:p>
        </w:tc>
        <w:tc>
          <w:tcPr>
            <w:tcW w:w="992"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b/>
                <w:sz w:val="18"/>
                <w:szCs w:val="18"/>
              </w:rPr>
            </w:pPr>
            <w:r w:rsidRPr="0089502E">
              <w:rPr>
                <w:rFonts w:eastAsia="Times New Roman"/>
                <w:b/>
                <w:sz w:val="18"/>
                <w:szCs w:val="18"/>
              </w:rPr>
              <w:t>33 405</w:t>
            </w:r>
          </w:p>
        </w:tc>
        <w:tc>
          <w:tcPr>
            <w:tcW w:w="992"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b/>
                <w:sz w:val="18"/>
                <w:szCs w:val="18"/>
              </w:rPr>
            </w:pPr>
            <w:r w:rsidRPr="0089502E">
              <w:rPr>
                <w:rFonts w:eastAsia="Times New Roman"/>
                <w:b/>
                <w:sz w:val="18"/>
                <w:szCs w:val="18"/>
              </w:rPr>
              <w:t>33 861</w:t>
            </w:r>
          </w:p>
        </w:tc>
        <w:tc>
          <w:tcPr>
            <w:tcW w:w="992"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b/>
                <w:sz w:val="18"/>
                <w:szCs w:val="18"/>
              </w:rPr>
            </w:pPr>
            <w:r w:rsidRPr="0089502E">
              <w:rPr>
                <w:rFonts w:eastAsia="Times New Roman"/>
                <w:b/>
                <w:sz w:val="18"/>
                <w:szCs w:val="18"/>
              </w:rPr>
              <w:t>399 977</w:t>
            </w:r>
          </w:p>
        </w:tc>
        <w:tc>
          <w:tcPr>
            <w:tcW w:w="1134" w:type="dxa"/>
            <w:tcBorders>
              <w:top w:val="nil"/>
              <w:left w:val="single" w:sz="4" w:space="0" w:color="auto"/>
              <w:bottom w:val="nil"/>
              <w:right w:val="single" w:sz="4" w:space="0" w:color="auto"/>
            </w:tcBorders>
          </w:tcPr>
          <w:p w:rsidR="0089502E" w:rsidRPr="0089502E" w:rsidRDefault="0089502E" w:rsidP="0089502E">
            <w:pPr>
              <w:ind w:right="227"/>
              <w:jc w:val="right"/>
              <w:rPr>
                <w:rFonts w:eastAsia="Times New Roman"/>
                <w:b/>
                <w:sz w:val="18"/>
                <w:szCs w:val="18"/>
              </w:rPr>
            </w:pPr>
            <w:r w:rsidRPr="0089502E">
              <w:rPr>
                <w:rFonts w:eastAsia="Times New Roman"/>
                <w:b/>
                <w:sz w:val="18"/>
                <w:szCs w:val="18"/>
              </w:rPr>
              <w:t>29 816</w:t>
            </w:r>
          </w:p>
        </w:tc>
      </w:tr>
      <w:tr w:rsidR="0089502E" w:rsidRPr="0089502E" w:rsidTr="006E652B">
        <w:trPr>
          <w:jc w:val="center"/>
        </w:trPr>
        <w:tc>
          <w:tcPr>
            <w:tcW w:w="2357" w:type="dxa"/>
            <w:tcBorders>
              <w:top w:val="nil"/>
              <w:left w:val="single" w:sz="4" w:space="0" w:color="auto"/>
              <w:bottom w:val="nil"/>
              <w:right w:val="single" w:sz="4" w:space="0" w:color="auto"/>
            </w:tcBorders>
          </w:tcPr>
          <w:p w:rsidR="0089502E" w:rsidRPr="0089502E" w:rsidRDefault="0089502E" w:rsidP="0089502E">
            <w:pPr>
              <w:ind w:right="57"/>
              <w:rPr>
                <w:rFonts w:eastAsia="Times New Roman"/>
                <w:sz w:val="18"/>
                <w:szCs w:val="18"/>
              </w:rPr>
            </w:pPr>
            <w:r w:rsidRPr="0089502E">
              <w:rPr>
                <w:rFonts w:eastAsia="Times New Roman"/>
                <w:sz w:val="18"/>
                <w:szCs w:val="18"/>
              </w:rPr>
              <w:t xml:space="preserve">     Petroleras</w:t>
            </w:r>
          </w:p>
        </w:tc>
        <w:tc>
          <w:tcPr>
            <w:tcW w:w="992"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sz w:val="18"/>
                <w:szCs w:val="18"/>
              </w:rPr>
            </w:pPr>
            <w:r w:rsidRPr="0089502E">
              <w:rPr>
                <w:rFonts w:eastAsia="Times New Roman"/>
                <w:sz w:val="18"/>
                <w:szCs w:val="18"/>
              </w:rPr>
              <w:t>40 868</w:t>
            </w:r>
          </w:p>
        </w:tc>
        <w:tc>
          <w:tcPr>
            <w:tcW w:w="1046"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3 387</w:t>
            </w:r>
          </w:p>
        </w:tc>
        <w:tc>
          <w:tcPr>
            <w:tcW w:w="992"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3 625</w:t>
            </w:r>
          </w:p>
        </w:tc>
        <w:tc>
          <w:tcPr>
            <w:tcW w:w="992"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3 438</w:t>
            </w:r>
          </w:p>
        </w:tc>
        <w:tc>
          <w:tcPr>
            <w:tcW w:w="992"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sz w:val="18"/>
                <w:szCs w:val="18"/>
              </w:rPr>
            </w:pPr>
            <w:r w:rsidRPr="0089502E">
              <w:rPr>
                <w:rFonts w:eastAsia="Times New Roman"/>
                <w:sz w:val="18"/>
                <w:szCs w:val="18"/>
              </w:rPr>
              <w:t>41 490</w:t>
            </w:r>
          </w:p>
        </w:tc>
        <w:tc>
          <w:tcPr>
            <w:tcW w:w="1134" w:type="dxa"/>
            <w:tcBorders>
              <w:top w:val="nil"/>
              <w:left w:val="single" w:sz="4" w:space="0" w:color="auto"/>
              <w:bottom w:val="nil"/>
              <w:right w:val="single" w:sz="4" w:space="0" w:color="auto"/>
            </w:tcBorders>
          </w:tcPr>
          <w:p w:rsidR="0089502E" w:rsidRPr="0089502E" w:rsidRDefault="0089502E" w:rsidP="0089502E">
            <w:pPr>
              <w:ind w:right="227"/>
              <w:jc w:val="right"/>
              <w:rPr>
                <w:rFonts w:eastAsia="Times New Roman"/>
                <w:sz w:val="18"/>
                <w:szCs w:val="18"/>
              </w:rPr>
            </w:pPr>
            <w:r w:rsidRPr="0089502E">
              <w:rPr>
                <w:rFonts w:eastAsia="Times New Roman"/>
                <w:sz w:val="18"/>
                <w:szCs w:val="18"/>
              </w:rPr>
              <w:t>3 035</w:t>
            </w:r>
          </w:p>
        </w:tc>
      </w:tr>
      <w:tr w:rsidR="0089502E" w:rsidRPr="0089502E" w:rsidTr="006E652B">
        <w:trPr>
          <w:jc w:val="center"/>
        </w:trPr>
        <w:tc>
          <w:tcPr>
            <w:tcW w:w="2357" w:type="dxa"/>
            <w:tcBorders>
              <w:top w:val="nil"/>
              <w:left w:val="single" w:sz="4" w:space="0" w:color="auto"/>
              <w:bottom w:val="nil"/>
              <w:right w:val="single" w:sz="4" w:space="0" w:color="auto"/>
            </w:tcBorders>
          </w:tcPr>
          <w:p w:rsidR="0089502E" w:rsidRPr="0089502E" w:rsidRDefault="0089502E" w:rsidP="0089502E">
            <w:pPr>
              <w:ind w:right="57"/>
              <w:rPr>
                <w:rFonts w:eastAsia="Times New Roman"/>
                <w:sz w:val="18"/>
                <w:szCs w:val="18"/>
              </w:rPr>
            </w:pPr>
            <w:r w:rsidRPr="0089502E">
              <w:rPr>
                <w:rFonts w:eastAsia="Times New Roman"/>
                <w:sz w:val="18"/>
                <w:szCs w:val="18"/>
              </w:rPr>
              <w:t xml:space="preserve">     No petroleras</w:t>
            </w:r>
          </w:p>
        </w:tc>
        <w:tc>
          <w:tcPr>
            <w:tcW w:w="992"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sz w:val="18"/>
                <w:szCs w:val="18"/>
              </w:rPr>
            </w:pPr>
            <w:r w:rsidRPr="0089502E">
              <w:rPr>
                <w:rFonts w:eastAsia="Times New Roman"/>
                <w:sz w:val="18"/>
                <w:szCs w:val="18"/>
              </w:rPr>
              <w:t>340 342</w:t>
            </w:r>
          </w:p>
        </w:tc>
        <w:tc>
          <w:tcPr>
            <w:tcW w:w="1046"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33 556</w:t>
            </w:r>
          </w:p>
        </w:tc>
        <w:tc>
          <w:tcPr>
            <w:tcW w:w="992"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29 780</w:t>
            </w:r>
          </w:p>
        </w:tc>
        <w:tc>
          <w:tcPr>
            <w:tcW w:w="992"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30 422</w:t>
            </w:r>
          </w:p>
        </w:tc>
        <w:tc>
          <w:tcPr>
            <w:tcW w:w="992"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sz w:val="18"/>
                <w:szCs w:val="18"/>
              </w:rPr>
            </w:pPr>
            <w:r w:rsidRPr="0089502E">
              <w:rPr>
                <w:rFonts w:eastAsia="Times New Roman"/>
                <w:sz w:val="18"/>
                <w:szCs w:val="18"/>
              </w:rPr>
              <w:t>358 488</w:t>
            </w:r>
          </w:p>
        </w:tc>
        <w:tc>
          <w:tcPr>
            <w:tcW w:w="1134" w:type="dxa"/>
            <w:tcBorders>
              <w:top w:val="nil"/>
              <w:left w:val="single" w:sz="4" w:space="0" w:color="auto"/>
              <w:bottom w:val="nil"/>
              <w:right w:val="single" w:sz="4" w:space="0" w:color="auto"/>
            </w:tcBorders>
          </w:tcPr>
          <w:p w:rsidR="0089502E" w:rsidRPr="0089502E" w:rsidRDefault="0089502E" w:rsidP="0089502E">
            <w:pPr>
              <w:ind w:right="227"/>
              <w:jc w:val="right"/>
              <w:rPr>
                <w:rFonts w:eastAsia="Times New Roman"/>
                <w:sz w:val="18"/>
                <w:szCs w:val="18"/>
              </w:rPr>
            </w:pPr>
            <w:r w:rsidRPr="0089502E">
              <w:rPr>
                <w:rFonts w:eastAsia="Times New Roman"/>
                <w:sz w:val="18"/>
                <w:szCs w:val="18"/>
              </w:rPr>
              <w:t>26 781</w:t>
            </w:r>
          </w:p>
        </w:tc>
      </w:tr>
      <w:tr w:rsidR="0089502E" w:rsidRPr="0089502E" w:rsidTr="006E652B">
        <w:trPr>
          <w:jc w:val="center"/>
        </w:trPr>
        <w:tc>
          <w:tcPr>
            <w:tcW w:w="2357" w:type="dxa"/>
            <w:tcBorders>
              <w:top w:val="nil"/>
              <w:left w:val="single" w:sz="4" w:space="0" w:color="auto"/>
              <w:bottom w:val="nil"/>
              <w:right w:val="single" w:sz="4" w:space="0" w:color="auto"/>
            </w:tcBorders>
          </w:tcPr>
          <w:p w:rsidR="0089502E" w:rsidRPr="0089502E" w:rsidRDefault="0089502E" w:rsidP="0089502E">
            <w:pPr>
              <w:ind w:right="57"/>
              <w:rPr>
                <w:rFonts w:eastAsia="Times New Roman"/>
                <w:b/>
                <w:sz w:val="18"/>
                <w:szCs w:val="18"/>
              </w:rPr>
            </w:pPr>
            <w:r w:rsidRPr="0089502E">
              <w:rPr>
                <w:rFonts w:eastAsia="Times New Roman"/>
                <w:b/>
                <w:sz w:val="18"/>
                <w:szCs w:val="18"/>
              </w:rPr>
              <w:t>Balanza Comercial Total</w:t>
            </w:r>
          </w:p>
        </w:tc>
        <w:tc>
          <w:tcPr>
            <w:tcW w:w="992"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b/>
                <w:sz w:val="18"/>
                <w:szCs w:val="18"/>
              </w:rPr>
            </w:pPr>
            <w:r w:rsidRPr="0089502E">
              <w:rPr>
                <w:rFonts w:eastAsia="Times New Roman"/>
                <w:b/>
                <w:sz w:val="18"/>
                <w:szCs w:val="18"/>
              </w:rPr>
              <w:t>-1 184</w:t>
            </w:r>
          </w:p>
        </w:tc>
        <w:tc>
          <w:tcPr>
            <w:tcW w:w="1046"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b/>
                <w:sz w:val="18"/>
                <w:szCs w:val="18"/>
              </w:rPr>
            </w:pPr>
            <w:r w:rsidRPr="0089502E">
              <w:rPr>
                <w:rFonts w:eastAsia="Times New Roman"/>
                <w:b/>
                <w:sz w:val="18"/>
                <w:szCs w:val="18"/>
              </w:rPr>
              <w:t>143</w:t>
            </w:r>
          </w:p>
        </w:tc>
        <w:tc>
          <w:tcPr>
            <w:tcW w:w="992"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b/>
                <w:sz w:val="18"/>
                <w:szCs w:val="18"/>
              </w:rPr>
            </w:pPr>
            <w:r w:rsidRPr="0089502E">
              <w:rPr>
                <w:rFonts w:eastAsia="Times New Roman"/>
                <w:b/>
                <w:sz w:val="18"/>
                <w:szCs w:val="18"/>
              </w:rPr>
              <w:t>-1 076</w:t>
            </w:r>
          </w:p>
        </w:tc>
        <w:tc>
          <w:tcPr>
            <w:tcW w:w="992"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b/>
                <w:sz w:val="18"/>
                <w:szCs w:val="18"/>
              </w:rPr>
            </w:pPr>
            <w:r w:rsidRPr="0089502E">
              <w:rPr>
                <w:rFonts w:eastAsia="Times New Roman"/>
                <w:b/>
                <w:sz w:val="18"/>
                <w:szCs w:val="18"/>
              </w:rPr>
              <w:t>254</w:t>
            </w:r>
          </w:p>
        </w:tc>
        <w:tc>
          <w:tcPr>
            <w:tcW w:w="992"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b/>
                <w:sz w:val="18"/>
                <w:szCs w:val="18"/>
              </w:rPr>
            </w:pPr>
            <w:r w:rsidRPr="0089502E">
              <w:rPr>
                <w:rFonts w:eastAsia="Times New Roman"/>
                <w:b/>
                <w:sz w:val="18"/>
                <w:szCs w:val="18"/>
              </w:rPr>
              <w:t>-2 442</w:t>
            </w:r>
          </w:p>
        </w:tc>
        <w:tc>
          <w:tcPr>
            <w:tcW w:w="1134" w:type="dxa"/>
            <w:tcBorders>
              <w:top w:val="nil"/>
              <w:left w:val="single" w:sz="4" w:space="0" w:color="auto"/>
              <w:bottom w:val="nil"/>
              <w:right w:val="single" w:sz="4" w:space="0" w:color="auto"/>
            </w:tcBorders>
          </w:tcPr>
          <w:p w:rsidR="0089502E" w:rsidRPr="0089502E" w:rsidRDefault="0089502E" w:rsidP="0089502E">
            <w:pPr>
              <w:ind w:right="227"/>
              <w:jc w:val="right"/>
              <w:rPr>
                <w:rFonts w:eastAsia="Times New Roman"/>
                <w:b/>
                <w:sz w:val="18"/>
                <w:szCs w:val="18"/>
              </w:rPr>
            </w:pPr>
            <w:r w:rsidRPr="0089502E">
              <w:rPr>
                <w:rFonts w:eastAsia="Times New Roman"/>
                <w:b/>
                <w:sz w:val="18"/>
                <w:szCs w:val="18"/>
              </w:rPr>
              <w:t>-3 248</w:t>
            </w:r>
          </w:p>
        </w:tc>
      </w:tr>
      <w:tr w:rsidR="0089502E" w:rsidRPr="0089502E" w:rsidTr="006E652B">
        <w:trPr>
          <w:jc w:val="center"/>
        </w:trPr>
        <w:tc>
          <w:tcPr>
            <w:tcW w:w="2357" w:type="dxa"/>
            <w:tcBorders>
              <w:top w:val="nil"/>
              <w:left w:val="single" w:sz="4" w:space="0" w:color="auto"/>
              <w:bottom w:val="nil"/>
              <w:right w:val="single" w:sz="4" w:space="0" w:color="auto"/>
            </w:tcBorders>
          </w:tcPr>
          <w:p w:rsidR="0089502E" w:rsidRPr="0089502E" w:rsidRDefault="0089502E" w:rsidP="0089502E">
            <w:pPr>
              <w:ind w:right="57"/>
              <w:rPr>
                <w:rFonts w:eastAsia="Times New Roman"/>
                <w:sz w:val="18"/>
                <w:szCs w:val="18"/>
              </w:rPr>
            </w:pPr>
            <w:r w:rsidRPr="0089502E">
              <w:rPr>
                <w:rFonts w:eastAsia="Times New Roman"/>
                <w:sz w:val="18"/>
                <w:szCs w:val="18"/>
              </w:rPr>
              <w:t xml:space="preserve">     Petroleras</w:t>
            </w:r>
          </w:p>
        </w:tc>
        <w:tc>
          <w:tcPr>
            <w:tcW w:w="992"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sz w:val="18"/>
                <w:szCs w:val="18"/>
              </w:rPr>
            </w:pPr>
            <w:r w:rsidRPr="0089502E">
              <w:rPr>
                <w:rFonts w:eastAsia="Times New Roman"/>
                <w:sz w:val="18"/>
                <w:szCs w:val="18"/>
              </w:rPr>
              <w:t>8 625</w:t>
            </w:r>
          </w:p>
        </w:tc>
        <w:tc>
          <w:tcPr>
            <w:tcW w:w="1046"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43</w:t>
            </w:r>
          </w:p>
        </w:tc>
        <w:tc>
          <w:tcPr>
            <w:tcW w:w="992"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-463</w:t>
            </w:r>
          </w:p>
        </w:tc>
        <w:tc>
          <w:tcPr>
            <w:tcW w:w="992"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-971</w:t>
            </w:r>
          </w:p>
        </w:tc>
        <w:tc>
          <w:tcPr>
            <w:tcW w:w="992"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sz w:val="18"/>
                <w:szCs w:val="18"/>
              </w:rPr>
            </w:pPr>
            <w:r w:rsidRPr="0089502E">
              <w:rPr>
                <w:rFonts w:eastAsia="Times New Roman"/>
                <w:sz w:val="18"/>
                <w:szCs w:val="18"/>
              </w:rPr>
              <w:t>1 489</w:t>
            </w:r>
          </w:p>
        </w:tc>
        <w:tc>
          <w:tcPr>
            <w:tcW w:w="1134" w:type="dxa"/>
            <w:tcBorders>
              <w:top w:val="nil"/>
              <w:left w:val="single" w:sz="4" w:space="0" w:color="auto"/>
              <w:bottom w:val="nil"/>
              <w:right w:val="single" w:sz="4" w:space="0" w:color="auto"/>
            </w:tcBorders>
          </w:tcPr>
          <w:p w:rsidR="0089502E" w:rsidRPr="0089502E" w:rsidRDefault="0089502E" w:rsidP="0089502E">
            <w:pPr>
              <w:ind w:right="227"/>
              <w:jc w:val="right"/>
              <w:rPr>
                <w:rFonts w:eastAsia="Times New Roman"/>
                <w:sz w:val="18"/>
                <w:szCs w:val="18"/>
              </w:rPr>
            </w:pPr>
            <w:r w:rsidRPr="0089502E">
              <w:rPr>
                <w:rFonts w:eastAsia="Times New Roman"/>
                <w:sz w:val="18"/>
                <w:szCs w:val="18"/>
              </w:rPr>
              <w:t>-1 019</w:t>
            </w:r>
          </w:p>
        </w:tc>
      </w:tr>
      <w:tr w:rsidR="0089502E" w:rsidRPr="0089502E" w:rsidTr="006E652B">
        <w:trPr>
          <w:jc w:val="center"/>
        </w:trPr>
        <w:tc>
          <w:tcPr>
            <w:tcW w:w="2357" w:type="dxa"/>
            <w:tcBorders>
              <w:top w:val="nil"/>
              <w:left w:val="single" w:sz="4" w:space="0" w:color="auto"/>
              <w:bottom w:val="single" w:sz="4" w:space="0" w:color="auto"/>
              <w:right w:val="single" w:sz="4" w:space="0" w:color="auto"/>
            </w:tcBorders>
          </w:tcPr>
          <w:p w:rsidR="0089502E" w:rsidRPr="0089502E" w:rsidRDefault="0089502E" w:rsidP="0089502E">
            <w:pPr>
              <w:ind w:right="57"/>
              <w:rPr>
                <w:rFonts w:eastAsia="Times New Roman"/>
                <w:sz w:val="18"/>
                <w:szCs w:val="18"/>
              </w:rPr>
            </w:pPr>
            <w:r w:rsidRPr="0089502E">
              <w:rPr>
                <w:rFonts w:eastAsia="Times New Roman"/>
                <w:sz w:val="18"/>
                <w:szCs w:val="18"/>
              </w:rPr>
              <w:t xml:space="preserve">     No petroleras</w:t>
            </w:r>
          </w:p>
        </w:tc>
        <w:tc>
          <w:tcPr>
            <w:tcW w:w="992" w:type="dxa"/>
            <w:tcBorders>
              <w:top w:val="nil"/>
              <w:left w:val="single" w:sz="4" w:space="0" w:color="auto"/>
              <w:bottom w:val="single" w:sz="4" w:space="0" w:color="auto"/>
              <w:right w:val="single" w:sz="4" w:space="0" w:color="auto"/>
            </w:tcBorders>
          </w:tcPr>
          <w:p w:rsidR="0089502E" w:rsidRPr="0089502E" w:rsidRDefault="0089502E" w:rsidP="0089502E">
            <w:pPr>
              <w:ind w:right="113"/>
              <w:jc w:val="right"/>
              <w:rPr>
                <w:rFonts w:eastAsia="Times New Roman"/>
                <w:sz w:val="18"/>
                <w:szCs w:val="18"/>
              </w:rPr>
            </w:pPr>
            <w:r w:rsidRPr="0089502E">
              <w:rPr>
                <w:rFonts w:eastAsia="Times New Roman"/>
                <w:sz w:val="18"/>
                <w:szCs w:val="18"/>
              </w:rPr>
              <w:t>-9 809</w:t>
            </w:r>
          </w:p>
        </w:tc>
        <w:tc>
          <w:tcPr>
            <w:tcW w:w="1046" w:type="dxa"/>
            <w:tcBorders>
              <w:top w:val="nil"/>
              <w:left w:val="single" w:sz="4" w:space="0" w:color="auto"/>
              <w:bottom w:val="single" w:sz="4" w:space="0" w:color="auto"/>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100</w:t>
            </w:r>
          </w:p>
        </w:tc>
        <w:tc>
          <w:tcPr>
            <w:tcW w:w="992" w:type="dxa"/>
            <w:tcBorders>
              <w:top w:val="nil"/>
              <w:left w:val="single" w:sz="4" w:space="0" w:color="auto"/>
              <w:bottom w:val="single" w:sz="4" w:space="0" w:color="auto"/>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-613</w:t>
            </w:r>
          </w:p>
        </w:tc>
        <w:tc>
          <w:tcPr>
            <w:tcW w:w="992" w:type="dxa"/>
            <w:tcBorders>
              <w:top w:val="nil"/>
              <w:left w:val="single" w:sz="4" w:space="0" w:color="auto"/>
              <w:bottom w:val="single" w:sz="4" w:space="0" w:color="auto"/>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1 225</w:t>
            </w:r>
          </w:p>
        </w:tc>
        <w:tc>
          <w:tcPr>
            <w:tcW w:w="992" w:type="dxa"/>
            <w:tcBorders>
              <w:top w:val="nil"/>
              <w:left w:val="single" w:sz="4" w:space="0" w:color="auto"/>
              <w:bottom w:val="single" w:sz="4" w:space="0" w:color="auto"/>
              <w:right w:val="single" w:sz="4" w:space="0" w:color="auto"/>
            </w:tcBorders>
          </w:tcPr>
          <w:p w:rsidR="0089502E" w:rsidRPr="0089502E" w:rsidRDefault="0089502E" w:rsidP="0089502E">
            <w:pPr>
              <w:ind w:right="113"/>
              <w:jc w:val="right"/>
              <w:rPr>
                <w:rFonts w:eastAsia="Times New Roman"/>
                <w:sz w:val="18"/>
                <w:szCs w:val="18"/>
              </w:rPr>
            </w:pPr>
            <w:r w:rsidRPr="0089502E">
              <w:rPr>
                <w:rFonts w:eastAsia="Times New Roman"/>
                <w:sz w:val="18"/>
                <w:szCs w:val="18"/>
              </w:rPr>
              <w:t>-3 931</w:t>
            </w:r>
          </w:p>
        </w:tc>
        <w:tc>
          <w:tcPr>
            <w:tcW w:w="1134" w:type="dxa"/>
            <w:tcBorders>
              <w:top w:val="nil"/>
              <w:left w:val="single" w:sz="4" w:space="0" w:color="auto"/>
              <w:bottom w:val="single" w:sz="4" w:space="0" w:color="auto"/>
              <w:right w:val="single" w:sz="4" w:space="0" w:color="auto"/>
            </w:tcBorders>
          </w:tcPr>
          <w:p w:rsidR="0089502E" w:rsidRPr="0089502E" w:rsidRDefault="0089502E" w:rsidP="0089502E">
            <w:pPr>
              <w:ind w:right="227"/>
              <w:jc w:val="right"/>
              <w:rPr>
                <w:rFonts w:eastAsia="Times New Roman"/>
                <w:sz w:val="18"/>
                <w:szCs w:val="18"/>
              </w:rPr>
            </w:pPr>
            <w:r w:rsidRPr="0089502E">
              <w:rPr>
                <w:rFonts w:eastAsia="Times New Roman"/>
                <w:sz w:val="18"/>
                <w:szCs w:val="18"/>
              </w:rPr>
              <w:t>-2 228</w:t>
            </w:r>
          </w:p>
        </w:tc>
      </w:tr>
      <w:tr w:rsidR="0089502E" w:rsidRPr="0089502E" w:rsidTr="00DA1492">
        <w:trPr>
          <w:jc w:val="center"/>
        </w:trPr>
        <w:tc>
          <w:tcPr>
            <w:tcW w:w="8505" w:type="dxa"/>
            <w:gridSpan w:val="7"/>
            <w:tcBorders>
              <w:left w:val="nil"/>
              <w:bottom w:val="nil"/>
              <w:right w:val="nil"/>
            </w:tcBorders>
          </w:tcPr>
          <w:p w:rsidR="0089502E" w:rsidRPr="0089502E" w:rsidRDefault="0089502E" w:rsidP="0089502E">
            <w:pPr>
              <w:ind w:right="227"/>
              <w:rPr>
                <w:rFonts w:eastAsia="Times New Roman"/>
                <w:sz w:val="18"/>
                <w:szCs w:val="18"/>
              </w:rPr>
            </w:pPr>
            <w:r w:rsidRPr="0089502E">
              <w:rPr>
                <w:rFonts w:eastAsia="Times New Roman"/>
                <w:sz w:val="18"/>
                <w:szCs w:val="18"/>
              </w:rPr>
              <w:t>* Cifras oportunas.</w:t>
            </w:r>
          </w:p>
          <w:p w:rsidR="0089502E" w:rsidRPr="0089502E" w:rsidRDefault="0089502E" w:rsidP="0089502E">
            <w:pPr>
              <w:ind w:right="227"/>
              <w:rPr>
                <w:rFonts w:eastAsia="Times New Roman"/>
                <w:sz w:val="18"/>
                <w:szCs w:val="18"/>
              </w:rPr>
            </w:pPr>
            <w:r w:rsidRPr="0089502E">
              <w:rPr>
                <w:rFonts w:eastAsia="Times New Roman"/>
                <w:sz w:val="18"/>
                <w:szCs w:val="18"/>
              </w:rPr>
              <w:t>FUENTE: INEGI.</w:t>
            </w:r>
          </w:p>
        </w:tc>
      </w:tr>
    </w:tbl>
    <w:p w:rsidR="0089502E" w:rsidRPr="0089502E" w:rsidRDefault="0089502E" w:rsidP="0089502E">
      <w:pPr>
        <w:spacing w:after="360" w:line="360" w:lineRule="auto"/>
        <w:ind w:right="-159"/>
        <w:jc w:val="both"/>
        <w:rPr>
          <w:sz w:val="26"/>
          <w:szCs w:val="26"/>
          <w:lang w:val="es-ES"/>
        </w:rPr>
      </w:pPr>
    </w:p>
    <w:p w:rsidR="0089502E" w:rsidRPr="0089502E" w:rsidRDefault="0089502E" w:rsidP="0089502E">
      <w:pPr>
        <w:spacing w:after="360" w:line="360" w:lineRule="auto"/>
        <w:ind w:right="-159"/>
        <w:jc w:val="both"/>
        <w:rPr>
          <w:sz w:val="26"/>
          <w:szCs w:val="26"/>
          <w:lang w:val="es-ES"/>
        </w:rPr>
      </w:pPr>
      <w:r w:rsidRPr="0089502E">
        <w:rPr>
          <w:sz w:val="26"/>
          <w:szCs w:val="26"/>
          <w:lang w:val="es-ES"/>
        </w:rPr>
        <w:t>El valor de las exportaciones petroleras en enero pasado fue de 2 mil 15.6 millones de dólares. Este monto se integró por 1 mil 570 millones de dólares de ventas de petróleo crudo</w:t>
      </w:r>
      <w:r w:rsidRPr="0089502E">
        <w:rPr>
          <w:sz w:val="26"/>
          <w:szCs w:val="26"/>
          <w:vertAlign w:val="superscript"/>
          <w:lang w:val="es-ES"/>
        </w:rPr>
        <w:footnoteReference w:id="5"/>
      </w:r>
      <w:r w:rsidRPr="0089502E">
        <w:rPr>
          <w:sz w:val="26"/>
          <w:szCs w:val="26"/>
          <w:lang w:val="es-ES"/>
        </w:rPr>
        <w:t xml:space="preserve"> y por 446 millones de dólares de exportaciones de otros productos petroleros. En ese mes, el precio promedio de la mezcla mexicana de crudo de exportación se situó en 40.15 dólares por barril, nivel inferior en 12.21 dólares respecto al del mes previo y en 50.50 dólares en comparación con el de enero de 2014. En cuanto al volumen de crudo exportado, éste se ubicó en el mes que se reporta en 1.261 millones de barriles diarios, cifra superior a la de 1.237 millones de barriles diarios de diciembre de 2014 y a la de 1.171 millones de barriles diarios de enero de 2014.</w:t>
      </w:r>
    </w:p>
    <w:p w:rsidR="0089502E" w:rsidRPr="0089502E" w:rsidRDefault="0089502E" w:rsidP="0089502E">
      <w:pPr>
        <w:spacing w:after="360" w:line="360" w:lineRule="auto"/>
        <w:ind w:right="-159"/>
        <w:jc w:val="both"/>
        <w:rPr>
          <w:b/>
          <w:sz w:val="26"/>
          <w:szCs w:val="26"/>
          <w:lang w:val="es-ES_tradnl"/>
        </w:rPr>
      </w:pPr>
      <w:r w:rsidRPr="0089502E">
        <w:rPr>
          <w:b/>
          <w:sz w:val="26"/>
          <w:szCs w:val="26"/>
          <w:lang w:val="es-ES_tradnl"/>
        </w:rPr>
        <w:t>Exportaciones Totales de Mercancías</w:t>
      </w:r>
    </w:p>
    <w:p w:rsidR="0089502E" w:rsidRPr="0089502E" w:rsidRDefault="0089502E" w:rsidP="0089502E">
      <w:pPr>
        <w:spacing w:after="360" w:line="360" w:lineRule="auto"/>
        <w:ind w:right="-159"/>
        <w:jc w:val="both"/>
        <w:rPr>
          <w:sz w:val="26"/>
          <w:szCs w:val="26"/>
          <w:lang w:val="es-ES_tradnl"/>
        </w:rPr>
      </w:pPr>
      <w:r w:rsidRPr="0089502E">
        <w:rPr>
          <w:sz w:val="26"/>
          <w:szCs w:val="26"/>
          <w:lang w:val="es-ES_tradnl"/>
        </w:rPr>
        <w:t>El valor de las exportaciones de mercancías en el primer mes de este año ascendió a   26 mil 568.4 millones de dólares, monto menor en 1.8% al reportado en igual mes de 2014. Dicha tasa se derivó de la combinación de una variación negativa de 47.3% en las exportaciones petroleras y de un avance de 5.7% en las no petroleras. Al interior de estas últimas, las dirigidas a Estados Unidos de Norteamérica crecieron 7.3% a tasa anual, mientras que las canalizadas al resto del mundo disminuyeron 0.5 por ciento.</w:t>
      </w:r>
    </w:p>
    <w:p w:rsidR="0089502E" w:rsidRPr="0089502E" w:rsidRDefault="0089502E" w:rsidP="008E27D4">
      <w:pPr>
        <w:spacing w:after="120" w:line="360" w:lineRule="auto"/>
        <w:ind w:right="-159"/>
        <w:jc w:val="both"/>
        <w:rPr>
          <w:sz w:val="26"/>
          <w:szCs w:val="26"/>
          <w:lang w:val="es-ES_tradnl"/>
        </w:rPr>
      </w:pPr>
    </w:p>
    <w:p w:rsidR="0089502E" w:rsidRPr="0089502E" w:rsidRDefault="0089502E" w:rsidP="0089502E">
      <w:pPr>
        <w:spacing w:after="360" w:line="360" w:lineRule="auto"/>
        <w:ind w:right="-159"/>
        <w:jc w:val="center"/>
        <w:rPr>
          <w:sz w:val="26"/>
          <w:szCs w:val="26"/>
          <w:lang w:val="es-ES_tradnl"/>
        </w:rPr>
      </w:pPr>
      <w:r w:rsidRPr="0089502E">
        <w:rPr>
          <w:rFonts w:ascii="Calibri" w:eastAsia="Calibri" w:hAnsi="Calibri"/>
          <w:sz w:val="22"/>
          <w:szCs w:val="22"/>
          <w:lang w:eastAsia="en-US"/>
        </w:rPr>
        <w:fldChar w:fldCharType="begin"/>
      </w:r>
      <w:r w:rsidRPr="0089502E">
        <w:rPr>
          <w:rFonts w:ascii="Calibri" w:eastAsia="Calibri" w:hAnsi="Calibri"/>
          <w:sz w:val="22"/>
          <w:szCs w:val="22"/>
          <w:lang w:eastAsia="en-US"/>
        </w:rPr>
        <w:instrText xml:space="preserve"> LINK PowerPoint.Slide.8 "D:\\2015\\MARZO 2014\\GRÁFICAS EN POWER POINT\\2.- GRÁFICAS DE BAL COM.pptx!287" "" \a \p </w:instrText>
      </w:r>
      <w:r w:rsidRPr="0089502E">
        <w:rPr>
          <w:rFonts w:ascii="Calibri" w:eastAsia="Calibri" w:hAnsi="Calibri"/>
          <w:sz w:val="22"/>
          <w:szCs w:val="22"/>
          <w:lang w:eastAsia="en-US"/>
        </w:rPr>
        <w:fldChar w:fldCharType="separate"/>
      </w:r>
      <w:r w:rsidRPr="0089502E">
        <w:rPr>
          <w:rFonts w:ascii="Calibri" w:eastAsia="Calibri" w:hAnsi="Calibri"/>
          <w:noProof/>
          <w:sz w:val="22"/>
          <w:szCs w:val="22"/>
          <w:lang w:eastAsia="es-MX"/>
        </w:rPr>
        <w:drawing>
          <wp:inline distT="0" distB="0" distL="0" distR="0" wp14:anchorId="5D8DDDDC" wp14:editId="268527A7">
            <wp:extent cx="4782185" cy="3286760"/>
            <wp:effectExtent l="0" t="0" r="0" b="889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22" cstate="print">
                      <a:extLst>
                        <a:ext uri="{28A0092B-C50C-407E-A947-70E740481C1C}">
                          <a14:useLocalDpi xmlns:a14="http://schemas.microsoft.com/office/drawing/2010/main" val="0"/>
                        </a:ext>
                      </a:extLst>
                    </a:blip>
                    <a:srcRect l="11118" t="2094" r="10335" b="2094"/>
                    <a:stretch>
                      <a:fillRect/>
                    </a:stretch>
                  </pic:blipFill>
                  <pic:spPr bwMode="auto">
                    <a:xfrm>
                      <a:off x="0" y="0"/>
                      <a:ext cx="4782185" cy="3286760"/>
                    </a:xfrm>
                    <a:prstGeom prst="rect">
                      <a:avLst/>
                    </a:prstGeom>
                    <a:noFill/>
                    <a:ln>
                      <a:noFill/>
                    </a:ln>
                  </pic:spPr>
                </pic:pic>
              </a:graphicData>
            </a:graphic>
          </wp:inline>
        </w:drawing>
      </w:r>
      <w:r w:rsidRPr="0089502E">
        <w:rPr>
          <w:rFonts w:ascii="Calibri" w:eastAsia="Calibri" w:hAnsi="Calibri"/>
          <w:sz w:val="22"/>
          <w:szCs w:val="22"/>
          <w:lang w:eastAsia="en-US"/>
        </w:rPr>
        <w:fldChar w:fldCharType="end"/>
      </w:r>
    </w:p>
    <w:p w:rsidR="0089502E" w:rsidRPr="0089502E" w:rsidRDefault="0089502E" w:rsidP="0089502E">
      <w:pPr>
        <w:spacing w:after="360" w:line="360" w:lineRule="auto"/>
        <w:ind w:right="-159"/>
        <w:jc w:val="both"/>
        <w:rPr>
          <w:sz w:val="26"/>
          <w:szCs w:val="26"/>
          <w:lang w:val="es-ES_tradnl"/>
        </w:rPr>
      </w:pPr>
    </w:p>
    <w:tbl>
      <w:tblPr>
        <w:tblW w:w="7513" w:type="dxa"/>
        <w:jc w:val="center"/>
        <w:tblLayout w:type="fixed"/>
        <w:tblLook w:val="04A0" w:firstRow="1" w:lastRow="0" w:firstColumn="1" w:lastColumn="0" w:noHBand="0" w:noVBand="1"/>
      </w:tblPr>
      <w:tblGrid>
        <w:gridCol w:w="2911"/>
        <w:gridCol w:w="1484"/>
        <w:gridCol w:w="708"/>
        <w:gridCol w:w="709"/>
        <w:gridCol w:w="851"/>
        <w:gridCol w:w="850"/>
      </w:tblGrid>
      <w:tr w:rsidR="0089502E" w:rsidRPr="0089502E" w:rsidTr="006E652B">
        <w:trPr>
          <w:jc w:val="center"/>
        </w:trPr>
        <w:tc>
          <w:tcPr>
            <w:tcW w:w="7513" w:type="dxa"/>
            <w:gridSpan w:val="6"/>
            <w:tcBorders>
              <w:top w:val="nil"/>
              <w:left w:val="nil"/>
              <w:bottom w:val="single" w:sz="4" w:space="0" w:color="auto"/>
              <w:right w:val="nil"/>
            </w:tcBorders>
          </w:tcPr>
          <w:p w:rsidR="0089502E" w:rsidRPr="0089502E" w:rsidRDefault="0089502E" w:rsidP="0089502E">
            <w:pPr>
              <w:jc w:val="center"/>
              <w:rPr>
                <w:rFonts w:eastAsia="Times New Roman"/>
                <w:b/>
                <w:sz w:val="18"/>
                <w:szCs w:val="18"/>
              </w:rPr>
            </w:pPr>
            <w:r w:rsidRPr="0089502E">
              <w:rPr>
                <w:rFonts w:eastAsia="Times New Roman"/>
                <w:b/>
                <w:sz w:val="18"/>
                <w:szCs w:val="18"/>
              </w:rPr>
              <w:t>EXPORTACIONES NO PETROLERAS A DISTINTOS MERCADOS</w:t>
            </w:r>
          </w:p>
        </w:tc>
      </w:tr>
      <w:tr w:rsidR="0089502E" w:rsidRPr="0089502E" w:rsidTr="006E652B">
        <w:trPr>
          <w:trHeight w:val="220"/>
          <w:jc w:val="center"/>
        </w:trPr>
        <w:tc>
          <w:tcPr>
            <w:tcW w:w="2911" w:type="dxa"/>
            <w:vMerge w:val="restart"/>
            <w:tcBorders>
              <w:top w:val="single" w:sz="4" w:space="0" w:color="auto"/>
              <w:left w:val="single" w:sz="4" w:space="0" w:color="auto"/>
              <w:bottom w:val="single" w:sz="4" w:space="0" w:color="auto"/>
              <w:right w:val="single" w:sz="4" w:space="0" w:color="auto"/>
            </w:tcBorders>
            <w:vAlign w:val="center"/>
          </w:tcPr>
          <w:p w:rsidR="0089502E" w:rsidRPr="0089502E" w:rsidRDefault="0089502E" w:rsidP="0089502E">
            <w:pPr>
              <w:jc w:val="center"/>
              <w:rPr>
                <w:rFonts w:eastAsia="Times New Roman"/>
                <w:b/>
                <w:sz w:val="18"/>
                <w:szCs w:val="18"/>
              </w:rPr>
            </w:pPr>
            <w:r w:rsidRPr="0089502E">
              <w:rPr>
                <w:rFonts w:eastAsia="Times New Roman"/>
                <w:b/>
                <w:sz w:val="18"/>
                <w:szCs w:val="18"/>
              </w:rPr>
              <w:t>Concepto</w:t>
            </w:r>
          </w:p>
        </w:tc>
        <w:tc>
          <w:tcPr>
            <w:tcW w:w="1484" w:type="dxa"/>
            <w:vMerge w:val="restart"/>
            <w:tcBorders>
              <w:top w:val="single" w:sz="4" w:space="0" w:color="auto"/>
              <w:left w:val="single" w:sz="4" w:space="0" w:color="auto"/>
              <w:bottom w:val="single" w:sz="4" w:space="0" w:color="auto"/>
              <w:right w:val="single" w:sz="4" w:space="0" w:color="auto"/>
            </w:tcBorders>
            <w:vAlign w:val="center"/>
          </w:tcPr>
          <w:p w:rsidR="0089502E" w:rsidRPr="0089502E" w:rsidRDefault="0089502E" w:rsidP="0089502E">
            <w:pPr>
              <w:ind w:left="-57" w:right="-57"/>
              <w:jc w:val="center"/>
              <w:rPr>
                <w:rFonts w:eastAsia="Times New Roman"/>
                <w:b/>
                <w:sz w:val="18"/>
                <w:szCs w:val="18"/>
              </w:rPr>
            </w:pPr>
            <w:r w:rsidRPr="0089502E">
              <w:rPr>
                <w:rFonts w:eastAsia="Times New Roman"/>
                <w:b/>
                <w:sz w:val="18"/>
                <w:szCs w:val="18"/>
              </w:rPr>
              <w:t>Estructura% enero de 2015*</w:t>
            </w:r>
          </w:p>
        </w:tc>
        <w:tc>
          <w:tcPr>
            <w:tcW w:w="3118" w:type="dxa"/>
            <w:gridSpan w:val="4"/>
            <w:tcBorders>
              <w:top w:val="single" w:sz="4" w:space="0" w:color="auto"/>
              <w:left w:val="single" w:sz="4" w:space="0" w:color="auto"/>
              <w:bottom w:val="single" w:sz="4" w:space="0" w:color="auto"/>
              <w:right w:val="single" w:sz="4" w:space="0" w:color="auto"/>
            </w:tcBorders>
          </w:tcPr>
          <w:p w:rsidR="0089502E" w:rsidRPr="0089502E" w:rsidRDefault="0089502E" w:rsidP="0089502E">
            <w:pPr>
              <w:jc w:val="center"/>
              <w:rPr>
                <w:rFonts w:eastAsia="Times New Roman"/>
                <w:b/>
                <w:sz w:val="18"/>
                <w:szCs w:val="18"/>
              </w:rPr>
            </w:pPr>
            <w:r w:rsidRPr="0089502E">
              <w:rPr>
                <w:rFonts w:eastAsia="Times New Roman"/>
                <w:b/>
                <w:sz w:val="18"/>
                <w:szCs w:val="18"/>
              </w:rPr>
              <w:t>Variación porcentual anual</w:t>
            </w:r>
          </w:p>
        </w:tc>
      </w:tr>
      <w:tr w:rsidR="0089502E" w:rsidRPr="0089502E" w:rsidTr="006E652B">
        <w:trPr>
          <w:trHeight w:val="424"/>
          <w:jc w:val="center"/>
        </w:trPr>
        <w:tc>
          <w:tcPr>
            <w:tcW w:w="2911" w:type="dxa"/>
            <w:vMerge/>
            <w:tcBorders>
              <w:top w:val="single" w:sz="4" w:space="0" w:color="auto"/>
              <w:left w:val="single" w:sz="4" w:space="0" w:color="auto"/>
              <w:bottom w:val="single" w:sz="4" w:space="0" w:color="auto"/>
              <w:right w:val="single" w:sz="4" w:space="0" w:color="auto"/>
            </w:tcBorders>
          </w:tcPr>
          <w:p w:rsidR="0089502E" w:rsidRPr="0089502E" w:rsidRDefault="0089502E" w:rsidP="0089502E">
            <w:pPr>
              <w:rPr>
                <w:rFonts w:eastAsia="Times New Roman"/>
                <w:b/>
                <w:sz w:val="18"/>
                <w:szCs w:val="18"/>
              </w:rPr>
            </w:pPr>
          </w:p>
        </w:tc>
        <w:tc>
          <w:tcPr>
            <w:tcW w:w="1484" w:type="dxa"/>
            <w:vMerge/>
            <w:tcBorders>
              <w:top w:val="single" w:sz="4" w:space="0" w:color="auto"/>
              <w:left w:val="single" w:sz="4" w:space="0" w:color="auto"/>
              <w:bottom w:val="single" w:sz="4" w:space="0" w:color="auto"/>
              <w:right w:val="single" w:sz="4" w:space="0" w:color="auto"/>
            </w:tcBorders>
          </w:tcPr>
          <w:p w:rsidR="0089502E" w:rsidRPr="0089502E" w:rsidRDefault="0089502E" w:rsidP="0089502E">
            <w:pPr>
              <w:jc w:val="center"/>
              <w:rPr>
                <w:rFonts w:eastAsia="Times New Roman"/>
                <w:b/>
                <w:sz w:val="18"/>
                <w:szCs w:val="18"/>
              </w:rPr>
            </w:pPr>
          </w:p>
        </w:tc>
        <w:tc>
          <w:tcPr>
            <w:tcW w:w="2268" w:type="dxa"/>
            <w:gridSpan w:val="3"/>
            <w:tcBorders>
              <w:top w:val="single" w:sz="4" w:space="0" w:color="auto"/>
              <w:left w:val="single" w:sz="4" w:space="0" w:color="auto"/>
              <w:bottom w:val="single" w:sz="4" w:space="0" w:color="auto"/>
              <w:right w:val="single" w:sz="4" w:space="0" w:color="auto"/>
            </w:tcBorders>
            <w:vAlign w:val="center"/>
          </w:tcPr>
          <w:p w:rsidR="0089502E" w:rsidRPr="0089502E" w:rsidRDefault="0089502E" w:rsidP="0089502E">
            <w:pPr>
              <w:tabs>
                <w:tab w:val="center" w:pos="388"/>
              </w:tabs>
              <w:jc w:val="center"/>
              <w:rPr>
                <w:rFonts w:eastAsia="Times New Roman"/>
                <w:b/>
                <w:sz w:val="18"/>
                <w:szCs w:val="18"/>
              </w:rPr>
            </w:pPr>
            <w:r w:rsidRPr="0089502E">
              <w:rPr>
                <w:rFonts w:eastAsia="Times New Roman"/>
                <w:b/>
                <w:sz w:val="18"/>
                <w:szCs w:val="18"/>
              </w:rPr>
              <w:t>2014</w:t>
            </w:r>
          </w:p>
        </w:tc>
        <w:tc>
          <w:tcPr>
            <w:tcW w:w="850" w:type="dxa"/>
            <w:tcBorders>
              <w:top w:val="single" w:sz="4" w:space="0" w:color="auto"/>
              <w:left w:val="single" w:sz="4" w:space="0" w:color="auto"/>
              <w:bottom w:val="single" w:sz="4" w:space="0" w:color="auto"/>
              <w:right w:val="single" w:sz="4" w:space="0" w:color="auto"/>
            </w:tcBorders>
            <w:vAlign w:val="center"/>
          </w:tcPr>
          <w:p w:rsidR="0089502E" w:rsidRPr="0089502E" w:rsidRDefault="0089502E" w:rsidP="0089502E">
            <w:pPr>
              <w:tabs>
                <w:tab w:val="center" w:pos="388"/>
              </w:tabs>
              <w:jc w:val="center"/>
              <w:rPr>
                <w:rFonts w:eastAsia="Times New Roman"/>
                <w:b/>
                <w:sz w:val="18"/>
                <w:szCs w:val="18"/>
              </w:rPr>
            </w:pPr>
            <w:r w:rsidRPr="0089502E">
              <w:rPr>
                <w:rFonts w:eastAsia="Times New Roman"/>
                <w:b/>
                <w:sz w:val="18"/>
                <w:szCs w:val="18"/>
              </w:rPr>
              <w:t>2015</w:t>
            </w:r>
          </w:p>
        </w:tc>
      </w:tr>
      <w:tr w:rsidR="0089502E" w:rsidRPr="0089502E" w:rsidTr="006E652B">
        <w:trPr>
          <w:trHeight w:val="424"/>
          <w:jc w:val="center"/>
        </w:trPr>
        <w:tc>
          <w:tcPr>
            <w:tcW w:w="2911" w:type="dxa"/>
            <w:vMerge/>
            <w:tcBorders>
              <w:top w:val="single" w:sz="4" w:space="0" w:color="auto"/>
              <w:left w:val="single" w:sz="4" w:space="0" w:color="auto"/>
              <w:bottom w:val="single" w:sz="4" w:space="0" w:color="auto"/>
              <w:right w:val="single" w:sz="4" w:space="0" w:color="auto"/>
            </w:tcBorders>
          </w:tcPr>
          <w:p w:rsidR="0089502E" w:rsidRPr="0089502E" w:rsidRDefault="0089502E" w:rsidP="0089502E">
            <w:pPr>
              <w:rPr>
                <w:rFonts w:eastAsia="Times New Roman"/>
                <w:b/>
                <w:sz w:val="18"/>
                <w:szCs w:val="18"/>
              </w:rPr>
            </w:pPr>
          </w:p>
        </w:tc>
        <w:tc>
          <w:tcPr>
            <w:tcW w:w="1484" w:type="dxa"/>
            <w:vMerge/>
            <w:tcBorders>
              <w:top w:val="single" w:sz="4" w:space="0" w:color="auto"/>
              <w:left w:val="single" w:sz="4" w:space="0" w:color="auto"/>
              <w:bottom w:val="single" w:sz="4" w:space="0" w:color="auto"/>
              <w:right w:val="single" w:sz="4" w:space="0" w:color="auto"/>
            </w:tcBorders>
          </w:tcPr>
          <w:p w:rsidR="0089502E" w:rsidRPr="0089502E" w:rsidRDefault="0089502E" w:rsidP="0089502E">
            <w:pPr>
              <w:jc w:val="center"/>
              <w:rPr>
                <w:rFonts w:eastAsia="Times New Roman"/>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rsidR="0089502E" w:rsidRPr="0089502E" w:rsidRDefault="0089502E" w:rsidP="0089502E">
            <w:pPr>
              <w:tabs>
                <w:tab w:val="center" w:pos="388"/>
              </w:tabs>
              <w:jc w:val="center"/>
              <w:rPr>
                <w:rFonts w:eastAsia="Times New Roman"/>
                <w:b/>
                <w:sz w:val="18"/>
                <w:szCs w:val="18"/>
              </w:rPr>
            </w:pPr>
            <w:r w:rsidRPr="0089502E">
              <w:rPr>
                <w:rFonts w:eastAsia="Times New Roman"/>
                <w:b/>
                <w:sz w:val="18"/>
                <w:szCs w:val="18"/>
              </w:rPr>
              <w:t>Nov</w:t>
            </w:r>
          </w:p>
        </w:tc>
        <w:tc>
          <w:tcPr>
            <w:tcW w:w="709" w:type="dxa"/>
            <w:tcBorders>
              <w:top w:val="single" w:sz="4" w:space="0" w:color="auto"/>
              <w:left w:val="single" w:sz="4" w:space="0" w:color="auto"/>
              <w:bottom w:val="single" w:sz="4" w:space="0" w:color="auto"/>
              <w:right w:val="single" w:sz="4" w:space="0" w:color="auto"/>
            </w:tcBorders>
            <w:vAlign w:val="center"/>
          </w:tcPr>
          <w:p w:rsidR="0089502E" w:rsidRPr="0089502E" w:rsidRDefault="0089502E" w:rsidP="005B2916">
            <w:pPr>
              <w:tabs>
                <w:tab w:val="center" w:pos="388"/>
              </w:tabs>
              <w:jc w:val="center"/>
              <w:rPr>
                <w:rFonts w:eastAsia="Times New Roman"/>
                <w:b/>
                <w:sz w:val="18"/>
                <w:szCs w:val="18"/>
              </w:rPr>
            </w:pPr>
            <w:r w:rsidRPr="0089502E">
              <w:rPr>
                <w:rFonts w:eastAsia="Times New Roman"/>
                <w:b/>
                <w:sz w:val="18"/>
                <w:szCs w:val="18"/>
              </w:rPr>
              <w:t>Dic</w:t>
            </w:r>
          </w:p>
        </w:tc>
        <w:tc>
          <w:tcPr>
            <w:tcW w:w="851" w:type="dxa"/>
            <w:tcBorders>
              <w:top w:val="single" w:sz="4" w:space="0" w:color="auto"/>
              <w:left w:val="single" w:sz="4" w:space="0" w:color="auto"/>
              <w:bottom w:val="single" w:sz="4" w:space="0" w:color="auto"/>
              <w:right w:val="single" w:sz="4" w:space="0" w:color="auto"/>
            </w:tcBorders>
            <w:vAlign w:val="center"/>
          </w:tcPr>
          <w:p w:rsidR="0089502E" w:rsidRPr="0089502E" w:rsidRDefault="0089502E" w:rsidP="0089502E">
            <w:pPr>
              <w:tabs>
                <w:tab w:val="center" w:pos="388"/>
              </w:tabs>
              <w:jc w:val="center"/>
              <w:rPr>
                <w:rFonts w:eastAsia="Times New Roman"/>
                <w:b/>
                <w:sz w:val="18"/>
                <w:szCs w:val="18"/>
              </w:rPr>
            </w:pPr>
            <w:r w:rsidRPr="0089502E">
              <w:rPr>
                <w:rFonts w:eastAsia="Times New Roman"/>
                <w:b/>
                <w:sz w:val="18"/>
                <w:szCs w:val="18"/>
              </w:rPr>
              <w:t>Anual</w:t>
            </w:r>
          </w:p>
        </w:tc>
        <w:tc>
          <w:tcPr>
            <w:tcW w:w="850" w:type="dxa"/>
            <w:tcBorders>
              <w:top w:val="single" w:sz="4" w:space="0" w:color="auto"/>
              <w:left w:val="single" w:sz="4" w:space="0" w:color="auto"/>
              <w:bottom w:val="single" w:sz="4" w:space="0" w:color="auto"/>
              <w:right w:val="single" w:sz="4" w:space="0" w:color="auto"/>
            </w:tcBorders>
            <w:vAlign w:val="center"/>
          </w:tcPr>
          <w:p w:rsidR="0089502E" w:rsidRPr="0089502E" w:rsidRDefault="0089502E" w:rsidP="0089502E">
            <w:pPr>
              <w:tabs>
                <w:tab w:val="center" w:pos="388"/>
              </w:tabs>
              <w:jc w:val="center"/>
              <w:rPr>
                <w:rFonts w:eastAsia="Times New Roman"/>
                <w:b/>
                <w:sz w:val="18"/>
                <w:szCs w:val="18"/>
              </w:rPr>
            </w:pPr>
            <w:r w:rsidRPr="0089502E">
              <w:rPr>
                <w:rFonts w:eastAsia="Times New Roman"/>
                <w:b/>
                <w:sz w:val="18"/>
                <w:szCs w:val="18"/>
              </w:rPr>
              <w:t>Enero*</w:t>
            </w:r>
          </w:p>
        </w:tc>
      </w:tr>
      <w:tr w:rsidR="0089502E" w:rsidRPr="0089502E" w:rsidTr="006E652B">
        <w:trPr>
          <w:jc w:val="center"/>
        </w:trPr>
        <w:tc>
          <w:tcPr>
            <w:tcW w:w="2911" w:type="dxa"/>
            <w:tcBorders>
              <w:top w:val="single" w:sz="4" w:space="0" w:color="auto"/>
              <w:left w:val="single" w:sz="4" w:space="0" w:color="auto"/>
              <w:bottom w:val="nil"/>
              <w:right w:val="single" w:sz="4" w:space="0" w:color="auto"/>
            </w:tcBorders>
          </w:tcPr>
          <w:p w:rsidR="0089502E" w:rsidRPr="0089502E" w:rsidRDefault="0089502E" w:rsidP="0089502E">
            <w:pPr>
              <w:rPr>
                <w:rFonts w:eastAsia="Times New Roman"/>
                <w:b/>
                <w:sz w:val="18"/>
                <w:szCs w:val="18"/>
              </w:rPr>
            </w:pPr>
            <w:r w:rsidRPr="0089502E">
              <w:rPr>
                <w:rFonts w:eastAsia="Times New Roman"/>
                <w:b/>
                <w:sz w:val="18"/>
                <w:szCs w:val="18"/>
              </w:rPr>
              <w:t>Total</w:t>
            </w:r>
          </w:p>
        </w:tc>
        <w:tc>
          <w:tcPr>
            <w:tcW w:w="1484" w:type="dxa"/>
            <w:tcBorders>
              <w:top w:val="single" w:sz="4" w:space="0" w:color="auto"/>
              <w:left w:val="single" w:sz="4" w:space="0" w:color="auto"/>
              <w:bottom w:val="nil"/>
              <w:right w:val="single" w:sz="4" w:space="0" w:color="auto"/>
            </w:tcBorders>
          </w:tcPr>
          <w:p w:rsidR="0089502E" w:rsidRPr="0089502E" w:rsidRDefault="0089502E" w:rsidP="0089502E">
            <w:pPr>
              <w:ind w:right="397"/>
              <w:jc w:val="right"/>
              <w:rPr>
                <w:rFonts w:eastAsia="Times New Roman"/>
                <w:b/>
                <w:sz w:val="18"/>
                <w:szCs w:val="18"/>
              </w:rPr>
            </w:pPr>
            <w:r w:rsidRPr="0089502E">
              <w:rPr>
                <w:rFonts w:eastAsia="Times New Roman"/>
                <w:b/>
                <w:sz w:val="18"/>
                <w:szCs w:val="18"/>
              </w:rPr>
              <w:t>100.00</w:t>
            </w:r>
          </w:p>
        </w:tc>
        <w:tc>
          <w:tcPr>
            <w:tcW w:w="708" w:type="dxa"/>
            <w:tcBorders>
              <w:top w:val="single" w:sz="4" w:space="0" w:color="auto"/>
              <w:left w:val="single" w:sz="4" w:space="0" w:color="auto"/>
              <w:bottom w:val="nil"/>
              <w:right w:val="single" w:sz="4" w:space="0" w:color="auto"/>
            </w:tcBorders>
          </w:tcPr>
          <w:p w:rsidR="0089502E" w:rsidRPr="0089502E" w:rsidRDefault="0089502E" w:rsidP="0089502E">
            <w:pPr>
              <w:ind w:right="57"/>
              <w:jc w:val="right"/>
              <w:rPr>
                <w:rFonts w:eastAsia="Times New Roman"/>
                <w:b/>
                <w:sz w:val="18"/>
                <w:szCs w:val="18"/>
              </w:rPr>
            </w:pPr>
            <w:r w:rsidRPr="0089502E">
              <w:rPr>
                <w:rFonts w:eastAsia="Times New Roman"/>
                <w:b/>
                <w:sz w:val="18"/>
                <w:szCs w:val="18"/>
              </w:rPr>
              <w:t>4.0</w:t>
            </w:r>
          </w:p>
        </w:tc>
        <w:tc>
          <w:tcPr>
            <w:tcW w:w="709" w:type="dxa"/>
            <w:tcBorders>
              <w:top w:val="single" w:sz="4" w:space="0" w:color="auto"/>
              <w:left w:val="single" w:sz="4" w:space="0" w:color="auto"/>
              <w:bottom w:val="nil"/>
              <w:right w:val="single" w:sz="4" w:space="0" w:color="auto"/>
            </w:tcBorders>
          </w:tcPr>
          <w:p w:rsidR="0089502E" w:rsidRPr="0089502E" w:rsidRDefault="0089502E" w:rsidP="0089502E">
            <w:pPr>
              <w:ind w:right="113"/>
              <w:jc w:val="right"/>
              <w:rPr>
                <w:rFonts w:eastAsia="Times New Roman"/>
                <w:b/>
                <w:sz w:val="18"/>
                <w:szCs w:val="18"/>
              </w:rPr>
            </w:pPr>
            <w:r w:rsidRPr="0089502E">
              <w:rPr>
                <w:rFonts w:eastAsia="Times New Roman"/>
                <w:b/>
                <w:sz w:val="18"/>
                <w:szCs w:val="18"/>
              </w:rPr>
              <w:t>14.3</w:t>
            </w:r>
          </w:p>
        </w:tc>
        <w:tc>
          <w:tcPr>
            <w:tcW w:w="851" w:type="dxa"/>
            <w:tcBorders>
              <w:top w:val="single" w:sz="4" w:space="0" w:color="auto"/>
              <w:left w:val="single" w:sz="4" w:space="0" w:color="auto"/>
              <w:bottom w:val="nil"/>
              <w:right w:val="single" w:sz="4" w:space="0" w:color="auto"/>
            </w:tcBorders>
          </w:tcPr>
          <w:p w:rsidR="0089502E" w:rsidRPr="0089502E" w:rsidRDefault="0089502E" w:rsidP="0089502E">
            <w:pPr>
              <w:ind w:right="227"/>
              <w:jc w:val="right"/>
              <w:rPr>
                <w:rFonts w:eastAsia="Times New Roman"/>
                <w:b/>
                <w:sz w:val="18"/>
                <w:szCs w:val="18"/>
              </w:rPr>
            </w:pPr>
            <w:r w:rsidRPr="0089502E">
              <w:rPr>
                <w:rFonts w:eastAsia="Times New Roman"/>
                <w:b/>
                <w:sz w:val="18"/>
                <w:szCs w:val="18"/>
              </w:rPr>
              <w:t>7.3</w:t>
            </w:r>
          </w:p>
        </w:tc>
        <w:tc>
          <w:tcPr>
            <w:tcW w:w="850" w:type="dxa"/>
            <w:tcBorders>
              <w:top w:val="single" w:sz="4" w:space="0" w:color="auto"/>
              <w:left w:val="single" w:sz="4" w:space="0" w:color="auto"/>
              <w:bottom w:val="nil"/>
              <w:right w:val="single" w:sz="4" w:space="0" w:color="auto"/>
            </w:tcBorders>
          </w:tcPr>
          <w:p w:rsidR="0089502E" w:rsidRPr="0089502E" w:rsidRDefault="0089502E" w:rsidP="0089502E">
            <w:pPr>
              <w:ind w:right="170"/>
              <w:jc w:val="right"/>
              <w:rPr>
                <w:rFonts w:eastAsia="Times New Roman"/>
                <w:b/>
                <w:sz w:val="18"/>
                <w:szCs w:val="18"/>
              </w:rPr>
            </w:pPr>
            <w:r w:rsidRPr="0089502E">
              <w:rPr>
                <w:rFonts w:eastAsia="Times New Roman"/>
                <w:b/>
                <w:sz w:val="18"/>
                <w:szCs w:val="18"/>
              </w:rPr>
              <w:t>5.7</w:t>
            </w:r>
          </w:p>
        </w:tc>
      </w:tr>
      <w:tr w:rsidR="0089502E" w:rsidRPr="0089502E" w:rsidTr="006E652B">
        <w:trPr>
          <w:jc w:val="center"/>
        </w:trPr>
        <w:tc>
          <w:tcPr>
            <w:tcW w:w="2911" w:type="dxa"/>
            <w:tcBorders>
              <w:top w:val="nil"/>
              <w:left w:val="single" w:sz="4" w:space="0" w:color="auto"/>
              <w:bottom w:val="nil"/>
              <w:right w:val="single" w:sz="4" w:space="0" w:color="auto"/>
            </w:tcBorders>
          </w:tcPr>
          <w:p w:rsidR="0089502E" w:rsidRPr="0089502E" w:rsidRDefault="0089502E" w:rsidP="0089502E">
            <w:pPr>
              <w:rPr>
                <w:rFonts w:eastAsia="Times New Roman"/>
                <w:b/>
                <w:sz w:val="18"/>
                <w:szCs w:val="18"/>
              </w:rPr>
            </w:pPr>
            <w:r w:rsidRPr="0089502E">
              <w:rPr>
                <w:rFonts w:eastAsia="Times New Roman"/>
                <w:b/>
                <w:sz w:val="18"/>
                <w:szCs w:val="18"/>
              </w:rPr>
              <w:t xml:space="preserve">  Estados Unidos de Norteamérica</w:t>
            </w:r>
          </w:p>
        </w:tc>
        <w:tc>
          <w:tcPr>
            <w:tcW w:w="1484" w:type="dxa"/>
            <w:tcBorders>
              <w:top w:val="nil"/>
              <w:left w:val="single" w:sz="4" w:space="0" w:color="auto"/>
              <w:bottom w:val="nil"/>
              <w:right w:val="single" w:sz="4" w:space="0" w:color="auto"/>
            </w:tcBorders>
          </w:tcPr>
          <w:p w:rsidR="0089502E" w:rsidRPr="0089502E" w:rsidRDefault="0089502E" w:rsidP="0089502E">
            <w:pPr>
              <w:ind w:right="397"/>
              <w:jc w:val="right"/>
              <w:rPr>
                <w:rFonts w:eastAsia="Times New Roman"/>
                <w:b/>
                <w:sz w:val="18"/>
                <w:szCs w:val="18"/>
              </w:rPr>
            </w:pPr>
            <w:r w:rsidRPr="0089502E">
              <w:rPr>
                <w:rFonts w:eastAsia="Times New Roman"/>
                <w:b/>
                <w:sz w:val="18"/>
                <w:szCs w:val="18"/>
              </w:rPr>
              <w:t>81.16</w:t>
            </w:r>
          </w:p>
        </w:tc>
        <w:tc>
          <w:tcPr>
            <w:tcW w:w="708" w:type="dxa"/>
            <w:tcBorders>
              <w:top w:val="nil"/>
              <w:left w:val="single" w:sz="4" w:space="0" w:color="auto"/>
              <w:bottom w:val="nil"/>
              <w:right w:val="single" w:sz="4" w:space="0" w:color="auto"/>
            </w:tcBorders>
          </w:tcPr>
          <w:p w:rsidR="0089502E" w:rsidRPr="0089502E" w:rsidRDefault="0089502E" w:rsidP="0089502E">
            <w:pPr>
              <w:ind w:right="57"/>
              <w:jc w:val="right"/>
              <w:rPr>
                <w:rFonts w:eastAsia="Times New Roman"/>
                <w:b/>
                <w:sz w:val="18"/>
                <w:szCs w:val="18"/>
              </w:rPr>
            </w:pPr>
            <w:r w:rsidRPr="0089502E">
              <w:rPr>
                <w:rFonts w:eastAsia="Times New Roman"/>
                <w:b/>
                <w:sz w:val="18"/>
                <w:szCs w:val="18"/>
              </w:rPr>
              <w:t>6.3</w:t>
            </w:r>
          </w:p>
        </w:tc>
        <w:tc>
          <w:tcPr>
            <w:tcW w:w="709"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b/>
                <w:sz w:val="18"/>
                <w:szCs w:val="18"/>
              </w:rPr>
            </w:pPr>
            <w:r w:rsidRPr="0089502E">
              <w:rPr>
                <w:rFonts w:eastAsia="Times New Roman"/>
                <w:b/>
                <w:sz w:val="18"/>
                <w:szCs w:val="18"/>
              </w:rPr>
              <w:t>16.2</w:t>
            </w:r>
          </w:p>
        </w:tc>
        <w:tc>
          <w:tcPr>
            <w:tcW w:w="851" w:type="dxa"/>
            <w:tcBorders>
              <w:top w:val="nil"/>
              <w:left w:val="single" w:sz="4" w:space="0" w:color="auto"/>
              <w:bottom w:val="nil"/>
              <w:right w:val="single" w:sz="4" w:space="0" w:color="auto"/>
            </w:tcBorders>
          </w:tcPr>
          <w:p w:rsidR="0089502E" w:rsidRPr="0089502E" w:rsidRDefault="0089502E" w:rsidP="0089502E">
            <w:pPr>
              <w:ind w:right="227"/>
              <w:jc w:val="right"/>
              <w:rPr>
                <w:rFonts w:eastAsia="Times New Roman"/>
                <w:b/>
                <w:sz w:val="18"/>
                <w:szCs w:val="18"/>
              </w:rPr>
            </w:pPr>
            <w:r w:rsidRPr="0089502E">
              <w:rPr>
                <w:rFonts w:eastAsia="Times New Roman"/>
                <w:b/>
                <w:sz w:val="18"/>
                <w:szCs w:val="18"/>
              </w:rPr>
              <w:t>9.4</w:t>
            </w:r>
          </w:p>
        </w:tc>
        <w:tc>
          <w:tcPr>
            <w:tcW w:w="850"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b/>
                <w:sz w:val="18"/>
                <w:szCs w:val="18"/>
              </w:rPr>
            </w:pPr>
            <w:r w:rsidRPr="0089502E">
              <w:rPr>
                <w:rFonts w:eastAsia="Times New Roman"/>
                <w:b/>
                <w:sz w:val="18"/>
                <w:szCs w:val="18"/>
              </w:rPr>
              <w:t>7.3</w:t>
            </w:r>
          </w:p>
        </w:tc>
      </w:tr>
      <w:tr w:rsidR="0089502E" w:rsidRPr="0089502E" w:rsidTr="006E652B">
        <w:trPr>
          <w:jc w:val="center"/>
        </w:trPr>
        <w:tc>
          <w:tcPr>
            <w:tcW w:w="2911" w:type="dxa"/>
            <w:tcBorders>
              <w:top w:val="nil"/>
              <w:left w:val="single" w:sz="4" w:space="0" w:color="auto"/>
              <w:bottom w:val="nil"/>
              <w:right w:val="single" w:sz="4" w:space="0" w:color="auto"/>
            </w:tcBorders>
          </w:tcPr>
          <w:p w:rsidR="0089502E" w:rsidRPr="0089502E" w:rsidRDefault="0089502E" w:rsidP="0089502E">
            <w:pPr>
              <w:rPr>
                <w:rFonts w:eastAsia="Times New Roman"/>
                <w:sz w:val="18"/>
                <w:szCs w:val="18"/>
              </w:rPr>
            </w:pPr>
            <w:r w:rsidRPr="0089502E">
              <w:rPr>
                <w:rFonts w:eastAsia="Times New Roman"/>
                <w:sz w:val="18"/>
                <w:szCs w:val="18"/>
              </w:rPr>
              <w:t xml:space="preserve">       Automotriz</w:t>
            </w:r>
          </w:p>
        </w:tc>
        <w:tc>
          <w:tcPr>
            <w:tcW w:w="1484" w:type="dxa"/>
            <w:tcBorders>
              <w:top w:val="nil"/>
              <w:left w:val="single" w:sz="4" w:space="0" w:color="auto"/>
              <w:bottom w:val="nil"/>
              <w:right w:val="single" w:sz="4" w:space="0" w:color="auto"/>
            </w:tcBorders>
          </w:tcPr>
          <w:p w:rsidR="0089502E" w:rsidRPr="0089502E" w:rsidRDefault="0089502E" w:rsidP="0089502E">
            <w:pPr>
              <w:ind w:right="397"/>
              <w:jc w:val="right"/>
              <w:rPr>
                <w:rFonts w:eastAsia="Times New Roman"/>
                <w:sz w:val="18"/>
                <w:szCs w:val="18"/>
              </w:rPr>
            </w:pPr>
            <w:r w:rsidRPr="0089502E">
              <w:rPr>
                <w:rFonts w:eastAsia="Times New Roman"/>
                <w:sz w:val="18"/>
                <w:szCs w:val="18"/>
              </w:rPr>
              <w:t>25.82</w:t>
            </w:r>
          </w:p>
        </w:tc>
        <w:tc>
          <w:tcPr>
            <w:tcW w:w="708" w:type="dxa"/>
            <w:tcBorders>
              <w:top w:val="nil"/>
              <w:left w:val="single" w:sz="4" w:space="0" w:color="auto"/>
              <w:bottom w:val="nil"/>
              <w:right w:val="single" w:sz="4" w:space="0" w:color="auto"/>
            </w:tcBorders>
          </w:tcPr>
          <w:p w:rsidR="0089502E" w:rsidRPr="0089502E" w:rsidRDefault="0089502E" w:rsidP="0089502E">
            <w:pPr>
              <w:ind w:right="57"/>
              <w:jc w:val="right"/>
              <w:rPr>
                <w:rFonts w:eastAsia="Times New Roman"/>
                <w:sz w:val="18"/>
                <w:szCs w:val="18"/>
              </w:rPr>
            </w:pPr>
            <w:r w:rsidRPr="0089502E">
              <w:rPr>
                <w:rFonts w:eastAsia="Times New Roman"/>
                <w:sz w:val="18"/>
                <w:szCs w:val="18"/>
              </w:rPr>
              <w:t>9.9</w:t>
            </w:r>
          </w:p>
        </w:tc>
        <w:tc>
          <w:tcPr>
            <w:tcW w:w="709"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sz w:val="18"/>
                <w:szCs w:val="18"/>
              </w:rPr>
            </w:pPr>
            <w:r w:rsidRPr="0089502E">
              <w:rPr>
                <w:rFonts w:eastAsia="Times New Roman"/>
                <w:sz w:val="18"/>
                <w:szCs w:val="18"/>
              </w:rPr>
              <w:t>17.9</w:t>
            </w:r>
          </w:p>
        </w:tc>
        <w:tc>
          <w:tcPr>
            <w:tcW w:w="851" w:type="dxa"/>
            <w:tcBorders>
              <w:top w:val="nil"/>
              <w:left w:val="single" w:sz="4" w:space="0" w:color="auto"/>
              <w:bottom w:val="nil"/>
              <w:right w:val="single" w:sz="4" w:space="0" w:color="auto"/>
            </w:tcBorders>
          </w:tcPr>
          <w:p w:rsidR="0089502E" w:rsidRPr="0089502E" w:rsidRDefault="0089502E" w:rsidP="0089502E">
            <w:pPr>
              <w:ind w:right="227"/>
              <w:jc w:val="right"/>
              <w:rPr>
                <w:rFonts w:eastAsia="Times New Roman"/>
                <w:sz w:val="18"/>
                <w:szCs w:val="18"/>
              </w:rPr>
            </w:pPr>
            <w:r w:rsidRPr="0089502E">
              <w:rPr>
                <w:rFonts w:eastAsia="Times New Roman"/>
                <w:sz w:val="18"/>
                <w:szCs w:val="18"/>
              </w:rPr>
              <w:t>13.6</w:t>
            </w:r>
          </w:p>
        </w:tc>
        <w:tc>
          <w:tcPr>
            <w:tcW w:w="850"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16.6</w:t>
            </w:r>
          </w:p>
        </w:tc>
      </w:tr>
      <w:tr w:rsidR="0089502E" w:rsidRPr="0089502E" w:rsidTr="006E652B">
        <w:trPr>
          <w:jc w:val="center"/>
        </w:trPr>
        <w:tc>
          <w:tcPr>
            <w:tcW w:w="2911" w:type="dxa"/>
            <w:tcBorders>
              <w:top w:val="nil"/>
              <w:left w:val="single" w:sz="4" w:space="0" w:color="auto"/>
              <w:bottom w:val="nil"/>
              <w:right w:val="single" w:sz="4" w:space="0" w:color="auto"/>
            </w:tcBorders>
          </w:tcPr>
          <w:p w:rsidR="0089502E" w:rsidRPr="0089502E" w:rsidRDefault="0089502E" w:rsidP="0089502E">
            <w:pPr>
              <w:rPr>
                <w:rFonts w:eastAsia="Times New Roman"/>
                <w:sz w:val="18"/>
                <w:szCs w:val="18"/>
              </w:rPr>
            </w:pPr>
            <w:r w:rsidRPr="0089502E">
              <w:rPr>
                <w:rFonts w:eastAsia="Times New Roman"/>
                <w:sz w:val="18"/>
                <w:szCs w:val="18"/>
              </w:rPr>
              <w:t xml:space="preserve">       Otras</w:t>
            </w:r>
          </w:p>
        </w:tc>
        <w:tc>
          <w:tcPr>
            <w:tcW w:w="1484" w:type="dxa"/>
            <w:tcBorders>
              <w:top w:val="nil"/>
              <w:left w:val="single" w:sz="4" w:space="0" w:color="auto"/>
              <w:bottom w:val="nil"/>
              <w:right w:val="single" w:sz="4" w:space="0" w:color="auto"/>
            </w:tcBorders>
          </w:tcPr>
          <w:p w:rsidR="0089502E" w:rsidRPr="0089502E" w:rsidRDefault="0089502E" w:rsidP="0089502E">
            <w:pPr>
              <w:ind w:right="397"/>
              <w:jc w:val="right"/>
              <w:rPr>
                <w:rFonts w:eastAsia="Times New Roman"/>
                <w:sz w:val="18"/>
                <w:szCs w:val="18"/>
              </w:rPr>
            </w:pPr>
            <w:r w:rsidRPr="0089502E">
              <w:rPr>
                <w:rFonts w:eastAsia="Times New Roman"/>
                <w:sz w:val="18"/>
                <w:szCs w:val="18"/>
              </w:rPr>
              <w:t>55.34</w:t>
            </w:r>
          </w:p>
        </w:tc>
        <w:tc>
          <w:tcPr>
            <w:tcW w:w="708" w:type="dxa"/>
            <w:tcBorders>
              <w:top w:val="nil"/>
              <w:left w:val="single" w:sz="4" w:space="0" w:color="auto"/>
              <w:bottom w:val="nil"/>
              <w:right w:val="single" w:sz="4" w:space="0" w:color="auto"/>
            </w:tcBorders>
          </w:tcPr>
          <w:p w:rsidR="0089502E" w:rsidRPr="0089502E" w:rsidRDefault="0089502E" w:rsidP="0089502E">
            <w:pPr>
              <w:ind w:right="57"/>
              <w:jc w:val="right"/>
              <w:rPr>
                <w:rFonts w:eastAsia="Times New Roman"/>
                <w:sz w:val="18"/>
                <w:szCs w:val="18"/>
              </w:rPr>
            </w:pPr>
            <w:r w:rsidRPr="0089502E">
              <w:rPr>
                <w:rFonts w:eastAsia="Times New Roman"/>
                <w:sz w:val="18"/>
                <w:szCs w:val="18"/>
              </w:rPr>
              <w:t>4.6</w:t>
            </w:r>
          </w:p>
        </w:tc>
        <w:tc>
          <w:tcPr>
            <w:tcW w:w="709"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sz w:val="18"/>
                <w:szCs w:val="18"/>
              </w:rPr>
            </w:pPr>
            <w:r w:rsidRPr="0089502E">
              <w:rPr>
                <w:rFonts w:eastAsia="Times New Roman"/>
                <w:sz w:val="18"/>
                <w:szCs w:val="18"/>
              </w:rPr>
              <w:t>15.6</w:t>
            </w:r>
          </w:p>
        </w:tc>
        <w:tc>
          <w:tcPr>
            <w:tcW w:w="851" w:type="dxa"/>
            <w:tcBorders>
              <w:top w:val="nil"/>
              <w:left w:val="single" w:sz="4" w:space="0" w:color="auto"/>
              <w:bottom w:val="nil"/>
              <w:right w:val="single" w:sz="4" w:space="0" w:color="auto"/>
            </w:tcBorders>
          </w:tcPr>
          <w:p w:rsidR="0089502E" w:rsidRPr="0089502E" w:rsidRDefault="0089502E" w:rsidP="0089502E">
            <w:pPr>
              <w:ind w:right="227"/>
              <w:jc w:val="right"/>
              <w:rPr>
                <w:rFonts w:eastAsia="Times New Roman"/>
                <w:sz w:val="18"/>
                <w:szCs w:val="18"/>
              </w:rPr>
            </w:pPr>
            <w:r w:rsidRPr="0089502E">
              <w:rPr>
                <w:rFonts w:eastAsia="Times New Roman"/>
                <w:sz w:val="18"/>
                <w:szCs w:val="18"/>
              </w:rPr>
              <w:t>7.5</w:t>
            </w:r>
          </w:p>
        </w:tc>
        <w:tc>
          <w:tcPr>
            <w:tcW w:w="850"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3.4</w:t>
            </w:r>
          </w:p>
        </w:tc>
      </w:tr>
      <w:tr w:rsidR="0089502E" w:rsidRPr="0089502E" w:rsidTr="006E652B">
        <w:trPr>
          <w:jc w:val="center"/>
        </w:trPr>
        <w:tc>
          <w:tcPr>
            <w:tcW w:w="2911" w:type="dxa"/>
            <w:tcBorders>
              <w:top w:val="nil"/>
              <w:left w:val="single" w:sz="4" w:space="0" w:color="auto"/>
              <w:bottom w:val="nil"/>
              <w:right w:val="single" w:sz="4" w:space="0" w:color="auto"/>
            </w:tcBorders>
          </w:tcPr>
          <w:p w:rsidR="0089502E" w:rsidRPr="0089502E" w:rsidRDefault="0089502E" w:rsidP="0089502E">
            <w:pPr>
              <w:rPr>
                <w:rFonts w:eastAsia="Times New Roman"/>
                <w:b/>
                <w:sz w:val="18"/>
                <w:szCs w:val="18"/>
              </w:rPr>
            </w:pPr>
            <w:r w:rsidRPr="0089502E">
              <w:rPr>
                <w:rFonts w:eastAsia="Times New Roman"/>
                <w:b/>
                <w:sz w:val="18"/>
                <w:szCs w:val="18"/>
              </w:rPr>
              <w:t xml:space="preserve">  Resto del Mundo</w:t>
            </w:r>
          </w:p>
        </w:tc>
        <w:tc>
          <w:tcPr>
            <w:tcW w:w="1484" w:type="dxa"/>
            <w:tcBorders>
              <w:top w:val="nil"/>
              <w:left w:val="single" w:sz="4" w:space="0" w:color="auto"/>
              <w:bottom w:val="nil"/>
              <w:right w:val="single" w:sz="4" w:space="0" w:color="auto"/>
            </w:tcBorders>
          </w:tcPr>
          <w:p w:rsidR="0089502E" w:rsidRPr="0089502E" w:rsidRDefault="0089502E" w:rsidP="0089502E">
            <w:pPr>
              <w:ind w:right="397"/>
              <w:jc w:val="right"/>
              <w:rPr>
                <w:rFonts w:eastAsia="Times New Roman"/>
                <w:b/>
                <w:sz w:val="18"/>
                <w:szCs w:val="18"/>
              </w:rPr>
            </w:pPr>
            <w:r w:rsidRPr="0089502E">
              <w:rPr>
                <w:rFonts w:eastAsia="Times New Roman"/>
                <w:b/>
                <w:sz w:val="18"/>
                <w:szCs w:val="18"/>
              </w:rPr>
              <w:t>18.84</w:t>
            </w:r>
          </w:p>
        </w:tc>
        <w:tc>
          <w:tcPr>
            <w:tcW w:w="708" w:type="dxa"/>
            <w:tcBorders>
              <w:top w:val="nil"/>
              <w:left w:val="single" w:sz="4" w:space="0" w:color="auto"/>
              <w:bottom w:val="nil"/>
              <w:right w:val="single" w:sz="4" w:space="0" w:color="auto"/>
            </w:tcBorders>
          </w:tcPr>
          <w:p w:rsidR="0089502E" w:rsidRPr="0089502E" w:rsidRDefault="0089502E" w:rsidP="0089502E">
            <w:pPr>
              <w:ind w:right="57"/>
              <w:jc w:val="right"/>
              <w:rPr>
                <w:rFonts w:eastAsia="Times New Roman"/>
                <w:b/>
                <w:sz w:val="18"/>
                <w:szCs w:val="18"/>
              </w:rPr>
            </w:pPr>
            <w:r w:rsidRPr="0089502E">
              <w:rPr>
                <w:rFonts w:eastAsia="Times New Roman"/>
                <w:b/>
                <w:sz w:val="18"/>
                <w:szCs w:val="18"/>
              </w:rPr>
              <w:t>-5.2</w:t>
            </w:r>
          </w:p>
        </w:tc>
        <w:tc>
          <w:tcPr>
            <w:tcW w:w="709"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b/>
                <w:sz w:val="18"/>
                <w:szCs w:val="18"/>
              </w:rPr>
            </w:pPr>
            <w:r w:rsidRPr="0089502E">
              <w:rPr>
                <w:rFonts w:eastAsia="Times New Roman"/>
                <w:b/>
                <w:sz w:val="18"/>
                <w:szCs w:val="18"/>
              </w:rPr>
              <w:t>6.2</w:t>
            </w:r>
          </w:p>
        </w:tc>
        <w:tc>
          <w:tcPr>
            <w:tcW w:w="851" w:type="dxa"/>
            <w:tcBorders>
              <w:top w:val="nil"/>
              <w:left w:val="single" w:sz="4" w:space="0" w:color="auto"/>
              <w:bottom w:val="nil"/>
              <w:right w:val="single" w:sz="4" w:space="0" w:color="auto"/>
            </w:tcBorders>
          </w:tcPr>
          <w:p w:rsidR="0089502E" w:rsidRPr="0089502E" w:rsidRDefault="0089502E" w:rsidP="0089502E">
            <w:pPr>
              <w:ind w:right="227"/>
              <w:jc w:val="right"/>
              <w:rPr>
                <w:rFonts w:eastAsia="Times New Roman"/>
                <w:b/>
                <w:sz w:val="18"/>
                <w:szCs w:val="18"/>
              </w:rPr>
            </w:pPr>
            <w:r w:rsidRPr="0089502E">
              <w:rPr>
                <w:rFonts w:eastAsia="Times New Roman"/>
                <w:b/>
                <w:sz w:val="18"/>
                <w:szCs w:val="18"/>
              </w:rPr>
              <w:t>-1.0</w:t>
            </w:r>
          </w:p>
        </w:tc>
        <w:tc>
          <w:tcPr>
            <w:tcW w:w="850"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b/>
                <w:sz w:val="18"/>
                <w:szCs w:val="18"/>
              </w:rPr>
            </w:pPr>
            <w:r w:rsidRPr="0089502E">
              <w:rPr>
                <w:rFonts w:eastAsia="Times New Roman"/>
                <w:b/>
                <w:sz w:val="18"/>
                <w:szCs w:val="18"/>
              </w:rPr>
              <w:t>-0.5</w:t>
            </w:r>
          </w:p>
        </w:tc>
      </w:tr>
      <w:tr w:rsidR="0089502E" w:rsidRPr="0089502E" w:rsidTr="006E652B">
        <w:trPr>
          <w:jc w:val="center"/>
        </w:trPr>
        <w:tc>
          <w:tcPr>
            <w:tcW w:w="2911" w:type="dxa"/>
            <w:tcBorders>
              <w:top w:val="nil"/>
              <w:left w:val="single" w:sz="4" w:space="0" w:color="auto"/>
              <w:bottom w:val="nil"/>
              <w:right w:val="single" w:sz="4" w:space="0" w:color="auto"/>
            </w:tcBorders>
          </w:tcPr>
          <w:p w:rsidR="0089502E" w:rsidRPr="0089502E" w:rsidRDefault="0089502E" w:rsidP="0089502E">
            <w:pPr>
              <w:rPr>
                <w:rFonts w:eastAsia="Times New Roman"/>
                <w:sz w:val="18"/>
                <w:szCs w:val="18"/>
              </w:rPr>
            </w:pPr>
            <w:r w:rsidRPr="0089502E">
              <w:rPr>
                <w:rFonts w:eastAsia="Times New Roman"/>
                <w:sz w:val="18"/>
                <w:szCs w:val="18"/>
              </w:rPr>
              <w:t xml:space="preserve">       Automotriz</w:t>
            </w:r>
          </w:p>
        </w:tc>
        <w:tc>
          <w:tcPr>
            <w:tcW w:w="1484" w:type="dxa"/>
            <w:tcBorders>
              <w:top w:val="nil"/>
              <w:left w:val="single" w:sz="4" w:space="0" w:color="auto"/>
              <w:bottom w:val="nil"/>
              <w:right w:val="single" w:sz="4" w:space="0" w:color="auto"/>
            </w:tcBorders>
          </w:tcPr>
          <w:p w:rsidR="0089502E" w:rsidRPr="0089502E" w:rsidRDefault="0089502E" w:rsidP="0089502E">
            <w:pPr>
              <w:ind w:right="397"/>
              <w:jc w:val="right"/>
              <w:rPr>
                <w:rFonts w:eastAsia="Times New Roman"/>
                <w:sz w:val="18"/>
                <w:szCs w:val="18"/>
              </w:rPr>
            </w:pPr>
            <w:r w:rsidRPr="0089502E">
              <w:rPr>
                <w:rFonts w:eastAsia="Times New Roman"/>
                <w:sz w:val="18"/>
                <w:szCs w:val="18"/>
              </w:rPr>
              <w:t>4.83</w:t>
            </w:r>
          </w:p>
        </w:tc>
        <w:tc>
          <w:tcPr>
            <w:tcW w:w="708" w:type="dxa"/>
            <w:tcBorders>
              <w:top w:val="nil"/>
              <w:left w:val="single" w:sz="4" w:space="0" w:color="auto"/>
              <w:bottom w:val="nil"/>
              <w:right w:val="single" w:sz="4" w:space="0" w:color="auto"/>
            </w:tcBorders>
          </w:tcPr>
          <w:p w:rsidR="0089502E" w:rsidRPr="0089502E" w:rsidRDefault="0089502E" w:rsidP="0089502E">
            <w:pPr>
              <w:ind w:right="57"/>
              <w:jc w:val="right"/>
              <w:rPr>
                <w:rFonts w:eastAsia="Times New Roman"/>
                <w:sz w:val="18"/>
                <w:szCs w:val="18"/>
              </w:rPr>
            </w:pPr>
            <w:r w:rsidRPr="0089502E">
              <w:rPr>
                <w:rFonts w:eastAsia="Times New Roman"/>
                <w:sz w:val="18"/>
                <w:szCs w:val="18"/>
              </w:rPr>
              <w:t>8.8</w:t>
            </w:r>
          </w:p>
        </w:tc>
        <w:tc>
          <w:tcPr>
            <w:tcW w:w="709" w:type="dxa"/>
            <w:tcBorders>
              <w:top w:val="nil"/>
              <w:left w:val="single" w:sz="4" w:space="0" w:color="auto"/>
              <w:bottom w:val="nil"/>
              <w:right w:val="single" w:sz="4" w:space="0" w:color="auto"/>
            </w:tcBorders>
          </w:tcPr>
          <w:p w:rsidR="0089502E" w:rsidRPr="0089502E" w:rsidRDefault="0089502E" w:rsidP="0089502E">
            <w:pPr>
              <w:ind w:right="113"/>
              <w:jc w:val="right"/>
              <w:rPr>
                <w:rFonts w:eastAsia="Times New Roman"/>
                <w:sz w:val="18"/>
                <w:szCs w:val="18"/>
              </w:rPr>
            </w:pPr>
            <w:r w:rsidRPr="0089502E">
              <w:rPr>
                <w:rFonts w:eastAsia="Times New Roman"/>
                <w:sz w:val="18"/>
                <w:szCs w:val="18"/>
              </w:rPr>
              <w:t>22.5</w:t>
            </w:r>
          </w:p>
        </w:tc>
        <w:tc>
          <w:tcPr>
            <w:tcW w:w="851" w:type="dxa"/>
            <w:tcBorders>
              <w:top w:val="nil"/>
              <w:left w:val="single" w:sz="4" w:space="0" w:color="auto"/>
              <w:bottom w:val="nil"/>
              <w:right w:val="single" w:sz="4" w:space="0" w:color="auto"/>
            </w:tcBorders>
          </w:tcPr>
          <w:p w:rsidR="0089502E" w:rsidRPr="0089502E" w:rsidRDefault="0089502E" w:rsidP="0089502E">
            <w:pPr>
              <w:ind w:right="227"/>
              <w:jc w:val="right"/>
              <w:rPr>
                <w:rFonts w:eastAsia="Times New Roman"/>
                <w:sz w:val="18"/>
                <w:szCs w:val="18"/>
              </w:rPr>
            </w:pPr>
            <w:r w:rsidRPr="0089502E">
              <w:rPr>
                <w:rFonts w:eastAsia="Times New Roman"/>
                <w:sz w:val="18"/>
                <w:szCs w:val="18"/>
              </w:rPr>
              <w:t>3.6</w:t>
            </w:r>
          </w:p>
        </w:tc>
        <w:tc>
          <w:tcPr>
            <w:tcW w:w="850" w:type="dxa"/>
            <w:tcBorders>
              <w:top w:val="nil"/>
              <w:left w:val="single" w:sz="4" w:space="0" w:color="auto"/>
              <w:bottom w:val="nil"/>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8.6</w:t>
            </w:r>
          </w:p>
        </w:tc>
      </w:tr>
      <w:tr w:rsidR="0089502E" w:rsidRPr="0089502E" w:rsidTr="006E652B">
        <w:trPr>
          <w:jc w:val="center"/>
        </w:trPr>
        <w:tc>
          <w:tcPr>
            <w:tcW w:w="2911" w:type="dxa"/>
            <w:tcBorders>
              <w:top w:val="nil"/>
              <w:left w:val="single" w:sz="4" w:space="0" w:color="auto"/>
              <w:bottom w:val="single" w:sz="4" w:space="0" w:color="auto"/>
              <w:right w:val="single" w:sz="4" w:space="0" w:color="auto"/>
            </w:tcBorders>
          </w:tcPr>
          <w:p w:rsidR="0089502E" w:rsidRPr="0089502E" w:rsidRDefault="0089502E" w:rsidP="0089502E">
            <w:pPr>
              <w:rPr>
                <w:rFonts w:eastAsia="Times New Roman"/>
                <w:sz w:val="18"/>
                <w:szCs w:val="18"/>
              </w:rPr>
            </w:pPr>
            <w:r w:rsidRPr="0089502E">
              <w:rPr>
                <w:rFonts w:eastAsia="Times New Roman"/>
                <w:sz w:val="18"/>
                <w:szCs w:val="18"/>
              </w:rPr>
              <w:t xml:space="preserve">       Otras</w:t>
            </w:r>
          </w:p>
        </w:tc>
        <w:tc>
          <w:tcPr>
            <w:tcW w:w="1484" w:type="dxa"/>
            <w:tcBorders>
              <w:top w:val="nil"/>
              <w:left w:val="single" w:sz="4" w:space="0" w:color="auto"/>
              <w:bottom w:val="single" w:sz="4" w:space="0" w:color="auto"/>
              <w:right w:val="single" w:sz="4" w:space="0" w:color="auto"/>
            </w:tcBorders>
          </w:tcPr>
          <w:p w:rsidR="0089502E" w:rsidRPr="0089502E" w:rsidRDefault="0089502E" w:rsidP="0089502E">
            <w:pPr>
              <w:ind w:right="397"/>
              <w:jc w:val="right"/>
              <w:rPr>
                <w:rFonts w:eastAsia="Times New Roman"/>
                <w:sz w:val="18"/>
                <w:szCs w:val="18"/>
              </w:rPr>
            </w:pPr>
            <w:r w:rsidRPr="0089502E">
              <w:rPr>
                <w:rFonts w:eastAsia="Times New Roman"/>
                <w:sz w:val="18"/>
                <w:szCs w:val="18"/>
              </w:rPr>
              <w:t>14.01</w:t>
            </w:r>
          </w:p>
        </w:tc>
        <w:tc>
          <w:tcPr>
            <w:tcW w:w="708" w:type="dxa"/>
            <w:tcBorders>
              <w:top w:val="nil"/>
              <w:left w:val="single" w:sz="4" w:space="0" w:color="auto"/>
              <w:bottom w:val="single" w:sz="4" w:space="0" w:color="auto"/>
              <w:right w:val="single" w:sz="4" w:space="0" w:color="auto"/>
            </w:tcBorders>
          </w:tcPr>
          <w:p w:rsidR="0089502E" w:rsidRPr="0089502E" w:rsidRDefault="0089502E" w:rsidP="0089502E">
            <w:pPr>
              <w:ind w:right="57"/>
              <w:jc w:val="right"/>
              <w:rPr>
                <w:rFonts w:eastAsia="Times New Roman"/>
                <w:sz w:val="18"/>
                <w:szCs w:val="18"/>
              </w:rPr>
            </w:pPr>
            <w:r w:rsidRPr="0089502E">
              <w:rPr>
                <w:rFonts w:eastAsia="Times New Roman"/>
                <w:sz w:val="18"/>
                <w:szCs w:val="18"/>
              </w:rPr>
              <w:t>-10.0</w:t>
            </w:r>
          </w:p>
        </w:tc>
        <w:tc>
          <w:tcPr>
            <w:tcW w:w="709" w:type="dxa"/>
            <w:tcBorders>
              <w:top w:val="nil"/>
              <w:left w:val="single" w:sz="4" w:space="0" w:color="auto"/>
              <w:bottom w:val="single" w:sz="4" w:space="0" w:color="auto"/>
              <w:right w:val="single" w:sz="4" w:space="0" w:color="auto"/>
            </w:tcBorders>
          </w:tcPr>
          <w:p w:rsidR="0089502E" w:rsidRPr="0089502E" w:rsidRDefault="0089502E" w:rsidP="0089502E">
            <w:pPr>
              <w:ind w:right="113"/>
              <w:jc w:val="right"/>
              <w:rPr>
                <w:rFonts w:eastAsia="Times New Roman"/>
                <w:sz w:val="18"/>
                <w:szCs w:val="18"/>
              </w:rPr>
            </w:pPr>
            <w:r w:rsidRPr="0089502E">
              <w:rPr>
                <w:rFonts w:eastAsia="Times New Roman"/>
                <w:sz w:val="18"/>
                <w:szCs w:val="18"/>
              </w:rPr>
              <w:t>1.5</w:t>
            </w:r>
          </w:p>
        </w:tc>
        <w:tc>
          <w:tcPr>
            <w:tcW w:w="851" w:type="dxa"/>
            <w:tcBorders>
              <w:top w:val="nil"/>
              <w:left w:val="single" w:sz="4" w:space="0" w:color="auto"/>
              <w:bottom w:val="single" w:sz="4" w:space="0" w:color="auto"/>
              <w:right w:val="single" w:sz="4" w:space="0" w:color="auto"/>
            </w:tcBorders>
          </w:tcPr>
          <w:p w:rsidR="0089502E" w:rsidRPr="0089502E" w:rsidRDefault="0089502E" w:rsidP="0089502E">
            <w:pPr>
              <w:ind w:right="227"/>
              <w:jc w:val="right"/>
              <w:rPr>
                <w:rFonts w:eastAsia="Times New Roman"/>
                <w:sz w:val="18"/>
                <w:szCs w:val="18"/>
              </w:rPr>
            </w:pPr>
            <w:r w:rsidRPr="0089502E">
              <w:rPr>
                <w:rFonts w:eastAsia="Times New Roman"/>
                <w:sz w:val="18"/>
                <w:szCs w:val="18"/>
              </w:rPr>
              <w:t>-2.5</w:t>
            </w:r>
          </w:p>
        </w:tc>
        <w:tc>
          <w:tcPr>
            <w:tcW w:w="850" w:type="dxa"/>
            <w:tcBorders>
              <w:top w:val="nil"/>
              <w:left w:val="single" w:sz="4" w:space="0" w:color="auto"/>
              <w:bottom w:val="single" w:sz="4" w:space="0" w:color="auto"/>
              <w:right w:val="single" w:sz="4" w:space="0" w:color="auto"/>
            </w:tcBorders>
          </w:tcPr>
          <w:p w:rsidR="0089502E" w:rsidRPr="0089502E" w:rsidRDefault="0089502E" w:rsidP="0089502E">
            <w:pPr>
              <w:ind w:right="170"/>
              <w:jc w:val="right"/>
              <w:rPr>
                <w:rFonts w:eastAsia="Times New Roman"/>
                <w:sz w:val="18"/>
                <w:szCs w:val="18"/>
              </w:rPr>
            </w:pPr>
            <w:r w:rsidRPr="0089502E">
              <w:rPr>
                <w:rFonts w:eastAsia="Times New Roman"/>
                <w:sz w:val="18"/>
                <w:szCs w:val="18"/>
              </w:rPr>
              <w:t>-3.3</w:t>
            </w:r>
          </w:p>
        </w:tc>
      </w:tr>
      <w:tr w:rsidR="0089502E" w:rsidRPr="0089502E" w:rsidTr="00DA1492">
        <w:trPr>
          <w:jc w:val="center"/>
        </w:trPr>
        <w:tc>
          <w:tcPr>
            <w:tcW w:w="7513" w:type="dxa"/>
            <w:gridSpan w:val="6"/>
            <w:tcBorders>
              <w:top w:val="nil"/>
              <w:left w:val="nil"/>
              <w:bottom w:val="nil"/>
              <w:right w:val="nil"/>
            </w:tcBorders>
          </w:tcPr>
          <w:p w:rsidR="0089502E" w:rsidRPr="0089502E" w:rsidRDefault="0089502E" w:rsidP="0089502E">
            <w:pPr>
              <w:rPr>
                <w:rFonts w:eastAsia="Times New Roman"/>
                <w:sz w:val="18"/>
                <w:szCs w:val="18"/>
              </w:rPr>
            </w:pPr>
            <w:r w:rsidRPr="0089502E">
              <w:rPr>
                <w:rFonts w:eastAsia="Times New Roman"/>
                <w:sz w:val="18"/>
                <w:szCs w:val="18"/>
              </w:rPr>
              <w:t>* Cifras oportunas.</w:t>
            </w:r>
          </w:p>
          <w:p w:rsidR="0089502E" w:rsidRPr="0089502E" w:rsidRDefault="0089502E" w:rsidP="0089502E">
            <w:pPr>
              <w:rPr>
                <w:rFonts w:eastAsia="Times New Roman"/>
                <w:sz w:val="18"/>
                <w:szCs w:val="18"/>
              </w:rPr>
            </w:pPr>
            <w:r w:rsidRPr="0089502E">
              <w:rPr>
                <w:rFonts w:eastAsia="Times New Roman"/>
                <w:sz w:val="18"/>
                <w:szCs w:val="18"/>
              </w:rPr>
              <w:t>FUENTE: INEGI.</w:t>
            </w:r>
          </w:p>
        </w:tc>
      </w:tr>
    </w:tbl>
    <w:p w:rsidR="0089502E" w:rsidRPr="0089502E" w:rsidRDefault="0089502E" w:rsidP="0089502E">
      <w:pPr>
        <w:spacing w:after="360" w:line="360" w:lineRule="auto"/>
        <w:ind w:right="-159"/>
        <w:jc w:val="both"/>
        <w:rPr>
          <w:sz w:val="26"/>
          <w:szCs w:val="26"/>
          <w:lang w:val="es-ES_tradnl"/>
        </w:rPr>
      </w:pPr>
    </w:p>
    <w:p w:rsidR="0089502E" w:rsidRPr="0089502E" w:rsidRDefault="0089502E" w:rsidP="0089502E">
      <w:pPr>
        <w:spacing w:after="360" w:line="360" w:lineRule="auto"/>
        <w:ind w:right="-159"/>
        <w:jc w:val="both"/>
        <w:rPr>
          <w:b/>
          <w:sz w:val="26"/>
          <w:szCs w:val="26"/>
          <w:lang w:val="es-ES_tradnl"/>
        </w:rPr>
      </w:pPr>
      <w:r w:rsidRPr="0089502E">
        <w:rPr>
          <w:b/>
          <w:sz w:val="26"/>
          <w:szCs w:val="26"/>
          <w:lang w:val="es-ES_tradnl"/>
        </w:rPr>
        <w:t>Exportaciones por Tipo de Mercancía</w:t>
      </w:r>
    </w:p>
    <w:p w:rsidR="0089502E" w:rsidRPr="0089502E" w:rsidRDefault="0089502E" w:rsidP="0089502E">
      <w:pPr>
        <w:spacing w:after="360" w:line="360" w:lineRule="auto"/>
        <w:ind w:right="-159"/>
        <w:jc w:val="both"/>
        <w:rPr>
          <w:sz w:val="26"/>
          <w:szCs w:val="26"/>
          <w:lang w:val="es-ES_tradnl"/>
        </w:rPr>
      </w:pPr>
      <w:r w:rsidRPr="0089502E">
        <w:rPr>
          <w:sz w:val="26"/>
          <w:szCs w:val="26"/>
          <w:lang w:val="es-ES_tradnl"/>
        </w:rPr>
        <w:t xml:space="preserve">En enero pasado, las exportaciones de productos manufacturados reportaron un incremento anual de 5.6%. Los crecimientos anuales más significativos se observaron </w:t>
      </w:r>
      <w:r w:rsidRPr="0089502E">
        <w:rPr>
          <w:sz w:val="26"/>
          <w:szCs w:val="26"/>
          <w:lang w:val="es-ES_tradnl"/>
        </w:rPr>
        <w:lastRenderedPageBreak/>
        <w:t>en las exportaciones de productos de la industria automotriz (15.3%), de productos de la siderurgia (6.1%), de productos de la industria química (5.7%) y de equipos y aparatos eléctricos y electrónicos (4%). A su vez, el alza anual en las exportaciones de productos automotrices fue resultado de aumentos de 16.6% en las ventas canalizadas a Estados Unidos de Norteamérica y de 8.6 % en las dirigidas a otros mercados.</w:t>
      </w:r>
    </w:p>
    <w:p w:rsidR="0089502E" w:rsidRPr="0089502E" w:rsidRDefault="0089502E" w:rsidP="0089502E">
      <w:pPr>
        <w:spacing w:after="360" w:line="360" w:lineRule="auto"/>
        <w:ind w:right="-159"/>
        <w:jc w:val="center"/>
        <w:rPr>
          <w:sz w:val="26"/>
          <w:szCs w:val="26"/>
          <w:lang w:val="es-ES_tradnl"/>
        </w:rPr>
      </w:pPr>
      <w:r w:rsidRPr="0089502E">
        <w:rPr>
          <w:rFonts w:ascii="Calibri" w:eastAsia="Calibri" w:hAnsi="Calibri"/>
          <w:sz w:val="22"/>
          <w:szCs w:val="22"/>
          <w:lang w:eastAsia="en-US"/>
        </w:rPr>
        <w:fldChar w:fldCharType="begin"/>
      </w:r>
      <w:r w:rsidRPr="0089502E">
        <w:rPr>
          <w:rFonts w:ascii="Calibri" w:eastAsia="Calibri" w:hAnsi="Calibri"/>
          <w:sz w:val="22"/>
          <w:szCs w:val="22"/>
          <w:lang w:eastAsia="en-US"/>
        </w:rPr>
        <w:instrText xml:space="preserve"> LINK PowerPoint.Slide.8 "D:\\2015\\MARZO 2014\\GRÁFICAS EN POWER POINT\\2.- GRÁFICAS DE BAL COM.pptx!290" "" \a \p </w:instrText>
      </w:r>
      <w:r w:rsidRPr="0089502E">
        <w:rPr>
          <w:rFonts w:ascii="Calibri" w:eastAsia="Calibri" w:hAnsi="Calibri"/>
          <w:sz w:val="22"/>
          <w:szCs w:val="22"/>
          <w:lang w:eastAsia="en-US"/>
        </w:rPr>
        <w:fldChar w:fldCharType="separate"/>
      </w:r>
      <w:r w:rsidRPr="0089502E">
        <w:rPr>
          <w:rFonts w:ascii="Calibri" w:eastAsia="Calibri" w:hAnsi="Calibri"/>
          <w:noProof/>
          <w:sz w:val="22"/>
          <w:szCs w:val="22"/>
          <w:lang w:eastAsia="es-MX"/>
        </w:rPr>
        <w:drawing>
          <wp:inline distT="0" distB="0" distL="0" distR="0" wp14:anchorId="5D4EE644" wp14:editId="36E4AC2D">
            <wp:extent cx="4324985" cy="34290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5"/>
                    <pic:cNvPicPr>
                      <a:picLocks noChangeAspect="1" noChangeArrowheads="1"/>
                    </pic:cNvPicPr>
                  </pic:nvPicPr>
                  <pic:blipFill>
                    <a:blip r:embed="rId23" cstate="print">
                      <a:extLst>
                        <a:ext uri="{28A0092B-C50C-407E-A947-70E740481C1C}">
                          <a14:useLocalDpi xmlns:a14="http://schemas.microsoft.com/office/drawing/2010/main" val="0"/>
                        </a:ext>
                      </a:extLst>
                    </a:blip>
                    <a:srcRect l="16599" r="12288"/>
                    <a:stretch>
                      <a:fillRect/>
                    </a:stretch>
                  </pic:blipFill>
                  <pic:spPr bwMode="auto">
                    <a:xfrm>
                      <a:off x="0" y="0"/>
                      <a:ext cx="4324985" cy="3429000"/>
                    </a:xfrm>
                    <a:prstGeom prst="rect">
                      <a:avLst/>
                    </a:prstGeom>
                    <a:noFill/>
                    <a:ln>
                      <a:noFill/>
                    </a:ln>
                  </pic:spPr>
                </pic:pic>
              </a:graphicData>
            </a:graphic>
          </wp:inline>
        </w:drawing>
      </w:r>
      <w:r w:rsidRPr="0089502E">
        <w:rPr>
          <w:rFonts w:ascii="Calibri" w:eastAsia="Calibri" w:hAnsi="Calibri"/>
          <w:sz w:val="22"/>
          <w:szCs w:val="22"/>
          <w:lang w:eastAsia="en-US"/>
        </w:rPr>
        <w:fldChar w:fldCharType="end"/>
      </w:r>
    </w:p>
    <w:p w:rsidR="0089502E" w:rsidRPr="0089502E" w:rsidRDefault="0089502E" w:rsidP="0089502E">
      <w:pPr>
        <w:spacing w:after="360" w:line="360" w:lineRule="auto"/>
        <w:ind w:right="-159"/>
        <w:jc w:val="both"/>
        <w:rPr>
          <w:sz w:val="26"/>
          <w:szCs w:val="26"/>
          <w:lang w:val="es-ES"/>
        </w:rPr>
      </w:pPr>
      <w:r w:rsidRPr="0089502E">
        <w:rPr>
          <w:sz w:val="26"/>
          <w:szCs w:val="26"/>
          <w:lang w:val="es-ES"/>
        </w:rPr>
        <w:t>En enero de 2015, el valor de las exportaciones agropec</w:t>
      </w:r>
      <w:r w:rsidR="006E652B">
        <w:rPr>
          <w:sz w:val="26"/>
          <w:szCs w:val="26"/>
          <w:lang w:val="es-ES"/>
        </w:rPr>
        <w:t>uarias y pesqueras ascendió a  un</w:t>
      </w:r>
      <w:r w:rsidRPr="0089502E">
        <w:rPr>
          <w:sz w:val="26"/>
          <w:szCs w:val="26"/>
          <w:lang w:val="es-ES"/>
        </w:rPr>
        <w:t xml:space="preserve"> mil 232.4 millones de dólares, monto que implicó una variación de 15% a tasa anual. Los avances anuales más importantes se registraron en las exportaciones de camarón congelado (72.2%), de ganado vacuno (50.1%), de frutas y frutos comestibles (48.4%), de pescados y moluscos (43.8%), de café (37.7%), de fresas frescas (30.7%), de jitomate (17.6%), de aguacates (16.3%) y de legumbres y hortalizas (14.5%). En contraste, mostraron descensos anuales las exportaciones de garbanzo (39.8%), de pepino (12.3%) y de cebollas y ajos (10.9%). En cuanto a las exportaciones extractivas, éstas se ubicaron en 318.1 millones de dólares en el primer mes del presente año, con una reducción de 12 por ciento.</w:t>
      </w:r>
    </w:p>
    <w:p w:rsidR="0089502E" w:rsidRPr="0089502E" w:rsidRDefault="0089502E" w:rsidP="0089502E">
      <w:pPr>
        <w:spacing w:after="360" w:line="360" w:lineRule="auto"/>
        <w:ind w:right="-159"/>
        <w:jc w:val="both"/>
        <w:rPr>
          <w:b/>
          <w:sz w:val="26"/>
          <w:szCs w:val="26"/>
          <w:lang w:val="es-ES_tradnl"/>
        </w:rPr>
      </w:pPr>
      <w:r w:rsidRPr="0089502E">
        <w:rPr>
          <w:b/>
          <w:sz w:val="26"/>
          <w:szCs w:val="26"/>
          <w:lang w:val="es-ES_tradnl"/>
        </w:rPr>
        <w:lastRenderedPageBreak/>
        <w:t>Estructura de las Exportaciones</w:t>
      </w:r>
    </w:p>
    <w:p w:rsidR="0089502E" w:rsidRPr="0089502E" w:rsidRDefault="0089502E" w:rsidP="0089502E">
      <w:pPr>
        <w:spacing w:after="360" w:line="360" w:lineRule="auto"/>
        <w:ind w:right="-159"/>
        <w:jc w:val="both"/>
        <w:rPr>
          <w:sz w:val="26"/>
          <w:szCs w:val="26"/>
          <w:lang w:val="es-ES"/>
        </w:rPr>
      </w:pPr>
      <w:r w:rsidRPr="0089502E">
        <w:rPr>
          <w:sz w:val="26"/>
          <w:szCs w:val="26"/>
          <w:lang w:val="es-ES"/>
        </w:rPr>
        <w:t>La estructura del valor de las exportaciones de mercancías en enero de 2015, fue la siguiente: bienes manufacturados 86.6%, productos petroleros 7.6%, bienes agropecuarios 4.6% y productos extractivos no petroleros 1.2 por ciento.</w:t>
      </w:r>
    </w:p>
    <w:p w:rsidR="0089502E" w:rsidRPr="0089502E" w:rsidRDefault="0089502E" w:rsidP="0089502E">
      <w:pPr>
        <w:spacing w:after="360" w:line="360" w:lineRule="auto"/>
        <w:ind w:right="-159"/>
        <w:jc w:val="both"/>
        <w:rPr>
          <w:b/>
          <w:sz w:val="26"/>
          <w:szCs w:val="26"/>
          <w:lang w:val="es-ES_tradnl"/>
        </w:rPr>
      </w:pPr>
      <w:r w:rsidRPr="0089502E">
        <w:rPr>
          <w:b/>
          <w:sz w:val="26"/>
          <w:szCs w:val="26"/>
          <w:lang w:val="es-ES_tradnl"/>
        </w:rPr>
        <w:t>Importaciones Totales de Mercancías</w:t>
      </w:r>
    </w:p>
    <w:p w:rsidR="0089502E" w:rsidRPr="0089502E" w:rsidRDefault="0089502E" w:rsidP="0089502E">
      <w:pPr>
        <w:spacing w:after="360" w:line="360" w:lineRule="auto"/>
        <w:ind w:right="-159"/>
        <w:jc w:val="both"/>
        <w:rPr>
          <w:sz w:val="26"/>
          <w:szCs w:val="26"/>
          <w:lang w:val="es-ES"/>
        </w:rPr>
      </w:pPr>
      <w:r w:rsidRPr="0089502E">
        <w:rPr>
          <w:sz w:val="26"/>
          <w:szCs w:val="26"/>
          <w:lang w:val="es-ES"/>
        </w:rPr>
        <w:t>El valor de las importaciones de mercancías en enero pasado fue de 29 mil 815.9 millones de dólares, lo que representó una caída anual de 1.4 por ciento.</w:t>
      </w:r>
    </w:p>
    <w:p w:rsidR="0089502E" w:rsidRPr="0089502E" w:rsidRDefault="0089502E" w:rsidP="0089502E">
      <w:pPr>
        <w:spacing w:after="360" w:line="360" w:lineRule="auto"/>
        <w:ind w:right="-159"/>
        <w:jc w:val="center"/>
        <w:rPr>
          <w:sz w:val="26"/>
          <w:szCs w:val="26"/>
          <w:lang w:val="es-ES"/>
        </w:rPr>
      </w:pPr>
      <w:r w:rsidRPr="0089502E">
        <w:rPr>
          <w:rFonts w:ascii="Calibri" w:eastAsia="Calibri" w:hAnsi="Calibri"/>
          <w:sz w:val="22"/>
          <w:szCs w:val="22"/>
          <w:lang w:eastAsia="en-US"/>
        </w:rPr>
        <w:fldChar w:fldCharType="begin"/>
      </w:r>
      <w:r w:rsidRPr="0089502E">
        <w:rPr>
          <w:rFonts w:ascii="Calibri" w:eastAsia="Calibri" w:hAnsi="Calibri"/>
          <w:sz w:val="22"/>
          <w:szCs w:val="22"/>
          <w:lang w:eastAsia="en-US"/>
        </w:rPr>
        <w:instrText xml:space="preserve"> LINK PowerPoint.Slide.8 "D:\\2015\\MARZO 2014\\GRÁFICAS EN POWER POINT\\2.- GRÁFICAS DE BAL COM.pptx!288" "" \a \p </w:instrText>
      </w:r>
      <w:r w:rsidRPr="0089502E">
        <w:rPr>
          <w:rFonts w:ascii="Calibri" w:eastAsia="Calibri" w:hAnsi="Calibri"/>
          <w:sz w:val="22"/>
          <w:szCs w:val="22"/>
          <w:lang w:eastAsia="en-US"/>
        </w:rPr>
        <w:fldChar w:fldCharType="separate"/>
      </w:r>
      <w:r w:rsidRPr="0089502E">
        <w:rPr>
          <w:rFonts w:ascii="Calibri" w:eastAsia="Calibri" w:hAnsi="Calibri"/>
          <w:noProof/>
          <w:sz w:val="22"/>
          <w:szCs w:val="22"/>
          <w:lang w:eastAsia="es-MX"/>
        </w:rPr>
        <w:drawing>
          <wp:inline distT="0" distB="0" distL="0" distR="0" wp14:anchorId="7DADFC48" wp14:editId="16B4505E">
            <wp:extent cx="4689475" cy="34290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24" cstate="print">
                      <a:extLst>
                        <a:ext uri="{28A0092B-C50C-407E-A947-70E740481C1C}">
                          <a14:useLocalDpi xmlns:a14="http://schemas.microsoft.com/office/drawing/2010/main" val="0"/>
                        </a:ext>
                      </a:extLst>
                    </a:blip>
                    <a:srcRect l="11902" r="10982"/>
                    <a:stretch>
                      <a:fillRect/>
                    </a:stretch>
                  </pic:blipFill>
                  <pic:spPr bwMode="auto">
                    <a:xfrm>
                      <a:off x="0" y="0"/>
                      <a:ext cx="4689475" cy="3429000"/>
                    </a:xfrm>
                    <a:prstGeom prst="rect">
                      <a:avLst/>
                    </a:prstGeom>
                    <a:noFill/>
                    <a:ln>
                      <a:noFill/>
                    </a:ln>
                  </pic:spPr>
                </pic:pic>
              </a:graphicData>
            </a:graphic>
          </wp:inline>
        </w:drawing>
      </w:r>
      <w:r w:rsidRPr="0089502E">
        <w:rPr>
          <w:rFonts w:ascii="Calibri" w:eastAsia="Calibri" w:hAnsi="Calibri"/>
          <w:sz w:val="22"/>
          <w:szCs w:val="22"/>
          <w:lang w:eastAsia="en-US"/>
        </w:rPr>
        <w:fldChar w:fldCharType="end"/>
      </w:r>
    </w:p>
    <w:p w:rsidR="0089502E" w:rsidRPr="0089502E" w:rsidRDefault="0089502E" w:rsidP="0089502E">
      <w:pPr>
        <w:spacing w:after="360" w:line="360" w:lineRule="auto"/>
        <w:ind w:right="-159"/>
        <w:jc w:val="both"/>
        <w:rPr>
          <w:b/>
          <w:sz w:val="26"/>
          <w:szCs w:val="26"/>
          <w:lang w:val="es-ES_tradnl"/>
        </w:rPr>
      </w:pPr>
      <w:r w:rsidRPr="0089502E">
        <w:rPr>
          <w:b/>
          <w:sz w:val="26"/>
          <w:szCs w:val="26"/>
          <w:lang w:val="es-ES_tradnl"/>
        </w:rPr>
        <w:t>Importaciones por Tipo de Bien</w:t>
      </w:r>
    </w:p>
    <w:p w:rsidR="0089502E" w:rsidRPr="0089502E" w:rsidRDefault="0089502E" w:rsidP="0089502E">
      <w:pPr>
        <w:spacing w:after="360" w:line="360" w:lineRule="auto"/>
        <w:ind w:right="-159"/>
        <w:jc w:val="both"/>
        <w:rPr>
          <w:sz w:val="26"/>
          <w:szCs w:val="26"/>
          <w:lang w:val="es-ES"/>
        </w:rPr>
      </w:pPr>
      <w:r w:rsidRPr="0089502E">
        <w:rPr>
          <w:sz w:val="26"/>
          <w:szCs w:val="26"/>
          <w:lang w:val="es-ES"/>
        </w:rPr>
        <w:t xml:space="preserve">En lo relacionado con las importaciones de bienes de uso intermedio, éstas sumaron          21 mil 964.2 millones de dólares, nivel inferior en 1.6% al observado en enero de 2014. A su vez, esta tasa reflejó disminuciones de 0.3% en las importaciones de productos de uso intermedio no petroleros y de 144% en las de bienes de uso intermedio petroleros. </w:t>
      </w:r>
      <w:r w:rsidRPr="0089502E">
        <w:rPr>
          <w:sz w:val="26"/>
          <w:szCs w:val="26"/>
          <w:lang w:val="es-ES"/>
        </w:rPr>
        <w:lastRenderedPageBreak/>
        <w:t>Por su parte, se importaron bienes de consumo por 4 mil 431.7 millones de dólares, lo cual significó una reducción anual de 6.6%. Dicha tasa fue resultado neto de un descenso de 25.4% en las importaciones de bienes de consumo petroleros (gasolina y gas butano y propano) y de un incremento de 3.2% en las de bienes de consumo no petroleros.</w:t>
      </w:r>
    </w:p>
    <w:p w:rsidR="0089502E" w:rsidRPr="0089502E" w:rsidRDefault="0089502E" w:rsidP="0089502E">
      <w:pPr>
        <w:spacing w:after="360" w:line="360" w:lineRule="auto"/>
        <w:ind w:right="-159"/>
        <w:jc w:val="center"/>
        <w:rPr>
          <w:sz w:val="26"/>
          <w:szCs w:val="26"/>
          <w:lang w:val="es-ES"/>
        </w:rPr>
      </w:pPr>
      <w:r w:rsidRPr="0089502E">
        <w:rPr>
          <w:rFonts w:ascii="Calibri" w:eastAsia="Calibri" w:hAnsi="Calibri"/>
          <w:sz w:val="22"/>
          <w:szCs w:val="22"/>
          <w:lang w:eastAsia="en-US"/>
        </w:rPr>
        <w:fldChar w:fldCharType="begin"/>
      </w:r>
      <w:r w:rsidRPr="0089502E">
        <w:rPr>
          <w:rFonts w:ascii="Calibri" w:eastAsia="Calibri" w:hAnsi="Calibri"/>
          <w:sz w:val="22"/>
          <w:szCs w:val="22"/>
          <w:lang w:eastAsia="en-US"/>
        </w:rPr>
        <w:instrText xml:space="preserve"> LINK PowerPoint.Slide.8 "D:\\2015\\MARZO 2014\\GRÁFICAS EN POWER POINT\\2.- GRÁFICAS DE BAL COM.pptx!291" "" \a \p </w:instrText>
      </w:r>
      <w:r w:rsidRPr="0089502E">
        <w:rPr>
          <w:rFonts w:ascii="Calibri" w:eastAsia="Calibri" w:hAnsi="Calibri"/>
          <w:sz w:val="22"/>
          <w:szCs w:val="22"/>
          <w:lang w:eastAsia="en-US"/>
        </w:rPr>
        <w:fldChar w:fldCharType="separate"/>
      </w:r>
      <w:r w:rsidRPr="0089502E">
        <w:rPr>
          <w:rFonts w:ascii="Calibri" w:eastAsia="Calibri" w:hAnsi="Calibri"/>
          <w:noProof/>
          <w:sz w:val="22"/>
          <w:szCs w:val="22"/>
          <w:lang w:eastAsia="es-MX"/>
        </w:rPr>
        <w:drawing>
          <wp:inline distT="0" distB="0" distL="0" distR="0" wp14:anchorId="1E7BE384" wp14:editId="11D40FBB">
            <wp:extent cx="4355465" cy="3429000"/>
            <wp:effectExtent l="0" t="0" r="698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7"/>
                    <pic:cNvPicPr>
                      <a:picLocks noChangeAspect="1" noChangeArrowheads="1"/>
                    </pic:cNvPicPr>
                  </pic:nvPicPr>
                  <pic:blipFill>
                    <a:blip r:embed="rId25" cstate="print">
                      <a:extLst>
                        <a:ext uri="{28A0092B-C50C-407E-A947-70E740481C1C}">
                          <a14:useLocalDpi xmlns:a14="http://schemas.microsoft.com/office/drawing/2010/main" val="0"/>
                        </a:ext>
                      </a:extLst>
                    </a:blip>
                    <a:srcRect l="15689" r="12685"/>
                    <a:stretch>
                      <a:fillRect/>
                    </a:stretch>
                  </pic:blipFill>
                  <pic:spPr bwMode="auto">
                    <a:xfrm>
                      <a:off x="0" y="0"/>
                      <a:ext cx="4355465" cy="3429000"/>
                    </a:xfrm>
                    <a:prstGeom prst="rect">
                      <a:avLst/>
                    </a:prstGeom>
                    <a:noFill/>
                    <a:ln>
                      <a:noFill/>
                    </a:ln>
                  </pic:spPr>
                </pic:pic>
              </a:graphicData>
            </a:graphic>
          </wp:inline>
        </w:drawing>
      </w:r>
      <w:r w:rsidRPr="0089502E">
        <w:rPr>
          <w:rFonts w:ascii="Calibri" w:eastAsia="Calibri" w:hAnsi="Calibri"/>
          <w:sz w:val="22"/>
          <w:szCs w:val="22"/>
          <w:lang w:eastAsia="en-US"/>
        </w:rPr>
        <w:fldChar w:fldCharType="end"/>
      </w:r>
    </w:p>
    <w:p w:rsidR="0089502E" w:rsidRPr="0089502E" w:rsidRDefault="0089502E" w:rsidP="0089502E">
      <w:pPr>
        <w:spacing w:after="360" w:line="360" w:lineRule="auto"/>
        <w:ind w:right="-159"/>
        <w:jc w:val="both"/>
        <w:rPr>
          <w:sz w:val="26"/>
          <w:szCs w:val="26"/>
          <w:lang w:val="es-ES_tradnl"/>
        </w:rPr>
      </w:pPr>
      <w:r w:rsidRPr="0089502E">
        <w:rPr>
          <w:sz w:val="26"/>
          <w:szCs w:val="26"/>
          <w:lang w:val="es-ES_tradnl"/>
        </w:rPr>
        <w:t>En lo que corresponde a las importaciones de bienes de capital, en el mes que se reporta éstas ascendieron a 3 mil 420.0 millones de dólares, cifra que implicó un crecimiento de 8.1% con relación al monto registrado en igual mes de 2014.</w:t>
      </w:r>
    </w:p>
    <w:p w:rsidR="0089502E" w:rsidRPr="0089502E" w:rsidRDefault="0089502E" w:rsidP="0089502E">
      <w:pPr>
        <w:spacing w:after="360" w:line="360" w:lineRule="auto"/>
        <w:ind w:right="-159"/>
        <w:jc w:val="both"/>
        <w:rPr>
          <w:b/>
          <w:sz w:val="26"/>
          <w:szCs w:val="26"/>
          <w:lang w:val="es-ES_tradnl"/>
        </w:rPr>
      </w:pPr>
      <w:r w:rsidRPr="0089502E">
        <w:rPr>
          <w:b/>
          <w:sz w:val="26"/>
          <w:szCs w:val="26"/>
          <w:lang w:val="es-ES_tradnl"/>
        </w:rPr>
        <w:t>Estructura de las Importaciones</w:t>
      </w:r>
    </w:p>
    <w:p w:rsidR="0089502E" w:rsidRPr="0089502E" w:rsidRDefault="0089502E" w:rsidP="0089502E">
      <w:pPr>
        <w:spacing w:after="360" w:line="360" w:lineRule="auto"/>
        <w:ind w:right="-159"/>
        <w:jc w:val="both"/>
        <w:rPr>
          <w:sz w:val="26"/>
          <w:szCs w:val="26"/>
          <w:lang w:val="es-ES"/>
        </w:rPr>
      </w:pPr>
      <w:r w:rsidRPr="0089502E">
        <w:rPr>
          <w:sz w:val="26"/>
          <w:szCs w:val="26"/>
          <w:lang w:val="es-ES"/>
        </w:rPr>
        <w:t>La estructura del valor de las importaciones de mercancías en enero de 2015, fue la siguiente: bienes de uso intermedio 73.7%, bienes de capital 11.5% y bienes de consumo 14.8 por ciento.</w:t>
      </w:r>
    </w:p>
    <w:p w:rsidR="0089502E" w:rsidRPr="0089502E" w:rsidRDefault="0089502E" w:rsidP="0089502E">
      <w:pPr>
        <w:spacing w:after="360" w:line="360" w:lineRule="auto"/>
        <w:ind w:right="-159"/>
        <w:jc w:val="both"/>
        <w:rPr>
          <w:rFonts w:eastAsia="Times New Roman"/>
          <w:b/>
          <w:sz w:val="26"/>
          <w:szCs w:val="26"/>
        </w:rPr>
      </w:pPr>
      <w:r w:rsidRPr="0089502E">
        <w:rPr>
          <w:rFonts w:eastAsia="Times New Roman"/>
          <w:b/>
          <w:sz w:val="26"/>
          <w:szCs w:val="26"/>
        </w:rPr>
        <w:lastRenderedPageBreak/>
        <w:t>Cifras ajustadas por estacionalidad</w:t>
      </w:r>
    </w:p>
    <w:p w:rsidR="0089502E" w:rsidRPr="0089502E" w:rsidRDefault="0089502E" w:rsidP="0089502E">
      <w:pPr>
        <w:spacing w:after="360" w:line="360" w:lineRule="auto"/>
        <w:ind w:right="-159"/>
        <w:jc w:val="both"/>
        <w:rPr>
          <w:sz w:val="26"/>
          <w:szCs w:val="26"/>
          <w:lang w:val="es-ES_tradnl"/>
        </w:rPr>
      </w:pPr>
      <w:r w:rsidRPr="0089502E">
        <w:rPr>
          <w:sz w:val="26"/>
          <w:szCs w:val="26"/>
          <w:lang w:val="es-ES_tradnl"/>
        </w:rPr>
        <w:t xml:space="preserve">Con cifras </w:t>
      </w:r>
      <w:proofErr w:type="spellStart"/>
      <w:r w:rsidRPr="0089502E">
        <w:rPr>
          <w:sz w:val="26"/>
          <w:szCs w:val="26"/>
          <w:lang w:val="es-ES_tradnl"/>
        </w:rPr>
        <w:t>desestacionalizadas</w:t>
      </w:r>
      <w:proofErr w:type="spellEnd"/>
      <w:r w:rsidRPr="0089502E">
        <w:rPr>
          <w:sz w:val="26"/>
          <w:szCs w:val="26"/>
          <w:lang w:val="es-ES_tradnl"/>
        </w:rPr>
        <w:t xml:space="preserve">, en enero de 2015, la balanza comercial registró un déficit de 1 mil 781 millones de dólares, mientras que en diciembre de 2014 el saldo de esta balanza fue deficitario en 105 millones de dólares. El cambio en el saldo comercial </w:t>
      </w:r>
      <w:proofErr w:type="spellStart"/>
      <w:r w:rsidRPr="0089502E">
        <w:rPr>
          <w:sz w:val="26"/>
          <w:szCs w:val="26"/>
          <w:lang w:val="es-ES_tradnl"/>
        </w:rPr>
        <w:t>desestacionalizado</w:t>
      </w:r>
      <w:proofErr w:type="spellEnd"/>
      <w:r w:rsidRPr="0089502E">
        <w:rPr>
          <w:sz w:val="26"/>
          <w:szCs w:val="26"/>
          <w:lang w:val="es-ES_tradnl"/>
        </w:rPr>
        <w:t xml:space="preserve"> entre diciembre y enero se derivó de una reducción en el saldo de la balanza de productos no petroleros, el cual pasó de un superávit de 728 millones de dólares en diciembre a un déficit de 780 millones de dólares en enero, y de un aumento en el déficit de la balanza productos petroleros, que pasó de 733 millones de dólares a </w:t>
      </w:r>
      <w:r w:rsidR="00736C45">
        <w:rPr>
          <w:sz w:val="26"/>
          <w:szCs w:val="26"/>
          <w:lang w:val="es-ES_tradnl"/>
        </w:rPr>
        <w:t>un</w:t>
      </w:r>
      <w:r w:rsidRPr="0089502E">
        <w:rPr>
          <w:sz w:val="26"/>
          <w:szCs w:val="26"/>
          <w:lang w:val="es-ES_tradnl"/>
        </w:rPr>
        <w:t xml:space="preserve"> mil </w:t>
      </w:r>
      <w:r w:rsidR="00736C45">
        <w:rPr>
          <w:sz w:val="26"/>
          <w:szCs w:val="26"/>
          <w:lang w:val="es-ES_tradnl"/>
        </w:rPr>
        <w:t>un</w:t>
      </w:r>
      <w:r w:rsidRPr="0089502E">
        <w:rPr>
          <w:sz w:val="26"/>
          <w:szCs w:val="26"/>
          <w:lang w:val="es-ES_tradnl"/>
        </w:rPr>
        <w:t xml:space="preserve"> </w:t>
      </w:r>
      <w:proofErr w:type="spellStart"/>
      <w:r w:rsidRPr="0089502E">
        <w:rPr>
          <w:sz w:val="26"/>
          <w:szCs w:val="26"/>
          <w:lang w:val="es-ES_tradnl"/>
        </w:rPr>
        <w:t>millones</w:t>
      </w:r>
      <w:proofErr w:type="spellEnd"/>
      <w:r w:rsidRPr="0089502E">
        <w:rPr>
          <w:sz w:val="26"/>
          <w:szCs w:val="26"/>
          <w:lang w:val="es-ES_tradnl"/>
        </w:rPr>
        <w:t xml:space="preserve"> de dólares, en esa misma comparación.</w:t>
      </w:r>
    </w:p>
    <w:p w:rsidR="0089502E" w:rsidRPr="0089502E" w:rsidRDefault="0089502E" w:rsidP="0089502E">
      <w:pPr>
        <w:spacing w:after="360" w:line="360" w:lineRule="auto"/>
        <w:ind w:right="-159"/>
        <w:jc w:val="center"/>
        <w:rPr>
          <w:sz w:val="26"/>
          <w:szCs w:val="26"/>
          <w:lang w:val="es-ES_tradnl"/>
        </w:rPr>
      </w:pPr>
      <w:r w:rsidRPr="0089502E">
        <w:rPr>
          <w:rFonts w:ascii="Calibri" w:eastAsia="Calibri" w:hAnsi="Calibri"/>
          <w:sz w:val="22"/>
          <w:szCs w:val="22"/>
          <w:lang w:eastAsia="en-US"/>
        </w:rPr>
        <w:fldChar w:fldCharType="begin"/>
      </w:r>
      <w:r w:rsidRPr="0089502E">
        <w:rPr>
          <w:rFonts w:ascii="Calibri" w:eastAsia="Calibri" w:hAnsi="Calibri"/>
          <w:sz w:val="22"/>
          <w:szCs w:val="22"/>
          <w:lang w:eastAsia="en-US"/>
        </w:rPr>
        <w:instrText xml:space="preserve"> LINK PowerPoint.Slide.8 "D:\\2015\\MARZO 2014\\GRÁFICAS EN POWER POINT\\2.- GRÁFICAS DE BAL COM.pptx!285" "" \a \p </w:instrText>
      </w:r>
      <w:r w:rsidRPr="0089502E">
        <w:rPr>
          <w:rFonts w:ascii="Calibri" w:eastAsia="Calibri" w:hAnsi="Calibri"/>
          <w:sz w:val="22"/>
          <w:szCs w:val="22"/>
          <w:lang w:eastAsia="en-US"/>
        </w:rPr>
        <w:fldChar w:fldCharType="separate"/>
      </w:r>
      <w:r w:rsidRPr="0089502E">
        <w:rPr>
          <w:rFonts w:ascii="Calibri" w:eastAsia="Calibri" w:hAnsi="Calibri"/>
          <w:noProof/>
          <w:sz w:val="22"/>
          <w:szCs w:val="22"/>
          <w:lang w:eastAsia="es-MX"/>
        </w:rPr>
        <w:drawing>
          <wp:inline distT="0" distB="0" distL="0" distR="0" wp14:anchorId="0F6C2512" wp14:editId="42D6D67E">
            <wp:extent cx="4676775" cy="3188335"/>
            <wp:effectExtent l="0" t="0" r="952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26" cstate="print">
                      <a:extLst>
                        <a:ext uri="{28A0092B-C50C-407E-A947-70E740481C1C}">
                          <a14:useLocalDpi xmlns:a14="http://schemas.microsoft.com/office/drawing/2010/main" val="0"/>
                        </a:ext>
                      </a:extLst>
                    </a:blip>
                    <a:srcRect l="11118" t="3020" r="12027" b="3928"/>
                    <a:stretch>
                      <a:fillRect/>
                    </a:stretch>
                  </pic:blipFill>
                  <pic:spPr bwMode="auto">
                    <a:xfrm>
                      <a:off x="0" y="0"/>
                      <a:ext cx="4676775" cy="3188335"/>
                    </a:xfrm>
                    <a:prstGeom prst="rect">
                      <a:avLst/>
                    </a:prstGeom>
                    <a:noFill/>
                    <a:ln>
                      <a:noFill/>
                    </a:ln>
                  </pic:spPr>
                </pic:pic>
              </a:graphicData>
            </a:graphic>
          </wp:inline>
        </w:drawing>
      </w:r>
      <w:r w:rsidRPr="0089502E">
        <w:rPr>
          <w:rFonts w:ascii="Calibri" w:eastAsia="Calibri" w:hAnsi="Calibri"/>
          <w:sz w:val="22"/>
          <w:szCs w:val="22"/>
          <w:lang w:eastAsia="en-US"/>
        </w:rPr>
        <w:fldChar w:fldCharType="end"/>
      </w:r>
    </w:p>
    <w:p w:rsidR="0089502E" w:rsidRPr="0089502E" w:rsidRDefault="0089502E" w:rsidP="0089502E">
      <w:pPr>
        <w:spacing w:after="360" w:line="360" w:lineRule="auto"/>
        <w:ind w:right="-159"/>
        <w:jc w:val="both"/>
        <w:rPr>
          <w:sz w:val="26"/>
          <w:szCs w:val="26"/>
          <w:lang w:val="es-ES_tradnl"/>
        </w:rPr>
      </w:pPr>
      <w:r w:rsidRPr="0089502E">
        <w:rPr>
          <w:sz w:val="26"/>
          <w:szCs w:val="26"/>
          <w:lang w:val="es-ES_tradnl"/>
        </w:rPr>
        <w:t xml:space="preserve">En el mes que se reporta, las exportaciones totales </w:t>
      </w:r>
      <w:proofErr w:type="spellStart"/>
      <w:r w:rsidRPr="0089502E">
        <w:rPr>
          <w:sz w:val="26"/>
          <w:szCs w:val="26"/>
          <w:lang w:val="es-ES_tradnl"/>
        </w:rPr>
        <w:t>desestacionalizadas</w:t>
      </w:r>
      <w:proofErr w:type="spellEnd"/>
      <w:r w:rsidRPr="0089502E">
        <w:rPr>
          <w:sz w:val="26"/>
          <w:szCs w:val="26"/>
          <w:lang w:val="es-ES_tradnl"/>
        </w:rPr>
        <w:t xml:space="preserve"> reportaron una caída mensual de 3.68%, la cual reflejo descensos de 2.57% en las exportaciones no petroleras y de 17.32% en las petroleras. Al interior de las exportaciones no petroleras, las manufactureras mostraron una reducción mensual de 3.30%. A su vez, dicha tasa se originó de la combinación de una disminución de 5.10% en las exportaciones no automotrices y de una alza de 0.55% en las exportaciones automotrices.</w:t>
      </w:r>
    </w:p>
    <w:tbl>
      <w:tblPr>
        <w:tblStyle w:val="Tablaconcuadrcula2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8"/>
      </w:tblGrid>
      <w:tr w:rsidR="0089502E" w:rsidRPr="0089502E" w:rsidTr="00DA1492">
        <w:tc>
          <w:tcPr>
            <w:tcW w:w="8828" w:type="dxa"/>
          </w:tcPr>
          <w:p w:rsidR="0089502E" w:rsidRPr="0089502E" w:rsidRDefault="0089502E" w:rsidP="0089502E">
            <w:pPr>
              <w:widowControl/>
              <w:adjustRightInd/>
              <w:spacing w:line="240" w:lineRule="auto"/>
              <w:jc w:val="center"/>
              <w:textAlignment w:val="auto"/>
              <w:rPr>
                <w:rFonts w:ascii="Calibri" w:eastAsia="Calibri" w:hAnsi="Calibri"/>
                <w:sz w:val="22"/>
                <w:szCs w:val="22"/>
                <w:lang w:eastAsia="en-US"/>
              </w:rPr>
            </w:pPr>
            <w:r w:rsidRPr="0089502E">
              <w:rPr>
                <w:rFonts w:ascii="Calibri" w:eastAsia="Calibri" w:hAnsi="Calibri"/>
                <w:sz w:val="22"/>
                <w:szCs w:val="22"/>
                <w:lang w:eastAsia="en-US"/>
              </w:rPr>
              <w:lastRenderedPageBreak/>
              <w:fldChar w:fldCharType="begin"/>
            </w:r>
            <w:r w:rsidRPr="0089502E">
              <w:rPr>
                <w:rFonts w:ascii="Calibri" w:eastAsia="Calibri" w:hAnsi="Calibri"/>
                <w:sz w:val="22"/>
                <w:szCs w:val="22"/>
                <w:lang w:eastAsia="en-US"/>
              </w:rPr>
              <w:instrText xml:space="preserve"> LINK PowerPoint.Slide.8 "D:\\2015\\MARZO 2014\\GRÁFICAS EN POWER POINT\\2.- GRÁFICAS DE BAL COM.pptx!281" "" \a \p </w:instrText>
            </w:r>
            <w:r w:rsidRPr="0089502E">
              <w:rPr>
                <w:rFonts w:ascii="Calibri" w:eastAsia="Calibri" w:hAnsi="Calibri"/>
                <w:sz w:val="22"/>
                <w:szCs w:val="22"/>
                <w:lang w:eastAsia="en-US"/>
              </w:rPr>
              <w:fldChar w:fldCharType="separate"/>
            </w:r>
            <w:r w:rsidRPr="0089502E">
              <w:rPr>
                <w:rFonts w:ascii="Calibri" w:eastAsia="Calibri" w:hAnsi="Calibri"/>
                <w:noProof/>
                <w:sz w:val="22"/>
                <w:szCs w:val="22"/>
                <w:lang w:eastAsia="es-MX"/>
              </w:rPr>
              <w:drawing>
                <wp:inline distT="0" distB="0" distL="0" distR="0" wp14:anchorId="46EF6708" wp14:editId="69506DC7">
                  <wp:extent cx="5307330" cy="2539365"/>
                  <wp:effectExtent l="0" t="0" r="762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
                          <pic:cNvPicPr>
                            <a:picLocks noChangeAspect="1" noChangeArrowheads="1"/>
                          </pic:cNvPicPr>
                        </pic:nvPicPr>
                        <pic:blipFill>
                          <a:blip r:embed="rId27" cstate="print">
                            <a:extLst>
                              <a:ext uri="{28A0092B-C50C-407E-A947-70E740481C1C}">
                                <a14:useLocalDpi xmlns:a14="http://schemas.microsoft.com/office/drawing/2010/main" val="0"/>
                              </a:ext>
                            </a:extLst>
                          </a:blip>
                          <a:srcRect l="4573" t="3242" r="8112" b="22754"/>
                          <a:stretch>
                            <a:fillRect/>
                          </a:stretch>
                        </pic:blipFill>
                        <pic:spPr bwMode="auto">
                          <a:xfrm>
                            <a:off x="0" y="0"/>
                            <a:ext cx="5307330" cy="2539365"/>
                          </a:xfrm>
                          <a:prstGeom prst="rect">
                            <a:avLst/>
                          </a:prstGeom>
                          <a:noFill/>
                          <a:ln>
                            <a:noFill/>
                          </a:ln>
                        </pic:spPr>
                      </pic:pic>
                    </a:graphicData>
                  </a:graphic>
                </wp:inline>
              </w:drawing>
            </w:r>
            <w:r w:rsidRPr="0089502E">
              <w:rPr>
                <w:rFonts w:ascii="Calibri" w:eastAsia="Calibri" w:hAnsi="Calibri"/>
                <w:sz w:val="22"/>
                <w:szCs w:val="22"/>
                <w:lang w:eastAsia="en-US"/>
              </w:rPr>
              <w:fldChar w:fldCharType="end"/>
            </w:r>
          </w:p>
        </w:tc>
      </w:tr>
      <w:tr w:rsidR="0089502E" w:rsidRPr="0089502E" w:rsidTr="00DA1492">
        <w:tc>
          <w:tcPr>
            <w:tcW w:w="8828" w:type="dxa"/>
          </w:tcPr>
          <w:p w:rsidR="0089502E" w:rsidRPr="0089502E" w:rsidRDefault="0089502E" w:rsidP="0089502E">
            <w:pPr>
              <w:widowControl/>
              <w:adjustRightInd/>
              <w:spacing w:line="240" w:lineRule="auto"/>
              <w:jc w:val="center"/>
              <w:textAlignment w:val="auto"/>
              <w:rPr>
                <w:rFonts w:ascii="Calibri" w:eastAsia="Calibri" w:hAnsi="Calibri"/>
                <w:sz w:val="22"/>
                <w:szCs w:val="22"/>
                <w:lang w:eastAsia="en-US"/>
              </w:rPr>
            </w:pPr>
            <w:r w:rsidRPr="0089502E">
              <w:rPr>
                <w:rFonts w:ascii="Calibri" w:eastAsia="Calibri" w:hAnsi="Calibri"/>
                <w:sz w:val="22"/>
                <w:szCs w:val="22"/>
                <w:lang w:eastAsia="en-US"/>
              </w:rPr>
              <w:fldChar w:fldCharType="begin"/>
            </w:r>
            <w:r w:rsidRPr="0089502E">
              <w:rPr>
                <w:rFonts w:ascii="Calibri" w:eastAsia="Calibri" w:hAnsi="Calibri"/>
                <w:sz w:val="22"/>
                <w:szCs w:val="22"/>
                <w:lang w:eastAsia="en-US"/>
              </w:rPr>
              <w:instrText xml:space="preserve"> LINK PowerPoint.Slide.8 "D:\\2015\\MARZO 2014\\GRÁFICAS EN POWER POINT\\2.- GRÁFICAS DE BAL COM.pptx!264" "" \a \p </w:instrText>
            </w:r>
            <w:r w:rsidRPr="0089502E">
              <w:rPr>
                <w:rFonts w:ascii="Calibri" w:eastAsia="Calibri" w:hAnsi="Calibri"/>
                <w:sz w:val="22"/>
                <w:szCs w:val="22"/>
                <w:lang w:eastAsia="en-US"/>
              </w:rPr>
              <w:fldChar w:fldCharType="separate"/>
            </w:r>
            <w:r w:rsidRPr="0089502E">
              <w:rPr>
                <w:rFonts w:ascii="Calibri" w:eastAsia="Calibri" w:hAnsi="Calibri"/>
                <w:noProof/>
                <w:sz w:val="22"/>
                <w:szCs w:val="22"/>
                <w:lang w:eastAsia="es-MX"/>
              </w:rPr>
              <w:drawing>
                <wp:inline distT="0" distB="0" distL="0" distR="0" wp14:anchorId="4D905D42" wp14:editId="36569162">
                  <wp:extent cx="5319395" cy="2113280"/>
                  <wp:effectExtent l="0" t="0" r="0" b="127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28" cstate="print">
                            <a:extLst>
                              <a:ext uri="{28A0092B-C50C-407E-A947-70E740481C1C}">
                                <a14:useLocalDpi xmlns:a14="http://schemas.microsoft.com/office/drawing/2010/main" val="0"/>
                              </a:ext>
                            </a:extLst>
                          </a:blip>
                          <a:srcRect l="4448" t="14156" r="8112" b="24124"/>
                          <a:stretch>
                            <a:fillRect/>
                          </a:stretch>
                        </pic:blipFill>
                        <pic:spPr bwMode="auto">
                          <a:xfrm>
                            <a:off x="0" y="0"/>
                            <a:ext cx="5319395" cy="2113280"/>
                          </a:xfrm>
                          <a:prstGeom prst="rect">
                            <a:avLst/>
                          </a:prstGeom>
                          <a:noFill/>
                          <a:ln>
                            <a:noFill/>
                          </a:ln>
                        </pic:spPr>
                      </pic:pic>
                    </a:graphicData>
                  </a:graphic>
                </wp:inline>
              </w:drawing>
            </w:r>
            <w:r w:rsidRPr="0089502E">
              <w:rPr>
                <w:rFonts w:ascii="Calibri" w:eastAsia="Calibri" w:hAnsi="Calibri"/>
                <w:sz w:val="22"/>
                <w:szCs w:val="22"/>
                <w:lang w:eastAsia="en-US"/>
              </w:rPr>
              <w:fldChar w:fldCharType="end"/>
            </w:r>
          </w:p>
        </w:tc>
      </w:tr>
      <w:tr w:rsidR="0089502E" w:rsidRPr="0089502E" w:rsidTr="00DA1492">
        <w:tc>
          <w:tcPr>
            <w:tcW w:w="8828" w:type="dxa"/>
          </w:tcPr>
          <w:p w:rsidR="0089502E" w:rsidRPr="0089502E" w:rsidRDefault="0089502E" w:rsidP="0089502E">
            <w:pPr>
              <w:widowControl/>
              <w:adjustRightInd/>
              <w:spacing w:line="240" w:lineRule="auto"/>
              <w:jc w:val="center"/>
              <w:textAlignment w:val="auto"/>
              <w:rPr>
                <w:rFonts w:ascii="Calibri" w:eastAsia="Calibri" w:hAnsi="Calibri"/>
                <w:sz w:val="22"/>
                <w:szCs w:val="22"/>
                <w:lang w:eastAsia="en-US"/>
              </w:rPr>
            </w:pPr>
            <w:r w:rsidRPr="0089502E">
              <w:rPr>
                <w:rFonts w:ascii="Calibri" w:eastAsia="Calibri" w:hAnsi="Calibri"/>
                <w:sz w:val="22"/>
                <w:szCs w:val="22"/>
                <w:lang w:eastAsia="en-US"/>
              </w:rPr>
              <w:fldChar w:fldCharType="begin"/>
            </w:r>
            <w:r w:rsidRPr="0089502E">
              <w:rPr>
                <w:rFonts w:ascii="Calibri" w:eastAsia="Calibri" w:hAnsi="Calibri"/>
                <w:sz w:val="22"/>
                <w:szCs w:val="22"/>
                <w:lang w:eastAsia="en-US"/>
              </w:rPr>
              <w:instrText xml:space="preserve"> LINK PowerPoint.Slide.8 "D:\\2015\\MARZO 2014\\GRÁFICAS EN POWER POINT\\2.- GRÁFICAS DE BAL COM.pptx!265" "" \a \p </w:instrText>
            </w:r>
            <w:r w:rsidRPr="0089502E">
              <w:rPr>
                <w:rFonts w:ascii="Calibri" w:eastAsia="Calibri" w:hAnsi="Calibri"/>
                <w:sz w:val="22"/>
                <w:szCs w:val="22"/>
                <w:lang w:eastAsia="en-US"/>
              </w:rPr>
              <w:fldChar w:fldCharType="separate"/>
            </w:r>
            <w:r w:rsidRPr="0089502E">
              <w:rPr>
                <w:rFonts w:ascii="Calibri" w:eastAsia="Calibri" w:hAnsi="Calibri"/>
                <w:noProof/>
                <w:sz w:val="22"/>
                <w:szCs w:val="22"/>
                <w:lang w:eastAsia="es-MX"/>
              </w:rPr>
              <w:drawing>
                <wp:inline distT="0" distB="0" distL="0" distR="0" wp14:anchorId="32141F5D" wp14:editId="4904068E">
                  <wp:extent cx="5424805" cy="2693670"/>
                  <wp:effectExtent l="0" t="0" r="444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
                          <pic:cNvPicPr>
                            <a:picLocks noChangeAspect="1" noChangeArrowheads="1"/>
                          </pic:cNvPicPr>
                        </pic:nvPicPr>
                        <pic:blipFill>
                          <a:blip r:embed="rId29" cstate="print">
                            <a:extLst>
                              <a:ext uri="{28A0092B-C50C-407E-A947-70E740481C1C}">
                                <a14:useLocalDpi xmlns:a14="http://schemas.microsoft.com/office/drawing/2010/main" val="0"/>
                              </a:ext>
                            </a:extLst>
                          </a:blip>
                          <a:srcRect l="3915" t="12767" r="6921" b="8578"/>
                          <a:stretch>
                            <a:fillRect/>
                          </a:stretch>
                        </pic:blipFill>
                        <pic:spPr bwMode="auto">
                          <a:xfrm>
                            <a:off x="0" y="0"/>
                            <a:ext cx="5424805" cy="2693670"/>
                          </a:xfrm>
                          <a:prstGeom prst="rect">
                            <a:avLst/>
                          </a:prstGeom>
                          <a:noFill/>
                          <a:ln>
                            <a:noFill/>
                          </a:ln>
                        </pic:spPr>
                      </pic:pic>
                    </a:graphicData>
                  </a:graphic>
                </wp:inline>
              </w:drawing>
            </w:r>
            <w:r w:rsidRPr="0089502E">
              <w:rPr>
                <w:rFonts w:ascii="Calibri" w:eastAsia="Calibri" w:hAnsi="Calibri"/>
                <w:sz w:val="22"/>
                <w:szCs w:val="22"/>
                <w:lang w:eastAsia="en-US"/>
              </w:rPr>
              <w:fldChar w:fldCharType="end"/>
            </w:r>
          </w:p>
        </w:tc>
      </w:tr>
    </w:tbl>
    <w:p w:rsidR="0089502E" w:rsidRPr="0089502E" w:rsidRDefault="0089502E" w:rsidP="0089502E">
      <w:pPr>
        <w:spacing w:after="160" w:line="259" w:lineRule="auto"/>
        <w:jc w:val="center"/>
        <w:rPr>
          <w:rFonts w:ascii="Calibri" w:eastAsia="Calibri" w:hAnsi="Calibri"/>
          <w:sz w:val="22"/>
          <w:szCs w:val="22"/>
          <w:lang w:eastAsia="en-US"/>
        </w:rPr>
      </w:pPr>
    </w:p>
    <w:p w:rsidR="0089502E" w:rsidRPr="0089502E" w:rsidRDefault="0089502E" w:rsidP="0089502E">
      <w:pPr>
        <w:ind w:right="-159"/>
        <w:jc w:val="center"/>
        <w:rPr>
          <w:b/>
          <w:sz w:val="22"/>
          <w:szCs w:val="22"/>
          <w:lang w:val="es-ES_tradnl"/>
        </w:rPr>
      </w:pPr>
    </w:p>
    <w:p w:rsidR="0089502E" w:rsidRPr="0089502E" w:rsidRDefault="0089502E" w:rsidP="0089502E">
      <w:pPr>
        <w:spacing w:after="360" w:line="360" w:lineRule="auto"/>
        <w:ind w:right="-159"/>
        <w:jc w:val="both"/>
        <w:rPr>
          <w:sz w:val="26"/>
          <w:szCs w:val="26"/>
          <w:lang w:val="es-ES"/>
        </w:rPr>
      </w:pPr>
    </w:p>
    <w:p w:rsidR="0089502E" w:rsidRDefault="0089502E" w:rsidP="0089502E">
      <w:pPr>
        <w:spacing w:after="360" w:line="360" w:lineRule="auto"/>
        <w:ind w:right="-159"/>
        <w:jc w:val="both"/>
        <w:rPr>
          <w:sz w:val="26"/>
          <w:szCs w:val="26"/>
          <w:lang w:val="es-ES"/>
        </w:rPr>
      </w:pPr>
      <w:r w:rsidRPr="0089502E">
        <w:rPr>
          <w:sz w:val="26"/>
          <w:szCs w:val="26"/>
          <w:lang w:val="es-ES"/>
        </w:rPr>
        <w:lastRenderedPageBreak/>
        <w:t xml:space="preserve">Las importaciones totales de mercancías en enero de 2015 presentaron un avance mensual </w:t>
      </w:r>
      <w:proofErr w:type="spellStart"/>
      <w:r w:rsidRPr="0089502E">
        <w:rPr>
          <w:sz w:val="26"/>
          <w:szCs w:val="26"/>
          <w:lang w:val="es-ES"/>
        </w:rPr>
        <w:t>desestacionalizado</w:t>
      </w:r>
      <w:proofErr w:type="spellEnd"/>
      <w:r w:rsidRPr="0089502E">
        <w:rPr>
          <w:sz w:val="26"/>
          <w:szCs w:val="26"/>
          <w:lang w:val="es-ES"/>
        </w:rPr>
        <w:t xml:space="preserve"> de 1.38%. Esta cifra fue resultado neto de una variación de 2.42% en las importaciones no petroleras y de una reducción de 7.95% en las petroleras. Por tipo de bien, se observaron incrementos mensuales </w:t>
      </w:r>
      <w:proofErr w:type="spellStart"/>
      <w:r w:rsidRPr="0089502E">
        <w:rPr>
          <w:sz w:val="26"/>
          <w:szCs w:val="26"/>
          <w:lang w:val="es-ES"/>
        </w:rPr>
        <w:t>desestacionalizados</w:t>
      </w:r>
      <w:proofErr w:type="spellEnd"/>
      <w:r w:rsidRPr="0089502E">
        <w:rPr>
          <w:sz w:val="26"/>
          <w:szCs w:val="26"/>
          <w:lang w:val="es-ES"/>
        </w:rPr>
        <w:t xml:space="preserve"> de 1.59% en las importaciones de bienes de consumo (de 0.23% en el caso de las importaciones de bienes de consumo no petroleros), de 0.06% en las de bienes de uso intermedio (de 1.49% en el caso de las importaciones de bienes de uso intermedio no petroleros) y de 11.37% en las importaciones de bienes de capital.</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8"/>
      </w:tblGrid>
      <w:tr w:rsidR="00340DD7" w:rsidRPr="00340DD7" w:rsidTr="00593607">
        <w:tc>
          <w:tcPr>
            <w:tcW w:w="8828" w:type="dxa"/>
          </w:tcPr>
          <w:p w:rsidR="00340DD7" w:rsidRPr="00340DD7" w:rsidRDefault="00340DD7" w:rsidP="00340DD7">
            <w:pPr>
              <w:jc w:val="center"/>
              <w:rPr>
                <w:rFonts w:ascii="Calibri" w:eastAsia="Calibri" w:hAnsi="Calibri"/>
                <w:sz w:val="22"/>
                <w:szCs w:val="22"/>
                <w:lang w:eastAsia="en-US"/>
              </w:rPr>
            </w:pPr>
            <w:r w:rsidRPr="00340DD7">
              <w:rPr>
                <w:rFonts w:ascii="Calibri" w:eastAsia="Calibri" w:hAnsi="Calibri"/>
                <w:sz w:val="22"/>
                <w:szCs w:val="22"/>
                <w:lang w:eastAsia="en-US"/>
              </w:rPr>
              <w:fldChar w:fldCharType="begin"/>
            </w:r>
            <w:r w:rsidRPr="00340DD7">
              <w:rPr>
                <w:rFonts w:ascii="Calibri" w:eastAsia="Calibri" w:hAnsi="Calibri"/>
                <w:sz w:val="22"/>
                <w:szCs w:val="22"/>
                <w:lang w:eastAsia="en-US"/>
              </w:rPr>
              <w:instrText xml:space="preserve"> LINK PowerPoint.Slide.8 "D:\\2015\\MARZO 2014\\GRÁFICAS EN POWER POINT\\2.- GRÁFICAS DE BAL COM.pptx!266" "" \a \p </w:instrText>
            </w:r>
            <w:r w:rsidRPr="00340DD7">
              <w:rPr>
                <w:rFonts w:ascii="Calibri" w:eastAsia="Calibri" w:hAnsi="Calibri"/>
                <w:sz w:val="22"/>
                <w:szCs w:val="22"/>
                <w:lang w:eastAsia="en-US"/>
              </w:rPr>
              <w:fldChar w:fldCharType="separate"/>
            </w:r>
            <w:r w:rsidRPr="00340DD7">
              <w:rPr>
                <w:rFonts w:ascii="Calibri" w:eastAsia="Calibri" w:hAnsi="Calibri"/>
                <w:noProof/>
                <w:sz w:val="22"/>
                <w:szCs w:val="22"/>
                <w:lang w:eastAsia="es-MX"/>
              </w:rPr>
              <w:drawing>
                <wp:inline distT="0" distB="0" distL="0" distR="0" wp14:anchorId="3A7C5246" wp14:editId="4E6D155B">
                  <wp:extent cx="5332095" cy="2514600"/>
                  <wp:effectExtent l="0" t="0" r="1905" b="0"/>
                  <wp:docPr id="1580" name="Imagen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30" cstate="print">
                            <a:extLst>
                              <a:ext uri="{28A0092B-C50C-407E-A947-70E740481C1C}">
                                <a14:useLocalDpi xmlns:a14="http://schemas.microsoft.com/office/drawing/2010/main" val="0"/>
                              </a:ext>
                            </a:extLst>
                          </a:blip>
                          <a:srcRect l="4070" t="2499" r="8295" b="24167"/>
                          <a:stretch>
                            <a:fillRect/>
                          </a:stretch>
                        </pic:blipFill>
                        <pic:spPr bwMode="auto">
                          <a:xfrm>
                            <a:off x="0" y="0"/>
                            <a:ext cx="5332095" cy="2514600"/>
                          </a:xfrm>
                          <a:prstGeom prst="rect">
                            <a:avLst/>
                          </a:prstGeom>
                          <a:noFill/>
                          <a:ln>
                            <a:noFill/>
                          </a:ln>
                        </pic:spPr>
                      </pic:pic>
                    </a:graphicData>
                  </a:graphic>
                </wp:inline>
              </w:drawing>
            </w:r>
            <w:r w:rsidRPr="00340DD7">
              <w:rPr>
                <w:rFonts w:ascii="Calibri" w:eastAsia="Calibri" w:hAnsi="Calibri"/>
                <w:sz w:val="22"/>
                <w:szCs w:val="22"/>
                <w:lang w:eastAsia="en-US"/>
              </w:rPr>
              <w:fldChar w:fldCharType="end"/>
            </w:r>
          </w:p>
        </w:tc>
      </w:tr>
      <w:tr w:rsidR="00340DD7" w:rsidRPr="00340DD7" w:rsidTr="00593607">
        <w:tc>
          <w:tcPr>
            <w:tcW w:w="8828" w:type="dxa"/>
          </w:tcPr>
          <w:p w:rsidR="00340DD7" w:rsidRPr="00340DD7" w:rsidRDefault="00340DD7" w:rsidP="00340DD7">
            <w:pPr>
              <w:jc w:val="center"/>
              <w:rPr>
                <w:rFonts w:ascii="Calibri" w:eastAsia="Calibri" w:hAnsi="Calibri"/>
                <w:sz w:val="22"/>
                <w:szCs w:val="22"/>
                <w:lang w:eastAsia="en-US"/>
              </w:rPr>
            </w:pPr>
            <w:r w:rsidRPr="00340DD7">
              <w:rPr>
                <w:rFonts w:ascii="Calibri" w:eastAsia="Calibri" w:hAnsi="Calibri"/>
                <w:sz w:val="22"/>
                <w:szCs w:val="22"/>
                <w:lang w:eastAsia="en-US"/>
              </w:rPr>
              <w:fldChar w:fldCharType="begin"/>
            </w:r>
            <w:r w:rsidRPr="00340DD7">
              <w:rPr>
                <w:rFonts w:ascii="Calibri" w:eastAsia="Calibri" w:hAnsi="Calibri"/>
                <w:sz w:val="22"/>
                <w:szCs w:val="22"/>
                <w:lang w:eastAsia="en-US"/>
              </w:rPr>
              <w:instrText xml:space="preserve"> LINK PowerPoint.Slide.8 "D:\\2015\\MARZO 2014\\GRÁFICAS EN POWER POINT\\2.- GRÁFICAS DE BAL COM.pptx!267" "" \a \p </w:instrText>
            </w:r>
            <w:r w:rsidRPr="00340DD7">
              <w:rPr>
                <w:rFonts w:ascii="Calibri" w:eastAsia="Calibri" w:hAnsi="Calibri"/>
                <w:sz w:val="22"/>
                <w:szCs w:val="22"/>
                <w:lang w:eastAsia="en-US"/>
              </w:rPr>
              <w:fldChar w:fldCharType="separate"/>
            </w:r>
            <w:r w:rsidRPr="00340DD7">
              <w:rPr>
                <w:rFonts w:ascii="Calibri" w:eastAsia="Calibri" w:hAnsi="Calibri"/>
                <w:noProof/>
                <w:sz w:val="22"/>
                <w:szCs w:val="22"/>
                <w:lang w:eastAsia="es-MX"/>
              </w:rPr>
              <w:drawing>
                <wp:inline distT="0" distB="0" distL="0" distR="0" wp14:anchorId="49D91A4D" wp14:editId="28D2D870">
                  <wp:extent cx="5350510" cy="2162175"/>
                  <wp:effectExtent l="0" t="0" r="2540" b="9525"/>
                  <wp:docPr id="1579" name="Imagen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31" cstate="print">
                            <a:extLst>
                              <a:ext uri="{28A0092B-C50C-407E-A947-70E740481C1C}">
                                <a14:useLocalDpi xmlns:a14="http://schemas.microsoft.com/office/drawing/2010/main" val="0"/>
                              </a:ext>
                            </a:extLst>
                          </a:blip>
                          <a:srcRect l="4225" t="13611" r="7825" b="23334"/>
                          <a:stretch>
                            <a:fillRect/>
                          </a:stretch>
                        </pic:blipFill>
                        <pic:spPr bwMode="auto">
                          <a:xfrm>
                            <a:off x="0" y="0"/>
                            <a:ext cx="5350510" cy="2162175"/>
                          </a:xfrm>
                          <a:prstGeom prst="rect">
                            <a:avLst/>
                          </a:prstGeom>
                          <a:noFill/>
                          <a:ln>
                            <a:noFill/>
                          </a:ln>
                        </pic:spPr>
                      </pic:pic>
                    </a:graphicData>
                  </a:graphic>
                </wp:inline>
              </w:drawing>
            </w:r>
            <w:r w:rsidRPr="00340DD7">
              <w:rPr>
                <w:rFonts w:ascii="Calibri" w:eastAsia="Calibri" w:hAnsi="Calibri"/>
                <w:sz w:val="22"/>
                <w:szCs w:val="22"/>
                <w:lang w:eastAsia="en-US"/>
              </w:rPr>
              <w:fldChar w:fldCharType="end"/>
            </w:r>
          </w:p>
        </w:tc>
      </w:tr>
      <w:tr w:rsidR="00340DD7" w:rsidRPr="00340DD7" w:rsidTr="00593607">
        <w:tc>
          <w:tcPr>
            <w:tcW w:w="8828" w:type="dxa"/>
          </w:tcPr>
          <w:p w:rsidR="00340DD7" w:rsidRPr="00340DD7" w:rsidRDefault="00340DD7" w:rsidP="00340DD7">
            <w:pPr>
              <w:jc w:val="center"/>
              <w:rPr>
                <w:rFonts w:ascii="Calibri" w:eastAsia="Calibri" w:hAnsi="Calibri"/>
                <w:sz w:val="22"/>
                <w:szCs w:val="22"/>
                <w:lang w:eastAsia="en-US"/>
              </w:rPr>
            </w:pPr>
            <w:r w:rsidRPr="00340DD7">
              <w:rPr>
                <w:rFonts w:ascii="Calibri" w:eastAsia="Calibri" w:hAnsi="Calibri"/>
                <w:sz w:val="22"/>
                <w:szCs w:val="22"/>
                <w:lang w:eastAsia="en-US"/>
              </w:rPr>
              <w:lastRenderedPageBreak/>
              <w:fldChar w:fldCharType="begin"/>
            </w:r>
            <w:r w:rsidRPr="00340DD7">
              <w:rPr>
                <w:rFonts w:ascii="Calibri" w:eastAsia="Calibri" w:hAnsi="Calibri"/>
                <w:sz w:val="22"/>
                <w:szCs w:val="22"/>
                <w:lang w:eastAsia="en-US"/>
              </w:rPr>
              <w:instrText xml:space="preserve"> LINK PowerPoint.Slide.8 "D:\\2015\\MARZO 2014\\GRÁFICAS EN POWER POINT\\2.- GRÁFICAS DE BAL COM.pptx!268" "" \a \p </w:instrText>
            </w:r>
            <w:r w:rsidRPr="00340DD7">
              <w:rPr>
                <w:rFonts w:ascii="Calibri" w:eastAsia="Calibri" w:hAnsi="Calibri"/>
                <w:sz w:val="22"/>
                <w:szCs w:val="22"/>
                <w:lang w:eastAsia="en-US"/>
              </w:rPr>
              <w:fldChar w:fldCharType="separate"/>
            </w:r>
            <w:r w:rsidRPr="00340DD7">
              <w:rPr>
                <w:rFonts w:ascii="Calibri" w:eastAsia="Calibri" w:hAnsi="Calibri"/>
                <w:noProof/>
                <w:sz w:val="22"/>
                <w:szCs w:val="22"/>
                <w:lang w:eastAsia="es-MX"/>
              </w:rPr>
              <w:drawing>
                <wp:inline distT="0" distB="0" distL="0" distR="0" wp14:anchorId="3BC5F9B5" wp14:editId="3509775C">
                  <wp:extent cx="5430520" cy="2644140"/>
                  <wp:effectExtent l="0" t="0" r="0" b="3810"/>
                  <wp:docPr id="1578" name="Imagen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32" cstate="print">
                            <a:extLst>
                              <a:ext uri="{28A0092B-C50C-407E-A947-70E740481C1C}">
                                <a14:useLocalDpi xmlns:a14="http://schemas.microsoft.com/office/drawing/2010/main" val="0"/>
                              </a:ext>
                            </a:extLst>
                          </a:blip>
                          <a:srcRect l="3287" t="13611" r="7512" b="9166"/>
                          <a:stretch>
                            <a:fillRect/>
                          </a:stretch>
                        </pic:blipFill>
                        <pic:spPr bwMode="auto">
                          <a:xfrm>
                            <a:off x="0" y="0"/>
                            <a:ext cx="5430520" cy="2644140"/>
                          </a:xfrm>
                          <a:prstGeom prst="rect">
                            <a:avLst/>
                          </a:prstGeom>
                          <a:noFill/>
                          <a:ln>
                            <a:noFill/>
                          </a:ln>
                        </pic:spPr>
                      </pic:pic>
                    </a:graphicData>
                  </a:graphic>
                </wp:inline>
              </w:drawing>
            </w:r>
            <w:r w:rsidRPr="00340DD7">
              <w:rPr>
                <w:rFonts w:ascii="Calibri" w:eastAsia="Calibri" w:hAnsi="Calibri"/>
                <w:sz w:val="22"/>
                <w:szCs w:val="22"/>
                <w:lang w:eastAsia="en-US"/>
              </w:rPr>
              <w:fldChar w:fldCharType="end"/>
            </w:r>
          </w:p>
        </w:tc>
      </w:tr>
    </w:tbl>
    <w:p w:rsidR="00340DD7" w:rsidRPr="0089502E" w:rsidRDefault="00340DD7" w:rsidP="0089502E">
      <w:pPr>
        <w:spacing w:after="360" w:line="360" w:lineRule="auto"/>
        <w:ind w:right="-159"/>
        <w:jc w:val="center"/>
        <w:rPr>
          <w:b/>
          <w:sz w:val="22"/>
          <w:szCs w:val="22"/>
          <w:lang w:val="es-ES_tradnl"/>
        </w:rPr>
      </w:pPr>
    </w:p>
    <w:tbl>
      <w:tblPr>
        <w:tblW w:w="894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81"/>
        <w:gridCol w:w="1550"/>
        <w:gridCol w:w="1172"/>
        <w:gridCol w:w="113"/>
        <w:gridCol w:w="1134"/>
        <w:gridCol w:w="1275"/>
        <w:gridCol w:w="1418"/>
      </w:tblGrid>
      <w:tr w:rsidR="0089502E" w:rsidRPr="0089502E" w:rsidTr="00DA1492">
        <w:trPr>
          <w:jc w:val="right"/>
        </w:trPr>
        <w:tc>
          <w:tcPr>
            <w:tcW w:w="8943" w:type="dxa"/>
            <w:gridSpan w:val="7"/>
            <w:tcBorders>
              <w:top w:val="nil"/>
              <w:left w:val="nil"/>
              <w:right w:val="nil"/>
            </w:tcBorders>
            <w:vAlign w:val="center"/>
          </w:tcPr>
          <w:p w:rsidR="0089502E" w:rsidRPr="0089502E" w:rsidRDefault="0089502E" w:rsidP="0089502E">
            <w:pPr>
              <w:widowControl w:val="0"/>
              <w:adjustRightInd w:val="0"/>
              <w:jc w:val="center"/>
              <w:textAlignment w:val="baseline"/>
              <w:rPr>
                <w:b/>
                <w:sz w:val="22"/>
                <w:szCs w:val="22"/>
              </w:rPr>
            </w:pPr>
            <w:r w:rsidRPr="0089502E">
              <w:rPr>
                <w:b/>
                <w:sz w:val="22"/>
                <w:szCs w:val="22"/>
              </w:rPr>
              <w:t>COMERCIO EXTERIOR DE MÉXICO</w:t>
            </w:r>
          </w:p>
          <w:p w:rsidR="0089502E" w:rsidRPr="0089502E" w:rsidRDefault="0089502E" w:rsidP="0089502E">
            <w:pPr>
              <w:widowControl w:val="0"/>
              <w:adjustRightInd w:val="0"/>
              <w:jc w:val="center"/>
              <w:textAlignment w:val="baseline"/>
              <w:rPr>
                <w:b/>
                <w:sz w:val="22"/>
                <w:szCs w:val="22"/>
              </w:rPr>
            </w:pPr>
            <w:r w:rsidRPr="0089502E">
              <w:rPr>
                <w:b/>
                <w:sz w:val="22"/>
                <w:szCs w:val="22"/>
              </w:rPr>
              <w:t>Enero</w:t>
            </w:r>
          </w:p>
          <w:p w:rsidR="0089502E" w:rsidRPr="0089502E" w:rsidRDefault="0089502E" w:rsidP="0089502E">
            <w:pPr>
              <w:widowControl w:val="0"/>
              <w:adjustRightInd w:val="0"/>
              <w:jc w:val="center"/>
              <w:textAlignment w:val="baseline"/>
              <w:rPr>
                <w:b/>
                <w:sz w:val="22"/>
                <w:szCs w:val="22"/>
              </w:rPr>
            </w:pPr>
            <w:r w:rsidRPr="0089502E">
              <w:rPr>
                <w:b/>
                <w:sz w:val="22"/>
                <w:szCs w:val="22"/>
              </w:rPr>
              <w:t>2013-2015</w:t>
            </w:r>
          </w:p>
          <w:p w:rsidR="0089502E" w:rsidRPr="0089502E" w:rsidRDefault="0089502E" w:rsidP="0089502E">
            <w:pPr>
              <w:widowControl w:val="0"/>
              <w:adjustRightInd w:val="0"/>
              <w:spacing w:after="120"/>
              <w:jc w:val="center"/>
              <w:textAlignment w:val="baseline"/>
              <w:rPr>
                <w:b/>
                <w:sz w:val="22"/>
                <w:szCs w:val="22"/>
              </w:rPr>
            </w:pPr>
            <w:r w:rsidRPr="0089502E">
              <w:rPr>
                <w:b/>
                <w:sz w:val="22"/>
                <w:szCs w:val="22"/>
              </w:rPr>
              <w:t>-Millones de dólares-</w:t>
            </w:r>
          </w:p>
        </w:tc>
      </w:tr>
      <w:tr w:rsidR="0089502E" w:rsidRPr="0089502E" w:rsidTr="00DA1492">
        <w:trPr>
          <w:jc w:val="right"/>
        </w:trPr>
        <w:tc>
          <w:tcPr>
            <w:tcW w:w="2281" w:type="dxa"/>
            <w:vMerge w:val="restart"/>
            <w:tcBorders>
              <w:top w:val="single" w:sz="4" w:space="0" w:color="auto"/>
              <w:left w:val="single" w:sz="4" w:space="0" w:color="auto"/>
              <w:right w:val="nil"/>
            </w:tcBorders>
            <w:vAlign w:val="center"/>
          </w:tcPr>
          <w:p w:rsidR="0089502E" w:rsidRPr="0089502E" w:rsidRDefault="0089502E" w:rsidP="0089502E">
            <w:pPr>
              <w:widowControl w:val="0"/>
              <w:adjustRightInd w:val="0"/>
              <w:jc w:val="center"/>
              <w:textAlignment w:val="baseline"/>
              <w:rPr>
                <w:b/>
                <w:sz w:val="20"/>
                <w:szCs w:val="20"/>
              </w:rPr>
            </w:pPr>
            <w:bookmarkStart w:id="10" w:name="_Hlk267652580"/>
            <w:r w:rsidRPr="0089502E">
              <w:rPr>
                <w:b/>
                <w:sz w:val="20"/>
                <w:szCs w:val="20"/>
              </w:rPr>
              <w:t>Concepto</w:t>
            </w:r>
          </w:p>
        </w:tc>
        <w:tc>
          <w:tcPr>
            <w:tcW w:w="1550" w:type="dxa"/>
            <w:tcBorders>
              <w:top w:val="single" w:sz="4" w:space="0" w:color="auto"/>
              <w:left w:val="nil"/>
              <w:bottom w:val="nil"/>
              <w:right w:val="nil"/>
            </w:tcBorders>
          </w:tcPr>
          <w:p w:rsidR="0089502E" w:rsidRPr="0089502E" w:rsidRDefault="0089502E" w:rsidP="0089502E">
            <w:pPr>
              <w:widowControl w:val="0"/>
              <w:adjustRightInd w:val="0"/>
              <w:jc w:val="center"/>
              <w:textAlignment w:val="baseline"/>
              <w:rPr>
                <w:b/>
                <w:sz w:val="20"/>
                <w:szCs w:val="20"/>
              </w:rPr>
            </w:pPr>
            <w:r w:rsidRPr="0089502E">
              <w:rPr>
                <w:b/>
                <w:sz w:val="20"/>
                <w:szCs w:val="20"/>
              </w:rPr>
              <w:t>2013</w:t>
            </w:r>
          </w:p>
        </w:tc>
        <w:tc>
          <w:tcPr>
            <w:tcW w:w="1172" w:type="dxa"/>
            <w:tcBorders>
              <w:top w:val="single" w:sz="4" w:space="0" w:color="auto"/>
              <w:left w:val="nil"/>
              <w:bottom w:val="nil"/>
              <w:right w:val="nil"/>
            </w:tcBorders>
          </w:tcPr>
          <w:p w:rsidR="0089502E" w:rsidRPr="0089502E" w:rsidRDefault="0089502E" w:rsidP="0089502E">
            <w:pPr>
              <w:widowControl w:val="0"/>
              <w:adjustRightInd w:val="0"/>
              <w:jc w:val="center"/>
              <w:textAlignment w:val="baseline"/>
              <w:rPr>
                <w:b/>
                <w:sz w:val="20"/>
                <w:szCs w:val="20"/>
              </w:rPr>
            </w:pPr>
            <w:r w:rsidRPr="0089502E">
              <w:rPr>
                <w:b/>
                <w:sz w:val="20"/>
                <w:szCs w:val="20"/>
              </w:rPr>
              <w:t>2014</w:t>
            </w:r>
          </w:p>
        </w:tc>
        <w:tc>
          <w:tcPr>
            <w:tcW w:w="1247" w:type="dxa"/>
            <w:gridSpan w:val="2"/>
            <w:tcBorders>
              <w:top w:val="single" w:sz="4" w:space="0" w:color="auto"/>
              <w:left w:val="nil"/>
              <w:bottom w:val="nil"/>
              <w:right w:val="nil"/>
            </w:tcBorders>
          </w:tcPr>
          <w:p w:rsidR="0089502E" w:rsidRPr="0089502E" w:rsidRDefault="0089502E" w:rsidP="0089502E">
            <w:pPr>
              <w:widowControl w:val="0"/>
              <w:adjustRightInd w:val="0"/>
              <w:jc w:val="center"/>
              <w:textAlignment w:val="baseline"/>
              <w:rPr>
                <w:b/>
                <w:sz w:val="20"/>
                <w:szCs w:val="20"/>
              </w:rPr>
            </w:pPr>
            <w:r w:rsidRPr="0089502E">
              <w:rPr>
                <w:b/>
                <w:sz w:val="20"/>
                <w:szCs w:val="20"/>
              </w:rPr>
              <w:t>2015</w:t>
            </w:r>
          </w:p>
        </w:tc>
        <w:tc>
          <w:tcPr>
            <w:tcW w:w="1275" w:type="dxa"/>
            <w:tcBorders>
              <w:top w:val="single" w:sz="4" w:space="0" w:color="auto"/>
              <w:left w:val="nil"/>
              <w:bottom w:val="nil"/>
              <w:right w:val="nil"/>
            </w:tcBorders>
          </w:tcPr>
          <w:p w:rsidR="0089502E" w:rsidRPr="0089502E" w:rsidRDefault="0089502E" w:rsidP="0089502E">
            <w:pPr>
              <w:widowControl w:val="0"/>
              <w:adjustRightInd w:val="0"/>
              <w:ind w:right="-57"/>
              <w:jc w:val="center"/>
              <w:textAlignment w:val="baseline"/>
              <w:rPr>
                <w:b/>
                <w:sz w:val="20"/>
                <w:szCs w:val="20"/>
              </w:rPr>
            </w:pPr>
            <w:r w:rsidRPr="0089502E">
              <w:rPr>
                <w:b/>
                <w:sz w:val="20"/>
                <w:szCs w:val="20"/>
              </w:rPr>
              <w:t>Variación %</w:t>
            </w:r>
          </w:p>
        </w:tc>
        <w:tc>
          <w:tcPr>
            <w:tcW w:w="1418" w:type="dxa"/>
            <w:tcBorders>
              <w:top w:val="single" w:sz="4" w:space="0" w:color="auto"/>
              <w:left w:val="nil"/>
              <w:bottom w:val="nil"/>
              <w:right w:val="single" w:sz="4" w:space="0" w:color="auto"/>
            </w:tcBorders>
          </w:tcPr>
          <w:p w:rsidR="0089502E" w:rsidRPr="0089502E" w:rsidRDefault="0089502E" w:rsidP="0089502E">
            <w:pPr>
              <w:widowControl w:val="0"/>
              <w:adjustRightInd w:val="0"/>
              <w:ind w:right="-57"/>
              <w:jc w:val="center"/>
              <w:textAlignment w:val="baseline"/>
              <w:rPr>
                <w:b/>
                <w:sz w:val="20"/>
                <w:szCs w:val="20"/>
              </w:rPr>
            </w:pPr>
            <w:r w:rsidRPr="0089502E">
              <w:rPr>
                <w:b/>
                <w:sz w:val="20"/>
                <w:szCs w:val="20"/>
              </w:rPr>
              <w:t>Estructura %</w:t>
            </w:r>
          </w:p>
        </w:tc>
      </w:tr>
      <w:tr w:rsidR="0089502E" w:rsidRPr="0089502E" w:rsidTr="00DA1492">
        <w:trPr>
          <w:jc w:val="right"/>
        </w:trPr>
        <w:tc>
          <w:tcPr>
            <w:tcW w:w="2281" w:type="dxa"/>
            <w:vMerge/>
            <w:tcBorders>
              <w:left w:val="single" w:sz="4" w:space="0" w:color="auto"/>
              <w:bottom w:val="single" w:sz="4" w:space="0" w:color="auto"/>
              <w:right w:val="nil"/>
            </w:tcBorders>
          </w:tcPr>
          <w:p w:rsidR="0089502E" w:rsidRPr="0089502E" w:rsidRDefault="0089502E" w:rsidP="0089502E">
            <w:pPr>
              <w:widowControl w:val="0"/>
              <w:adjustRightInd w:val="0"/>
              <w:jc w:val="center"/>
              <w:textAlignment w:val="baseline"/>
              <w:rPr>
                <w:b/>
                <w:sz w:val="20"/>
                <w:szCs w:val="20"/>
              </w:rPr>
            </w:pPr>
          </w:p>
        </w:tc>
        <w:tc>
          <w:tcPr>
            <w:tcW w:w="1550" w:type="dxa"/>
            <w:tcBorders>
              <w:top w:val="nil"/>
              <w:left w:val="nil"/>
              <w:bottom w:val="single" w:sz="4" w:space="0" w:color="auto"/>
              <w:right w:val="nil"/>
            </w:tcBorders>
          </w:tcPr>
          <w:p w:rsidR="0089502E" w:rsidRPr="0089502E" w:rsidRDefault="0089502E" w:rsidP="0089502E">
            <w:pPr>
              <w:widowControl w:val="0"/>
              <w:adjustRightInd w:val="0"/>
              <w:ind w:left="170" w:right="113"/>
              <w:jc w:val="center"/>
              <w:textAlignment w:val="baseline"/>
              <w:rPr>
                <w:b/>
                <w:sz w:val="20"/>
                <w:szCs w:val="20"/>
              </w:rPr>
            </w:pPr>
            <w:r w:rsidRPr="0089502E">
              <w:rPr>
                <w:b/>
                <w:sz w:val="20"/>
                <w:szCs w:val="20"/>
              </w:rPr>
              <w:t>(a)</w:t>
            </w:r>
          </w:p>
        </w:tc>
        <w:tc>
          <w:tcPr>
            <w:tcW w:w="1172" w:type="dxa"/>
            <w:tcBorders>
              <w:top w:val="nil"/>
              <w:left w:val="nil"/>
              <w:bottom w:val="single" w:sz="4" w:space="0" w:color="auto"/>
              <w:right w:val="nil"/>
            </w:tcBorders>
          </w:tcPr>
          <w:p w:rsidR="0089502E" w:rsidRPr="0089502E" w:rsidRDefault="0089502E" w:rsidP="0089502E">
            <w:pPr>
              <w:widowControl w:val="0"/>
              <w:adjustRightInd w:val="0"/>
              <w:jc w:val="center"/>
              <w:textAlignment w:val="baseline"/>
              <w:rPr>
                <w:b/>
                <w:sz w:val="20"/>
                <w:szCs w:val="20"/>
              </w:rPr>
            </w:pPr>
            <w:r w:rsidRPr="0089502E">
              <w:rPr>
                <w:b/>
                <w:sz w:val="20"/>
                <w:szCs w:val="20"/>
              </w:rPr>
              <w:t>(b)</w:t>
            </w:r>
          </w:p>
        </w:tc>
        <w:tc>
          <w:tcPr>
            <w:tcW w:w="1247" w:type="dxa"/>
            <w:gridSpan w:val="2"/>
            <w:tcBorders>
              <w:top w:val="nil"/>
              <w:left w:val="nil"/>
              <w:bottom w:val="single" w:sz="4" w:space="0" w:color="auto"/>
              <w:right w:val="nil"/>
            </w:tcBorders>
          </w:tcPr>
          <w:p w:rsidR="0089502E" w:rsidRPr="0089502E" w:rsidRDefault="0089502E" w:rsidP="0089502E">
            <w:pPr>
              <w:widowControl w:val="0"/>
              <w:adjustRightInd w:val="0"/>
              <w:jc w:val="center"/>
              <w:textAlignment w:val="baseline"/>
              <w:rPr>
                <w:b/>
                <w:sz w:val="20"/>
                <w:szCs w:val="20"/>
              </w:rPr>
            </w:pPr>
            <w:r w:rsidRPr="0089502E">
              <w:rPr>
                <w:b/>
                <w:sz w:val="20"/>
                <w:szCs w:val="20"/>
              </w:rPr>
              <w:t>(c)</w:t>
            </w:r>
          </w:p>
        </w:tc>
        <w:tc>
          <w:tcPr>
            <w:tcW w:w="1275" w:type="dxa"/>
            <w:tcBorders>
              <w:top w:val="nil"/>
              <w:left w:val="nil"/>
              <w:bottom w:val="single" w:sz="4" w:space="0" w:color="auto"/>
              <w:right w:val="nil"/>
            </w:tcBorders>
          </w:tcPr>
          <w:p w:rsidR="0089502E" w:rsidRPr="0089502E" w:rsidRDefault="0089502E" w:rsidP="0089502E">
            <w:pPr>
              <w:widowControl w:val="0"/>
              <w:adjustRightInd w:val="0"/>
              <w:jc w:val="center"/>
              <w:textAlignment w:val="baseline"/>
              <w:rPr>
                <w:b/>
                <w:sz w:val="20"/>
                <w:szCs w:val="20"/>
              </w:rPr>
            </w:pPr>
            <w:r w:rsidRPr="0089502E">
              <w:rPr>
                <w:b/>
                <w:sz w:val="20"/>
                <w:szCs w:val="20"/>
              </w:rPr>
              <w:t>(c/b)</w:t>
            </w:r>
          </w:p>
        </w:tc>
        <w:tc>
          <w:tcPr>
            <w:tcW w:w="1418" w:type="dxa"/>
            <w:tcBorders>
              <w:top w:val="nil"/>
              <w:left w:val="nil"/>
              <w:bottom w:val="single" w:sz="4" w:space="0" w:color="auto"/>
              <w:right w:val="single" w:sz="4" w:space="0" w:color="auto"/>
            </w:tcBorders>
          </w:tcPr>
          <w:p w:rsidR="0089502E" w:rsidRPr="0089502E" w:rsidRDefault="0089502E" w:rsidP="0089502E">
            <w:pPr>
              <w:widowControl w:val="0"/>
              <w:adjustRightInd w:val="0"/>
              <w:jc w:val="center"/>
              <w:textAlignment w:val="baseline"/>
              <w:rPr>
                <w:b/>
                <w:sz w:val="20"/>
                <w:szCs w:val="20"/>
              </w:rPr>
            </w:pPr>
            <w:r w:rsidRPr="0089502E">
              <w:rPr>
                <w:b/>
                <w:sz w:val="20"/>
                <w:szCs w:val="20"/>
              </w:rPr>
              <w:t>2014</w:t>
            </w:r>
          </w:p>
        </w:tc>
      </w:tr>
      <w:tr w:rsidR="0089502E" w:rsidRPr="0089502E" w:rsidTr="00DA1492">
        <w:trPr>
          <w:jc w:val="right"/>
        </w:trPr>
        <w:tc>
          <w:tcPr>
            <w:tcW w:w="2281" w:type="dxa"/>
            <w:tcBorders>
              <w:top w:val="single" w:sz="4" w:space="0" w:color="auto"/>
              <w:left w:val="single" w:sz="4" w:space="0" w:color="auto"/>
              <w:bottom w:val="nil"/>
              <w:right w:val="nil"/>
            </w:tcBorders>
          </w:tcPr>
          <w:p w:rsidR="0089502E" w:rsidRPr="0089502E" w:rsidRDefault="0089502E" w:rsidP="0089502E">
            <w:pPr>
              <w:widowControl w:val="0"/>
              <w:adjustRightInd w:val="0"/>
              <w:textAlignment w:val="baseline"/>
              <w:rPr>
                <w:b/>
                <w:bCs/>
                <w:sz w:val="20"/>
                <w:szCs w:val="20"/>
              </w:rPr>
            </w:pPr>
            <w:bookmarkStart w:id="11" w:name="_Hlk255918650"/>
            <w:bookmarkEnd w:id="10"/>
            <w:r w:rsidRPr="0089502E">
              <w:rPr>
                <w:b/>
                <w:bCs/>
                <w:sz w:val="20"/>
                <w:szCs w:val="20"/>
              </w:rPr>
              <w:t>SALDO COMERCIAL (Incluye maquila)</w:t>
            </w:r>
          </w:p>
        </w:tc>
        <w:tc>
          <w:tcPr>
            <w:tcW w:w="1550" w:type="dxa"/>
            <w:tcBorders>
              <w:top w:val="single" w:sz="4" w:space="0" w:color="auto"/>
              <w:left w:val="nil"/>
              <w:bottom w:val="nil"/>
              <w:right w:val="nil"/>
            </w:tcBorders>
            <w:vAlign w:val="center"/>
          </w:tcPr>
          <w:p w:rsidR="0089502E" w:rsidRPr="0089502E" w:rsidRDefault="0089502E" w:rsidP="0089502E">
            <w:pPr>
              <w:widowControl w:val="0"/>
              <w:adjustRightInd w:val="0"/>
              <w:ind w:left="170" w:right="113"/>
              <w:contextualSpacing/>
              <w:jc w:val="right"/>
              <w:textAlignment w:val="baseline"/>
              <w:rPr>
                <w:b/>
                <w:bCs/>
                <w:sz w:val="20"/>
                <w:szCs w:val="20"/>
              </w:rPr>
            </w:pPr>
            <w:r w:rsidRPr="0089502E">
              <w:rPr>
                <w:b/>
                <w:bCs/>
                <w:sz w:val="20"/>
                <w:szCs w:val="20"/>
              </w:rPr>
              <w:t>-2 854.4</w:t>
            </w:r>
          </w:p>
        </w:tc>
        <w:tc>
          <w:tcPr>
            <w:tcW w:w="1285" w:type="dxa"/>
            <w:gridSpan w:val="2"/>
            <w:tcBorders>
              <w:top w:val="single" w:sz="4" w:space="0" w:color="auto"/>
              <w:left w:val="nil"/>
              <w:bottom w:val="nil"/>
              <w:right w:val="nil"/>
            </w:tcBorders>
            <w:vAlign w:val="center"/>
          </w:tcPr>
          <w:p w:rsidR="0089502E" w:rsidRPr="0089502E" w:rsidRDefault="0089502E" w:rsidP="0089502E">
            <w:pPr>
              <w:widowControl w:val="0"/>
              <w:adjustRightInd w:val="0"/>
              <w:ind w:left="-57" w:right="113"/>
              <w:jc w:val="right"/>
              <w:textAlignment w:val="baseline"/>
              <w:rPr>
                <w:b/>
                <w:bCs/>
                <w:sz w:val="20"/>
                <w:szCs w:val="20"/>
              </w:rPr>
            </w:pPr>
            <w:r w:rsidRPr="0089502E">
              <w:rPr>
                <w:b/>
                <w:bCs/>
                <w:sz w:val="20"/>
                <w:szCs w:val="20"/>
              </w:rPr>
              <w:t>-3 181.6</w:t>
            </w:r>
          </w:p>
        </w:tc>
        <w:tc>
          <w:tcPr>
            <w:tcW w:w="1134" w:type="dxa"/>
            <w:tcBorders>
              <w:top w:val="single" w:sz="4" w:space="0" w:color="auto"/>
              <w:left w:val="nil"/>
              <w:bottom w:val="nil"/>
              <w:right w:val="nil"/>
            </w:tcBorders>
            <w:vAlign w:val="center"/>
          </w:tcPr>
          <w:p w:rsidR="0089502E" w:rsidRPr="0089502E" w:rsidRDefault="0089502E" w:rsidP="0089502E">
            <w:pPr>
              <w:widowControl w:val="0"/>
              <w:adjustRightInd w:val="0"/>
              <w:ind w:right="113"/>
              <w:jc w:val="right"/>
              <w:textAlignment w:val="baseline"/>
              <w:rPr>
                <w:b/>
                <w:bCs/>
                <w:sz w:val="20"/>
                <w:szCs w:val="20"/>
              </w:rPr>
            </w:pPr>
            <w:r w:rsidRPr="0089502E">
              <w:rPr>
                <w:b/>
                <w:bCs/>
                <w:sz w:val="20"/>
                <w:szCs w:val="20"/>
              </w:rPr>
              <w:t>-3 247.5</w:t>
            </w:r>
          </w:p>
        </w:tc>
        <w:tc>
          <w:tcPr>
            <w:tcW w:w="1275" w:type="dxa"/>
            <w:tcBorders>
              <w:top w:val="single" w:sz="4" w:space="0" w:color="auto"/>
              <w:left w:val="nil"/>
              <w:bottom w:val="nil"/>
              <w:right w:val="nil"/>
            </w:tcBorders>
            <w:vAlign w:val="center"/>
          </w:tcPr>
          <w:p w:rsidR="0089502E" w:rsidRPr="0089502E" w:rsidRDefault="0089502E" w:rsidP="0089502E">
            <w:pPr>
              <w:widowControl w:val="0"/>
              <w:adjustRightInd w:val="0"/>
              <w:ind w:right="397"/>
              <w:jc w:val="right"/>
              <w:textAlignment w:val="baseline"/>
              <w:rPr>
                <w:b/>
                <w:bCs/>
                <w:sz w:val="20"/>
                <w:szCs w:val="20"/>
              </w:rPr>
            </w:pPr>
            <w:r w:rsidRPr="0089502E">
              <w:rPr>
                <w:b/>
                <w:bCs/>
                <w:sz w:val="20"/>
                <w:szCs w:val="20"/>
              </w:rPr>
              <w:t>2.1</w:t>
            </w:r>
          </w:p>
        </w:tc>
        <w:tc>
          <w:tcPr>
            <w:tcW w:w="1418" w:type="dxa"/>
            <w:tcBorders>
              <w:top w:val="single" w:sz="4" w:space="0" w:color="auto"/>
              <w:left w:val="nil"/>
              <w:bottom w:val="nil"/>
              <w:right w:val="single" w:sz="4" w:space="0" w:color="auto"/>
            </w:tcBorders>
            <w:vAlign w:val="center"/>
          </w:tcPr>
          <w:p w:rsidR="0089502E" w:rsidRPr="0089502E" w:rsidRDefault="0089502E" w:rsidP="0089502E">
            <w:pPr>
              <w:widowControl w:val="0"/>
              <w:adjustRightInd w:val="0"/>
              <w:ind w:right="340"/>
              <w:jc w:val="right"/>
              <w:textAlignment w:val="baseline"/>
              <w:rPr>
                <w:b/>
                <w:bCs/>
                <w:sz w:val="20"/>
                <w:szCs w:val="20"/>
              </w:rPr>
            </w:pPr>
          </w:p>
        </w:tc>
      </w:tr>
      <w:bookmarkEnd w:id="11"/>
      <w:tr w:rsidR="0089502E" w:rsidRPr="0089502E" w:rsidTr="00DA1492">
        <w:trPr>
          <w:jc w:val="right"/>
        </w:trPr>
        <w:tc>
          <w:tcPr>
            <w:tcW w:w="2281" w:type="dxa"/>
            <w:tcBorders>
              <w:top w:val="nil"/>
              <w:left w:val="single" w:sz="4" w:space="0" w:color="auto"/>
              <w:bottom w:val="nil"/>
              <w:right w:val="nil"/>
            </w:tcBorders>
          </w:tcPr>
          <w:p w:rsidR="0089502E" w:rsidRPr="0089502E" w:rsidRDefault="0089502E" w:rsidP="0089502E">
            <w:pPr>
              <w:widowControl w:val="0"/>
              <w:adjustRightInd w:val="0"/>
              <w:textAlignment w:val="baseline"/>
              <w:rPr>
                <w:b/>
                <w:bCs/>
                <w:sz w:val="20"/>
                <w:szCs w:val="20"/>
              </w:rPr>
            </w:pPr>
            <w:r w:rsidRPr="0089502E">
              <w:rPr>
                <w:b/>
                <w:bCs/>
                <w:sz w:val="20"/>
                <w:szCs w:val="20"/>
              </w:rPr>
              <w:t>EXPORTACIONES TOTALES</w:t>
            </w:r>
          </w:p>
        </w:tc>
        <w:tc>
          <w:tcPr>
            <w:tcW w:w="1550" w:type="dxa"/>
            <w:tcBorders>
              <w:top w:val="nil"/>
              <w:left w:val="nil"/>
              <w:bottom w:val="nil"/>
              <w:right w:val="nil"/>
            </w:tcBorders>
            <w:vAlign w:val="center"/>
          </w:tcPr>
          <w:p w:rsidR="0089502E" w:rsidRPr="0089502E" w:rsidRDefault="0089502E" w:rsidP="0089502E">
            <w:pPr>
              <w:widowControl w:val="0"/>
              <w:adjustRightInd w:val="0"/>
              <w:ind w:left="170" w:right="113"/>
              <w:contextualSpacing/>
              <w:jc w:val="right"/>
              <w:textAlignment w:val="baseline"/>
              <w:rPr>
                <w:b/>
                <w:bCs/>
                <w:sz w:val="20"/>
                <w:szCs w:val="20"/>
              </w:rPr>
            </w:pPr>
            <w:r w:rsidRPr="0089502E">
              <w:rPr>
                <w:b/>
                <w:bCs/>
                <w:sz w:val="20"/>
                <w:szCs w:val="20"/>
              </w:rPr>
              <w:t>27 298.5</w:t>
            </w:r>
          </w:p>
        </w:tc>
        <w:tc>
          <w:tcPr>
            <w:tcW w:w="1285" w:type="dxa"/>
            <w:gridSpan w:val="2"/>
            <w:tcBorders>
              <w:top w:val="nil"/>
              <w:left w:val="nil"/>
              <w:bottom w:val="nil"/>
              <w:right w:val="nil"/>
            </w:tcBorders>
            <w:vAlign w:val="center"/>
          </w:tcPr>
          <w:p w:rsidR="0089502E" w:rsidRPr="0089502E" w:rsidRDefault="0089502E" w:rsidP="0089502E">
            <w:pPr>
              <w:widowControl w:val="0"/>
              <w:adjustRightInd w:val="0"/>
              <w:ind w:left="-57" w:right="113"/>
              <w:jc w:val="right"/>
              <w:textAlignment w:val="baseline"/>
              <w:rPr>
                <w:b/>
                <w:bCs/>
                <w:sz w:val="20"/>
                <w:szCs w:val="20"/>
              </w:rPr>
            </w:pPr>
            <w:r w:rsidRPr="0089502E">
              <w:rPr>
                <w:b/>
                <w:bCs/>
                <w:sz w:val="20"/>
                <w:szCs w:val="20"/>
              </w:rPr>
              <w:t>27 052.0</w:t>
            </w:r>
          </w:p>
        </w:tc>
        <w:tc>
          <w:tcPr>
            <w:tcW w:w="1134" w:type="dxa"/>
            <w:tcBorders>
              <w:top w:val="nil"/>
              <w:left w:val="nil"/>
              <w:bottom w:val="nil"/>
              <w:right w:val="nil"/>
            </w:tcBorders>
            <w:vAlign w:val="center"/>
          </w:tcPr>
          <w:p w:rsidR="0089502E" w:rsidRPr="0089502E" w:rsidRDefault="0089502E" w:rsidP="0089502E">
            <w:pPr>
              <w:widowControl w:val="0"/>
              <w:adjustRightInd w:val="0"/>
              <w:ind w:right="113"/>
              <w:jc w:val="right"/>
              <w:textAlignment w:val="baseline"/>
              <w:rPr>
                <w:b/>
                <w:bCs/>
                <w:sz w:val="20"/>
                <w:szCs w:val="20"/>
              </w:rPr>
            </w:pPr>
            <w:r w:rsidRPr="0089502E">
              <w:rPr>
                <w:b/>
                <w:bCs/>
                <w:sz w:val="20"/>
                <w:szCs w:val="20"/>
              </w:rPr>
              <w:t>26 568.4</w:t>
            </w:r>
          </w:p>
        </w:tc>
        <w:tc>
          <w:tcPr>
            <w:tcW w:w="1275" w:type="dxa"/>
            <w:tcBorders>
              <w:top w:val="nil"/>
              <w:left w:val="nil"/>
              <w:bottom w:val="nil"/>
              <w:right w:val="nil"/>
            </w:tcBorders>
            <w:vAlign w:val="center"/>
          </w:tcPr>
          <w:p w:rsidR="0089502E" w:rsidRPr="0089502E" w:rsidRDefault="0089502E" w:rsidP="0089502E">
            <w:pPr>
              <w:widowControl w:val="0"/>
              <w:adjustRightInd w:val="0"/>
              <w:ind w:right="397"/>
              <w:jc w:val="right"/>
              <w:textAlignment w:val="baseline"/>
              <w:rPr>
                <w:b/>
                <w:bCs/>
                <w:sz w:val="20"/>
                <w:szCs w:val="20"/>
              </w:rPr>
            </w:pPr>
            <w:r w:rsidRPr="0089502E">
              <w:rPr>
                <w:b/>
                <w:bCs/>
                <w:sz w:val="20"/>
                <w:szCs w:val="20"/>
              </w:rPr>
              <w:t>-1.8</w:t>
            </w:r>
          </w:p>
        </w:tc>
        <w:tc>
          <w:tcPr>
            <w:tcW w:w="1418" w:type="dxa"/>
            <w:tcBorders>
              <w:top w:val="nil"/>
              <w:left w:val="nil"/>
              <w:bottom w:val="nil"/>
              <w:right w:val="single" w:sz="4" w:space="0" w:color="auto"/>
            </w:tcBorders>
            <w:vAlign w:val="center"/>
          </w:tcPr>
          <w:p w:rsidR="0089502E" w:rsidRPr="0089502E" w:rsidRDefault="0089502E" w:rsidP="0089502E">
            <w:pPr>
              <w:widowControl w:val="0"/>
              <w:adjustRightInd w:val="0"/>
              <w:ind w:right="340"/>
              <w:jc w:val="right"/>
              <w:textAlignment w:val="baseline"/>
              <w:rPr>
                <w:b/>
                <w:bCs/>
                <w:sz w:val="20"/>
                <w:szCs w:val="20"/>
              </w:rPr>
            </w:pPr>
            <w:r w:rsidRPr="0089502E">
              <w:rPr>
                <w:b/>
                <w:bCs/>
                <w:sz w:val="20"/>
                <w:szCs w:val="20"/>
              </w:rPr>
              <w:t>100.0</w:t>
            </w:r>
          </w:p>
        </w:tc>
      </w:tr>
      <w:tr w:rsidR="0089502E" w:rsidRPr="0089502E" w:rsidTr="00DA1492">
        <w:trPr>
          <w:jc w:val="right"/>
        </w:trPr>
        <w:tc>
          <w:tcPr>
            <w:tcW w:w="2281" w:type="dxa"/>
            <w:tcBorders>
              <w:top w:val="nil"/>
              <w:left w:val="single" w:sz="4" w:space="0" w:color="auto"/>
              <w:bottom w:val="nil"/>
              <w:right w:val="nil"/>
            </w:tcBorders>
          </w:tcPr>
          <w:p w:rsidR="0089502E" w:rsidRPr="0089502E" w:rsidRDefault="0089502E" w:rsidP="0089502E">
            <w:pPr>
              <w:widowControl w:val="0"/>
              <w:adjustRightInd w:val="0"/>
              <w:textAlignment w:val="baseline"/>
              <w:rPr>
                <w:sz w:val="20"/>
                <w:szCs w:val="20"/>
              </w:rPr>
            </w:pPr>
            <w:r w:rsidRPr="0089502E">
              <w:rPr>
                <w:sz w:val="20"/>
                <w:szCs w:val="20"/>
              </w:rPr>
              <w:t xml:space="preserve">   Petroleras</w:t>
            </w:r>
          </w:p>
        </w:tc>
        <w:tc>
          <w:tcPr>
            <w:tcW w:w="1550" w:type="dxa"/>
            <w:tcBorders>
              <w:top w:val="nil"/>
              <w:left w:val="nil"/>
              <w:bottom w:val="nil"/>
              <w:right w:val="nil"/>
            </w:tcBorders>
            <w:vAlign w:val="center"/>
          </w:tcPr>
          <w:p w:rsidR="0089502E" w:rsidRPr="0089502E" w:rsidRDefault="0089502E" w:rsidP="0089502E">
            <w:pPr>
              <w:widowControl w:val="0"/>
              <w:adjustRightInd w:val="0"/>
              <w:ind w:left="170" w:right="113"/>
              <w:jc w:val="right"/>
              <w:textAlignment w:val="baseline"/>
              <w:rPr>
                <w:b/>
                <w:bCs/>
                <w:sz w:val="20"/>
                <w:szCs w:val="20"/>
              </w:rPr>
            </w:pPr>
            <w:r w:rsidRPr="0089502E">
              <w:rPr>
                <w:b/>
                <w:bCs/>
                <w:sz w:val="20"/>
                <w:szCs w:val="20"/>
              </w:rPr>
              <w:t>4 549.4</w:t>
            </w:r>
          </w:p>
        </w:tc>
        <w:tc>
          <w:tcPr>
            <w:tcW w:w="1285" w:type="dxa"/>
            <w:gridSpan w:val="2"/>
            <w:tcBorders>
              <w:top w:val="nil"/>
              <w:left w:val="nil"/>
              <w:bottom w:val="nil"/>
              <w:right w:val="nil"/>
            </w:tcBorders>
            <w:vAlign w:val="center"/>
          </w:tcPr>
          <w:p w:rsidR="0089502E" w:rsidRPr="0089502E" w:rsidRDefault="0089502E" w:rsidP="0089502E">
            <w:pPr>
              <w:widowControl w:val="0"/>
              <w:adjustRightInd w:val="0"/>
              <w:ind w:left="-57" w:right="113"/>
              <w:jc w:val="right"/>
              <w:textAlignment w:val="baseline"/>
              <w:rPr>
                <w:b/>
                <w:bCs/>
                <w:sz w:val="20"/>
                <w:szCs w:val="20"/>
              </w:rPr>
            </w:pPr>
            <w:r w:rsidRPr="0089502E">
              <w:rPr>
                <w:b/>
                <w:bCs/>
                <w:sz w:val="20"/>
                <w:szCs w:val="20"/>
              </w:rPr>
              <w:t>3 827.5</w:t>
            </w:r>
          </w:p>
        </w:tc>
        <w:tc>
          <w:tcPr>
            <w:tcW w:w="1134" w:type="dxa"/>
            <w:tcBorders>
              <w:top w:val="nil"/>
              <w:left w:val="nil"/>
              <w:bottom w:val="nil"/>
              <w:right w:val="nil"/>
            </w:tcBorders>
            <w:vAlign w:val="center"/>
          </w:tcPr>
          <w:p w:rsidR="0089502E" w:rsidRPr="0089502E" w:rsidRDefault="0089502E" w:rsidP="0089502E">
            <w:pPr>
              <w:widowControl w:val="0"/>
              <w:adjustRightInd w:val="0"/>
              <w:ind w:right="113"/>
              <w:jc w:val="right"/>
              <w:textAlignment w:val="baseline"/>
              <w:rPr>
                <w:b/>
                <w:bCs/>
                <w:sz w:val="20"/>
                <w:szCs w:val="20"/>
              </w:rPr>
            </w:pPr>
            <w:r w:rsidRPr="0089502E">
              <w:rPr>
                <w:b/>
                <w:bCs/>
                <w:sz w:val="20"/>
                <w:szCs w:val="20"/>
              </w:rPr>
              <w:t>2 015.6</w:t>
            </w:r>
          </w:p>
        </w:tc>
        <w:tc>
          <w:tcPr>
            <w:tcW w:w="1275" w:type="dxa"/>
            <w:tcBorders>
              <w:top w:val="nil"/>
              <w:left w:val="nil"/>
              <w:bottom w:val="nil"/>
              <w:right w:val="nil"/>
            </w:tcBorders>
            <w:vAlign w:val="center"/>
          </w:tcPr>
          <w:p w:rsidR="0089502E" w:rsidRPr="0089502E" w:rsidRDefault="0089502E" w:rsidP="0089502E">
            <w:pPr>
              <w:widowControl w:val="0"/>
              <w:adjustRightInd w:val="0"/>
              <w:ind w:right="397"/>
              <w:jc w:val="right"/>
              <w:textAlignment w:val="baseline"/>
              <w:rPr>
                <w:b/>
                <w:bCs/>
                <w:sz w:val="20"/>
                <w:szCs w:val="20"/>
              </w:rPr>
            </w:pPr>
            <w:r w:rsidRPr="0089502E">
              <w:rPr>
                <w:b/>
                <w:bCs/>
                <w:sz w:val="20"/>
                <w:szCs w:val="20"/>
              </w:rPr>
              <w:t>-47.3</w:t>
            </w:r>
          </w:p>
        </w:tc>
        <w:tc>
          <w:tcPr>
            <w:tcW w:w="1418" w:type="dxa"/>
            <w:tcBorders>
              <w:top w:val="nil"/>
              <w:left w:val="nil"/>
              <w:bottom w:val="nil"/>
              <w:right w:val="single" w:sz="4" w:space="0" w:color="auto"/>
            </w:tcBorders>
          </w:tcPr>
          <w:p w:rsidR="0089502E" w:rsidRPr="0089502E" w:rsidRDefault="0089502E" w:rsidP="0089502E">
            <w:pPr>
              <w:widowControl w:val="0"/>
              <w:adjustRightInd w:val="0"/>
              <w:ind w:right="340"/>
              <w:jc w:val="right"/>
              <w:textAlignment w:val="baseline"/>
              <w:rPr>
                <w:sz w:val="20"/>
                <w:szCs w:val="20"/>
              </w:rPr>
            </w:pPr>
            <w:r w:rsidRPr="0089502E">
              <w:rPr>
                <w:sz w:val="20"/>
                <w:szCs w:val="20"/>
              </w:rPr>
              <w:t>7.6</w:t>
            </w:r>
          </w:p>
        </w:tc>
      </w:tr>
      <w:tr w:rsidR="0089502E" w:rsidRPr="0089502E" w:rsidTr="00DA1492">
        <w:trPr>
          <w:jc w:val="right"/>
        </w:trPr>
        <w:tc>
          <w:tcPr>
            <w:tcW w:w="2281" w:type="dxa"/>
            <w:tcBorders>
              <w:top w:val="nil"/>
              <w:left w:val="single" w:sz="4" w:space="0" w:color="auto"/>
              <w:bottom w:val="nil"/>
              <w:right w:val="nil"/>
            </w:tcBorders>
          </w:tcPr>
          <w:p w:rsidR="0089502E" w:rsidRPr="0089502E" w:rsidRDefault="0089502E" w:rsidP="0089502E">
            <w:pPr>
              <w:widowControl w:val="0"/>
              <w:adjustRightInd w:val="0"/>
              <w:textAlignment w:val="baseline"/>
              <w:rPr>
                <w:sz w:val="20"/>
                <w:szCs w:val="20"/>
              </w:rPr>
            </w:pPr>
            <w:r w:rsidRPr="0089502E">
              <w:rPr>
                <w:sz w:val="20"/>
                <w:szCs w:val="20"/>
              </w:rPr>
              <w:t xml:space="preserve">   No petroleras</w:t>
            </w:r>
          </w:p>
        </w:tc>
        <w:tc>
          <w:tcPr>
            <w:tcW w:w="1550" w:type="dxa"/>
            <w:tcBorders>
              <w:top w:val="nil"/>
              <w:left w:val="nil"/>
              <w:bottom w:val="nil"/>
              <w:right w:val="nil"/>
            </w:tcBorders>
          </w:tcPr>
          <w:p w:rsidR="0089502E" w:rsidRPr="0089502E" w:rsidRDefault="0089502E" w:rsidP="0089502E">
            <w:pPr>
              <w:widowControl w:val="0"/>
              <w:adjustRightInd w:val="0"/>
              <w:ind w:left="170" w:right="113"/>
              <w:jc w:val="right"/>
              <w:textAlignment w:val="baseline"/>
              <w:rPr>
                <w:sz w:val="20"/>
                <w:szCs w:val="20"/>
              </w:rPr>
            </w:pPr>
            <w:r w:rsidRPr="0089502E">
              <w:rPr>
                <w:sz w:val="20"/>
                <w:szCs w:val="20"/>
              </w:rPr>
              <w:t>22 749.1</w:t>
            </w:r>
          </w:p>
        </w:tc>
        <w:tc>
          <w:tcPr>
            <w:tcW w:w="1285" w:type="dxa"/>
            <w:gridSpan w:val="2"/>
            <w:tcBorders>
              <w:top w:val="nil"/>
              <w:left w:val="nil"/>
              <w:bottom w:val="nil"/>
              <w:right w:val="nil"/>
            </w:tcBorders>
          </w:tcPr>
          <w:p w:rsidR="0089502E" w:rsidRPr="0089502E" w:rsidRDefault="0089502E" w:rsidP="0089502E">
            <w:pPr>
              <w:widowControl w:val="0"/>
              <w:adjustRightInd w:val="0"/>
              <w:ind w:left="-57" w:right="113"/>
              <w:jc w:val="right"/>
              <w:textAlignment w:val="baseline"/>
              <w:rPr>
                <w:sz w:val="20"/>
                <w:szCs w:val="20"/>
              </w:rPr>
            </w:pPr>
            <w:r w:rsidRPr="0089502E">
              <w:rPr>
                <w:sz w:val="20"/>
                <w:szCs w:val="20"/>
              </w:rPr>
              <w:t>23 224.5</w:t>
            </w:r>
          </w:p>
        </w:tc>
        <w:tc>
          <w:tcPr>
            <w:tcW w:w="1134" w:type="dxa"/>
            <w:tcBorders>
              <w:top w:val="nil"/>
              <w:left w:val="nil"/>
              <w:bottom w:val="nil"/>
              <w:right w:val="nil"/>
            </w:tcBorders>
          </w:tcPr>
          <w:p w:rsidR="0089502E" w:rsidRPr="0089502E" w:rsidRDefault="0089502E" w:rsidP="0089502E">
            <w:pPr>
              <w:widowControl w:val="0"/>
              <w:adjustRightInd w:val="0"/>
              <w:ind w:right="113"/>
              <w:jc w:val="right"/>
              <w:textAlignment w:val="baseline"/>
              <w:rPr>
                <w:bCs/>
                <w:sz w:val="20"/>
                <w:szCs w:val="20"/>
              </w:rPr>
            </w:pPr>
            <w:r w:rsidRPr="0089502E">
              <w:rPr>
                <w:bCs/>
                <w:sz w:val="20"/>
                <w:szCs w:val="20"/>
              </w:rPr>
              <w:t>24 552.8</w:t>
            </w:r>
          </w:p>
        </w:tc>
        <w:tc>
          <w:tcPr>
            <w:tcW w:w="1275" w:type="dxa"/>
            <w:tcBorders>
              <w:top w:val="nil"/>
              <w:left w:val="nil"/>
              <w:bottom w:val="nil"/>
              <w:right w:val="nil"/>
            </w:tcBorders>
          </w:tcPr>
          <w:p w:rsidR="0089502E" w:rsidRPr="0089502E" w:rsidRDefault="0089502E" w:rsidP="0089502E">
            <w:pPr>
              <w:widowControl w:val="0"/>
              <w:adjustRightInd w:val="0"/>
              <w:ind w:right="397"/>
              <w:jc w:val="right"/>
              <w:textAlignment w:val="baseline"/>
              <w:rPr>
                <w:sz w:val="20"/>
                <w:szCs w:val="20"/>
              </w:rPr>
            </w:pPr>
            <w:r w:rsidRPr="0089502E">
              <w:rPr>
                <w:sz w:val="20"/>
                <w:szCs w:val="20"/>
              </w:rPr>
              <w:t>5.7</w:t>
            </w:r>
          </w:p>
        </w:tc>
        <w:tc>
          <w:tcPr>
            <w:tcW w:w="1418" w:type="dxa"/>
            <w:tcBorders>
              <w:top w:val="nil"/>
              <w:left w:val="nil"/>
              <w:bottom w:val="nil"/>
              <w:right w:val="single" w:sz="4" w:space="0" w:color="auto"/>
            </w:tcBorders>
          </w:tcPr>
          <w:p w:rsidR="0089502E" w:rsidRPr="0089502E" w:rsidRDefault="0089502E" w:rsidP="0089502E">
            <w:pPr>
              <w:widowControl w:val="0"/>
              <w:adjustRightInd w:val="0"/>
              <w:ind w:right="340"/>
              <w:jc w:val="right"/>
              <w:textAlignment w:val="baseline"/>
              <w:rPr>
                <w:sz w:val="20"/>
                <w:szCs w:val="20"/>
              </w:rPr>
            </w:pPr>
            <w:r w:rsidRPr="0089502E">
              <w:rPr>
                <w:sz w:val="20"/>
                <w:szCs w:val="20"/>
              </w:rPr>
              <w:t>92.4</w:t>
            </w:r>
          </w:p>
        </w:tc>
      </w:tr>
      <w:tr w:rsidR="0089502E" w:rsidRPr="0089502E" w:rsidTr="00DA1492">
        <w:trPr>
          <w:jc w:val="right"/>
        </w:trPr>
        <w:tc>
          <w:tcPr>
            <w:tcW w:w="2281" w:type="dxa"/>
            <w:tcBorders>
              <w:top w:val="nil"/>
              <w:left w:val="single" w:sz="4" w:space="0" w:color="auto"/>
              <w:bottom w:val="nil"/>
              <w:right w:val="nil"/>
            </w:tcBorders>
          </w:tcPr>
          <w:p w:rsidR="0089502E" w:rsidRPr="0089502E" w:rsidRDefault="0089502E" w:rsidP="0089502E">
            <w:pPr>
              <w:widowControl w:val="0"/>
              <w:adjustRightInd w:val="0"/>
              <w:textAlignment w:val="baseline"/>
              <w:rPr>
                <w:sz w:val="20"/>
                <w:szCs w:val="20"/>
              </w:rPr>
            </w:pPr>
            <w:r w:rsidRPr="0089502E">
              <w:rPr>
                <w:sz w:val="20"/>
                <w:szCs w:val="20"/>
              </w:rPr>
              <w:t xml:space="preserve">     Agropecuarias</w:t>
            </w:r>
          </w:p>
        </w:tc>
        <w:tc>
          <w:tcPr>
            <w:tcW w:w="1550" w:type="dxa"/>
            <w:tcBorders>
              <w:top w:val="nil"/>
              <w:left w:val="nil"/>
              <w:bottom w:val="nil"/>
              <w:right w:val="nil"/>
            </w:tcBorders>
          </w:tcPr>
          <w:p w:rsidR="0089502E" w:rsidRPr="0089502E" w:rsidRDefault="0089502E" w:rsidP="0089502E">
            <w:pPr>
              <w:widowControl w:val="0"/>
              <w:adjustRightInd w:val="0"/>
              <w:ind w:left="170" w:right="113"/>
              <w:jc w:val="right"/>
              <w:textAlignment w:val="baseline"/>
              <w:rPr>
                <w:sz w:val="20"/>
                <w:szCs w:val="20"/>
              </w:rPr>
            </w:pPr>
            <w:r w:rsidRPr="0089502E">
              <w:rPr>
                <w:sz w:val="20"/>
                <w:szCs w:val="20"/>
              </w:rPr>
              <w:t>990.1</w:t>
            </w:r>
          </w:p>
        </w:tc>
        <w:tc>
          <w:tcPr>
            <w:tcW w:w="1285" w:type="dxa"/>
            <w:gridSpan w:val="2"/>
            <w:tcBorders>
              <w:top w:val="nil"/>
              <w:left w:val="nil"/>
              <w:bottom w:val="nil"/>
              <w:right w:val="nil"/>
            </w:tcBorders>
          </w:tcPr>
          <w:p w:rsidR="0089502E" w:rsidRPr="0089502E" w:rsidRDefault="0089502E" w:rsidP="0089502E">
            <w:pPr>
              <w:widowControl w:val="0"/>
              <w:adjustRightInd w:val="0"/>
              <w:ind w:left="-57" w:right="113"/>
              <w:jc w:val="right"/>
              <w:textAlignment w:val="baseline"/>
              <w:rPr>
                <w:sz w:val="20"/>
                <w:szCs w:val="20"/>
              </w:rPr>
            </w:pPr>
            <w:r w:rsidRPr="0089502E">
              <w:rPr>
                <w:sz w:val="20"/>
                <w:szCs w:val="20"/>
              </w:rPr>
              <w:t>1 072.0</w:t>
            </w:r>
          </w:p>
        </w:tc>
        <w:tc>
          <w:tcPr>
            <w:tcW w:w="1134" w:type="dxa"/>
            <w:tcBorders>
              <w:top w:val="nil"/>
              <w:left w:val="nil"/>
              <w:bottom w:val="nil"/>
              <w:right w:val="nil"/>
            </w:tcBorders>
          </w:tcPr>
          <w:p w:rsidR="0089502E" w:rsidRPr="0089502E" w:rsidRDefault="0089502E" w:rsidP="0089502E">
            <w:pPr>
              <w:widowControl w:val="0"/>
              <w:adjustRightInd w:val="0"/>
              <w:ind w:right="113"/>
              <w:jc w:val="right"/>
              <w:textAlignment w:val="baseline"/>
              <w:rPr>
                <w:bCs/>
                <w:sz w:val="20"/>
                <w:szCs w:val="20"/>
              </w:rPr>
            </w:pPr>
            <w:r w:rsidRPr="0089502E">
              <w:rPr>
                <w:bCs/>
                <w:sz w:val="20"/>
                <w:szCs w:val="20"/>
              </w:rPr>
              <w:t>1 232.4</w:t>
            </w:r>
          </w:p>
        </w:tc>
        <w:tc>
          <w:tcPr>
            <w:tcW w:w="1275" w:type="dxa"/>
            <w:tcBorders>
              <w:top w:val="nil"/>
              <w:left w:val="nil"/>
              <w:bottom w:val="nil"/>
              <w:right w:val="nil"/>
            </w:tcBorders>
          </w:tcPr>
          <w:p w:rsidR="0089502E" w:rsidRPr="0089502E" w:rsidRDefault="0089502E" w:rsidP="0089502E">
            <w:pPr>
              <w:widowControl w:val="0"/>
              <w:adjustRightInd w:val="0"/>
              <w:ind w:right="397"/>
              <w:jc w:val="right"/>
              <w:textAlignment w:val="baseline"/>
              <w:rPr>
                <w:sz w:val="20"/>
                <w:szCs w:val="20"/>
              </w:rPr>
            </w:pPr>
            <w:r w:rsidRPr="0089502E">
              <w:rPr>
                <w:sz w:val="20"/>
                <w:szCs w:val="20"/>
              </w:rPr>
              <w:t>15.0</w:t>
            </w:r>
          </w:p>
        </w:tc>
        <w:tc>
          <w:tcPr>
            <w:tcW w:w="1418" w:type="dxa"/>
            <w:tcBorders>
              <w:top w:val="nil"/>
              <w:left w:val="nil"/>
              <w:bottom w:val="nil"/>
              <w:right w:val="single" w:sz="4" w:space="0" w:color="auto"/>
            </w:tcBorders>
          </w:tcPr>
          <w:p w:rsidR="0089502E" w:rsidRPr="0089502E" w:rsidRDefault="0089502E" w:rsidP="0089502E">
            <w:pPr>
              <w:widowControl w:val="0"/>
              <w:adjustRightInd w:val="0"/>
              <w:ind w:right="340"/>
              <w:jc w:val="right"/>
              <w:textAlignment w:val="baseline"/>
              <w:rPr>
                <w:sz w:val="20"/>
                <w:szCs w:val="20"/>
              </w:rPr>
            </w:pPr>
            <w:r w:rsidRPr="0089502E">
              <w:rPr>
                <w:sz w:val="20"/>
                <w:szCs w:val="20"/>
              </w:rPr>
              <w:t>4.6</w:t>
            </w:r>
          </w:p>
        </w:tc>
      </w:tr>
      <w:tr w:rsidR="0089502E" w:rsidRPr="0089502E" w:rsidTr="00DA1492">
        <w:trPr>
          <w:jc w:val="right"/>
        </w:trPr>
        <w:tc>
          <w:tcPr>
            <w:tcW w:w="2281" w:type="dxa"/>
            <w:tcBorders>
              <w:top w:val="nil"/>
              <w:left w:val="single" w:sz="4" w:space="0" w:color="auto"/>
              <w:bottom w:val="nil"/>
              <w:right w:val="nil"/>
            </w:tcBorders>
          </w:tcPr>
          <w:p w:rsidR="0089502E" w:rsidRPr="0089502E" w:rsidRDefault="0089502E" w:rsidP="0089502E">
            <w:pPr>
              <w:widowControl w:val="0"/>
              <w:adjustRightInd w:val="0"/>
              <w:textAlignment w:val="baseline"/>
              <w:rPr>
                <w:sz w:val="20"/>
                <w:szCs w:val="20"/>
              </w:rPr>
            </w:pPr>
            <w:r w:rsidRPr="0089502E">
              <w:rPr>
                <w:sz w:val="20"/>
                <w:szCs w:val="20"/>
              </w:rPr>
              <w:t xml:space="preserve">     Extractivas</w:t>
            </w:r>
          </w:p>
        </w:tc>
        <w:tc>
          <w:tcPr>
            <w:tcW w:w="1550" w:type="dxa"/>
            <w:tcBorders>
              <w:top w:val="nil"/>
              <w:left w:val="nil"/>
              <w:bottom w:val="nil"/>
              <w:right w:val="nil"/>
            </w:tcBorders>
          </w:tcPr>
          <w:p w:rsidR="0089502E" w:rsidRPr="0089502E" w:rsidRDefault="0089502E" w:rsidP="0089502E">
            <w:pPr>
              <w:widowControl w:val="0"/>
              <w:adjustRightInd w:val="0"/>
              <w:ind w:left="170" w:right="113"/>
              <w:jc w:val="right"/>
              <w:textAlignment w:val="baseline"/>
              <w:rPr>
                <w:sz w:val="20"/>
                <w:szCs w:val="20"/>
              </w:rPr>
            </w:pPr>
            <w:r w:rsidRPr="0089502E">
              <w:rPr>
                <w:sz w:val="20"/>
                <w:szCs w:val="20"/>
              </w:rPr>
              <w:t>288.7</w:t>
            </w:r>
          </w:p>
        </w:tc>
        <w:tc>
          <w:tcPr>
            <w:tcW w:w="1285" w:type="dxa"/>
            <w:gridSpan w:val="2"/>
            <w:tcBorders>
              <w:top w:val="nil"/>
              <w:left w:val="nil"/>
              <w:bottom w:val="nil"/>
              <w:right w:val="nil"/>
            </w:tcBorders>
          </w:tcPr>
          <w:p w:rsidR="0089502E" w:rsidRPr="0089502E" w:rsidRDefault="0089502E" w:rsidP="0089502E">
            <w:pPr>
              <w:widowControl w:val="0"/>
              <w:adjustRightInd w:val="0"/>
              <w:ind w:left="-57" w:right="113"/>
              <w:jc w:val="right"/>
              <w:textAlignment w:val="baseline"/>
              <w:rPr>
                <w:sz w:val="20"/>
                <w:szCs w:val="20"/>
              </w:rPr>
            </w:pPr>
            <w:r w:rsidRPr="0089502E">
              <w:rPr>
                <w:sz w:val="20"/>
                <w:szCs w:val="20"/>
              </w:rPr>
              <w:t>361.6</w:t>
            </w:r>
          </w:p>
        </w:tc>
        <w:tc>
          <w:tcPr>
            <w:tcW w:w="1134" w:type="dxa"/>
            <w:tcBorders>
              <w:top w:val="nil"/>
              <w:left w:val="nil"/>
              <w:bottom w:val="nil"/>
              <w:right w:val="nil"/>
            </w:tcBorders>
          </w:tcPr>
          <w:p w:rsidR="0089502E" w:rsidRPr="0089502E" w:rsidRDefault="0089502E" w:rsidP="0089502E">
            <w:pPr>
              <w:widowControl w:val="0"/>
              <w:adjustRightInd w:val="0"/>
              <w:ind w:right="113"/>
              <w:jc w:val="right"/>
              <w:textAlignment w:val="baseline"/>
              <w:rPr>
                <w:bCs/>
                <w:sz w:val="20"/>
                <w:szCs w:val="20"/>
              </w:rPr>
            </w:pPr>
            <w:r w:rsidRPr="0089502E">
              <w:rPr>
                <w:bCs/>
                <w:sz w:val="20"/>
                <w:szCs w:val="20"/>
              </w:rPr>
              <w:t>318.1</w:t>
            </w:r>
          </w:p>
        </w:tc>
        <w:tc>
          <w:tcPr>
            <w:tcW w:w="1275" w:type="dxa"/>
            <w:tcBorders>
              <w:top w:val="nil"/>
              <w:left w:val="nil"/>
              <w:bottom w:val="nil"/>
              <w:right w:val="nil"/>
            </w:tcBorders>
          </w:tcPr>
          <w:p w:rsidR="0089502E" w:rsidRPr="0089502E" w:rsidRDefault="0089502E" w:rsidP="0089502E">
            <w:pPr>
              <w:widowControl w:val="0"/>
              <w:adjustRightInd w:val="0"/>
              <w:ind w:right="397"/>
              <w:jc w:val="right"/>
              <w:textAlignment w:val="baseline"/>
              <w:rPr>
                <w:sz w:val="20"/>
                <w:szCs w:val="20"/>
              </w:rPr>
            </w:pPr>
            <w:r w:rsidRPr="0089502E">
              <w:rPr>
                <w:sz w:val="20"/>
                <w:szCs w:val="20"/>
              </w:rPr>
              <w:t>-12.0</w:t>
            </w:r>
          </w:p>
        </w:tc>
        <w:tc>
          <w:tcPr>
            <w:tcW w:w="1418" w:type="dxa"/>
            <w:tcBorders>
              <w:top w:val="nil"/>
              <w:left w:val="nil"/>
              <w:bottom w:val="nil"/>
              <w:right w:val="single" w:sz="4" w:space="0" w:color="auto"/>
            </w:tcBorders>
          </w:tcPr>
          <w:p w:rsidR="0089502E" w:rsidRPr="0089502E" w:rsidRDefault="0089502E" w:rsidP="0089502E">
            <w:pPr>
              <w:widowControl w:val="0"/>
              <w:adjustRightInd w:val="0"/>
              <w:ind w:right="340"/>
              <w:jc w:val="right"/>
              <w:textAlignment w:val="baseline"/>
              <w:rPr>
                <w:sz w:val="20"/>
                <w:szCs w:val="20"/>
              </w:rPr>
            </w:pPr>
            <w:r w:rsidRPr="0089502E">
              <w:rPr>
                <w:sz w:val="20"/>
                <w:szCs w:val="20"/>
              </w:rPr>
              <w:t>1.2</w:t>
            </w:r>
          </w:p>
        </w:tc>
      </w:tr>
      <w:tr w:rsidR="0089502E" w:rsidRPr="0089502E" w:rsidTr="00DA1492">
        <w:trPr>
          <w:jc w:val="right"/>
        </w:trPr>
        <w:tc>
          <w:tcPr>
            <w:tcW w:w="2281" w:type="dxa"/>
            <w:tcBorders>
              <w:top w:val="nil"/>
              <w:left w:val="single" w:sz="4" w:space="0" w:color="auto"/>
              <w:bottom w:val="nil"/>
              <w:right w:val="nil"/>
            </w:tcBorders>
          </w:tcPr>
          <w:p w:rsidR="0089502E" w:rsidRPr="0089502E" w:rsidRDefault="0089502E" w:rsidP="0089502E">
            <w:pPr>
              <w:widowControl w:val="0"/>
              <w:adjustRightInd w:val="0"/>
              <w:textAlignment w:val="baseline"/>
              <w:rPr>
                <w:sz w:val="20"/>
                <w:szCs w:val="20"/>
              </w:rPr>
            </w:pPr>
            <w:r w:rsidRPr="0089502E">
              <w:rPr>
                <w:sz w:val="20"/>
                <w:szCs w:val="20"/>
              </w:rPr>
              <w:t xml:space="preserve">     Manufactureras</w:t>
            </w:r>
          </w:p>
        </w:tc>
        <w:tc>
          <w:tcPr>
            <w:tcW w:w="1550" w:type="dxa"/>
            <w:tcBorders>
              <w:top w:val="nil"/>
              <w:left w:val="nil"/>
              <w:bottom w:val="nil"/>
              <w:right w:val="nil"/>
            </w:tcBorders>
          </w:tcPr>
          <w:p w:rsidR="0089502E" w:rsidRPr="0089502E" w:rsidRDefault="0089502E" w:rsidP="0089502E">
            <w:pPr>
              <w:widowControl w:val="0"/>
              <w:adjustRightInd w:val="0"/>
              <w:ind w:left="170" w:right="113"/>
              <w:jc w:val="right"/>
              <w:textAlignment w:val="baseline"/>
              <w:rPr>
                <w:sz w:val="20"/>
                <w:szCs w:val="20"/>
              </w:rPr>
            </w:pPr>
            <w:r w:rsidRPr="0089502E">
              <w:rPr>
                <w:sz w:val="20"/>
                <w:szCs w:val="20"/>
              </w:rPr>
              <w:t>21 470.3</w:t>
            </w:r>
          </w:p>
        </w:tc>
        <w:tc>
          <w:tcPr>
            <w:tcW w:w="1285" w:type="dxa"/>
            <w:gridSpan w:val="2"/>
            <w:tcBorders>
              <w:top w:val="nil"/>
              <w:left w:val="nil"/>
              <w:bottom w:val="nil"/>
              <w:right w:val="nil"/>
            </w:tcBorders>
          </w:tcPr>
          <w:p w:rsidR="0089502E" w:rsidRPr="0089502E" w:rsidRDefault="0089502E" w:rsidP="0089502E">
            <w:pPr>
              <w:widowControl w:val="0"/>
              <w:adjustRightInd w:val="0"/>
              <w:ind w:left="-57" w:right="113"/>
              <w:jc w:val="right"/>
              <w:textAlignment w:val="baseline"/>
              <w:rPr>
                <w:sz w:val="20"/>
                <w:szCs w:val="20"/>
              </w:rPr>
            </w:pPr>
            <w:r w:rsidRPr="0089502E">
              <w:rPr>
                <w:sz w:val="20"/>
                <w:szCs w:val="20"/>
              </w:rPr>
              <w:t>21 790.9</w:t>
            </w:r>
          </w:p>
        </w:tc>
        <w:tc>
          <w:tcPr>
            <w:tcW w:w="1134" w:type="dxa"/>
            <w:tcBorders>
              <w:top w:val="nil"/>
              <w:left w:val="nil"/>
              <w:bottom w:val="nil"/>
              <w:right w:val="nil"/>
            </w:tcBorders>
          </w:tcPr>
          <w:p w:rsidR="0089502E" w:rsidRPr="0089502E" w:rsidRDefault="0089502E" w:rsidP="0089502E">
            <w:pPr>
              <w:widowControl w:val="0"/>
              <w:adjustRightInd w:val="0"/>
              <w:ind w:right="113"/>
              <w:jc w:val="right"/>
              <w:textAlignment w:val="baseline"/>
              <w:rPr>
                <w:bCs/>
                <w:sz w:val="20"/>
                <w:szCs w:val="20"/>
              </w:rPr>
            </w:pPr>
            <w:r w:rsidRPr="0089502E">
              <w:rPr>
                <w:bCs/>
                <w:sz w:val="20"/>
                <w:szCs w:val="20"/>
              </w:rPr>
              <w:t>23 002.3</w:t>
            </w:r>
          </w:p>
        </w:tc>
        <w:tc>
          <w:tcPr>
            <w:tcW w:w="1275" w:type="dxa"/>
            <w:tcBorders>
              <w:top w:val="nil"/>
              <w:left w:val="nil"/>
              <w:bottom w:val="nil"/>
              <w:right w:val="nil"/>
            </w:tcBorders>
          </w:tcPr>
          <w:p w:rsidR="0089502E" w:rsidRPr="0089502E" w:rsidRDefault="0089502E" w:rsidP="0089502E">
            <w:pPr>
              <w:widowControl w:val="0"/>
              <w:adjustRightInd w:val="0"/>
              <w:ind w:right="397"/>
              <w:jc w:val="right"/>
              <w:textAlignment w:val="baseline"/>
              <w:rPr>
                <w:sz w:val="20"/>
                <w:szCs w:val="20"/>
              </w:rPr>
            </w:pPr>
            <w:r w:rsidRPr="0089502E">
              <w:rPr>
                <w:sz w:val="20"/>
                <w:szCs w:val="20"/>
              </w:rPr>
              <w:t>5.6</w:t>
            </w:r>
          </w:p>
        </w:tc>
        <w:tc>
          <w:tcPr>
            <w:tcW w:w="1418" w:type="dxa"/>
            <w:tcBorders>
              <w:top w:val="nil"/>
              <w:left w:val="nil"/>
              <w:bottom w:val="nil"/>
              <w:right w:val="single" w:sz="4" w:space="0" w:color="auto"/>
            </w:tcBorders>
          </w:tcPr>
          <w:p w:rsidR="0089502E" w:rsidRPr="0089502E" w:rsidRDefault="0089502E" w:rsidP="0089502E">
            <w:pPr>
              <w:widowControl w:val="0"/>
              <w:adjustRightInd w:val="0"/>
              <w:ind w:right="340"/>
              <w:jc w:val="right"/>
              <w:textAlignment w:val="baseline"/>
              <w:rPr>
                <w:sz w:val="20"/>
                <w:szCs w:val="20"/>
              </w:rPr>
            </w:pPr>
            <w:r w:rsidRPr="0089502E">
              <w:rPr>
                <w:sz w:val="20"/>
                <w:szCs w:val="20"/>
              </w:rPr>
              <w:t>86.6</w:t>
            </w:r>
          </w:p>
        </w:tc>
      </w:tr>
      <w:tr w:rsidR="0089502E" w:rsidRPr="0089502E" w:rsidTr="00DA1492">
        <w:trPr>
          <w:jc w:val="right"/>
        </w:trPr>
        <w:tc>
          <w:tcPr>
            <w:tcW w:w="2281" w:type="dxa"/>
            <w:tcBorders>
              <w:top w:val="nil"/>
              <w:left w:val="single" w:sz="4" w:space="0" w:color="auto"/>
              <w:bottom w:val="nil"/>
              <w:right w:val="nil"/>
            </w:tcBorders>
          </w:tcPr>
          <w:p w:rsidR="0089502E" w:rsidRPr="0089502E" w:rsidRDefault="0089502E" w:rsidP="0089502E">
            <w:pPr>
              <w:widowControl w:val="0"/>
              <w:adjustRightInd w:val="0"/>
              <w:textAlignment w:val="baseline"/>
              <w:rPr>
                <w:b/>
                <w:bCs/>
                <w:sz w:val="20"/>
                <w:szCs w:val="20"/>
              </w:rPr>
            </w:pPr>
            <w:r w:rsidRPr="0089502E">
              <w:rPr>
                <w:b/>
                <w:bCs/>
                <w:sz w:val="20"/>
                <w:szCs w:val="20"/>
              </w:rPr>
              <w:t>IMPORTACIONES TOTALES</w:t>
            </w:r>
          </w:p>
        </w:tc>
        <w:tc>
          <w:tcPr>
            <w:tcW w:w="1550" w:type="dxa"/>
            <w:tcBorders>
              <w:top w:val="nil"/>
              <w:left w:val="nil"/>
              <w:bottom w:val="nil"/>
              <w:right w:val="nil"/>
            </w:tcBorders>
            <w:vAlign w:val="center"/>
          </w:tcPr>
          <w:p w:rsidR="0089502E" w:rsidRPr="0089502E" w:rsidRDefault="0089502E" w:rsidP="0089502E">
            <w:pPr>
              <w:widowControl w:val="0"/>
              <w:adjustRightInd w:val="0"/>
              <w:ind w:left="170" w:right="113"/>
              <w:jc w:val="right"/>
              <w:textAlignment w:val="baseline"/>
              <w:rPr>
                <w:b/>
                <w:bCs/>
                <w:sz w:val="20"/>
                <w:szCs w:val="20"/>
              </w:rPr>
            </w:pPr>
            <w:r w:rsidRPr="0089502E">
              <w:rPr>
                <w:b/>
                <w:bCs/>
                <w:sz w:val="20"/>
                <w:szCs w:val="20"/>
              </w:rPr>
              <w:t>30 153.0</w:t>
            </w:r>
          </w:p>
        </w:tc>
        <w:tc>
          <w:tcPr>
            <w:tcW w:w="1285" w:type="dxa"/>
            <w:gridSpan w:val="2"/>
            <w:tcBorders>
              <w:top w:val="nil"/>
              <w:left w:val="nil"/>
              <w:bottom w:val="nil"/>
              <w:right w:val="nil"/>
            </w:tcBorders>
            <w:vAlign w:val="center"/>
          </w:tcPr>
          <w:p w:rsidR="0089502E" w:rsidRPr="0089502E" w:rsidRDefault="0089502E" w:rsidP="0089502E">
            <w:pPr>
              <w:widowControl w:val="0"/>
              <w:adjustRightInd w:val="0"/>
              <w:ind w:left="-57" w:right="113"/>
              <w:jc w:val="right"/>
              <w:textAlignment w:val="baseline"/>
              <w:rPr>
                <w:b/>
                <w:bCs/>
                <w:sz w:val="20"/>
                <w:szCs w:val="20"/>
              </w:rPr>
            </w:pPr>
            <w:r w:rsidRPr="0089502E">
              <w:rPr>
                <w:b/>
                <w:bCs/>
                <w:sz w:val="20"/>
                <w:szCs w:val="20"/>
              </w:rPr>
              <w:t>30 233.5</w:t>
            </w:r>
          </w:p>
        </w:tc>
        <w:tc>
          <w:tcPr>
            <w:tcW w:w="1134" w:type="dxa"/>
            <w:tcBorders>
              <w:top w:val="nil"/>
              <w:left w:val="nil"/>
              <w:bottom w:val="nil"/>
              <w:right w:val="nil"/>
            </w:tcBorders>
            <w:vAlign w:val="center"/>
          </w:tcPr>
          <w:p w:rsidR="0089502E" w:rsidRPr="0089502E" w:rsidRDefault="0089502E" w:rsidP="0089502E">
            <w:pPr>
              <w:widowControl w:val="0"/>
              <w:adjustRightInd w:val="0"/>
              <w:ind w:right="113"/>
              <w:jc w:val="right"/>
              <w:textAlignment w:val="baseline"/>
              <w:rPr>
                <w:b/>
                <w:bCs/>
                <w:sz w:val="20"/>
                <w:szCs w:val="20"/>
              </w:rPr>
            </w:pPr>
            <w:r w:rsidRPr="0089502E">
              <w:rPr>
                <w:b/>
                <w:bCs/>
                <w:sz w:val="20"/>
                <w:szCs w:val="20"/>
              </w:rPr>
              <w:t>29 815.9</w:t>
            </w:r>
          </w:p>
        </w:tc>
        <w:tc>
          <w:tcPr>
            <w:tcW w:w="1275" w:type="dxa"/>
            <w:tcBorders>
              <w:top w:val="nil"/>
              <w:left w:val="nil"/>
              <w:bottom w:val="nil"/>
              <w:right w:val="nil"/>
            </w:tcBorders>
            <w:vAlign w:val="center"/>
          </w:tcPr>
          <w:p w:rsidR="0089502E" w:rsidRPr="0089502E" w:rsidRDefault="0089502E" w:rsidP="0089502E">
            <w:pPr>
              <w:widowControl w:val="0"/>
              <w:adjustRightInd w:val="0"/>
              <w:ind w:right="397"/>
              <w:jc w:val="right"/>
              <w:textAlignment w:val="baseline"/>
              <w:rPr>
                <w:b/>
                <w:bCs/>
                <w:sz w:val="20"/>
                <w:szCs w:val="20"/>
              </w:rPr>
            </w:pPr>
            <w:r w:rsidRPr="0089502E">
              <w:rPr>
                <w:b/>
                <w:bCs/>
                <w:sz w:val="20"/>
                <w:szCs w:val="20"/>
              </w:rPr>
              <w:t>-1.4</w:t>
            </w:r>
          </w:p>
        </w:tc>
        <w:tc>
          <w:tcPr>
            <w:tcW w:w="1418" w:type="dxa"/>
            <w:tcBorders>
              <w:top w:val="nil"/>
              <w:left w:val="nil"/>
              <w:bottom w:val="nil"/>
              <w:right w:val="single" w:sz="4" w:space="0" w:color="auto"/>
            </w:tcBorders>
            <w:vAlign w:val="center"/>
          </w:tcPr>
          <w:p w:rsidR="0089502E" w:rsidRPr="0089502E" w:rsidRDefault="0089502E" w:rsidP="0089502E">
            <w:pPr>
              <w:widowControl w:val="0"/>
              <w:adjustRightInd w:val="0"/>
              <w:ind w:right="340"/>
              <w:jc w:val="right"/>
              <w:textAlignment w:val="baseline"/>
              <w:rPr>
                <w:b/>
                <w:bCs/>
                <w:sz w:val="20"/>
                <w:szCs w:val="20"/>
              </w:rPr>
            </w:pPr>
            <w:r w:rsidRPr="0089502E">
              <w:rPr>
                <w:b/>
                <w:bCs/>
                <w:sz w:val="20"/>
                <w:szCs w:val="20"/>
              </w:rPr>
              <w:t>100.0</w:t>
            </w:r>
          </w:p>
        </w:tc>
      </w:tr>
      <w:tr w:rsidR="0089502E" w:rsidRPr="0089502E" w:rsidTr="00DA1492">
        <w:trPr>
          <w:jc w:val="right"/>
        </w:trPr>
        <w:tc>
          <w:tcPr>
            <w:tcW w:w="2281" w:type="dxa"/>
            <w:tcBorders>
              <w:top w:val="nil"/>
              <w:left w:val="single" w:sz="4" w:space="0" w:color="auto"/>
              <w:bottom w:val="nil"/>
              <w:right w:val="nil"/>
            </w:tcBorders>
          </w:tcPr>
          <w:p w:rsidR="0089502E" w:rsidRPr="0089502E" w:rsidRDefault="0089502E" w:rsidP="0089502E">
            <w:pPr>
              <w:widowControl w:val="0"/>
              <w:adjustRightInd w:val="0"/>
              <w:textAlignment w:val="baseline"/>
              <w:rPr>
                <w:sz w:val="20"/>
                <w:szCs w:val="20"/>
              </w:rPr>
            </w:pPr>
            <w:r w:rsidRPr="0089502E">
              <w:rPr>
                <w:sz w:val="20"/>
                <w:szCs w:val="20"/>
              </w:rPr>
              <w:t>Bienes de consumo</w:t>
            </w:r>
          </w:p>
        </w:tc>
        <w:tc>
          <w:tcPr>
            <w:tcW w:w="1550" w:type="dxa"/>
            <w:tcBorders>
              <w:top w:val="nil"/>
              <w:left w:val="nil"/>
              <w:bottom w:val="nil"/>
              <w:right w:val="nil"/>
            </w:tcBorders>
          </w:tcPr>
          <w:p w:rsidR="0089502E" w:rsidRPr="0089502E" w:rsidRDefault="0089502E" w:rsidP="0089502E">
            <w:pPr>
              <w:widowControl w:val="0"/>
              <w:adjustRightInd w:val="0"/>
              <w:ind w:left="170" w:right="113"/>
              <w:jc w:val="right"/>
              <w:textAlignment w:val="baseline"/>
              <w:rPr>
                <w:sz w:val="20"/>
                <w:szCs w:val="20"/>
              </w:rPr>
            </w:pPr>
            <w:r w:rsidRPr="0089502E">
              <w:rPr>
                <w:sz w:val="20"/>
                <w:szCs w:val="20"/>
              </w:rPr>
              <w:t>4 752.5</w:t>
            </w:r>
          </w:p>
        </w:tc>
        <w:tc>
          <w:tcPr>
            <w:tcW w:w="1285" w:type="dxa"/>
            <w:gridSpan w:val="2"/>
            <w:tcBorders>
              <w:top w:val="nil"/>
              <w:left w:val="nil"/>
              <w:bottom w:val="nil"/>
              <w:right w:val="nil"/>
            </w:tcBorders>
          </w:tcPr>
          <w:p w:rsidR="0089502E" w:rsidRPr="0089502E" w:rsidRDefault="0089502E" w:rsidP="0089502E">
            <w:pPr>
              <w:widowControl w:val="0"/>
              <w:adjustRightInd w:val="0"/>
              <w:ind w:left="-57" w:right="113"/>
              <w:jc w:val="right"/>
              <w:textAlignment w:val="baseline"/>
              <w:rPr>
                <w:sz w:val="20"/>
                <w:szCs w:val="20"/>
              </w:rPr>
            </w:pPr>
            <w:r w:rsidRPr="0089502E">
              <w:rPr>
                <w:sz w:val="20"/>
                <w:szCs w:val="20"/>
              </w:rPr>
              <w:t>4 745.5</w:t>
            </w:r>
          </w:p>
        </w:tc>
        <w:tc>
          <w:tcPr>
            <w:tcW w:w="1134" w:type="dxa"/>
            <w:tcBorders>
              <w:top w:val="nil"/>
              <w:left w:val="nil"/>
              <w:bottom w:val="nil"/>
              <w:right w:val="nil"/>
            </w:tcBorders>
          </w:tcPr>
          <w:p w:rsidR="0089502E" w:rsidRPr="0089502E" w:rsidRDefault="0089502E" w:rsidP="0089502E">
            <w:pPr>
              <w:widowControl w:val="0"/>
              <w:adjustRightInd w:val="0"/>
              <w:ind w:right="113"/>
              <w:jc w:val="right"/>
              <w:textAlignment w:val="baseline"/>
              <w:rPr>
                <w:bCs/>
                <w:sz w:val="20"/>
                <w:szCs w:val="20"/>
              </w:rPr>
            </w:pPr>
            <w:r w:rsidRPr="0089502E">
              <w:rPr>
                <w:bCs/>
                <w:sz w:val="20"/>
                <w:szCs w:val="20"/>
              </w:rPr>
              <w:t>4 431.7</w:t>
            </w:r>
          </w:p>
        </w:tc>
        <w:tc>
          <w:tcPr>
            <w:tcW w:w="1275" w:type="dxa"/>
            <w:tcBorders>
              <w:top w:val="nil"/>
              <w:left w:val="nil"/>
              <w:bottom w:val="nil"/>
              <w:right w:val="nil"/>
            </w:tcBorders>
          </w:tcPr>
          <w:p w:rsidR="0089502E" w:rsidRPr="0089502E" w:rsidRDefault="0089502E" w:rsidP="0089502E">
            <w:pPr>
              <w:widowControl w:val="0"/>
              <w:adjustRightInd w:val="0"/>
              <w:ind w:right="397"/>
              <w:jc w:val="right"/>
              <w:textAlignment w:val="baseline"/>
              <w:rPr>
                <w:sz w:val="20"/>
                <w:szCs w:val="20"/>
              </w:rPr>
            </w:pPr>
            <w:r w:rsidRPr="0089502E">
              <w:rPr>
                <w:sz w:val="20"/>
                <w:szCs w:val="20"/>
              </w:rPr>
              <w:t>-6.6</w:t>
            </w:r>
          </w:p>
        </w:tc>
        <w:tc>
          <w:tcPr>
            <w:tcW w:w="1418" w:type="dxa"/>
            <w:tcBorders>
              <w:top w:val="nil"/>
              <w:left w:val="nil"/>
              <w:bottom w:val="nil"/>
              <w:right w:val="single" w:sz="4" w:space="0" w:color="auto"/>
            </w:tcBorders>
          </w:tcPr>
          <w:p w:rsidR="0089502E" w:rsidRPr="0089502E" w:rsidRDefault="0089502E" w:rsidP="0089502E">
            <w:pPr>
              <w:widowControl w:val="0"/>
              <w:adjustRightInd w:val="0"/>
              <w:ind w:right="340"/>
              <w:jc w:val="right"/>
              <w:textAlignment w:val="baseline"/>
              <w:rPr>
                <w:sz w:val="20"/>
                <w:szCs w:val="20"/>
              </w:rPr>
            </w:pPr>
            <w:r w:rsidRPr="0089502E">
              <w:rPr>
                <w:sz w:val="20"/>
                <w:szCs w:val="20"/>
              </w:rPr>
              <w:t>14.8</w:t>
            </w:r>
          </w:p>
        </w:tc>
      </w:tr>
      <w:tr w:rsidR="0089502E" w:rsidRPr="0089502E" w:rsidTr="00DA1492">
        <w:trPr>
          <w:jc w:val="right"/>
        </w:trPr>
        <w:tc>
          <w:tcPr>
            <w:tcW w:w="2281" w:type="dxa"/>
            <w:tcBorders>
              <w:top w:val="nil"/>
              <w:left w:val="single" w:sz="4" w:space="0" w:color="auto"/>
              <w:bottom w:val="nil"/>
              <w:right w:val="nil"/>
            </w:tcBorders>
          </w:tcPr>
          <w:p w:rsidR="0089502E" w:rsidRPr="0089502E" w:rsidRDefault="0089502E" w:rsidP="0089502E">
            <w:pPr>
              <w:widowControl w:val="0"/>
              <w:adjustRightInd w:val="0"/>
              <w:textAlignment w:val="baseline"/>
              <w:rPr>
                <w:sz w:val="20"/>
                <w:szCs w:val="20"/>
              </w:rPr>
            </w:pPr>
            <w:r w:rsidRPr="0089502E">
              <w:rPr>
                <w:sz w:val="20"/>
                <w:szCs w:val="20"/>
              </w:rPr>
              <w:t>Bienes intermedios</w:t>
            </w:r>
          </w:p>
        </w:tc>
        <w:tc>
          <w:tcPr>
            <w:tcW w:w="1550" w:type="dxa"/>
            <w:tcBorders>
              <w:top w:val="nil"/>
              <w:left w:val="nil"/>
              <w:bottom w:val="nil"/>
              <w:right w:val="nil"/>
            </w:tcBorders>
          </w:tcPr>
          <w:p w:rsidR="0089502E" w:rsidRPr="0089502E" w:rsidRDefault="0089502E" w:rsidP="0089502E">
            <w:pPr>
              <w:widowControl w:val="0"/>
              <w:adjustRightInd w:val="0"/>
              <w:ind w:left="170" w:right="113"/>
              <w:jc w:val="right"/>
              <w:textAlignment w:val="baseline"/>
              <w:rPr>
                <w:sz w:val="20"/>
                <w:szCs w:val="20"/>
              </w:rPr>
            </w:pPr>
            <w:r w:rsidRPr="0089502E">
              <w:rPr>
                <w:sz w:val="20"/>
                <w:szCs w:val="20"/>
              </w:rPr>
              <w:t>22 159.5</w:t>
            </w:r>
          </w:p>
        </w:tc>
        <w:tc>
          <w:tcPr>
            <w:tcW w:w="1285" w:type="dxa"/>
            <w:gridSpan w:val="2"/>
            <w:tcBorders>
              <w:top w:val="nil"/>
              <w:left w:val="nil"/>
              <w:bottom w:val="nil"/>
              <w:right w:val="nil"/>
            </w:tcBorders>
          </w:tcPr>
          <w:p w:rsidR="0089502E" w:rsidRPr="0089502E" w:rsidRDefault="0089502E" w:rsidP="0089502E">
            <w:pPr>
              <w:widowControl w:val="0"/>
              <w:adjustRightInd w:val="0"/>
              <w:ind w:left="-57" w:right="113"/>
              <w:jc w:val="right"/>
              <w:textAlignment w:val="baseline"/>
              <w:rPr>
                <w:sz w:val="20"/>
                <w:szCs w:val="20"/>
              </w:rPr>
            </w:pPr>
            <w:r w:rsidRPr="0089502E">
              <w:rPr>
                <w:sz w:val="20"/>
                <w:szCs w:val="20"/>
              </w:rPr>
              <w:t>22 325.4</w:t>
            </w:r>
          </w:p>
        </w:tc>
        <w:tc>
          <w:tcPr>
            <w:tcW w:w="1134" w:type="dxa"/>
            <w:tcBorders>
              <w:top w:val="nil"/>
              <w:left w:val="nil"/>
              <w:bottom w:val="nil"/>
              <w:right w:val="nil"/>
            </w:tcBorders>
          </w:tcPr>
          <w:p w:rsidR="0089502E" w:rsidRPr="0089502E" w:rsidRDefault="0089502E" w:rsidP="0089502E">
            <w:pPr>
              <w:widowControl w:val="0"/>
              <w:adjustRightInd w:val="0"/>
              <w:ind w:right="113"/>
              <w:jc w:val="right"/>
              <w:textAlignment w:val="baseline"/>
              <w:rPr>
                <w:bCs/>
                <w:sz w:val="20"/>
                <w:szCs w:val="20"/>
              </w:rPr>
            </w:pPr>
            <w:r w:rsidRPr="0089502E">
              <w:rPr>
                <w:bCs/>
                <w:sz w:val="20"/>
                <w:szCs w:val="20"/>
              </w:rPr>
              <w:t>21 964.2</w:t>
            </w:r>
          </w:p>
        </w:tc>
        <w:tc>
          <w:tcPr>
            <w:tcW w:w="1275" w:type="dxa"/>
            <w:tcBorders>
              <w:top w:val="nil"/>
              <w:left w:val="nil"/>
              <w:bottom w:val="nil"/>
              <w:right w:val="nil"/>
            </w:tcBorders>
          </w:tcPr>
          <w:p w:rsidR="0089502E" w:rsidRPr="0089502E" w:rsidRDefault="0089502E" w:rsidP="0089502E">
            <w:pPr>
              <w:widowControl w:val="0"/>
              <w:adjustRightInd w:val="0"/>
              <w:ind w:right="397"/>
              <w:jc w:val="right"/>
              <w:textAlignment w:val="baseline"/>
              <w:rPr>
                <w:sz w:val="20"/>
                <w:szCs w:val="20"/>
              </w:rPr>
            </w:pPr>
            <w:r w:rsidRPr="0089502E">
              <w:rPr>
                <w:sz w:val="20"/>
                <w:szCs w:val="20"/>
              </w:rPr>
              <w:t>-1.6</w:t>
            </w:r>
          </w:p>
        </w:tc>
        <w:tc>
          <w:tcPr>
            <w:tcW w:w="1418" w:type="dxa"/>
            <w:tcBorders>
              <w:top w:val="nil"/>
              <w:left w:val="nil"/>
              <w:bottom w:val="nil"/>
              <w:right w:val="single" w:sz="4" w:space="0" w:color="auto"/>
            </w:tcBorders>
          </w:tcPr>
          <w:p w:rsidR="0089502E" w:rsidRPr="0089502E" w:rsidRDefault="0089502E" w:rsidP="0089502E">
            <w:pPr>
              <w:widowControl w:val="0"/>
              <w:adjustRightInd w:val="0"/>
              <w:ind w:right="340"/>
              <w:jc w:val="right"/>
              <w:textAlignment w:val="baseline"/>
              <w:rPr>
                <w:sz w:val="20"/>
                <w:szCs w:val="20"/>
              </w:rPr>
            </w:pPr>
            <w:r w:rsidRPr="0089502E">
              <w:rPr>
                <w:sz w:val="20"/>
                <w:szCs w:val="20"/>
              </w:rPr>
              <w:t>73.7</w:t>
            </w:r>
          </w:p>
        </w:tc>
      </w:tr>
      <w:tr w:rsidR="0089502E" w:rsidRPr="0089502E" w:rsidTr="00DA1492">
        <w:trPr>
          <w:jc w:val="right"/>
        </w:trPr>
        <w:tc>
          <w:tcPr>
            <w:tcW w:w="2281" w:type="dxa"/>
            <w:tcBorders>
              <w:top w:val="nil"/>
              <w:left w:val="single" w:sz="4" w:space="0" w:color="auto"/>
              <w:bottom w:val="single" w:sz="4" w:space="0" w:color="auto"/>
              <w:right w:val="nil"/>
            </w:tcBorders>
          </w:tcPr>
          <w:p w:rsidR="0089502E" w:rsidRPr="0089502E" w:rsidRDefault="0089502E" w:rsidP="0089502E">
            <w:pPr>
              <w:widowControl w:val="0"/>
              <w:adjustRightInd w:val="0"/>
              <w:textAlignment w:val="baseline"/>
              <w:rPr>
                <w:sz w:val="20"/>
                <w:szCs w:val="20"/>
              </w:rPr>
            </w:pPr>
            <w:r w:rsidRPr="0089502E">
              <w:rPr>
                <w:sz w:val="20"/>
                <w:szCs w:val="20"/>
              </w:rPr>
              <w:t>Bienes de capital</w:t>
            </w:r>
          </w:p>
        </w:tc>
        <w:tc>
          <w:tcPr>
            <w:tcW w:w="1550" w:type="dxa"/>
            <w:tcBorders>
              <w:top w:val="nil"/>
              <w:left w:val="nil"/>
              <w:bottom w:val="single" w:sz="4" w:space="0" w:color="auto"/>
              <w:right w:val="nil"/>
            </w:tcBorders>
          </w:tcPr>
          <w:p w:rsidR="0089502E" w:rsidRPr="0089502E" w:rsidRDefault="0089502E" w:rsidP="0089502E">
            <w:pPr>
              <w:widowControl w:val="0"/>
              <w:adjustRightInd w:val="0"/>
              <w:ind w:left="170" w:right="113"/>
              <w:jc w:val="right"/>
              <w:textAlignment w:val="baseline"/>
              <w:rPr>
                <w:sz w:val="20"/>
                <w:szCs w:val="20"/>
              </w:rPr>
            </w:pPr>
            <w:r w:rsidRPr="0089502E">
              <w:rPr>
                <w:sz w:val="20"/>
                <w:szCs w:val="20"/>
              </w:rPr>
              <w:t>3 240.9</w:t>
            </w:r>
          </w:p>
        </w:tc>
        <w:tc>
          <w:tcPr>
            <w:tcW w:w="1285" w:type="dxa"/>
            <w:gridSpan w:val="2"/>
            <w:tcBorders>
              <w:top w:val="nil"/>
              <w:left w:val="nil"/>
              <w:bottom w:val="single" w:sz="4" w:space="0" w:color="auto"/>
              <w:right w:val="nil"/>
            </w:tcBorders>
          </w:tcPr>
          <w:p w:rsidR="0089502E" w:rsidRPr="0089502E" w:rsidRDefault="0089502E" w:rsidP="0089502E">
            <w:pPr>
              <w:widowControl w:val="0"/>
              <w:adjustRightInd w:val="0"/>
              <w:ind w:left="-57" w:right="113"/>
              <w:jc w:val="right"/>
              <w:textAlignment w:val="baseline"/>
              <w:rPr>
                <w:sz w:val="20"/>
                <w:szCs w:val="20"/>
              </w:rPr>
            </w:pPr>
            <w:r w:rsidRPr="0089502E">
              <w:rPr>
                <w:sz w:val="20"/>
                <w:szCs w:val="20"/>
              </w:rPr>
              <w:t>3 162.7</w:t>
            </w:r>
          </w:p>
        </w:tc>
        <w:tc>
          <w:tcPr>
            <w:tcW w:w="1134" w:type="dxa"/>
            <w:tcBorders>
              <w:top w:val="nil"/>
              <w:left w:val="nil"/>
              <w:bottom w:val="single" w:sz="4" w:space="0" w:color="auto"/>
              <w:right w:val="nil"/>
            </w:tcBorders>
          </w:tcPr>
          <w:p w:rsidR="0089502E" w:rsidRPr="0089502E" w:rsidRDefault="0089502E" w:rsidP="0089502E">
            <w:pPr>
              <w:widowControl w:val="0"/>
              <w:adjustRightInd w:val="0"/>
              <w:ind w:right="113"/>
              <w:jc w:val="right"/>
              <w:textAlignment w:val="baseline"/>
              <w:rPr>
                <w:bCs/>
                <w:sz w:val="20"/>
                <w:szCs w:val="20"/>
              </w:rPr>
            </w:pPr>
            <w:r w:rsidRPr="0089502E">
              <w:rPr>
                <w:bCs/>
                <w:sz w:val="20"/>
                <w:szCs w:val="20"/>
              </w:rPr>
              <w:t>3 420.0</w:t>
            </w:r>
          </w:p>
        </w:tc>
        <w:tc>
          <w:tcPr>
            <w:tcW w:w="1275" w:type="dxa"/>
            <w:tcBorders>
              <w:top w:val="nil"/>
              <w:left w:val="nil"/>
              <w:bottom w:val="single" w:sz="4" w:space="0" w:color="auto"/>
              <w:right w:val="nil"/>
            </w:tcBorders>
          </w:tcPr>
          <w:p w:rsidR="0089502E" w:rsidRPr="0089502E" w:rsidRDefault="0089502E" w:rsidP="0089502E">
            <w:pPr>
              <w:widowControl w:val="0"/>
              <w:adjustRightInd w:val="0"/>
              <w:ind w:right="397"/>
              <w:jc w:val="right"/>
              <w:textAlignment w:val="baseline"/>
              <w:rPr>
                <w:sz w:val="20"/>
                <w:szCs w:val="20"/>
              </w:rPr>
            </w:pPr>
            <w:r w:rsidRPr="0089502E">
              <w:rPr>
                <w:sz w:val="20"/>
                <w:szCs w:val="20"/>
              </w:rPr>
              <w:t>8.1</w:t>
            </w:r>
          </w:p>
        </w:tc>
        <w:tc>
          <w:tcPr>
            <w:tcW w:w="1418" w:type="dxa"/>
            <w:tcBorders>
              <w:top w:val="nil"/>
              <w:left w:val="nil"/>
              <w:bottom w:val="single" w:sz="4" w:space="0" w:color="auto"/>
              <w:right w:val="single" w:sz="4" w:space="0" w:color="auto"/>
            </w:tcBorders>
          </w:tcPr>
          <w:p w:rsidR="0089502E" w:rsidRPr="0089502E" w:rsidRDefault="0089502E" w:rsidP="0089502E">
            <w:pPr>
              <w:widowControl w:val="0"/>
              <w:adjustRightInd w:val="0"/>
              <w:ind w:right="340"/>
              <w:jc w:val="right"/>
              <w:textAlignment w:val="baseline"/>
              <w:rPr>
                <w:sz w:val="20"/>
                <w:szCs w:val="20"/>
              </w:rPr>
            </w:pPr>
            <w:r w:rsidRPr="0089502E">
              <w:rPr>
                <w:sz w:val="20"/>
                <w:szCs w:val="20"/>
              </w:rPr>
              <w:t>11.5</w:t>
            </w:r>
          </w:p>
        </w:tc>
      </w:tr>
      <w:tr w:rsidR="0089502E" w:rsidRPr="0089502E" w:rsidTr="00DA1492">
        <w:trPr>
          <w:jc w:val="right"/>
        </w:trPr>
        <w:tc>
          <w:tcPr>
            <w:tcW w:w="8943" w:type="dxa"/>
            <w:gridSpan w:val="7"/>
            <w:tcBorders>
              <w:top w:val="single" w:sz="4" w:space="0" w:color="auto"/>
              <w:left w:val="nil"/>
              <w:bottom w:val="nil"/>
              <w:right w:val="nil"/>
            </w:tcBorders>
          </w:tcPr>
          <w:p w:rsidR="0089502E" w:rsidRPr="0089502E" w:rsidRDefault="0089502E" w:rsidP="0089502E">
            <w:pPr>
              <w:widowControl w:val="0"/>
              <w:adjustRightInd w:val="0"/>
              <w:jc w:val="both"/>
              <w:textAlignment w:val="baseline"/>
              <w:rPr>
                <w:sz w:val="20"/>
                <w:szCs w:val="20"/>
              </w:rPr>
            </w:pPr>
            <w:r w:rsidRPr="0089502E">
              <w:rPr>
                <w:sz w:val="20"/>
                <w:szCs w:val="20"/>
              </w:rPr>
              <w:t>Nota: Debido al redondeo, la suma de los parciales puede no coincidir con el total.</w:t>
            </w:r>
          </w:p>
          <w:p w:rsidR="0089502E" w:rsidRPr="0089502E" w:rsidRDefault="0089502E" w:rsidP="0089502E">
            <w:pPr>
              <w:widowControl w:val="0"/>
              <w:adjustRightInd w:val="0"/>
              <w:ind w:left="936" w:hanging="936"/>
              <w:jc w:val="both"/>
              <w:textAlignment w:val="baseline"/>
              <w:rPr>
                <w:sz w:val="20"/>
                <w:szCs w:val="20"/>
              </w:rPr>
            </w:pPr>
            <w:r w:rsidRPr="0089502E">
              <w:rPr>
                <w:sz w:val="20"/>
                <w:szCs w:val="20"/>
              </w:rPr>
              <w:t>FUENTE: Elaborado por la Comisión Nacional de los Salarios Mínimos con información revisada del Banco de México (Banxico).</w:t>
            </w:r>
          </w:p>
        </w:tc>
      </w:tr>
    </w:tbl>
    <w:p w:rsidR="0089502E" w:rsidRPr="0089502E" w:rsidRDefault="0089502E" w:rsidP="00F010FF">
      <w:pPr>
        <w:spacing w:after="240"/>
        <w:ind w:right="-159"/>
        <w:jc w:val="both"/>
        <w:rPr>
          <w:b/>
          <w:sz w:val="20"/>
          <w:szCs w:val="20"/>
        </w:rPr>
      </w:pPr>
    </w:p>
    <w:p w:rsidR="0089502E" w:rsidRPr="0089502E" w:rsidRDefault="0089502E" w:rsidP="0089502E">
      <w:pPr>
        <w:ind w:right="-159"/>
        <w:jc w:val="both"/>
        <w:rPr>
          <w:b/>
          <w:sz w:val="20"/>
          <w:szCs w:val="20"/>
        </w:rPr>
      </w:pPr>
      <w:r w:rsidRPr="0089502E">
        <w:rPr>
          <w:b/>
          <w:sz w:val="20"/>
          <w:szCs w:val="20"/>
        </w:rPr>
        <w:t>Fuente de información:</w:t>
      </w:r>
    </w:p>
    <w:p w:rsidR="0089502E" w:rsidRPr="002C0B6D" w:rsidRDefault="004638E5" w:rsidP="0089502E">
      <w:pPr>
        <w:spacing w:after="200" w:line="276" w:lineRule="auto"/>
        <w:ind w:left="708" w:hanging="708"/>
        <w:rPr>
          <w:rFonts w:eastAsia="Times New Roman"/>
          <w:color w:val="0000FF"/>
          <w:sz w:val="20"/>
          <w:szCs w:val="20"/>
          <w:lang w:eastAsia="es-MX"/>
        </w:rPr>
      </w:pPr>
      <w:hyperlink r:id="rId33" w:history="1">
        <w:r w:rsidR="0089502E" w:rsidRPr="002C0B6D">
          <w:rPr>
            <w:rFonts w:eastAsia="Times New Roman"/>
            <w:color w:val="0000FF"/>
            <w:sz w:val="20"/>
            <w:szCs w:val="20"/>
            <w:u w:val="single"/>
            <w:lang w:eastAsia="es-MX"/>
          </w:rPr>
          <w:t>http://www.inegi.org.mx/saladeprensa/boletines/2015/balcom_o/balcom_o2015_02.pdf</w:t>
        </w:r>
      </w:hyperlink>
      <w:r w:rsidR="0089502E" w:rsidRPr="002C0B6D">
        <w:rPr>
          <w:rFonts w:eastAsia="Times New Roman"/>
          <w:color w:val="0000FF"/>
          <w:sz w:val="20"/>
          <w:szCs w:val="20"/>
          <w:lang w:eastAsia="es-MX"/>
        </w:rPr>
        <w:t xml:space="preserve"> </w:t>
      </w:r>
    </w:p>
    <w:p w:rsidR="007B288B" w:rsidRDefault="007B288B" w:rsidP="00FF4306">
      <w:pPr>
        <w:spacing w:after="360" w:line="360" w:lineRule="auto"/>
        <w:ind w:right="-159"/>
        <w:jc w:val="both"/>
        <w:rPr>
          <w:sz w:val="26"/>
          <w:szCs w:val="26"/>
          <w:lang w:val="es-ES"/>
        </w:rPr>
      </w:pPr>
    </w:p>
    <w:p w:rsidR="00CB7B3D" w:rsidRDefault="00CB7B3D" w:rsidP="00FF4306">
      <w:pPr>
        <w:spacing w:after="360" w:line="360" w:lineRule="auto"/>
        <w:ind w:right="-159"/>
        <w:jc w:val="both"/>
        <w:rPr>
          <w:sz w:val="26"/>
          <w:szCs w:val="26"/>
          <w:lang w:val="es-ES"/>
        </w:rPr>
      </w:pPr>
    </w:p>
    <w:p w:rsidR="000F66AC" w:rsidRDefault="00E9162D" w:rsidP="00E9162D">
      <w:pPr>
        <w:ind w:right="-159"/>
        <w:jc w:val="both"/>
        <w:rPr>
          <w:rFonts w:eastAsia="Calibri"/>
          <w:b/>
          <w:sz w:val="26"/>
          <w:szCs w:val="26"/>
          <w:lang w:eastAsia="en-US"/>
        </w:rPr>
      </w:pPr>
      <w:r w:rsidRPr="00E9162D">
        <w:rPr>
          <w:rFonts w:eastAsia="Calibri"/>
          <w:b/>
          <w:sz w:val="26"/>
          <w:szCs w:val="26"/>
          <w:lang w:eastAsia="en-US"/>
        </w:rPr>
        <w:lastRenderedPageBreak/>
        <w:t xml:space="preserve">Expertos opinan: Peso depreciado, pero no </w:t>
      </w:r>
      <w:r w:rsidR="000F66AC">
        <w:rPr>
          <w:rFonts w:eastAsia="Calibri"/>
          <w:b/>
          <w:sz w:val="26"/>
          <w:szCs w:val="26"/>
          <w:lang w:eastAsia="en-US"/>
        </w:rPr>
        <w:t>t</w:t>
      </w:r>
      <w:r w:rsidRPr="00E9162D">
        <w:rPr>
          <w:rFonts w:eastAsia="Calibri"/>
          <w:b/>
          <w:sz w:val="26"/>
          <w:szCs w:val="26"/>
          <w:lang w:eastAsia="en-US"/>
        </w:rPr>
        <w:t>anto</w:t>
      </w:r>
      <w:r w:rsidR="000F66AC">
        <w:rPr>
          <w:rFonts w:eastAsia="Calibri"/>
          <w:b/>
          <w:sz w:val="26"/>
          <w:szCs w:val="26"/>
          <w:lang w:eastAsia="en-US"/>
        </w:rPr>
        <w:t xml:space="preserve"> </w:t>
      </w:r>
    </w:p>
    <w:p w:rsidR="00E9162D" w:rsidRPr="00E9162D" w:rsidRDefault="00E9162D" w:rsidP="00E9162D">
      <w:pPr>
        <w:ind w:right="-159"/>
        <w:jc w:val="both"/>
        <w:rPr>
          <w:rFonts w:eastAsia="Calibri"/>
          <w:b/>
          <w:sz w:val="26"/>
          <w:szCs w:val="26"/>
          <w:lang w:eastAsia="en-US"/>
        </w:rPr>
      </w:pPr>
      <w:r w:rsidRPr="00E9162D">
        <w:rPr>
          <w:rFonts w:eastAsia="Calibri"/>
          <w:b/>
          <w:sz w:val="26"/>
          <w:szCs w:val="26"/>
          <w:lang w:eastAsia="en-US"/>
        </w:rPr>
        <w:t xml:space="preserve">como </w:t>
      </w:r>
      <w:r w:rsidR="000F66AC">
        <w:rPr>
          <w:rFonts w:eastAsia="Calibri"/>
          <w:b/>
          <w:sz w:val="26"/>
          <w:szCs w:val="26"/>
          <w:lang w:eastAsia="en-US"/>
        </w:rPr>
        <w:t xml:space="preserve"> </w:t>
      </w:r>
      <w:r w:rsidRPr="00E9162D">
        <w:rPr>
          <w:rFonts w:eastAsia="Calibri"/>
          <w:b/>
          <w:sz w:val="26"/>
          <w:szCs w:val="26"/>
          <w:lang w:eastAsia="en-US"/>
        </w:rPr>
        <w:t xml:space="preserve">para </w:t>
      </w:r>
      <w:r w:rsidR="000F66AC">
        <w:rPr>
          <w:rFonts w:eastAsia="Calibri"/>
          <w:b/>
          <w:sz w:val="26"/>
          <w:szCs w:val="26"/>
          <w:lang w:eastAsia="en-US"/>
        </w:rPr>
        <w:t xml:space="preserve"> </w:t>
      </w:r>
      <w:r w:rsidRPr="00E9162D">
        <w:rPr>
          <w:rFonts w:eastAsia="Calibri"/>
          <w:b/>
          <w:sz w:val="26"/>
          <w:szCs w:val="26"/>
          <w:lang w:eastAsia="en-US"/>
        </w:rPr>
        <w:t xml:space="preserve">necesariamente </w:t>
      </w:r>
      <w:r w:rsidR="000F66AC">
        <w:rPr>
          <w:rFonts w:eastAsia="Calibri"/>
          <w:b/>
          <w:sz w:val="26"/>
          <w:szCs w:val="26"/>
          <w:lang w:eastAsia="en-US"/>
        </w:rPr>
        <w:t xml:space="preserve"> </w:t>
      </w:r>
      <w:r w:rsidRPr="00E9162D">
        <w:rPr>
          <w:rFonts w:eastAsia="Calibri"/>
          <w:b/>
          <w:sz w:val="26"/>
          <w:szCs w:val="26"/>
          <w:lang w:eastAsia="en-US"/>
        </w:rPr>
        <w:t xml:space="preserve">ser </w:t>
      </w:r>
      <w:r w:rsidR="000F66AC">
        <w:rPr>
          <w:rFonts w:eastAsia="Calibri"/>
          <w:b/>
          <w:sz w:val="26"/>
          <w:szCs w:val="26"/>
          <w:lang w:eastAsia="en-US"/>
        </w:rPr>
        <w:t xml:space="preserve"> </w:t>
      </w:r>
      <w:r w:rsidRPr="00E9162D">
        <w:rPr>
          <w:rFonts w:eastAsia="Calibri"/>
          <w:b/>
          <w:sz w:val="26"/>
          <w:szCs w:val="26"/>
          <w:lang w:eastAsia="en-US"/>
        </w:rPr>
        <w:t>competitivos</w:t>
      </w:r>
      <w:r w:rsidR="000F66AC">
        <w:rPr>
          <w:rFonts w:eastAsia="Calibri"/>
          <w:b/>
          <w:sz w:val="26"/>
          <w:szCs w:val="26"/>
          <w:lang w:eastAsia="en-US"/>
        </w:rPr>
        <w:t xml:space="preserve"> en</w:t>
      </w:r>
    </w:p>
    <w:p w:rsidR="00E9162D" w:rsidRPr="00E9162D" w:rsidRDefault="00E9162D" w:rsidP="00E9162D">
      <w:pPr>
        <w:spacing w:after="360" w:line="360" w:lineRule="auto"/>
        <w:ind w:right="-159"/>
        <w:jc w:val="both"/>
        <w:rPr>
          <w:rFonts w:eastAsia="Calibri"/>
          <w:b/>
          <w:sz w:val="26"/>
          <w:szCs w:val="26"/>
          <w:lang w:eastAsia="en-US"/>
        </w:rPr>
      </w:pPr>
      <w:r w:rsidRPr="00E9162D">
        <w:rPr>
          <w:rFonts w:eastAsia="Calibri"/>
          <w:b/>
          <w:sz w:val="26"/>
          <w:szCs w:val="26"/>
          <w:lang w:eastAsia="en-US"/>
        </w:rPr>
        <w:t>exportaciones (México ¿cómo vamos?)</w:t>
      </w:r>
    </w:p>
    <w:p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 xml:space="preserve">El 17 de marzo de 2015, </w:t>
      </w:r>
      <w:r w:rsidRPr="00E9162D">
        <w:rPr>
          <w:rFonts w:eastAsia="Calibri"/>
          <w:sz w:val="26"/>
          <w:szCs w:val="26"/>
          <w:lang w:val="es-ES" w:eastAsia="en-US"/>
        </w:rPr>
        <w:t xml:space="preserve">el observatorio económico </w:t>
      </w:r>
      <w:r w:rsidRPr="002C0B6D">
        <w:rPr>
          <w:rFonts w:eastAsia="Calibri"/>
          <w:sz w:val="26"/>
          <w:szCs w:val="26"/>
          <w:lang w:val="es-ES" w:eastAsia="en-US"/>
        </w:rPr>
        <w:t>México ¿cómo vamos?</w:t>
      </w:r>
      <w:r w:rsidRPr="00E9162D">
        <w:rPr>
          <w:rFonts w:eastAsia="Calibri"/>
          <w:sz w:val="26"/>
          <w:szCs w:val="26"/>
          <w:lang w:val="es-ES" w:eastAsia="en-US"/>
        </w:rPr>
        <w:t xml:space="preserve"> publicó</w:t>
      </w:r>
      <w:r w:rsidRPr="00E9162D">
        <w:rPr>
          <w:rFonts w:eastAsia="Calibri"/>
          <w:sz w:val="26"/>
          <w:szCs w:val="26"/>
          <w:lang w:eastAsia="en-US"/>
        </w:rPr>
        <w:t xml:space="preserve"> el artículo “Expertos opinan: Peso depreciado pero no tanto como para necesariamente ser competitivos en exportaciones”, en dónde señala que:</w:t>
      </w:r>
    </w:p>
    <w:p w:rsidR="00E9162D" w:rsidRPr="00E9162D" w:rsidRDefault="00E9162D" w:rsidP="00E9162D">
      <w:pPr>
        <w:numPr>
          <w:ilvl w:val="0"/>
          <w:numId w:val="139"/>
        </w:numPr>
        <w:spacing w:after="360" w:line="360" w:lineRule="auto"/>
        <w:ind w:left="568" w:right="-159" w:hanging="284"/>
        <w:jc w:val="both"/>
        <w:rPr>
          <w:rFonts w:eastAsia="Calibri"/>
          <w:sz w:val="26"/>
          <w:szCs w:val="26"/>
          <w:lang w:eastAsia="en-US"/>
        </w:rPr>
      </w:pPr>
      <w:r w:rsidRPr="00E9162D">
        <w:rPr>
          <w:rFonts w:eastAsia="Calibri"/>
          <w:sz w:val="26"/>
          <w:szCs w:val="26"/>
          <w:lang w:eastAsia="en-US"/>
        </w:rPr>
        <w:t>La depreciación del peso impulsa las exportaciones mexicanas al hacerlas comparativamente más económicas para compradores extranjeros sólo si el valor del peso es efectivamente más barato que otras monedas extranjeras contra las que competimos.</w:t>
      </w:r>
    </w:p>
    <w:p w:rsidR="00E9162D" w:rsidRPr="00E9162D" w:rsidRDefault="00E9162D" w:rsidP="00E9162D">
      <w:pPr>
        <w:numPr>
          <w:ilvl w:val="0"/>
          <w:numId w:val="139"/>
        </w:numPr>
        <w:spacing w:after="360" w:line="360" w:lineRule="auto"/>
        <w:ind w:left="568" w:right="-159" w:hanging="284"/>
        <w:jc w:val="both"/>
        <w:rPr>
          <w:rFonts w:eastAsia="Calibri"/>
          <w:sz w:val="26"/>
          <w:szCs w:val="26"/>
          <w:lang w:eastAsia="en-US"/>
        </w:rPr>
      </w:pPr>
      <w:r w:rsidRPr="00E9162D">
        <w:rPr>
          <w:rFonts w:eastAsia="Calibri"/>
          <w:sz w:val="26"/>
          <w:szCs w:val="26"/>
          <w:lang w:eastAsia="en-US"/>
        </w:rPr>
        <w:t xml:space="preserve">El impacto de la actual depreciación en favorecer la venta manufacturera es incierto ya que otras monedas competidoras se han devaluado aún más que el peso, señalan los expertos. </w:t>
      </w:r>
    </w:p>
    <w:p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Los expertos de México ¿cómo vamos? consideran que el impacto de la depreciación del tipo de cambio frente al dólar en el crecimiento económico esperado para 2015, dependerá de la depreciación del resto de las monedas a nivel global y del encarecimiento de los insumos para la producción nacional.</w:t>
      </w:r>
    </w:p>
    <w:p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Al ser cuestionados sobre cuál será el impacto del alto precio del dólar en la economía, el 70% de los expertos de México ¿cómo vamos? que fueron encuestados cree que el efecto del fortalecimiento del dólar es incierto ya que está en función de múltiples factores entre los que destacan la elasticidad de las exportaciones/importaciones; el precio del petróleo, o la devaluación de otras monedas, entre otros.</w:t>
      </w:r>
    </w:p>
    <w:p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 xml:space="preserve">Varios expertos destacaron que si bien el sector exportador se verá favorecido, ello no es la única variable a considerar. Jorge </w:t>
      </w:r>
      <w:proofErr w:type="spellStart"/>
      <w:r w:rsidRPr="00E9162D">
        <w:rPr>
          <w:rFonts w:eastAsia="Calibri"/>
          <w:sz w:val="26"/>
          <w:szCs w:val="26"/>
          <w:lang w:eastAsia="en-US"/>
        </w:rPr>
        <w:t>Basave</w:t>
      </w:r>
      <w:proofErr w:type="spellEnd"/>
      <w:r w:rsidRPr="00E9162D">
        <w:rPr>
          <w:rFonts w:eastAsia="Calibri"/>
          <w:sz w:val="26"/>
          <w:szCs w:val="26"/>
          <w:lang w:eastAsia="en-US"/>
        </w:rPr>
        <w:t xml:space="preserve">, investigador de la Facultad de Economía de la Universidad Nacional Autónoma de México (UNAM) y experto de México ¿cómo </w:t>
      </w:r>
      <w:r w:rsidRPr="00E9162D">
        <w:rPr>
          <w:rFonts w:eastAsia="Calibri"/>
          <w:sz w:val="26"/>
          <w:szCs w:val="26"/>
          <w:lang w:eastAsia="en-US"/>
        </w:rPr>
        <w:lastRenderedPageBreak/>
        <w:t xml:space="preserve">vamos?, consideró que “el encarecimiento del dólar favorece a los exportadores mexicanos en el momento en que la economía norteamericana incrementa su demanda” sin embargo notó que “el resultado final dependerá de otras variables”. Jonathan </w:t>
      </w:r>
      <w:proofErr w:type="spellStart"/>
      <w:r w:rsidRPr="00E9162D">
        <w:rPr>
          <w:rFonts w:eastAsia="Calibri"/>
          <w:sz w:val="26"/>
          <w:szCs w:val="26"/>
          <w:lang w:eastAsia="en-US"/>
        </w:rPr>
        <w:t>Heath</w:t>
      </w:r>
      <w:proofErr w:type="spellEnd"/>
      <w:r w:rsidRPr="00E9162D">
        <w:rPr>
          <w:rFonts w:eastAsia="Calibri"/>
          <w:sz w:val="26"/>
          <w:szCs w:val="26"/>
          <w:lang w:eastAsia="en-US"/>
        </w:rPr>
        <w:t>, analista económico y experto de México ¿cómo vamos?, coincidió en que “la depreciación ayudará al c</w:t>
      </w:r>
      <w:r w:rsidR="002C0B6D">
        <w:rPr>
          <w:rFonts w:eastAsia="Calibri"/>
          <w:sz w:val="26"/>
          <w:szCs w:val="26"/>
          <w:lang w:eastAsia="en-US"/>
        </w:rPr>
        <w:t>recimiento de las exportaciones”</w:t>
      </w:r>
      <w:r w:rsidRPr="00E9162D">
        <w:rPr>
          <w:rFonts w:eastAsia="Calibri"/>
          <w:sz w:val="26"/>
          <w:szCs w:val="26"/>
          <w:lang w:eastAsia="en-US"/>
        </w:rPr>
        <w:t xml:space="preserve">; sin embargo, precisó que “hará que aumente la inflación, reducirá el poder de compra de los salarios e impulsará aumentos en las tasas de interés, lo cual tendrá un efecto negativo en el consumo privado y la inversión privada”. En esta misma línea se pronunció Isaac </w:t>
      </w:r>
      <w:proofErr w:type="spellStart"/>
      <w:r w:rsidRPr="00E9162D">
        <w:rPr>
          <w:rFonts w:eastAsia="Calibri"/>
          <w:sz w:val="26"/>
          <w:szCs w:val="26"/>
          <w:lang w:eastAsia="en-US"/>
        </w:rPr>
        <w:t>Katz</w:t>
      </w:r>
      <w:proofErr w:type="spellEnd"/>
      <w:r w:rsidRPr="00E9162D">
        <w:rPr>
          <w:rFonts w:eastAsia="Calibri"/>
          <w:sz w:val="26"/>
          <w:szCs w:val="26"/>
          <w:lang w:eastAsia="en-US"/>
        </w:rPr>
        <w:t>, profesor del Instituto Tecnológico Autónomo de México (ITAM) y miembro de México ¿cómo vamos?, quien consideró que “favorece exportaciones pero encarece importación de insumos importados y de bienes de consumo con el efecto de una reducción en el ingreso real de los consumidores”.</w:t>
      </w:r>
    </w:p>
    <w:p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 xml:space="preserve">En particular, los expertos destacaron que la devaluación del peso debe ser analizada no sólo con respecto al dólar sino con respecto a otras monedas que compiten con el peso.  Rodrigo García </w:t>
      </w:r>
      <w:proofErr w:type="spellStart"/>
      <w:r w:rsidRPr="00E9162D">
        <w:rPr>
          <w:rFonts w:eastAsia="Calibri"/>
          <w:sz w:val="26"/>
          <w:szCs w:val="26"/>
          <w:lang w:eastAsia="en-US"/>
        </w:rPr>
        <w:t>Verdú</w:t>
      </w:r>
      <w:proofErr w:type="spellEnd"/>
      <w:r w:rsidRPr="00E9162D">
        <w:rPr>
          <w:rFonts w:eastAsia="Calibri"/>
          <w:sz w:val="26"/>
          <w:szCs w:val="26"/>
          <w:lang w:eastAsia="en-US"/>
        </w:rPr>
        <w:t>, experto del observatorio, enfatizó que “lo importante es qué le sucederá al tipo de cambio real efectivo (TCRE)” y cómo se compara con los países que tienen una canasta de exportaciones similar a la de México”</w:t>
      </w:r>
      <w:r w:rsidR="00154D5F">
        <w:rPr>
          <w:rFonts w:eastAsia="Calibri"/>
          <w:sz w:val="26"/>
          <w:szCs w:val="26"/>
          <w:lang w:eastAsia="en-US"/>
        </w:rPr>
        <w:t xml:space="preserve">. </w:t>
      </w:r>
      <w:r w:rsidRPr="00E9162D">
        <w:rPr>
          <w:rFonts w:eastAsia="Calibri"/>
          <w:sz w:val="26"/>
          <w:szCs w:val="26"/>
          <w:lang w:eastAsia="en-US"/>
        </w:rPr>
        <w:t xml:space="preserve"> En este sentido, el Director de Seguros Corporativos de GNP y especialista de México ¿cómo vamos?, señaló que “(..) muchas monedas se están devaluando contra el dólar, incluso más fuerte de lo que lo está haciendo el peso. Podría ser entonces que nos volviéramos, en términos relativos a otras monedas, más caros”. Al respecto, la directora del observatorio económico México ¿cómo vamos? destacó “El peso ha perdido menos valor que otras monedas lo que hace que en términos comparativos nuestras exportaciones no sean más baratas que las de otros países, pero en cambio sí encarece el consumo de bienes importados en dólares, incluidos insumos utilizados en la producción.”</w:t>
      </w:r>
    </w:p>
    <w:p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lastRenderedPageBreak/>
        <w:t>Por su parte</w:t>
      </w:r>
      <w:r w:rsidR="002C0B6D">
        <w:rPr>
          <w:rFonts w:eastAsia="Calibri"/>
          <w:sz w:val="26"/>
          <w:szCs w:val="26"/>
          <w:lang w:eastAsia="en-US"/>
        </w:rPr>
        <w:t>,</w:t>
      </w:r>
      <w:r w:rsidRPr="00E9162D">
        <w:rPr>
          <w:rFonts w:eastAsia="Calibri"/>
          <w:sz w:val="26"/>
          <w:szCs w:val="26"/>
          <w:lang w:eastAsia="en-US"/>
        </w:rPr>
        <w:t xml:space="preserve"> el 30%  de los expertos consideró que el fortalecimiento del dólar sí tendrá un impacto directo en el crecimiento económico, de los cuales el 60%  afirmaron que el impacto será negativo y el 40% que será positivo.</w:t>
      </w:r>
    </w:p>
    <w:p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 xml:space="preserve">Entre los que afirmaron que la depreciación del peso tendrá un efecto positivo para el crecimiento económico se encuentran Luis </w:t>
      </w:r>
      <w:proofErr w:type="spellStart"/>
      <w:r w:rsidRPr="00E9162D">
        <w:rPr>
          <w:rFonts w:eastAsia="Calibri"/>
          <w:sz w:val="26"/>
          <w:szCs w:val="26"/>
          <w:lang w:eastAsia="en-US"/>
        </w:rPr>
        <w:t>Foncerrada</w:t>
      </w:r>
      <w:proofErr w:type="spellEnd"/>
      <w:r w:rsidRPr="00E9162D">
        <w:rPr>
          <w:rFonts w:eastAsia="Calibri"/>
          <w:sz w:val="26"/>
          <w:szCs w:val="26"/>
          <w:lang w:eastAsia="en-US"/>
        </w:rPr>
        <w:t>, Director General del Centro de Estudios Económicos del Sector Privado (CEESP), y Manuel Molano, Director General Adjunto del Instituto Mexicano para la Competitividad A.C. (IMCO), señalaron que la depreciación puede ocasionar un efecto positivo sobre el crecimiento. El primero destacó que “la depreciación, siempre y cuando sea real, dará competitividad a la economía”; mientras que Manuel Molano dijo que, aunque la magnitud es incierta “debe estimular exportaciones que son una rama de actividad de alto crecimiento.”</w:t>
      </w:r>
    </w:p>
    <w:p w:rsidR="00E9162D" w:rsidRPr="00E9162D" w:rsidRDefault="00E9162D" w:rsidP="00E9162D">
      <w:pPr>
        <w:spacing w:after="360" w:line="360" w:lineRule="auto"/>
        <w:ind w:right="-159"/>
        <w:jc w:val="both"/>
        <w:rPr>
          <w:rFonts w:eastAsia="Calibri"/>
          <w:sz w:val="26"/>
          <w:szCs w:val="26"/>
          <w:lang w:eastAsia="en-US"/>
        </w:rPr>
      </w:pPr>
      <w:r w:rsidRPr="00E9162D">
        <w:rPr>
          <w:rFonts w:eastAsia="Calibri"/>
          <w:sz w:val="26"/>
          <w:szCs w:val="26"/>
          <w:lang w:eastAsia="en-US"/>
        </w:rPr>
        <w:t xml:space="preserve">Finalmente, entre los expertos que consideran que el alto valor del dólar afectará negativamente a la economía se encuentra Valeria </w:t>
      </w:r>
      <w:proofErr w:type="spellStart"/>
      <w:r w:rsidRPr="00E9162D">
        <w:rPr>
          <w:rFonts w:eastAsia="Calibri"/>
          <w:sz w:val="26"/>
          <w:szCs w:val="26"/>
          <w:lang w:eastAsia="en-US"/>
        </w:rPr>
        <w:t>Moy</w:t>
      </w:r>
      <w:proofErr w:type="spellEnd"/>
      <w:r w:rsidRPr="00E9162D">
        <w:rPr>
          <w:rFonts w:eastAsia="Calibri"/>
          <w:sz w:val="26"/>
          <w:szCs w:val="26"/>
          <w:lang w:eastAsia="en-US"/>
        </w:rPr>
        <w:t xml:space="preserve">, profesora del ITAM; y Jorge Suárez </w:t>
      </w:r>
      <w:proofErr w:type="spellStart"/>
      <w:r w:rsidRPr="00E9162D">
        <w:rPr>
          <w:rFonts w:eastAsia="Calibri"/>
          <w:sz w:val="26"/>
          <w:szCs w:val="26"/>
          <w:lang w:eastAsia="en-US"/>
        </w:rPr>
        <w:t>Velez</w:t>
      </w:r>
      <w:proofErr w:type="spellEnd"/>
      <w:r w:rsidRPr="00E9162D">
        <w:rPr>
          <w:rFonts w:eastAsia="Calibri"/>
          <w:sz w:val="26"/>
          <w:szCs w:val="26"/>
          <w:lang w:eastAsia="en-US"/>
        </w:rPr>
        <w:t xml:space="preserve">, Socio Fundador de SP </w:t>
      </w:r>
      <w:proofErr w:type="spellStart"/>
      <w:r w:rsidRPr="00E9162D">
        <w:rPr>
          <w:rFonts w:eastAsia="Calibri"/>
          <w:sz w:val="26"/>
          <w:szCs w:val="26"/>
          <w:lang w:eastAsia="en-US"/>
        </w:rPr>
        <w:t>Family</w:t>
      </w:r>
      <w:proofErr w:type="spellEnd"/>
      <w:r w:rsidRPr="00E9162D">
        <w:rPr>
          <w:rFonts w:eastAsia="Calibri"/>
          <w:sz w:val="26"/>
          <w:szCs w:val="26"/>
          <w:lang w:eastAsia="en-US"/>
        </w:rPr>
        <w:t xml:space="preserve"> Office. En palabras de </w:t>
      </w:r>
      <w:proofErr w:type="spellStart"/>
      <w:r w:rsidRPr="00E9162D">
        <w:rPr>
          <w:rFonts w:eastAsia="Calibri"/>
          <w:sz w:val="26"/>
          <w:szCs w:val="26"/>
          <w:lang w:eastAsia="en-US"/>
        </w:rPr>
        <w:t>Moy</w:t>
      </w:r>
      <w:proofErr w:type="spellEnd"/>
      <w:r w:rsidRPr="00E9162D">
        <w:rPr>
          <w:rFonts w:eastAsia="Calibri"/>
          <w:sz w:val="26"/>
          <w:szCs w:val="26"/>
          <w:lang w:eastAsia="en-US"/>
        </w:rPr>
        <w:t>, los ingresos fiscales que se dejarán de recibir, y los posibles recortes al gasto público consecuentes “ocasionarán un impacto negativo al crecimiento“. Por su parte, Suárez Vélez señaló que “en el caso del peso, es posible que veamos un entorno de tasas en pesos más altas, en parte para incrementar el atractivo de mantener ahorro en pesos, pero además porque un dólar más alto va a provocar más inflación”.</w:t>
      </w:r>
    </w:p>
    <w:p w:rsidR="00E9162D" w:rsidRPr="00E9162D" w:rsidRDefault="00E9162D" w:rsidP="00E9162D">
      <w:pPr>
        <w:jc w:val="both"/>
        <w:rPr>
          <w:rFonts w:eastAsia="Calibri"/>
          <w:b/>
          <w:sz w:val="20"/>
          <w:szCs w:val="26"/>
          <w:lang w:eastAsia="en-US"/>
        </w:rPr>
      </w:pPr>
      <w:r w:rsidRPr="00E9162D">
        <w:rPr>
          <w:rFonts w:eastAsia="Calibri"/>
          <w:b/>
          <w:sz w:val="20"/>
          <w:szCs w:val="26"/>
          <w:lang w:eastAsia="en-US"/>
        </w:rPr>
        <w:t>Fuente de información:</w:t>
      </w:r>
    </w:p>
    <w:p w:rsidR="00E9162D" w:rsidRPr="002C0B6D" w:rsidRDefault="004638E5" w:rsidP="002C0B6D">
      <w:pPr>
        <w:spacing w:after="720"/>
        <w:jc w:val="both"/>
        <w:rPr>
          <w:rFonts w:eastAsia="Calibri"/>
          <w:color w:val="0000FF"/>
          <w:sz w:val="20"/>
          <w:szCs w:val="20"/>
          <w:lang w:eastAsia="en-US"/>
        </w:rPr>
      </w:pPr>
      <w:hyperlink r:id="rId34" w:history="1">
        <w:r w:rsidR="00E9162D" w:rsidRPr="002C0B6D">
          <w:rPr>
            <w:rFonts w:eastAsia="Calibri"/>
            <w:color w:val="0000FF"/>
            <w:sz w:val="20"/>
            <w:szCs w:val="20"/>
            <w:u w:val="single"/>
            <w:lang w:eastAsia="en-US"/>
          </w:rPr>
          <w:t>http://www.mexicocomovamos.mx/expertos-opinan-peso-depreciado-pero-no-tanto-como-para-necesariamente-ser-competitivos-en-exportaciones/</w:t>
        </w:r>
      </w:hyperlink>
      <w:r w:rsidR="00E9162D" w:rsidRPr="002C0B6D">
        <w:rPr>
          <w:rFonts w:eastAsia="Calibri"/>
          <w:color w:val="0000FF"/>
          <w:sz w:val="20"/>
          <w:szCs w:val="20"/>
          <w:lang w:eastAsia="en-US"/>
        </w:rPr>
        <w:t xml:space="preserve"> </w:t>
      </w:r>
    </w:p>
    <w:p w:rsidR="0059571E" w:rsidRPr="0059571E" w:rsidRDefault="0059571E" w:rsidP="0059571E">
      <w:pPr>
        <w:spacing w:after="360" w:line="360" w:lineRule="auto"/>
        <w:ind w:right="-159"/>
        <w:jc w:val="both"/>
        <w:rPr>
          <w:rFonts w:eastAsia="Times New Roman"/>
          <w:b/>
          <w:bCs/>
          <w:sz w:val="26"/>
          <w:szCs w:val="26"/>
          <w:lang w:val="es-ES"/>
        </w:rPr>
      </w:pPr>
      <w:r w:rsidRPr="0059571E">
        <w:rPr>
          <w:rFonts w:eastAsia="Times New Roman"/>
          <w:b/>
          <w:bCs/>
          <w:sz w:val="26"/>
          <w:szCs w:val="26"/>
          <w:lang w:val="es-ES"/>
        </w:rPr>
        <w:t>Declaración Conjunta México–Reino Unido (SCT)</w:t>
      </w:r>
    </w:p>
    <w:p w:rsidR="0059571E" w:rsidRPr="0059571E" w:rsidRDefault="0059571E" w:rsidP="0059571E">
      <w:pPr>
        <w:spacing w:after="360" w:line="360" w:lineRule="auto"/>
        <w:ind w:right="-159"/>
        <w:jc w:val="both"/>
        <w:rPr>
          <w:rFonts w:eastAsia="Times New Roman"/>
          <w:bCs/>
          <w:sz w:val="26"/>
          <w:szCs w:val="26"/>
          <w:lang w:val="es-ES"/>
        </w:rPr>
      </w:pPr>
      <w:r w:rsidRPr="0059571E">
        <w:rPr>
          <w:rFonts w:eastAsia="Times New Roman"/>
          <w:bCs/>
          <w:sz w:val="26"/>
          <w:szCs w:val="26"/>
          <w:lang w:val="es-ES"/>
        </w:rPr>
        <w:t xml:space="preserve">El 4 de marzo de 2015, la Secretaría de Comunicaciones y Transporte (SCT) publicó la Declaración Conjunta del Secretario de Relaciones Exteriores de los Estados Unidos </w:t>
      </w:r>
      <w:r w:rsidRPr="0059571E">
        <w:rPr>
          <w:rFonts w:eastAsia="Times New Roman"/>
          <w:bCs/>
          <w:sz w:val="26"/>
          <w:szCs w:val="26"/>
          <w:lang w:val="es-ES"/>
        </w:rPr>
        <w:lastRenderedPageBreak/>
        <w:t>Mexicanos y del Secretario de Estado para Asuntos Exteriores y de la Commonwealth del Reino Unido de la Gran Bretaña e Irlanda Del Norte, con motivo de la visita de estado al Reino Unido del Presidente de los Estados Unidos Mexicanos. A continuación se presenta los detalles del evento.</w:t>
      </w:r>
    </w:p>
    <w:p w:rsidR="0059571E" w:rsidRPr="0059571E" w:rsidRDefault="0059571E" w:rsidP="0059571E">
      <w:pPr>
        <w:spacing w:after="360" w:line="360" w:lineRule="auto"/>
        <w:ind w:right="-159"/>
        <w:jc w:val="both"/>
        <w:rPr>
          <w:rFonts w:eastAsia="Times New Roman"/>
          <w:bCs/>
          <w:sz w:val="26"/>
          <w:szCs w:val="26"/>
          <w:lang w:val="es-ES"/>
        </w:rPr>
      </w:pPr>
      <w:r w:rsidRPr="0059571E">
        <w:rPr>
          <w:rFonts w:eastAsia="Times New Roman"/>
          <w:bCs/>
          <w:sz w:val="26"/>
          <w:szCs w:val="26"/>
          <w:lang w:val="es-ES"/>
        </w:rPr>
        <w:t>Con motivo de la Visita de Estado del Presidente de los Estados Unidos Mexicanos al Reino Unido, del 3 al 5 de marzo de 2015, el Secretario de Relaciones Exteriores de los Estados Unidos Mexicanos y el Secretario de Estado para Asuntos Exteriores y de la Commonwealth del Reino Unido de la Gran Bretaña e Irlanda del Norte adoptaron la siguiente declaración conjunta:</w:t>
      </w:r>
    </w:p>
    <w:p w:rsidR="0059571E" w:rsidRPr="0059571E" w:rsidRDefault="0059571E" w:rsidP="0059571E">
      <w:pPr>
        <w:spacing w:after="360" w:line="360" w:lineRule="auto"/>
        <w:ind w:right="-159"/>
        <w:jc w:val="both"/>
        <w:rPr>
          <w:rFonts w:eastAsia="Times New Roman"/>
          <w:b/>
          <w:bCs/>
          <w:sz w:val="26"/>
          <w:szCs w:val="26"/>
          <w:lang w:val="es-ES"/>
        </w:rPr>
      </w:pPr>
      <w:r w:rsidRPr="0059571E">
        <w:rPr>
          <w:rFonts w:eastAsia="Times New Roman"/>
          <w:b/>
          <w:bCs/>
          <w:sz w:val="26"/>
          <w:szCs w:val="26"/>
          <w:lang w:val="es-ES"/>
        </w:rPr>
        <w:t>Diálogo político</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Nosotros afirmamos y renovamos nuestro compromiso con una relación sólida y multifacética, reconociendo que esta Visita de Estado del Presidente de México al Reino Unido es un importante hito en el desarrollo de nuestra creciente asociación tanto en el ámbito bilateral como multilateral.</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Reconocemos que nuestras relaciones bilaterales se encuentran en un excelente nivel, como lo demuestran los continuos contactos políticos, económicos, de inversión, culturales y académicos entre nuestras naciones, así como nuestra estrecha cooperación en los foros internacionales.</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En el marco de este espíritu de cooperación y amistad nos comprometemos a seguir fortaleciendo las relaciones bilaterales y continuar trabajando para identificar nuevas áreas de colaboración, con objeto de aumentar y promover contactos entre nuestros gobiernos, empresas, instituciones y la sociedad civil en beneficio de nuestros pueblos.</w:t>
      </w:r>
    </w:p>
    <w:p w:rsidR="00CB7B3D" w:rsidRDefault="00CB7B3D" w:rsidP="0059571E">
      <w:pPr>
        <w:spacing w:after="360" w:line="360" w:lineRule="auto"/>
        <w:ind w:right="-159"/>
        <w:jc w:val="both"/>
        <w:rPr>
          <w:rFonts w:eastAsia="Times New Roman"/>
          <w:b/>
          <w:bCs/>
          <w:sz w:val="26"/>
          <w:szCs w:val="26"/>
          <w:lang w:val="es-ES"/>
        </w:rPr>
      </w:pPr>
    </w:p>
    <w:p w:rsidR="0059571E" w:rsidRPr="0059571E" w:rsidRDefault="0059571E" w:rsidP="0059571E">
      <w:pPr>
        <w:spacing w:after="360" w:line="360" w:lineRule="auto"/>
        <w:ind w:right="-159"/>
        <w:jc w:val="both"/>
        <w:rPr>
          <w:rFonts w:eastAsia="Times New Roman"/>
          <w:b/>
          <w:bCs/>
          <w:sz w:val="26"/>
          <w:szCs w:val="26"/>
          <w:lang w:val="es-ES"/>
        </w:rPr>
      </w:pPr>
      <w:r w:rsidRPr="0059571E">
        <w:rPr>
          <w:rFonts w:eastAsia="Times New Roman"/>
          <w:b/>
          <w:bCs/>
          <w:sz w:val="26"/>
          <w:szCs w:val="26"/>
          <w:lang w:val="es-ES"/>
        </w:rPr>
        <w:lastRenderedPageBreak/>
        <w:t>Diálogo económico, comercio e inversión</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 xml:space="preserve">Reafirmamos la importancia de las Pláticas Económicas de Alto Nivel y del Grupo de Trabajo sobre Comercio en la promoción del diálogo económico abierto para impulsar un mayor interés en los productos y servicios de los dos países, contribuyendo así al crecimiento económico interno y al logro de nuestro objetivo de incrementar el comercio bilateral. En este contexto, la Tesorería de Su Majestad (HM </w:t>
      </w:r>
      <w:proofErr w:type="spellStart"/>
      <w:r w:rsidRPr="0059571E">
        <w:rPr>
          <w:rFonts w:eastAsia="Times New Roman"/>
          <w:bCs/>
          <w:sz w:val="26"/>
          <w:szCs w:val="26"/>
          <w:lang w:val="es-ES"/>
        </w:rPr>
        <w:t>Treasury</w:t>
      </w:r>
      <w:proofErr w:type="spellEnd"/>
      <w:r w:rsidRPr="0059571E">
        <w:rPr>
          <w:rFonts w:eastAsia="Times New Roman"/>
          <w:bCs/>
          <w:sz w:val="26"/>
          <w:szCs w:val="26"/>
          <w:lang w:val="es-ES"/>
        </w:rPr>
        <w:t>) y la Secretaría de Hacienda y Crédito Público compartirán conocimientos en áreas de interés común, entre las que se encuentran las relacionadas con la inversión en infraestructura y servicios de seguros. La próxima edición de las Pláticas Económicas de Alto Nivel y del Grupo de Trabajo sobre Comercio se llevará a cabo en julio de 2015.</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 xml:space="preserve">Se promoverá aún más el comercio y la inversión mediante el establecimiento del Grupo de Alto Nivel Empresarial México-Reino Unido, cuya primera reunión se llevó a cabo hoy, 4 de marzo de 2015, en el Palacio de Buckingham, con la presencia del Presidente de los Estados Unidos Mexicanos, Enrique Peña Nieto y del Vice Primer Ministro del Reino Unido, Nick </w:t>
      </w:r>
      <w:proofErr w:type="spellStart"/>
      <w:r w:rsidRPr="0059571E">
        <w:rPr>
          <w:rFonts w:eastAsia="Times New Roman"/>
          <w:bCs/>
          <w:sz w:val="26"/>
          <w:szCs w:val="26"/>
          <w:lang w:val="es-ES"/>
        </w:rPr>
        <w:t>Clegg</w:t>
      </w:r>
      <w:proofErr w:type="spellEnd"/>
      <w:r w:rsidRPr="0059571E">
        <w:rPr>
          <w:rFonts w:eastAsia="Times New Roman"/>
          <w:bCs/>
          <w:sz w:val="26"/>
          <w:szCs w:val="26"/>
          <w:lang w:val="es-ES"/>
        </w:rPr>
        <w:t>.</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 xml:space="preserve">Trabajamos en estrecha colaboración en el Grupo de los 20, la Organización para la Cooperación y el Desarrollo Económicos (OCDE) y la Organización Mundial de Comercio (OMC) en la promoción de una economía global abierta y transparente. Esto incluye los resultados de la Cumbre del G8 celebrada en </w:t>
      </w:r>
      <w:proofErr w:type="spellStart"/>
      <w:r w:rsidRPr="0059571E">
        <w:rPr>
          <w:rFonts w:eastAsia="Times New Roman"/>
          <w:bCs/>
          <w:sz w:val="26"/>
          <w:szCs w:val="26"/>
          <w:lang w:val="es-ES"/>
        </w:rPr>
        <w:t>Lough</w:t>
      </w:r>
      <w:proofErr w:type="spellEnd"/>
      <w:r w:rsidRPr="0059571E">
        <w:rPr>
          <w:rFonts w:eastAsia="Times New Roman"/>
          <w:bCs/>
          <w:sz w:val="26"/>
          <w:szCs w:val="26"/>
          <w:lang w:val="es-ES"/>
        </w:rPr>
        <w:t xml:space="preserve"> </w:t>
      </w:r>
      <w:proofErr w:type="spellStart"/>
      <w:r w:rsidRPr="0059571E">
        <w:rPr>
          <w:rFonts w:eastAsia="Times New Roman"/>
          <w:bCs/>
          <w:sz w:val="26"/>
          <w:szCs w:val="26"/>
          <w:lang w:val="es-ES"/>
        </w:rPr>
        <w:t>Erne</w:t>
      </w:r>
      <w:proofErr w:type="spellEnd"/>
      <w:r w:rsidRPr="0059571E">
        <w:rPr>
          <w:rFonts w:eastAsia="Times New Roman"/>
          <w:bCs/>
          <w:sz w:val="26"/>
          <w:szCs w:val="26"/>
          <w:lang w:val="es-ES"/>
        </w:rPr>
        <w:t>, Irlanda del Norte, en 2013, en materia de impuestos, transparencia y comercio, así como las recomendaciones que establece el Plan de Acción del G20 y la OCDE sobre la evasión fiscal por parte de empresas multinacionales y la puesta en operación de los estándares de la Fuerza de Tarea Financiera (FATF, por sus siglas en inglés), incluyendo la propiedad efectiva.</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lastRenderedPageBreak/>
        <w:t>El Reino Unido se convirtió en uno de los países que se encuentran implementando la Iniciativa de Transparencia para las Industrias Extractivas (EITI, por sus siglas en inglés) en 2014, y México está preparando su candidatura para unirse a esta iniciativa. Ambos países reconocen la importancia de desarrollar estándares globales comunes y compartir mejores prácticas para elevar los niveles de transparencia y rendición de cuentas en el aprovechamiento de los recursos naturales, por ello seguiremos colaborando para compartir información y experiencias en el marco de la EITI.</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El Gobierno del Reino Unido reitera que es un fuerte promotor en la Unión Europea de la modernización del Acuerdo de Asociación Económica, Concertación Política y Cooperación entre la Unión Europea y México (Acuerdo Global).</w:t>
      </w:r>
    </w:p>
    <w:p w:rsidR="0059571E" w:rsidRPr="0059571E" w:rsidRDefault="0059571E" w:rsidP="0059571E">
      <w:pPr>
        <w:spacing w:after="360" w:line="360" w:lineRule="auto"/>
        <w:ind w:right="-159"/>
        <w:jc w:val="both"/>
        <w:rPr>
          <w:rFonts w:eastAsia="Times New Roman"/>
          <w:b/>
          <w:bCs/>
          <w:sz w:val="26"/>
          <w:szCs w:val="26"/>
          <w:lang w:val="es-ES"/>
        </w:rPr>
      </w:pPr>
      <w:r w:rsidRPr="0059571E">
        <w:rPr>
          <w:rFonts w:eastAsia="Times New Roman"/>
          <w:b/>
          <w:bCs/>
          <w:sz w:val="26"/>
          <w:szCs w:val="26"/>
          <w:lang w:val="es-ES"/>
        </w:rPr>
        <w:t>Cultura y educación</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México y el Reino Unido comparten sólidos vínculos. El Año Dual de México en el Reino Unido en 2015, fortalecerá los actuales nexos y contribuirá a la creación de nuevos contactos en las áreas de cultura, artes, educación, ciencia, innovación, comercio, inversión y turismo. El sector de las artes y la cultura celebrará el patrimonio histórico, la expresión contemporánea y la diversidad social en ambos países. Hay un extenso programa de eventos que mostrará lo mejor de las artes, la cultura, las industrias creativas y la gastronomía del Reino Unido en México y de México en el Reino Unido. Promoveremos nuevos proyectos de colaboración, así como estrategias innovadoras en este sector. Acogemos con agrado la participación de artistas y expertos británicos y mexicanos en las actividades del Año Dual, así como las grandes exposiciones, eventos y proyectos conjuntos que se realizarán para promover un mejor entendimiento de la vibrante cultura contemporánea y la riqueza del patrimonio cultural de ambas naciones.</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lastRenderedPageBreak/>
        <w:t xml:space="preserve">Como parte del Año Dual, nuestros Gobiernos han acordado impulsar un mayor conocimiento de la riqueza cultural de México en el Reino Unido. En este contexto, recibimos con beneplácito el trabajo del British Council, a través de la </w:t>
      </w:r>
      <w:proofErr w:type="spellStart"/>
      <w:r w:rsidRPr="0059571E">
        <w:rPr>
          <w:rFonts w:eastAsia="Times New Roman"/>
          <w:bCs/>
          <w:sz w:val="26"/>
          <w:szCs w:val="26"/>
          <w:lang w:val="es-ES"/>
        </w:rPr>
        <w:t>Poetry</w:t>
      </w:r>
      <w:proofErr w:type="spellEnd"/>
      <w:r w:rsidRPr="0059571E">
        <w:rPr>
          <w:rFonts w:eastAsia="Times New Roman"/>
          <w:bCs/>
          <w:sz w:val="26"/>
          <w:szCs w:val="26"/>
          <w:lang w:val="es-ES"/>
        </w:rPr>
        <w:t xml:space="preserve"> </w:t>
      </w:r>
      <w:proofErr w:type="spellStart"/>
      <w:r w:rsidRPr="0059571E">
        <w:rPr>
          <w:rFonts w:eastAsia="Times New Roman"/>
          <w:bCs/>
          <w:sz w:val="26"/>
          <w:szCs w:val="26"/>
          <w:lang w:val="es-ES"/>
        </w:rPr>
        <w:t>Society</w:t>
      </w:r>
      <w:proofErr w:type="spellEnd"/>
      <w:r w:rsidRPr="0059571E">
        <w:rPr>
          <w:rFonts w:eastAsia="Times New Roman"/>
          <w:bCs/>
          <w:sz w:val="26"/>
          <w:szCs w:val="26"/>
          <w:lang w:val="es-ES"/>
        </w:rPr>
        <w:t>, para la promoción activa de la cultura mexicana y la enseñanza de la lengua española en las escuelas británicas. Más aún, recibimos con agrado la firma del Convenio entre la Secretaría de Educación Pública de México y la Universidad de Oxford para Financiar una Cátedra Asociada en Literatura Hispanoamericana, así como de la Declaración Conjunta de Intención entre el Consejo Nacional de Ciencia y Tecnología de México (CONACYT) y la Universidad de Oxford.</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Impulsaremos nuestro compromiso de propiciar un mayor diálogo entre estudiantes y académicos de los dos países. Lo anterior incluye la firma de una Carta de Intención entre la Secretaría de Relaciones Exteriores de México y el Departamento de Negocios, Innovación y Habilidades del Reino Unido y para el establecimiento de una “Cátedra Itinerante México-Reino Unido” para promover la colaboración en educación superior. Lo anterior facilitará la movilidad académica entre ambos países y la investigación de vanguardia entre universidades mexicanas y británicas, con el apoyo de la iniciativa conjunta Reino Unido-México del Fondo Newton de 24 millones de libras esterlinas, el cual ofrece una plataforma de cooperación en programas de investigación e innovación para los próximos tres años.</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 xml:space="preserve">La cooperación durante el Año Dual en los campos de educación, ciencia e innovación fomentará la colaboración académica y las asociaciones de largo plazo, ampliando el acceso al conocimiento y la investigación. Por lo anterior, durante esta Visita de Estado nuestros Gobiernos firmaron el Acuerdo sobre Reconocimiento Mutuo de Estudios, Títulos, Diplomas y Grados Académicos de </w:t>
      </w:r>
      <w:r w:rsidRPr="0059571E">
        <w:rPr>
          <w:rFonts w:eastAsia="Times New Roman"/>
          <w:bCs/>
          <w:sz w:val="26"/>
          <w:szCs w:val="26"/>
          <w:lang w:val="es-ES"/>
        </w:rPr>
        <w:lastRenderedPageBreak/>
        <w:t>Educación Superior, lo que beneficiará a alrededor de 170 mil personas altamente calificadas.</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 xml:space="preserve">Recibimos con beneplácito el aumento en los intercambios de estudiantes entre ambos países. México acoge con agrado el incremento de 20 a 100 becas </w:t>
      </w:r>
      <w:proofErr w:type="spellStart"/>
      <w:r w:rsidRPr="0059571E">
        <w:rPr>
          <w:rFonts w:eastAsia="Times New Roman"/>
          <w:bCs/>
          <w:sz w:val="26"/>
          <w:szCs w:val="26"/>
          <w:lang w:val="es-ES"/>
        </w:rPr>
        <w:t>Chevening</w:t>
      </w:r>
      <w:proofErr w:type="spellEnd"/>
      <w:r w:rsidRPr="0059571E">
        <w:rPr>
          <w:rFonts w:eastAsia="Times New Roman"/>
          <w:bCs/>
          <w:sz w:val="26"/>
          <w:szCs w:val="26"/>
          <w:lang w:val="es-ES"/>
        </w:rPr>
        <w:t xml:space="preserve"> que ofrece el Ministerio para Asuntos Exteriores y de la Commonwealth del Reino Unido a estudiantes mexicanos, incluyendo un número específico para atender las prioridades de la Alianza del Pacífico, con el apoyo de una amplia gama de copatrocinadores de los sectores público y privado. El Reino Unido recibe con agrado las 20 becas otorgadas por el Gobierno de México a estudiantes británicos.</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En este contexto, seguiremos colaborando para facilitar el proceso de expedición de visas para intercambio académico entre nuestros países. A través del trabajo con socios clave en el sector educativo, el Reino Unido lanzará un amplio programa de información para apoyar a los solicitantes mexicanos de visa a cumplir adecuadamente con los requisitos del sistema de expedición de visas del Reino Unido. Igualmente, el Reino Unido otorgará más apoyos a los estudiantes patrocinados por el Gobierno mexicano a través del CONACYT, designando funcionarios de contacto y un programa especial de citas, con objeto de aminorar la presión en épocas de gran demanda.</w:t>
      </w:r>
    </w:p>
    <w:p w:rsidR="0059571E" w:rsidRPr="0059571E" w:rsidRDefault="0059571E" w:rsidP="0059571E">
      <w:pPr>
        <w:spacing w:after="360" w:line="360" w:lineRule="auto"/>
        <w:ind w:right="-159"/>
        <w:jc w:val="both"/>
        <w:rPr>
          <w:rFonts w:eastAsia="Times New Roman"/>
          <w:b/>
          <w:bCs/>
          <w:sz w:val="26"/>
          <w:szCs w:val="26"/>
          <w:lang w:val="es-ES"/>
        </w:rPr>
      </w:pPr>
      <w:r w:rsidRPr="0059571E">
        <w:rPr>
          <w:rFonts w:eastAsia="Times New Roman"/>
          <w:b/>
          <w:bCs/>
          <w:sz w:val="26"/>
          <w:szCs w:val="26"/>
          <w:lang w:val="es-ES"/>
        </w:rPr>
        <w:t>Turismo</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 xml:space="preserve">El Reino Unido es el mercado turístico más importante para México en Europa, en tanto que para el Reino Unido, México representa su segundo mayor mercado en Latinoamérica. Reconociendo la importancia del turismo y su impacto económico y social, así como el liderazgo de ambos países en ese sector, la Secretaría de Turismo de México y el Departamento de Cultura, Medios y Deportes del Reino Unido firmaron un Programa Específico de Cooperación 2015-2016. Este </w:t>
      </w:r>
      <w:r w:rsidRPr="0059571E">
        <w:rPr>
          <w:rFonts w:eastAsia="Times New Roman"/>
          <w:bCs/>
          <w:sz w:val="26"/>
          <w:szCs w:val="26"/>
          <w:lang w:val="es-ES"/>
        </w:rPr>
        <w:lastRenderedPageBreak/>
        <w:t>programa fortalecerá la cooperación bilateral por medio del intercambio de experiencias y mejores prácticas en áreas como competitividad, capacitación y educación, y sustentabilidad, para el cual se llevará a cabo una serie de actividades de cooperación y promoción.</w:t>
      </w:r>
    </w:p>
    <w:p w:rsidR="0059571E" w:rsidRPr="0059571E" w:rsidRDefault="0059571E" w:rsidP="0059571E">
      <w:pPr>
        <w:spacing w:after="360" w:line="360" w:lineRule="auto"/>
        <w:ind w:right="-159"/>
        <w:jc w:val="both"/>
        <w:rPr>
          <w:rFonts w:eastAsia="Times New Roman"/>
          <w:b/>
          <w:bCs/>
          <w:sz w:val="26"/>
          <w:szCs w:val="26"/>
          <w:lang w:val="es-ES"/>
        </w:rPr>
      </w:pPr>
      <w:r w:rsidRPr="0059571E">
        <w:rPr>
          <w:rFonts w:eastAsia="Times New Roman"/>
          <w:b/>
          <w:bCs/>
          <w:sz w:val="26"/>
          <w:szCs w:val="26"/>
          <w:lang w:val="es-ES"/>
        </w:rPr>
        <w:t>Energía</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La Secretaría de Energía de México y el Departamento de Energía y Cambio Climático del Reino Unido firmarán un Memorándum de Entendimiento sobre Cooperación en el Sector Energético. Ambos países son plenamente conscientes de la necesidad de transitar rápidamente hacia una economía baja en carbono y al mismo tiempo desarrollar nuestros recursos energéticos para impulsar la prosperidad económica. Promoveremos y alentaremos a las empresas británicas y mexicanas, así como a las instituciones académicas, para enfrentar estos retos que compartimos en el contexto de la reforma del sector energético y la transición hacia una economía baja en carbono.</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Durante la Visita de Estado, el 5 de marzo, se presentará en la ciudad de Aberdeen una nueva herramienta para que en México se explore una amplia gama de escenarios de energía y emisiones de carbono, llamada “Calculadora México 2050”, que ha sido adaptada de la propia Calculadora 2050 del Reino Unido.</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Petróleos Mexicanos y el Departamento de Garantías de Créditos para la Exportación del Reino Unido firmarán un Memorándum de Entendimiento para una nueva línea de crédito con un valor de hasta un mil millones de dólares estadounidenses para financiar adquisiciones de bienes de capital y servicios proporcionados por empresas que realicen negocios en el Reino Unido. Este crédito impulsará el desarrollo del sector energético en México, así como las opciones de financiamiento de P</w:t>
      </w:r>
      <w:r w:rsidR="007929F6">
        <w:rPr>
          <w:rFonts w:eastAsia="Times New Roman"/>
          <w:bCs/>
          <w:sz w:val="26"/>
          <w:szCs w:val="26"/>
          <w:lang w:val="es-ES"/>
        </w:rPr>
        <w:t>emex</w:t>
      </w:r>
      <w:r w:rsidRPr="0059571E">
        <w:rPr>
          <w:rFonts w:eastAsia="Times New Roman"/>
          <w:bCs/>
          <w:sz w:val="26"/>
          <w:szCs w:val="26"/>
          <w:lang w:val="es-ES"/>
        </w:rPr>
        <w:t>.</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lastRenderedPageBreak/>
        <w:t>Adicionalmente, Petróleos Mexicanos y la Universidad de Aberdeen firmarán un Memorándum de Entendimiento, cuyo objetivo es la capacitación y el intercambio académico para mejorar los recursos humanos y construir una relación sólida entre la Universidad de P</w:t>
      </w:r>
      <w:r w:rsidR="007929F6">
        <w:rPr>
          <w:rFonts w:eastAsia="Times New Roman"/>
          <w:bCs/>
          <w:sz w:val="26"/>
          <w:szCs w:val="26"/>
          <w:lang w:val="es-ES"/>
        </w:rPr>
        <w:t>emex</w:t>
      </w:r>
      <w:r w:rsidRPr="0059571E">
        <w:rPr>
          <w:rFonts w:eastAsia="Times New Roman"/>
          <w:bCs/>
          <w:sz w:val="26"/>
          <w:szCs w:val="26"/>
          <w:lang w:val="es-ES"/>
        </w:rPr>
        <w:t xml:space="preserve"> y la Universidad de Aberdeen.</w:t>
      </w:r>
    </w:p>
    <w:p w:rsidR="0059571E" w:rsidRPr="0059571E" w:rsidRDefault="0059571E" w:rsidP="0059571E">
      <w:pPr>
        <w:spacing w:after="360" w:line="360" w:lineRule="auto"/>
        <w:ind w:right="-159"/>
        <w:jc w:val="both"/>
        <w:rPr>
          <w:rFonts w:eastAsia="Times New Roman"/>
          <w:b/>
          <w:bCs/>
          <w:sz w:val="26"/>
          <w:szCs w:val="26"/>
          <w:lang w:val="es-ES"/>
        </w:rPr>
      </w:pPr>
      <w:r w:rsidRPr="0059571E">
        <w:rPr>
          <w:rFonts w:eastAsia="Times New Roman"/>
          <w:b/>
          <w:bCs/>
          <w:sz w:val="26"/>
          <w:szCs w:val="26"/>
          <w:lang w:val="es-ES"/>
        </w:rPr>
        <w:t>Defensa y seguridad</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 xml:space="preserve">Valoramos en gran medida nuestra cooperación en seguridad y defensa, la cual comprende el intercambio de conocimientos, experiencias y personal. México da la bienvenida a los buques de la Armada Británica que realizan visitas operacionales al país, como fue la visita HMS Argyll en 2014, ya que esto brinda la oportunidad de compartir experiencias y realizar prácticas conjuntas. El Reino Unido da la bienvenida a la próxima visita del Buque-Escuela Cuauhtémoc como una actividad más para estrechar las relaciones entre las Armadas de ambos países. Asimismo, vemos con agrado la posibilidad de que el General Salvador Cienfuegos Zepeda, Secretario de la Defensa Nacional, y el Almirante Vidal Francisco </w:t>
      </w:r>
      <w:proofErr w:type="spellStart"/>
      <w:r w:rsidRPr="0059571E">
        <w:rPr>
          <w:rFonts w:eastAsia="Times New Roman"/>
          <w:bCs/>
          <w:sz w:val="26"/>
          <w:szCs w:val="26"/>
          <w:lang w:val="es-ES"/>
        </w:rPr>
        <w:t>Soberón</w:t>
      </w:r>
      <w:proofErr w:type="spellEnd"/>
      <w:r w:rsidRPr="0059571E">
        <w:rPr>
          <w:rFonts w:eastAsia="Times New Roman"/>
          <w:bCs/>
          <w:sz w:val="26"/>
          <w:szCs w:val="26"/>
          <w:lang w:val="es-ES"/>
        </w:rPr>
        <w:t xml:space="preserve"> Sanz, Secretario de Marina, realicen una visita al Reino Unido en este año, para explorar nuevas oportunidades de colaboración entre las fuerzas armadas. También nos congratulamos por la posibilidad de que las fuerzas armadas de México y del Reino Unido continúen realizando intercambios de estudiantes entre sus respectivos centros de estudios superiores tales como la Escuela Superior de Guerra y el Royal </w:t>
      </w:r>
      <w:proofErr w:type="spellStart"/>
      <w:r w:rsidRPr="0059571E">
        <w:rPr>
          <w:rFonts w:eastAsia="Times New Roman"/>
          <w:bCs/>
          <w:sz w:val="26"/>
          <w:szCs w:val="26"/>
          <w:lang w:val="es-ES"/>
        </w:rPr>
        <w:t>College</w:t>
      </w:r>
      <w:proofErr w:type="spellEnd"/>
      <w:r w:rsidRPr="0059571E">
        <w:rPr>
          <w:rFonts w:eastAsia="Times New Roman"/>
          <w:bCs/>
          <w:sz w:val="26"/>
          <w:szCs w:val="26"/>
          <w:lang w:val="es-ES"/>
        </w:rPr>
        <w:t xml:space="preserve"> of </w:t>
      </w:r>
      <w:proofErr w:type="spellStart"/>
      <w:r w:rsidRPr="0059571E">
        <w:rPr>
          <w:rFonts w:eastAsia="Times New Roman"/>
          <w:bCs/>
          <w:sz w:val="26"/>
          <w:szCs w:val="26"/>
          <w:lang w:val="es-ES"/>
        </w:rPr>
        <w:t>Defence</w:t>
      </w:r>
      <w:proofErr w:type="spellEnd"/>
      <w:r w:rsidRPr="0059571E">
        <w:rPr>
          <w:rFonts w:eastAsia="Times New Roman"/>
          <w:bCs/>
          <w:sz w:val="26"/>
          <w:szCs w:val="26"/>
          <w:lang w:val="es-ES"/>
        </w:rPr>
        <w:t xml:space="preserve"> </w:t>
      </w:r>
      <w:proofErr w:type="spellStart"/>
      <w:r w:rsidRPr="0059571E">
        <w:rPr>
          <w:rFonts w:eastAsia="Times New Roman"/>
          <w:bCs/>
          <w:sz w:val="26"/>
          <w:szCs w:val="26"/>
          <w:lang w:val="es-ES"/>
        </w:rPr>
        <w:t>Studies</w:t>
      </w:r>
      <w:proofErr w:type="spellEnd"/>
      <w:r w:rsidRPr="0059571E">
        <w:rPr>
          <w:rFonts w:eastAsia="Times New Roman"/>
          <w:bCs/>
          <w:sz w:val="26"/>
          <w:szCs w:val="26"/>
          <w:lang w:val="es-ES"/>
        </w:rPr>
        <w:t>.</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 xml:space="preserve">Acogemos con agrado el trabajo para fortalecer nuestras relaciones en temas de seguridad y la firma del Memorándum de Entendimiento entre la Secretaría de Gobernación de México y la Secretaría de Estado para Asuntos del Interior del Reino Unido, que facilitará el intercambio de mejores prácticas y cooperación en temas de la seguridad cibernética, vigilancia policial, protección de la niñez y cooperación en materia de justicia. Actualmente, la cooperación bilateral atiende </w:t>
      </w:r>
      <w:r w:rsidRPr="0059571E">
        <w:rPr>
          <w:rFonts w:eastAsia="Times New Roman"/>
          <w:bCs/>
          <w:sz w:val="26"/>
          <w:szCs w:val="26"/>
          <w:lang w:val="es-ES"/>
        </w:rPr>
        <w:lastRenderedPageBreak/>
        <w:t xml:space="preserve">áreas como el adiestramiento de las fuerzas de policía y el intercambio de experiencias en los juicios </w:t>
      </w:r>
      <w:proofErr w:type="spellStart"/>
      <w:r w:rsidRPr="0059571E">
        <w:rPr>
          <w:rFonts w:eastAsia="Times New Roman"/>
          <w:bCs/>
          <w:sz w:val="26"/>
          <w:szCs w:val="26"/>
          <w:lang w:val="es-ES"/>
        </w:rPr>
        <w:t>adversariales</w:t>
      </w:r>
      <w:proofErr w:type="spellEnd"/>
      <w:r w:rsidRPr="0059571E">
        <w:rPr>
          <w:rFonts w:eastAsia="Times New Roman"/>
          <w:bCs/>
          <w:sz w:val="26"/>
          <w:szCs w:val="26"/>
          <w:lang w:val="es-ES"/>
        </w:rPr>
        <w:t xml:space="preserve"> para apoyar la reforma del sistema de justicia en México.</w:t>
      </w:r>
    </w:p>
    <w:p w:rsidR="0059571E" w:rsidRPr="0059571E" w:rsidRDefault="0059571E" w:rsidP="0059571E">
      <w:pPr>
        <w:spacing w:after="360" w:line="360" w:lineRule="auto"/>
        <w:ind w:right="-159"/>
        <w:jc w:val="both"/>
        <w:rPr>
          <w:rFonts w:eastAsia="Times New Roman"/>
          <w:b/>
          <w:bCs/>
          <w:sz w:val="26"/>
          <w:szCs w:val="26"/>
          <w:lang w:val="es-ES"/>
        </w:rPr>
      </w:pPr>
      <w:r w:rsidRPr="0059571E">
        <w:rPr>
          <w:rFonts w:eastAsia="Times New Roman"/>
          <w:b/>
          <w:bCs/>
          <w:sz w:val="26"/>
          <w:szCs w:val="26"/>
          <w:lang w:val="es-ES"/>
        </w:rPr>
        <w:t>Derechos humanos</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Mantenemos un diálogo pleno y abierto en torno a la situación de los derechos humanos en nuestros respectivos países. El Reino Unido recibe con agrado las continuas expresiones del Gobierno de México en su sólido compromiso con los derechos humanos. La identificación de nuevas formas de mejorar la vida de nuestros pueblos y de fortalecer el respeto a los derechos humanos es un componente central de nuestra relación.</w:t>
      </w:r>
    </w:p>
    <w:p w:rsidR="0059571E" w:rsidRPr="0059571E" w:rsidRDefault="0059571E" w:rsidP="0059571E">
      <w:pPr>
        <w:spacing w:after="360" w:line="360" w:lineRule="auto"/>
        <w:ind w:right="-159"/>
        <w:jc w:val="both"/>
        <w:rPr>
          <w:rFonts w:eastAsia="Times New Roman"/>
          <w:b/>
          <w:bCs/>
          <w:sz w:val="26"/>
          <w:szCs w:val="26"/>
          <w:lang w:val="es-ES"/>
        </w:rPr>
      </w:pPr>
      <w:r w:rsidRPr="0059571E">
        <w:rPr>
          <w:rFonts w:eastAsia="Times New Roman"/>
          <w:b/>
          <w:bCs/>
          <w:sz w:val="26"/>
          <w:szCs w:val="26"/>
          <w:lang w:val="es-ES"/>
        </w:rPr>
        <w:t>Salud</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En el marco de la Agenda de Seguridad Sanitaria Mundial, contribuimos a los esfuerzos para mejorar la capacidad de los laboratorios y la vigilancia sanitaria a efecto de mejorar la capacidad global de detectar amenazas a la salud en etapas tempranas, cuando existen amplias posibilidades de contenerlas. Nos comprometemos a impulsar estos esfuerzos de forma conjunta como parte de las acciones internacionales para asegurar el cumplimiento de las regulaciones sanitarias internacionales. Asimismo, apoyamos conjuntamente las mejoras en la transparencia de los datos de vigilancia sanitaria y promoveremos que se compartan datos y análisis para mejorar la seguridad sanitaria mundial. En el contexto de un trabajo más cercano en temas de salud, tanto en el plano bilateral como internacional, nuestros gobiernos han firmado un Memorándum de Entendimiento sobre Cooperación en el Campo de la Salud.</w:t>
      </w:r>
    </w:p>
    <w:p w:rsidR="00CB7B3D" w:rsidRDefault="00CB7B3D" w:rsidP="0059571E">
      <w:pPr>
        <w:spacing w:after="360" w:line="360" w:lineRule="auto"/>
        <w:ind w:right="-159"/>
        <w:jc w:val="both"/>
        <w:rPr>
          <w:rFonts w:eastAsia="Times New Roman"/>
          <w:b/>
          <w:bCs/>
          <w:sz w:val="26"/>
          <w:szCs w:val="26"/>
          <w:lang w:val="es-ES"/>
        </w:rPr>
      </w:pPr>
    </w:p>
    <w:p w:rsidR="0059571E" w:rsidRPr="0059571E" w:rsidRDefault="0059571E" w:rsidP="0059571E">
      <w:pPr>
        <w:spacing w:after="360" w:line="360" w:lineRule="auto"/>
        <w:ind w:right="-159"/>
        <w:jc w:val="both"/>
        <w:rPr>
          <w:rFonts w:eastAsia="Times New Roman"/>
          <w:b/>
          <w:bCs/>
          <w:sz w:val="26"/>
          <w:szCs w:val="26"/>
          <w:lang w:val="es-ES"/>
        </w:rPr>
      </w:pPr>
      <w:r w:rsidRPr="0059571E">
        <w:rPr>
          <w:rFonts w:eastAsia="Times New Roman"/>
          <w:b/>
          <w:bCs/>
          <w:sz w:val="26"/>
          <w:szCs w:val="26"/>
          <w:lang w:val="es-ES"/>
        </w:rPr>
        <w:lastRenderedPageBreak/>
        <w:t>Espacio exterior</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En el contexto del Programa de Asociación Internacional en el Espacio de la Agencia Espacial del Reino Unido, se buscará establecer un marco de cooperación con la Agencia Espacial Mexicana para promover la colaboración entre ambos gobiernos, nuestras industrias y otras instituciones. Se concentrará en el uso de radares con base en el espacio, enfoques innovadores de telecomunicaciones satelitales y productos de datos espaciales para el manejo de desastres.</w:t>
      </w:r>
    </w:p>
    <w:p w:rsidR="0059571E" w:rsidRPr="0059571E" w:rsidRDefault="0059571E" w:rsidP="0059571E">
      <w:pPr>
        <w:spacing w:after="360" w:line="360" w:lineRule="auto"/>
        <w:ind w:right="-159"/>
        <w:jc w:val="both"/>
        <w:rPr>
          <w:rFonts w:eastAsia="Times New Roman"/>
          <w:b/>
          <w:bCs/>
          <w:sz w:val="26"/>
          <w:szCs w:val="26"/>
          <w:lang w:val="es-ES"/>
        </w:rPr>
      </w:pPr>
      <w:r w:rsidRPr="0059571E">
        <w:rPr>
          <w:rFonts w:eastAsia="Times New Roman"/>
          <w:b/>
          <w:bCs/>
          <w:sz w:val="26"/>
          <w:szCs w:val="26"/>
          <w:lang w:val="es-ES"/>
        </w:rPr>
        <w:t>Intercambio de diplomáticos y expertos</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Recibimos con agrado el trabajo conjunto entre ambos servicios diplomáticos y el fortalecimiento de nuestra cooperación por medio del intercambio temporal de funcionarios entre nuestras secretarías, así como de conferencistas y materiales de capacitación entre la Academia Diplomática del Ministerio para Asuntos Exteriores y de la Commonwealth y el Instituto Matías Romero.</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Un nuevo esquema de intercambio temporal de funcionarios entre la Agencia Mexicana para la Cooperación Internacional para el Desarrollo (AMEXCID) y el Departamento para el Desarrollo Internacional (</w:t>
      </w:r>
      <w:proofErr w:type="spellStart"/>
      <w:r w:rsidRPr="0059571E">
        <w:rPr>
          <w:rFonts w:eastAsia="Times New Roman"/>
          <w:bCs/>
          <w:sz w:val="26"/>
          <w:szCs w:val="26"/>
          <w:lang w:val="es-ES"/>
        </w:rPr>
        <w:t>DfID</w:t>
      </w:r>
      <w:proofErr w:type="spellEnd"/>
      <w:r w:rsidRPr="0059571E">
        <w:rPr>
          <w:rFonts w:eastAsia="Times New Roman"/>
          <w:bCs/>
          <w:sz w:val="26"/>
          <w:szCs w:val="26"/>
          <w:lang w:val="es-ES"/>
        </w:rPr>
        <w:t>) subraya la importancia que damos a la cooperación para el desarrollo en países terceros. De este modo, trabajaremos conjuntamente con Belice en un proyecto de educación técnica, para el cual se identificarán a otros países conjuntamente. También compartiremos experiencias en el campo de la prevención, respuesta y manejo de crisis y emergencias.</w:t>
      </w:r>
    </w:p>
    <w:p w:rsidR="0059571E" w:rsidRPr="0059571E" w:rsidRDefault="0059571E" w:rsidP="0059571E">
      <w:pPr>
        <w:spacing w:after="360" w:line="360" w:lineRule="auto"/>
        <w:ind w:right="-159"/>
        <w:jc w:val="both"/>
        <w:rPr>
          <w:rFonts w:eastAsia="Times New Roman"/>
          <w:b/>
          <w:bCs/>
          <w:sz w:val="26"/>
          <w:szCs w:val="26"/>
          <w:lang w:val="es-ES"/>
        </w:rPr>
      </w:pPr>
      <w:r w:rsidRPr="0059571E">
        <w:rPr>
          <w:rFonts w:eastAsia="Times New Roman"/>
          <w:b/>
          <w:bCs/>
          <w:sz w:val="26"/>
          <w:szCs w:val="26"/>
          <w:lang w:val="es-ES"/>
        </w:rPr>
        <w:t>Temas globales</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 xml:space="preserve">México y el Reino Unido compartimos posiciones similares en una amplia gama de temas en el escenario internacional. Nuestro compromiso mutuo con la </w:t>
      </w:r>
      <w:r w:rsidRPr="0059571E">
        <w:rPr>
          <w:rFonts w:eastAsia="Times New Roman"/>
          <w:bCs/>
          <w:sz w:val="26"/>
          <w:szCs w:val="26"/>
          <w:lang w:val="es-ES"/>
        </w:rPr>
        <w:lastRenderedPageBreak/>
        <w:t>responsabilidad global se demuestra en la colaboración conjunta en la Organización de Naciones Unidas, que incluye rubros específicos como la           No-Proliferación y la agenda relativa a las mujeres, la paz y la seguridad. También trabajamos en estrecha colaboración en el Consejo de Derechos Humanos de la ONU, en temas como la abolición de la pena de muerte y los derechos de la niñez.</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El Reino Unido acoge con agrado el compromiso de México de incrementar su contribución al mantenimiento de la paz y la seguridad internacionales, al anunciar su decisión de reanudar su participación en las Operaciones de Mantenimiento de la Paz de la Organización de Naciones Unidas. Asimismo, se espera la visita de una delegación mexicana al Equipo Británico de Asesoría y Adiestramiento Militar en la República Checa.</w:t>
      </w:r>
    </w:p>
    <w:p w:rsidR="0059571E" w:rsidRPr="0059571E" w:rsidRDefault="0059571E" w:rsidP="0059571E">
      <w:pPr>
        <w:spacing w:after="360" w:line="360" w:lineRule="auto"/>
        <w:ind w:right="-159"/>
        <w:jc w:val="both"/>
        <w:rPr>
          <w:rFonts w:eastAsia="Times New Roman"/>
          <w:b/>
          <w:bCs/>
          <w:sz w:val="26"/>
          <w:szCs w:val="26"/>
          <w:lang w:val="es-ES"/>
        </w:rPr>
      </w:pPr>
      <w:r w:rsidRPr="0059571E">
        <w:rPr>
          <w:rFonts w:eastAsia="Times New Roman"/>
          <w:b/>
          <w:bCs/>
          <w:sz w:val="26"/>
          <w:szCs w:val="26"/>
          <w:lang w:val="es-ES"/>
        </w:rPr>
        <w:t>Cambio climático</w:t>
      </w:r>
    </w:p>
    <w:p w:rsid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Reafirmamos nuestro compromiso con el diseño de un nuevo acuerdo bajo la Convención Marco de las Naciones Unidas sobre Cambio Climático, y con su adopción en la 21ª Conferencia de las Partes a celebrarse en París, Francia, en diciembre de 2015. Dicho Acuerdo deberá ser ambicioso, efectivo y aplicable a todos los países, y deberá mantenernos en el camino para limitar el cambio climático a menos de dos grados Celsius. Mantendremos nuestra estrecha colaboración para impulsar la transición hacia una economía baja en carbono que también resista el cambio climático, y continuaremos realizando esfuerzos conjuntos en temas de desarrollo urbano sustentable. En este contexto, la Secretaría del Medio Ambiente y Recursos Naturales de México y el Departamento de Energía y Cambio Climático del Reino Unido firmarán un Memorándum de Entendimiento para ampliar y fortalecer la cooperación.</w:t>
      </w:r>
    </w:p>
    <w:p w:rsidR="003757CD" w:rsidRPr="0059571E" w:rsidRDefault="003757CD" w:rsidP="003757CD">
      <w:pPr>
        <w:spacing w:after="360" w:line="360" w:lineRule="auto"/>
        <w:ind w:right="-159"/>
        <w:jc w:val="both"/>
        <w:rPr>
          <w:rFonts w:eastAsia="Times New Roman"/>
          <w:bCs/>
          <w:sz w:val="26"/>
          <w:szCs w:val="26"/>
          <w:lang w:val="es-ES"/>
        </w:rPr>
      </w:pPr>
    </w:p>
    <w:p w:rsidR="0059571E" w:rsidRPr="0059571E" w:rsidRDefault="0059571E" w:rsidP="0059571E">
      <w:pPr>
        <w:spacing w:after="360" w:line="360" w:lineRule="auto"/>
        <w:ind w:right="-159"/>
        <w:jc w:val="both"/>
        <w:rPr>
          <w:rFonts w:eastAsia="Times New Roman"/>
          <w:b/>
          <w:bCs/>
          <w:sz w:val="26"/>
          <w:szCs w:val="26"/>
          <w:lang w:val="es-ES"/>
        </w:rPr>
      </w:pPr>
      <w:r w:rsidRPr="0059571E">
        <w:rPr>
          <w:rFonts w:eastAsia="Times New Roman"/>
          <w:b/>
          <w:bCs/>
          <w:sz w:val="26"/>
          <w:szCs w:val="26"/>
          <w:lang w:val="es-ES"/>
        </w:rPr>
        <w:lastRenderedPageBreak/>
        <w:t>Agenda de Desarrollo Post-2015</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Seguiremos trabajando en estrecha colaboración para asegurar y lograr apoyo para una Agenda de Desarrollo Post-2015 universal, ambiciosa y transformadora, que aliente y haga posible el cumplimiento de objetivos y metas, que comprenda acciones de buen gobierno, el fortalecimiento del Estado de Derecho e instituciones efectivas para lograr un desarrollo sustentable e incluyente. Para tal efecto, organizaremos conjuntamente un evento en México sobre el nuevo marco de desarrollo Post-2015 en marzo del presente año.</w:t>
      </w:r>
    </w:p>
    <w:p w:rsidR="0059571E" w:rsidRPr="0059571E" w:rsidRDefault="0059571E" w:rsidP="0059571E">
      <w:pPr>
        <w:spacing w:after="360" w:line="360" w:lineRule="auto"/>
        <w:ind w:right="-159"/>
        <w:jc w:val="both"/>
        <w:rPr>
          <w:rFonts w:eastAsia="Times New Roman"/>
          <w:b/>
          <w:bCs/>
          <w:sz w:val="26"/>
          <w:szCs w:val="26"/>
          <w:lang w:val="es-ES"/>
        </w:rPr>
      </w:pPr>
      <w:r w:rsidRPr="0059571E">
        <w:rPr>
          <w:rFonts w:eastAsia="Times New Roman"/>
          <w:b/>
          <w:bCs/>
          <w:sz w:val="26"/>
          <w:szCs w:val="26"/>
          <w:lang w:val="es-ES"/>
        </w:rPr>
        <w:t>Alianza para Gobierno Abierto</w:t>
      </w:r>
    </w:p>
    <w:p w:rsidR="0059571E" w:rsidRPr="0059571E" w:rsidRDefault="0059571E" w:rsidP="00276F3E">
      <w:pPr>
        <w:numPr>
          <w:ilvl w:val="0"/>
          <w:numId w:val="119"/>
        </w:numPr>
        <w:spacing w:after="360" w:line="360" w:lineRule="auto"/>
        <w:ind w:left="511" w:right="-159" w:hanging="454"/>
        <w:jc w:val="both"/>
        <w:rPr>
          <w:rFonts w:eastAsia="Times New Roman"/>
          <w:bCs/>
          <w:sz w:val="26"/>
          <w:szCs w:val="26"/>
          <w:lang w:val="es-ES"/>
        </w:rPr>
      </w:pPr>
      <w:r w:rsidRPr="0059571E">
        <w:rPr>
          <w:rFonts w:eastAsia="Times New Roman"/>
          <w:bCs/>
          <w:sz w:val="26"/>
          <w:szCs w:val="26"/>
          <w:lang w:val="es-ES"/>
        </w:rPr>
        <w:t xml:space="preserve">El Reino Unido y México son miembros fundadores de la Alianza para el Gobierno Abierto (AGA). El Reino Unido seguirá colaborando con México como Presidente de la AGA, incluyendo en los preparativos para la Cumbre Global que se realizará en México en octubre de 2015. Continuaremos utilizando el gobierno abierto como un catalizador para el desarrollo incluyente y asegurarnos de que nuestros gobiernos sean abiertos y rindan cuentas, por medio de la puesta en práctica de los actuales Planes Nacionales de Acción de la AGA y renovando nuestros compromisos en el transcurso de este año. En este marco, impulsaremos y fortaleceremos los espacios de diálogo con la sociedad civil y daremos prioridad al combate a la corrupción, en seguimiento a nuestros compromisos en el G20 y la Convención de las Naciones Unidas contra la Corrupción. Consideramos que los principios de la AGA son fundamentales para las reformas gubernamentales y seguiremos promoviendo la Alianza a nivel internacional y nacional, con la declaración de gobierno abierto que tiene como núcleo de nuestras acciones, como una forma de abordar los retos en todos los niveles de gobierno. México desarrollará una estrategia para profundizar las herramientas y los beneficios de gobierno abierto al nivel nacional y local para tener un mayor alcance. </w:t>
      </w:r>
      <w:r w:rsidRPr="0059571E">
        <w:rPr>
          <w:rFonts w:eastAsia="Times New Roman"/>
          <w:bCs/>
          <w:sz w:val="26"/>
          <w:szCs w:val="26"/>
          <w:lang w:val="es-ES"/>
        </w:rPr>
        <w:lastRenderedPageBreak/>
        <w:t>Adicionalmente, trabajaremos conjuntamente en un proyecto para la transferencia de conocimientos entre el equipo de “</w:t>
      </w:r>
      <w:proofErr w:type="spellStart"/>
      <w:r w:rsidRPr="0059571E">
        <w:rPr>
          <w:rFonts w:eastAsia="Times New Roman"/>
          <w:bCs/>
          <w:sz w:val="26"/>
          <w:szCs w:val="26"/>
          <w:lang w:val="es-ES"/>
        </w:rPr>
        <w:t>Behavioural</w:t>
      </w:r>
      <w:proofErr w:type="spellEnd"/>
      <w:r w:rsidRPr="0059571E">
        <w:rPr>
          <w:rFonts w:eastAsia="Times New Roman"/>
          <w:bCs/>
          <w:sz w:val="26"/>
          <w:szCs w:val="26"/>
          <w:lang w:val="es-ES"/>
        </w:rPr>
        <w:t xml:space="preserve"> </w:t>
      </w:r>
      <w:proofErr w:type="spellStart"/>
      <w:r w:rsidRPr="0059571E">
        <w:rPr>
          <w:rFonts w:eastAsia="Times New Roman"/>
          <w:bCs/>
          <w:sz w:val="26"/>
          <w:szCs w:val="26"/>
          <w:lang w:val="es-ES"/>
        </w:rPr>
        <w:t>Insights</w:t>
      </w:r>
      <w:proofErr w:type="spellEnd"/>
      <w:r w:rsidRPr="0059571E">
        <w:rPr>
          <w:rFonts w:eastAsia="Times New Roman"/>
          <w:bCs/>
          <w:sz w:val="26"/>
          <w:szCs w:val="26"/>
          <w:lang w:val="es-ES"/>
        </w:rPr>
        <w:t>” del Reino Unido y el Gobierno de México sobre estos temas. Ambos países se comprometen a incluir la promoción de los datos abiertos como un recurso para apoyar los objetivos de gobernanza e innovación en otros foros internacionales.</w:t>
      </w:r>
    </w:p>
    <w:p w:rsidR="0059571E" w:rsidRPr="0059571E" w:rsidRDefault="0059571E" w:rsidP="0059571E">
      <w:pPr>
        <w:spacing w:after="360" w:line="360" w:lineRule="auto"/>
        <w:ind w:right="-159"/>
        <w:jc w:val="both"/>
        <w:rPr>
          <w:rFonts w:eastAsia="Times New Roman"/>
          <w:bCs/>
          <w:sz w:val="26"/>
          <w:szCs w:val="26"/>
          <w:lang w:val="es-ES"/>
        </w:rPr>
      </w:pPr>
      <w:r w:rsidRPr="0059571E">
        <w:rPr>
          <w:rFonts w:eastAsia="Times New Roman"/>
          <w:bCs/>
          <w:sz w:val="26"/>
          <w:szCs w:val="26"/>
          <w:lang w:val="es-ES"/>
        </w:rPr>
        <w:t>Los Cancilleres de ambos países recibieron con beneplácito la firma de los siguientes instrumentos durante la Visita de Estado:</w:t>
      </w:r>
    </w:p>
    <w:p w:rsidR="0059571E" w:rsidRPr="0059571E" w:rsidRDefault="0059571E" w:rsidP="00276F3E">
      <w:pPr>
        <w:numPr>
          <w:ilvl w:val="0"/>
          <w:numId w:val="120"/>
        </w:numPr>
        <w:spacing w:after="360" w:line="360" w:lineRule="auto"/>
        <w:ind w:left="454" w:right="-159" w:hanging="454"/>
        <w:jc w:val="both"/>
        <w:rPr>
          <w:rFonts w:eastAsia="Times New Roman"/>
          <w:bCs/>
          <w:sz w:val="26"/>
          <w:szCs w:val="26"/>
          <w:lang w:val="es-ES"/>
        </w:rPr>
      </w:pPr>
      <w:r w:rsidRPr="0059571E">
        <w:rPr>
          <w:rFonts w:eastAsia="Times New Roman"/>
          <w:bCs/>
          <w:sz w:val="26"/>
          <w:szCs w:val="26"/>
          <w:lang w:val="es-ES"/>
        </w:rPr>
        <w:t>Acuerdo sobre Reconocimiento Mutuo de Títulos, Diplomas y Grados Académicos de Educación Superior entre el Gobierno de los Estados Unidos Mexicanos y el Gobierno del Reino Unido de la Gran Bretaña e Irlanda del Norte.</w:t>
      </w:r>
    </w:p>
    <w:p w:rsidR="0059571E" w:rsidRPr="0059571E" w:rsidRDefault="0059571E" w:rsidP="00276F3E">
      <w:pPr>
        <w:numPr>
          <w:ilvl w:val="0"/>
          <w:numId w:val="120"/>
        </w:numPr>
        <w:spacing w:after="360" w:line="360" w:lineRule="auto"/>
        <w:ind w:left="454" w:right="-159" w:hanging="454"/>
        <w:jc w:val="both"/>
        <w:rPr>
          <w:rFonts w:eastAsia="Times New Roman"/>
          <w:bCs/>
          <w:sz w:val="26"/>
          <w:szCs w:val="26"/>
          <w:lang w:val="es-ES"/>
        </w:rPr>
      </w:pPr>
      <w:r w:rsidRPr="0059571E">
        <w:rPr>
          <w:rFonts w:eastAsia="Times New Roman"/>
          <w:bCs/>
          <w:sz w:val="26"/>
          <w:szCs w:val="26"/>
          <w:lang w:val="es-ES"/>
        </w:rPr>
        <w:t>Memorándum de Entendimiento entre la Secretaría de Salud de los Estados Unidos Mexicanos y el Servicio Nacional de Salud del Reino Unido de la Gran Bretaña e Irlanda del Norte sobre la Cooperación en Salud.</w:t>
      </w:r>
    </w:p>
    <w:p w:rsidR="0059571E" w:rsidRPr="0059571E" w:rsidRDefault="0059571E" w:rsidP="00276F3E">
      <w:pPr>
        <w:numPr>
          <w:ilvl w:val="0"/>
          <w:numId w:val="120"/>
        </w:numPr>
        <w:spacing w:after="360" w:line="360" w:lineRule="auto"/>
        <w:ind w:left="454" w:right="-159" w:hanging="454"/>
        <w:jc w:val="both"/>
        <w:rPr>
          <w:rFonts w:eastAsia="Times New Roman"/>
          <w:bCs/>
          <w:sz w:val="26"/>
          <w:szCs w:val="26"/>
          <w:lang w:val="es-ES"/>
        </w:rPr>
      </w:pPr>
      <w:r w:rsidRPr="0059571E">
        <w:rPr>
          <w:rFonts w:eastAsia="Times New Roman"/>
          <w:bCs/>
          <w:sz w:val="26"/>
          <w:szCs w:val="26"/>
          <w:lang w:val="es-ES"/>
        </w:rPr>
        <w:t>Memorándum de Entendimiento entre la Secretaría de Gobernación de los Estados Unidos Mexicanos y la Secretaría de Estado para Asuntos del Interior del Reino Unido de la Gran Bretaña e Irlanda del Norte.</w:t>
      </w:r>
    </w:p>
    <w:p w:rsidR="0059571E" w:rsidRPr="0059571E" w:rsidRDefault="0059571E" w:rsidP="00276F3E">
      <w:pPr>
        <w:numPr>
          <w:ilvl w:val="0"/>
          <w:numId w:val="120"/>
        </w:numPr>
        <w:spacing w:after="360" w:line="360" w:lineRule="auto"/>
        <w:ind w:left="454" w:right="-159" w:hanging="454"/>
        <w:jc w:val="both"/>
        <w:rPr>
          <w:rFonts w:eastAsia="Times New Roman"/>
          <w:bCs/>
          <w:sz w:val="26"/>
          <w:szCs w:val="26"/>
          <w:lang w:val="es-ES"/>
        </w:rPr>
      </w:pPr>
      <w:r w:rsidRPr="0059571E">
        <w:rPr>
          <w:rFonts w:eastAsia="Times New Roman"/>
          <w:bCs/>
          <w:sz w:val="26"/>
          <w:szCs w:val="26"/>
          <w:lang w:val="es-ES"/>
        </w:rPr>
        <w:t>Memorándum de Entendimiento entre la Secretaría de Energía de los Estados Unidos Mexicanos y el Departamento de Energía y Cambio Climático del Reino Unido de la Gran Bretaña e Irlanda del Norte para la Cooperación en el Sector Energético.</w:t>
      </w:r>
    </w:p>
    <w:p w:rsidR="0059571E" w:rsidRPr="0059571E" w:rsidRDefault="0059571E" w:rsidP="00276F3E">
      <w:pPr>
        <w:numPr>
          <w:ilvl w:val="0"/>
          <w:numId w:val="120"/>
        </w:numPr>
        <w:spacing w:after="360" w:line="360" w:lineRule="auto"/>
        <w:ind w:left="454" w:right="-159" w:hanging="454"/>
        <w:jc w:val="both"/>
        <w:rPr>
          <w:rFonts w:eastAsia="Times New Roman"/>
          <w:bCs/>
          <w:sz w:val="26"/>
          <w:szCs w:val="26"/>
          <w:lang w:val="es-ES"/>
        </w:rPr>
      </w:pPr>
      <w:r w:rsidRPr="0059571E">
        <w:rPr>
          <w:rFonts w:eastAsia="Times New Roman"/>
          <w:bCs/>
          <w:sz w:val="26"/>
          <w:szCs w:val="26"/>
          <w:lang w:val="es-ES"/>
        </w:rPr>
        <w:t>Memorándum de Entendimiento para Ampliar y Fortalecer la Cooperación entre la Secretaría de Medio Ambiente y Recursos Naturales de los Estados Unidos Mexicanos y el Departamento de Energía y Cambio Climático del Reino Unido de la Gran Bretaña e Irlanda del Norte.</w:t>
      </w:r>
    </w:p>
    <w:p w:rsidR="0059571E" w:rsidRPr="0059571E" w:rsidRDefault="0059571E" w:rsidP="00276F3E">
      <w:pPr>
        <w:numPr>
          <w:ilvl w:val="0"/>
          <w:numId w:val="120"/>
        </w:numPr>
        <w:spacing w:after="360" w:line="360" w:lineRule="auto"/>
        <w:ind w:left="454" w:right="-159" w:hanging="454"/>
        <w:jc w:val="both"/>
        <w:rPr>
          <w:rFonts w:eastAsia="Times New Roman"/>
          <w:bCs/>
          <w:sz w:val="26"/>
          <w:szCs w:val="26"/>
          <w:lang w:val="es-ES"/>
        </w:rPr>
      </w:pPr>
      <w:r w:rsidRPr="0059571E">
        <w:rPr>
          <w:rFonts w:eastAsia="Times New Roman"/>
          <w:bCs/>
          <w:sz w:val="26"/>
          <w:szCs w:val="26"/>
          <w:lang w:val="es-ES"/>
        </w:rPr>
        <w:lastRenderedPageBreak/>
        <w:t>Programa Específico de Cooperación 2015-2016 entre la Secretaría de Turismo de los Estados Unidos Mexicanos y el Departamento de Cultura, Medios y Deporte del Reino Unido de la Gran Bretaña e Irlanda del Norte.</w:t>
      </w:r>
    </w:p>
    <w:p w:rsidR="0059571E" w:rsidRPr="0059571E" w:rsidRDefault="0059571E" w:rsidP="00276F3E">
      <w:pPr>
        <w:numPr>
          <w:ilvl w:val="0"/>
          <w:numId w:val="120"/>
        </w:numPr>
        <w:spacing w:after="360" w:line="360" w:lineRule="auto"/>
        <w:ind w:left="454" w:right="-159" w:hanging="454"/>
        <w:jc w:val="both"/>
        <w:rPr>
          <w:rFonts w:eastAsia="Times New Roman"/>
          <w:bCs/>
          <w:sz w:val="26"/>
          <w:szCs w:val="26"/>
          <w:lang w:val="es-ES"/>
        </w:rPr>
      </w:pPr>
      <w:r w:rsidRPr="0059571E">
        <w:rPr>
          <w:rFonts w:eastAsia="Times New Roman"/>
          <w:bCs/>
          <w:sz w:val="26"/>
          <w:szCs w:val="26"/>
          <w:lang w:val="es-ES"/>
        </w:rPr>
        <w:t>Carta de Intención entre la Secretaría de Relaciones Exteriores de los Estados Unidos Mexicanos y el Departamento de Negocios, Innovación y Habilidades del Reino Unido de la Gran Bretaña e Irlanda del Norte, para el Establecimiento de la “Cátedra Itinerante México-Reino Unido”.</w:t>
      </w:r>
    </w:p>
    <w:p w:rsidR="0059571E" w:rsidRPr="0059571E" w:rsidRDefault="0059571E" w:rsidP="00276F3E">
      <w:pPr>
        <w:numPr>
          <w:ilvl w:val="0"/>
          <w:numId w:val="120"/>
        </w:numPr>
        <w:spacing w:after="360" w:line="360" w:lineRule="auto"/>
        <w:ind w:left="454" w:right="-159" w:hanging="454"/>
        <w:jc w:val="both"/>
        <w:rPr>
          <w:rFonts w:eastAsia="Times New Roman"/>
          <w:bCs/>
          <w:sz w:val="26"/>
          <w:szCs w:val="26"/>
          <w:lang w:val="es-ES"/>
        </w:rPr>
      </w:pPr>
      <w:r w:rsidRPr="0059571E">
        <w:rPr>
          <w:rFonts w:eastAsia="Times New Roman"/>
          <w:bCs/>
          <w:sz w:val="26"/>
          <w:szCs w:val="26"/>
          <w:lang w:val="es-ES"/>
        </w:rPr>
        <w:t>Memorándum de Entendimiento entre Petróleos Mexicanos de los Estados Unidos Mexicanos y el Departamento de Garantías de Créditos para la Exportación del Reino Unido de la Gran Bretaña e Irlanda del Norte.</w:t>
      </w:r>
    </w:p>
    <w:p w:rsidR="0059571E" w:rsidRPr="0059571E" w:rsidRDefault="0059571E" w:rsidP="00276F3E">
      <w:pPr>
        <w:numPr>
          <w:ilvl w:val="0"/>
          <w:numId w:val="120"/>
        </w:numPr>
        <w:spacing w:after="360" w:line="360" w:lineRule="auto"/>
        <w:ind w:left="454" w:right="-159" w:hanging="454"/>
        <w:jc w:val="both"/>
        <w:rPr>
          <w:rFonts w:eastAsia="Times New Roman"/>
          <w:bCs/>
          <w:sz w:val="26"/>
          <w:szCs w:val="26"/>
          <w:lang w:val="es-ES"/>
        </w:rPr>
      </w:pPr>
      <w:r w:rsidRPr="0059571E">
        <w:rPr>
          <w:rFonts w:eastAsia="Times New Roman"/>
          <w:bCs/>
          <w:sz w:val="26"/>
          <w:szCs w:val="26"/>
          <w:lang w:val="es-ES"/>
        </w:rPr>
        <w:t>Memorándum de Entendimiento entre Petróleos Mexicanos, PEMEX-Exploración y Producción, el Instituto Mexicano del Petróleo y la Universidad de Aberdeen.</w:t>
      </w:r>
    </w:p>
    <w:p w:rsidR="0059571E" w:rsidRPr="0059571E" w:rsidRDefault="0059571E" w:rsidP="00276F3E">
      <w:pPr>
        <w:numPr>
          <w:ilvl w:val="0"/>
          <w:numId w:val="120"/>
        </w:numPr>
        <w:spacing w:after="360" w:line="360" w:lineRule="auto"/>
        <w:ind w:left="454" w:right="-159" w:hanging="454"/>
        <w:jc w:val="both"/>
        <w:rPr>
          <w:rFonts w:eastAsia="Times New Roman"/>
          <w:bCs/>
          <w:sz w:val="26"/>
          <w:szCs w:val="26"/>
          <w:lang w:val="es-ES"/>
        </w:rPr>
      </w:pPr>
      <w:proofErr w:type="spellStart"/>
      <w:r w:rsidRPr="0059571E">
        <w:rPr>
          <w:rFonts w:eastAsia="Times New Roman"/>
          <w:bCs/>
          <w:sz w:val="26"/>
          <w:szCs w:val="26"/>
          <w:lang w:val="es-ES"/>
        </w:rPr>
        <w:t>Addendum</w:t>
      </w:r>
      <w:proofErr w:type="spellEnd"/>
      <w:r w:rsidRPr="0059571E">
        <w:rPr>
          <w:rFonts w:eastAsia="Times New Roman"/>
          <w:bCs/>
          <w:sz w:val="26"/>
          <w:szCs w:val="26"/>
          <w:lang w:val="es-ES"/>
        </w:rPr>
        <w:t xml:space="preserve"> al Memorándum de Entendimiento entre el Banco Nacional de Comercio Exterior, Sociedad Nacional de Crédito y el Departamento de Garantías de Créditos para la Exportación del Reino Unido de la Gran Bretaña e Irlanda del Norte.</w:t>
      </w:r>
    </w:p>
    <w:p w:rsidR="0059571E" w:rsidRPr="0059571E" w:rsidRDefault="0059571E" w:rsidP="00276F3E">
      <w:pPr>
        <w:numPr>
          <w:ilvl w:val="0"/>
          <w:numId w:val="120"/>
        </w:numPr>
        <w:spacing w:after="360" w:line="360" w:lineRule="auto"/>
        <w:ind w:left="454" w:right="-159" w:hanging="454"/>
        <w:jc w:val="both"/>
        <w:rPr>
          <w:rFonts w:eastAsia="Times New Roman"/>
          <w:bCs/>
          <w:sz w:val="26"/>
          <w:szCs w:val="26"/>
          <w:lang w:val="es-ES"/>
        </w:rPr>
      </w:pPr>
      <w:r w:rsidRPr="0059571E">
        <w:rPr>
          <w:rFonts w:eastAsia="Times New Roman"/>
          <w:bCs/>
          <w:sz w:val="26"/>
          <w:szCs w:val="26"/>
          <w:lang w:val="es-ES"/>
        </w:rPr>
        <w:t>Declaración Conjunta de Intención entre el Consejo Nacional de Ciencia y Tecnología de los Estados Unidos Mexicanos y la Universidad de Oxford, Reino Unido de la Gran Bretaña e Irlanda del Norte.</w:t>
      </w:r>
    </w:p>
    <w:p w:rsidR="0059571E" w:rsidRPr="0059571E" w:rsidRDefault="0059571E" w:rsidP="00276F3E">
      <w:pPr>
        <w:numPr>
          <w:ilvl w:val="0"/>
          <w:numId w:val="120"/>
        </w:numPr>
        <w:spacing w:after="360" w:line="360" w:lineRule="auto"/>
        <w:ind w:left="454" w:right="-159" w:hanging="454"/>
        <w:jc w:val="both"/>
        <w:rPr>
          <w:rFonts w:eastAsia="Times New Roman"/>
          <w:bCs/>
          <w:sz w:val="26"/>
          <w:szCs w:val="26"/>
          <w:lang w:val="es-ES"/>
        </w:rPr>
      </w:pPr>
      <w:r w:rsidRPr="0059571E">
        <w:rPr>
          <w:rFonts w:eastAsia="Times New Roman"/>
          <w:bCs/>
          <w:sz w:val="26"/>
          <w:szCs w:val="26"/>
          <w:lang w:val="es-ES"/>
        </w:rPr>
        <w:t>Convenio entre la Secretaría de Educación Pública de los Estados Unidos Mexicanos y la Universidad de Oxford, Reino Unido de la Gran Bretaña e Irlanda del Norte para Financiar una Cátedra Asociada en Literatura Hispanoamericana.</w:t>
      </w:r>
    </w:p>
    <w:p w:rsidR="0059571E" w:rsidRPr="0059571E" w:rsidRDefault="0059571E" w:rsidP="00276F3E">
      <w:pPr>
        <w:numPr>
          <w:ilvl w:val="0"/>
          <w:numId w:val="120"/>
        </w:numPr>
        <w:spacing w:after="360" w:line="360" w:lineRule="auto"/>
        <w:ind w:left="454" w:right="-159" w:hanging="454"/>
        <w:jc w:val="both"/>
        <w:rPr>
          <w:rFonts w:eastAsia="Times New Roman"/>
          <w:bCs/>
          <w:sz w:val="26"/>
          <w:szCs w:val="26"/>
          <w:lang w:val="es-ES"/>
        </w:rPr>
      </w:pPr>
      <w:r w:rsidRPr="0059571E">
        <w:rPr>
          <w:rFonts w:eastAsia="Times New Roman"/>
          <w:bCs/>
          <w:sz w:val="26"/>
          <w:szCs w:val="26"/>
          <w:lang w:val="es-ES"/>
        </w:rPr>
        <w:lastRenderedPageBreak/>
        <w:t xml:space="preserve">Convenio de Cooperación Académica entre la Universidad Nacional Autónoma de México y </w:t>
      </w:r>
      <w:proofErr w:type="spellStart"/>
      <w:r w:rsidRPr="0059571E">
        <w:rPr>
          <w:rFonts w:eastAsia="Times New Roman"/>
          <w:bCs/>
          <w:sz w:val="26"/>
          <w:szCs w:val="26"/>
          <w:lang w:val="es-ES"/>
        </w:rPr>
        <w:t>King’s</w:t>
      </w:r>
      <w:proofErr w:type="spellEnd"/>
      <w:r w:rsidRPr="0059571E">
        <w:rPr>
          <w:rFonts w:eastAsia="Times New Roman"/>
          <w:bCs/>
          <w:sz w:val="26"/>
          <w:szCs w:val="26"/>
          <w:lang w:val="es-ES"/>
        </w:rPr>
        <w:t xml:space="preserve"> </w:t>
      </w:r>
      <w:proofErr w:type="spellStart"/>
      <w:r w:rsidRPr="0059571E">
        <w:rPr>
          <w:rFonts w:eastAsia="Times New Roman"/>
          <w:bCs/>
          <w:sz w:val="26"/>
          <w:szCs w:val="26"/>
          <w:lang w:val="es-ES"/>
        </w:rPr>
        <w:t>College</w:t>
      </w:r>
      <w:proofErr w:type="spellEnd"/>
      <w:r w:rsidRPr="0059571E">
        <w:rPr>
          <w:rFonts w:eastAsia="Times New Roman"/>
          <w:bCs/>
          <w:sz w:val="26"/>
          <w:szCs w:val="26"/>
          <w:lang w:val="es-ES"/>
        </w:rPr>
        <w:t xml:space="preserve"> London, </w:t>
      </w:r>
      <w:proofErr w:type="spellStart"/>
      <w:r w:rsidRPr="0059571E">
        <w:rPr>
          <w:rFonts w:eastAsia="Times New Roman"/>
          <w:bCs/>
          <w:sz w:val="26"/>
          <w:szCs w:val="26"/>
          <w:lang w:val="es-ES"/>
        </w:rPr>
        <w:t>University</w:t>
      </w:r>
      <w:proofErr w:type="spellEnd"/>
      <w:r w:rsidRPr="0059571E">
        <w:rPr>
          <w:rFonts w:eastAsia="Times New Roman"/>
          <w:bCs/>
          <w:sz w:val="26"/>
          <w:szCs w:val="26"/>
          <w:lang w:val="es-ES"/>
        </w:rPr>
        <w:t xml:space="preserve"> of London.</w:t>
      </w:r>
    </w:p>
    <w:p w:rsidR="0059571E" w:rsidRPr="0059571E" w:rsidRDefault="0059571E" w:rsidP="00276F3E">
      <w:pPr>
        <w:numPr>
          <w:ilvl w:val="0"/>
          <w:numId w:val="120"/>
        </w:numPr>
        <w:spacing w:after="360" w:line="360" w:lineRule="auto"/>
        <w:ind w:left="454" w:right="-159" w:hanging="454"/>
        <w:jc w:val="both"/>
        <w:rPr>
          <w:rFonts w:eastAsia="Times New Roman"/>
          <w:bCs/>
          <w:sz w:val="26"/>
          <w:szCs w:val="26"/>
          <w:lang w:val="es-ES"/>
        </w:rPr>
      </w:pPr>
      <w:r w:rsidRPr="0059571E">
        <w:rPr>
          <w:rFonts w:eastAsia="Times New Roman"/>
          <w:bCs/>
          <w:sz w:val="26"/>
          <w:szCs w:val="26"/>
          <w:lang w:val="es-ES"/>
        </w:rPr>
        <w:t>Memor</w:t>
      </w:r>
      <w:r w:rsidR="00544044">
        <w:rPr>
          <w:rFonts w:eastAsia="Times New Roman"/>
          <w:bCs/>
          <w:sz w:val="26"/>
          <w:szCs w:val="26"/>
          <w:lang w:val="es-ES"/>
        </w:rPr>
        <w:t>á</w:t>
      </w:r>
      <w:r w:rsidRPr="0059571E">
        <w:rPr>
          <w:rFonts w:eastAsia="Times New Roman"/>
          <w:bCs/>
          <w:sz w:val="26"/>
          <w:szCs w:val="26"/>
          <w:lang w:val="es-ES"/>
        </w:rPr>
        <w:t>nd</w:t>
      </w:r>
      <w:r w:rsidR="00544044">
        <w:rPr>
          <w:rFonts w:eastAsia="Times New Roman"/>
          <w:bCs/>
          <w:sz w:val="26"/>
          <w:szCs w:val="26"/>
          <w:lang w:val="es-ES"/>
        </w:rPr>
        <w:t>um</w:t>
      </w:r>
      <w:r w:rsidRPr="0059571E">
        <w:rPr>
          <w:rFonts w:eastAsia="Times New Roman"/>
          <w:bCs/>
          <w:sz w:val="26"/>
          <w:szCs w:val="26"/>
          <w:lang w:val="es-ES"/>
        </w:rPr>
        <w:t xml:space="preserve"> de Entendimiento entre la Asociación Nacional de Universidades e Instituciones de Educación Superior de México y la Unidad Internacional de Educación Superior de Reino Unido.</w:t>
      </w:r>
    </w:p>
    <w:p w:rsidR="0059571E" w:rsidRPr="0059571E" w:rsidRDefault="0059571E" w:rsidP="0059571E">
      <w:pPr>
        <w:spacing w:after="360" w:line="360" w:lineRule="auto"/>
        <w:ind w:right="-159"/>
        <w:jc w:val="both"/>
        <w:rPr>
          <w:rFonts w:eastAsia="Times New Roman"/>
          <w:bCs/>
          <w:sz w:val="26"/>
          <w:szCs w:val="26"/>
          <w:lang w:val="es-ES"/>
        </w:rPr>
      </w:pPr>
      <w:r w:rsidRPr="0059571E">
        <w:rPr>
          <w:rFonts w:eastAsia="Times New Roman"/>
          <w:bCs/>
          <w:sz w:val="26"/>
          <w:szCs w:val="26"/>
          <w:lang w:val="es-ES"/>
        </w:rPr>
        <w:t>Firmada en Londres, Reino Unido, el 4 de marzo de 2015.</w:t>
      </w:r>
    </w:p>
    <w:p w:rsidR="0059571E" w:rsidRPr="0059571E" w:rsidRDefault="0059571E" w:rsidP="0059571E">
      <w:pPr>
        <w:spacing w:after="360" w:line="360" w:lineRule="auto"/>
        <w:ind w:right="-159"/>
        <w:jc w:val="both"/>
        <w:rPr>
          <w:rFonts w:eastAsia="Times New Roman"/>
          <w:bCs/>
          <w:sz w:val="26"/>
          <w:szCs w:val="26"/>
          <w:lang w:val="es-ES"/>
        </w:rPr>
      </w:pPr>
      <w:r w:rsidRPr="0059571E">
        <w:rPr>
          <w:rFonts w:eastAsia="Times New Roman"/>
          <w:bCs/>
          <w:sz w:val="26"/>
          <w:szCs w:val="26"/>
          <w:lang w:val="es-ES"/>
        </w:rPr>
        <w:t>El Secretario de Relaciones Exteriores de los Estados Unidos Mexicanos</w:t>
      </w:r>
    </w:p>
    <w:p w:rsidR="0059571E" w:rsidRPr="0059571E" w:rsidRDefault="0059571E" w:rsidP="0059571E">
      <w:pPr>
        <w:spacing w:after="360" w:line="360" w:lineRule="auto"/>
        <w:ind w:right="-159"/>
        <w:jc w:val="both"/>
        <w:rPr>
          <w:rFonts w:eastAsia="Times New Roman"/>
          <w:bCs/>
          <w:sz w:val="26"/>
          <w:szCs w:val="26"/>
          <w:lang w:val="es-ES"/>
        </w:rPr>
      </w:pPr>
      <w:proofErr w:type="spellStart"/>
      <w:r w:rsidRPr="0059571E">
        <w:rPr>
          <w:rFonts w:eastAsia="Times New Roman"/>
          <w:bCs/>
          <w:sz w:val="26"/>
          <w:szCs w:val="26"/>
          <w:lang w:val="es-ES"/>
        </w:rPr>
        <w:t>Jose</w:t>
      </w:r>
      <w:proofErr w:type="spellEnd"/>
      <w:r w:rsidRPr="0059571E">
        <w:rPr>
          <w:rFonts w:eastAsia="Times New Roman"/>
          <w:bCs/>
          <w:sz w:val="26"/>
          <w:szCs w:val="26"/>
          <w:lang w:val="es-ES"/>
        </w:rPr>
        <w:t xml:space="preserve"> Antonio </w:t>
      </w:r>
      <w:proofErr w:type="spellStart"/>
      <w:r w:rsidRPr="0059571E">
        <w:rPr>
          <w:rFonts w:eastAsia="Times New Roman"/>
          <w:bCs/>
          <w:sz w:val="26"/>
          <w:szCs w:val="26"/>
          <w:lang w:val="es-ES"/>
        </w:rPr>
        <w:t>Meade</w:t>
      </w:r>
      <w:proofErr w:type="spellEnd"/>
      <w:r w:rsidRPr="0059571E">
        <w:rPr>
          <w:rFonts w:eastAsia="Times New Roman"/>
          <w:bCs/>
          <w:sz w:val="26"/>
          <w:szCs w:val="26"/>
          <w:lang w:val="es-ES"/>
        </w:rPr>
        <w:t xml:space="preserve"> </w:t>
      </w:r>
      <w:proofErr w:type="spellStart"/>
      <w:r w:rsidRPr="0059571E">
        <w:rPr>
          <w:rFonts w:eastAsia="Times New Roman"/>
          <w:bCs/>
          <w:sz w:val="26"/>
          <w:szCs w:val="26"/>
          <w:lang w:val="es-ES"/>
        </w:rPr>
        <w:t>Kuribreña</w:t>
      </w:r>
      <w:proofErr w:type="spellEnd"/>
    </w:p>
    <w:p w:rsidR="0059571E" w:rsidRPr="0059571E" w:rsidRDefault="0059571E" w:rsidP="0059571E">
      <w:pPr>
        <w:spacing w:after="360" w:line="360" w:lineRule="auto"/>
        <w:ind w:right="-159"/>
        <w:jc w:val="both"/>
        <w:rPr>
          <w:rFonts w:eastAsia="Times New Roman"/>
          <w:bCs/>
          <w:sz w:val="26"/>
          <w:szCs w:val="26"/>
          <w:lang w:val="es-ES"/>
        </w:rPr>
      </w:pPr>
      <w:r w:rsidRPr="0059571E">
        <w:rPr>
          <w:rFonts w:eastAsia="Times New Roman"/>
          <w:bCs/>
          <w:sz w:val="26"/>
          <w:szCs w:val="26"/>
          <w:lang w:val="es-ES"/>
        </w:rPr>
        <w:t>El Secretario de Estado para Asuntos Exteriores y de la Commonwealth del Reino Unido de la Gran Bretaña e Irlanda del Norte</w:t>
      </w:r>
    </w:p>
    <w:p w:rsidR="0059571E" w:rsidRPr="0059571E" w:rsidRDefault="0059571E" w:rsidP="0059571E">
      <w:pPr>
        <w:spacing w:after="360" w:line="360" w:lineRule="auto"/>
        <w:ind w:right="-159"/>
        <w:jc w:val="both"/>
        <w:rPr>
          <w:rFonts w:eastAsia="Times New Roman"/>
          <w:bCs/>
          <w:sz w:val="26"/>
          <w:szCs w:val="26"/>
          <w:lang w:val="es-ES"/>
        </w:rPr>
      </w:pPr>
      <w:r w:rsidRPr="0059571E">
        <w:rPr>
          <w:rFonts w:eastAsia="Times New Roman"/>
          <w:bCs/>
          <w:sz w:val="26"/>
          <w:szCs w:val="26"/>
          <w:lang w:val="es-ES"/>
        </w:rPr>
        <w:t xml:space="preserve">Philip </w:t>
      </w:r>
      <w:proofErr w:type="spellStart"/>
      <w:r w:rsidRPr="0059571E">
        <w:rPr>
          <w:rFonts w:eastAsia="Times New Roman"/>
          <w:bCs/>
          <w:sz w:val="26"/>
          <w:szCs w:val="26"/>
          <w:lang w:val="es-ES"/>
        </w:rPr>
        <w:t>Hammond</w:t>
      </w:r>
      <w:proofErr w:type="spellEnd"/>
    </w:p>
    <w:p w:rsidR="0059571E" w:rsidRPr="0059571E" w:rsidRDefault="0059571E" w:rsidP="0059571E">
      <w:pPr>
        <w:ind w:right="-159"/>
        <w:jc w:val="both"/>
        <w:rPr>
          <w:rFonts w:eastAsia="Calibri"/>
          <w:b/>
          <w:sz w:val="20"/>
          <w:szCs w:val="20"/>
          <w:lang w:val="es-ES" w:eastAsia="en-US"/>
        </w:rPr>
      </w:pPr>
      <w:r w:rsidRPr="0059571E">
        <w:rPr>
          <w:rFonts w:eastAsia="Calibri"/>
          <w:b/>
          <w:sz w:val="20"/>
          <w:szCs w:val="20"/>
          <w:lang w:val="es-ES" w:eastAsia="en-US"/>
        </w:rPr>
        <w:t>Fuente de información:</w:t>
      </w:r>
    </w:p>
    <w:p w:rsidR="0059571E" w:rsidRPr="002C0B6D" w:rsidRDefault="004638E5" w:rsidP="0059571E">
      <w:pPr>
        <w:ind w:right="-159"/>
        <w:jc w:val="both"/>
        <w:rPr>
          <w:rFonts w:eastAsia="Calibri"/>
          <w:color w:val="0000FF"/>
          <w:sz w:val="20"/>
          <w:szCs w:val="20"/>
          <w:lang w:eastAsia="en-US"/>
        </w:rPr>
      </w:pPr>
      <w:hyperlink r:id="rId35" w:history="1">
        <w:r w:rsidR="0059571E" w:rsidRPr="002C0B6D">
          <w:rPr>
            <w:rFonts w:eastAsia="Calibri"/>
            <w:color w:val="0000FF"/>
            <w:sz w:val="20"/>
            <w:szCs w:val="20"/>
            <w:u w:val="single"/>
            <w:lang w:eastAsia="en-US"/>
          </w:rPr>
          <w:t>http://www.sct.gob.mx/despliega-noticias/article/declaracion-conjunta-mexico-reino-unido/</w:t>
        </w:r>
      </w:hyperlink>
      <w:r w:rsidR="0059571E" w:rsidRPr="002C0B6D">
        <w:rPr>
          <w:rFonts w:eastAsia="Calibri"/>
          <w:color w:val="0000FF"/>
          <w:sz w:val="20"/>
          <w:szCs w:val="20"/>
          <w:lang w:eastAsia="en-US"/>
        </w:rPr>
        <w:t xml:space="preserve"> </w:t>
      </w:r>
    </w:p>
    <w:p w:rsidR="0059571E" w:rsidRPr="002C0B6D" w:rsidRDefault="0059571E" w:rsidP="0059571E">
      <w:pPr>
        <w:ind w:right="-159"/>
        <w:jc w:val="both"/>
        <w:rPr>
          <w:rFonts w:eastAsia="Calibri"/>
          <w:sz w:val="20"/>
          <w:szCs w:val="20"/>
          <w:lang w:eastAsia="en-US"/>
        </w:rPr>
      </w:pPr>
      <w:r w:rsidRPr="002C0B6D">
        <w:rPr>
          <w:rFonts w:eastAsia="Calibri"/>
          <w:sz w:val="20"/>
          <w:szCs w:val="20"/>
          <w:lang w:eastAsia="en-US"/>
        </w:rPr>
        <w:t>Para tener acceso a información relacionada visite:</w:t>
      </w:r>
    </w:p>
    <w:p w:rsidR="0059571E" w:rsidRPr="002C0B6D" w:rsidRDefault="004638E5" w:rsidP="002C0B6D">
      <w:pPr>
        <w:spacing w:after="720"/>
        <w:ind w:right="-159"/>
        <w:jc w:val="both"/>
        <w:rPr>
          <w:rFonts w:eastAsia="Calibri"/>
          <w:color w:val="0000FF"/>
          <w:sz w:val="20"/>
          <w:szCs w:val="20"/>
          <w:u w:val="single"/>
          <w:lang w:eastAsia="en-US"/>
        </w:rPr>
      </w:pPr>
      <w:hyperlink r:id="rId36" w:history="1">
        <w:r w:rsidR="0059571E" w:rsidRPr="002C0B6D">
          <w:rPr>
            <w:rFonts w:eastAsia="Calibri"/>
            <w:color w:val="0000FF"/>
            <w:sz w:val="20"/>
            <w:szCs w:val="20"/>
            <w:u w:val="single"/>
            <w:lang w:eastAsia="en-US"/>
          </w:rPr>
          <w:t>http://www.presidencia.gob.mx/articulos-prensa/firman-mexico-y-reino-unido-acuerdos-en-material-educativa-y-turistica/</w:t>
        </w:r>
      </w:hyperlink>
    </w:p>
    <w:p w:rsidR="00EB072B" w:rsidRPr="00EB072B" w:rsidRDefault="00EB072B" w:rsidP="00EB072B">
      <w:pPr>
        <w:rPr>
          <w:rFonts w:eastAsia="Calibri"/>
          <w:b/>
          <w:sz w:val="26"/>
          <w:szCs w:val="26"/>
          <w:lang w:eastAsia="en-US"/>
        </w:rPr>
      </w:pPr>
      <w:r w:rsidRPr="00EB072B">
        <w:rPr>
          <w:rFonts w:eastAsia="Calibri"/>
          <w:b/>
          <w:sz w:val="26"/>
          <w:szCs w:val="26"/>
          <w:lang w:eastAsia="en-US"/>
        </w:rPr>
        <w:t>Participación en la XX Reunión Ordinaria</w:t>
      </w:r>
    </w:p>
    <w:p w:rsidR="00EB072B" w:rsidRPr="00EB072B" w:rsidRDefault="00EB072B" w:rsidP="00EB072B">
      <w:pPr>
        <w:spacing w:after="360" w:line="360" w:lineRule="auto"/>
        <w:ind w:right="-159"/>
        <w:jc w:val="both"/>
        <w:rPr>
          <w:rFonts w:eastAsia="Calibri"/>
          <w:b/>
          <w:sz w:val="26"/>
          <w:szCs w:val="26"/>
          <w:lang w:eastAsia="en-US"/>
        </w:rPr>
      </w:pPr>
      <w:r w:rsidRPr="00EB072B">
        <w:rPr>
          <w:rFonts w:eastAsia="Calibri"/>
          <w:b/>
          <w:sz w:val="26"/>
          <w:szCs w:val="26"/>
          <w:lang w:eastAsia="en-US"/>
        </w:rPr>
        <w:t>del Consejo de Ministros de la AEC (SRE)</w:t>
      </w:r>
    </w:p>
    <w:p w:rsidR="00EB072B" w:rsidRPr="00EB072B" w:rsidRDefault="00EB072B" w:rsidP="00EB072B">
      <w:pPr>
        <w:spacing w:after="360" w:line="360" w:lineRule="auto"/>
        <w:ind w:right="-159"/>
        <w:jc w:val="both"/>
        <w:rPr>
          <w:rFonts w:eastAsia="Calibri"/>
          <w:sz w:val="26"/>
          <w:szCs w:val="26"/>
          <w:lang w:eastAsia="en-US"/>
        </w:rPr>
      </w:pPr>
      <w:r w:rsidRPr="00EB072B">
        <w:rPr>
          <w:rFonts w:eastAsia="Calibri"/>
          <w:sz w:val="26"/>
          <w:szCs w:val="26"/>
          <w:lang w:eastAsia="en-US"/>
        </w:rPr>
        <w:t>El 10 de marzo de 2015, el Titular de la Secretaría de Relaciones Exteriores (SRE) encabezó la Delegación de México que participó en la XX Reunión Ordinaria del Consejo de Ministros de la Asociación de Estados del Caribe (AEC). A continuación se presenta la información.</w:t>
      </w:r>
    </w:p>
    <w:p w:rsidR="00EB072B" w:rsidRPr="00EB072B" w:rsidRDefault="00EB072B" w:rsidP="00EB072B">
      <w:pPr>
        <w:spacing w:after="360" w:line="360" w:lineRule="auto"/>
        <w:ind w:right="-159"/>
        <w:jc w:val="both"/>
        <w:rPr>
          <w:rFonts w:eastAsia="Calibri"/>
          <w:sz w:val="26"/>
          <w:szCs w:val="26"/>
          <w:lang w:eastAsia="en-US"/>
        </w:rPr>
      </w:pPr>
      <w:r w:rsidRPr="00EB072B">
        <w:rPr>
          <w:rFonts w:eastAsia="Calibri"/>
          <w:sz w:val="26"/>
          <w:szCs w:val="26"/>
          <w:lang w:eastAsia="en-US"/>
        </w:rPr>
        <w:lastRenderedPageBreak/>
        <w:t>El Secretario de Relaciones Exteriores encabezó, en Antigua, Guatemala, la delegación de México que participó en la XX Reunión Ordinaria del Consejo de Ministros de la Asociación de Estados del Caribe (AEC).</w:t>
      </w:r>
    </w:p>
    <w:p w:rsidR="00EB072B" w:rsidRPr="00EB072B" w:rsidRDefault="00EB072B" w:rsidP="00EB072B">
      <w:pPr>
        <w:spacing w:after="360" w:line="360" w:lineRule="auto"/>
        <w:ind w:right="-159"/>
        <w:jc w:val="both"/>
        <w:rPr>
          <w:rFonts w:eastAsia="Calibri"/>
          <w:sz w:val="26"/>
          <w:szCs w:val="26"/>
          <w:lang w:eastAsia="en-US"/>
        </w:rPr>
      </w:pPr>
      <w:r w:rsidRPr="00EB072B">
        <w:rPr>
          <w:rFonts w:eastAsia="Calibri"/>
          <w:sz w:val="26"/>
          <w:szCs w:val="26"/>
          <w:lang w:eastAsia="en-US"/>
        </w:rPr>
        <w:t>Dicho mecanismo se reúne anualmente para revisar los avances y aprobar las pautas que permitirán alcanzar los objetivos trazados para el año en curso, entre los que destacan la adopción del presupuesto anual, la aprobación de los informes de labores de los comités de trabajo y el programa para el año en curso.</w:t>
      </w:r>
    </w:p>
    <w:p w:rsidR="00EB072B" w:rsidRPr="00EB072B" w:rsidRDefault="00EB072B" w:rsidP="00EB072B">
      <w:pPr>
        <w:spacing w:after="360" w:line="360" w:lineRule="auto"/>
        <w:ind w:right="-159"/>
        <w:jc w:val="both"/>
        <w:rPr>
          <w:rFonts w:eastAsia="Calibri"/>
          <w:sz w:val="26"/>
          <w:szCs w:val="26"/>
          <w:lang w:eastAsia="en-US"/>
        </w:rPr>
      </w:pPr>
      <w:r w:rsidRPr="00EB072B">
        <w:rPr>
          <w:rFonts w:eastAsia="Calibri"/>
          <w:sz w:val="26"/>
          <w:szCs w:val="26"/>
          <w:lang w:eastAsia="en-US"/>
        </w:rPr>
        <w:t>La participación del Canciller mexicano en este consejo tuvo como propósito mantener los vínculos que México ha desarrollado con el Gran Caribe, a través de acciones concretas de apoyo al organismo. Entre ellas destaca la ejecución de los proyectos de cooperación en materia de gestión de riesgos de desastres y facilitación de comercio, acordados en la VI Cumbre de la AEC, celebrada en Mérida, Yucatán, en abril de 2014.</w:t>
      </w:r>
    </w:p>
    <w:p w:rsidR="00EB072B" w:rsidRPr="00EB072B" w:rsidRDefault="00EB072B" w:rsidP="00EB072B">
      <w:pPr>
        <w:spacing w:after="360" w:line="360" w:lineRule="auto"/>
        <w:ind w:right="-159"/>
        <w:jc w:val="both"/>
        <w:rPr>
          <w:rFonts w:eastAsia="Calibri"/>
          <w:sz w:val="26"/>
          <w:szCs w:val="26"/>
          <w:lang w:eastAsia="en-US"/>
        </w:rPr>
      </w:pPr>
      <w:r w:rsidRPr="00EB072B">
        <w:rPr>
          <w:rFonts w:eastAsia="Calibri"/>
          <w:sz w:val="26"/>
          <w:szCs w:val="26"/>
          <w:lang w:eastAsia="en-US"/>
        </w:rPr>
        <w:t>Durante su intervención, el funcionario mexicano presentó el Proyecto de Fortalecimiento de la Infraestructura de Datos Espaciales para el Caribe. Se trata de una de las iniciativas que México impulsa en esta región como resultado de presidencia pro tempore de la AEC, que concluyó el año pasado.</w:t>
      </w:r>
    </w:p>
    <w:p w:rsidR="00EB072B" w:rsidRPr="00EB072B" w:rsidRDefault="00EB072B" w:rsidP="00EB072B">
      <w:pPr>
        <w:spacing w:after="360" w:line="360" w:lineRule="auto"/>
        <w:ind w:right="-159"/>
        <w:jc w:val="both"/>
        <w:rPr>
          <w:rFonts w:eastAsia="Calibri"/>
          <w:sz w:val="26"/>
          <w:szCs w:val="26"/>
          <w:lang w:eastAsia="en-US"/>
        </w:rPr>
      </w:pPr>
      <w:r w:rsidRPr="00EB072B">
        <w:rPr>
          <w:rFonts w:eastAsia="Calibri"/>
          <w:sz w:val="26"/>
          <w:szCs w:val="26"/>
          <w:lang w:eastAsia="en-US"/>
        </w:rPr>
        <w:t>De la misma forma, se refirió a los proyectos que México ha impulsado en esta región. Destacan la Plataforma de Información Territorial del Gran Caribe para la Prevención de Desastres, diversos programas para impulsar el tránsito internacional de mercancías y mecanismos para fomentar la interconectividad para la mejora del comercio y transporte marítimo de corta distancia.</w:t>
      </w:r>
    </w:p>
    <w:p w:rsidR="00EB072B" w:rsidRPr="00EB072B" w:rsidRDefault="00EB072B" w:rsidP="00EB072B">
      <w:pPr>
        <w:spacing w:after="360" w:line="360" w:lineRule="auto"/>
        <w:ind w:right="-159"/>
        <w:jc w:val="both"/>
        <w:rPr>
          <w:rFonts w:eastAsia="Calibri"/>
          <w:sz w:val="26"/>
          <w:szCs w:val="26"/>
          <w:lang w:eastAsia="en-US"/>
        </w:rPr>
      </w:pPr>
      <w:r w:rsidRPr="00EB072B">
        <w:rPr>
          <w:rFonts w:eastAsia="Calibri"/>
          <w:sz w:val="26"/>
          <w:szCs w:val="26"/>
          <w:lang w:eastAsia="en-US"/>
        </w:rPr>
        <w:t xml:space="preserve">La AEC es un mecanismo de cooperación, concertación e integración creado en 1994 a iniciativa de México, integrado por 25 países ribereños de la cuenca del Caribe: Antigua y Barbuda, Bahamas, Barbados, Belice, Colombia, Costa Rica, Cuba, Dominica, Granada, Guatemala, Guyana, Haití, Honduras, Jamaica, México, </w:t>
      </w:r>
      <w:r w:rsidRPr="00EB072B">
        <w:rPr>
          <w:rFonts w:eastAsia="Calibri"/>
          <w:sz w:val="26"/>
          <w:szCs w:val="26"/>
          <w:lang w:eastAsia="en-US"/>
        </w:rPr>
        <w:lastRenderedPageBreak/>
        <w:t>Nicaragua, Panamá, República Dominicana, Santa Lucía, San Cristóbal y Nieves, San Vicente y las Granadinas, Surinam, Trinidad y Tobago y Venezuela. Asimismo, cuenta entre sus miembros a El Salvador, que es integrante del Sistema de la Integración Centroamericana (SICA).</w:t>
      </w:r>
    </w:p>
    <w:p w:rsidR="00EB072B" w:rsidRPr="00EB072B" w:rsidRDefault="00EB072B" w:rsidP="00EB072B">
      <w:pPr>
        <w:spacing w:after="360" w:line="360" w:lineRule="auto"/>
        <w:ind w:right="-159"/>
        <w:jc w:val="both"/>
        <w:rPr>
          <w:rFonts w:eastAsia="Calibri"/>
          <w:sz w:val="26"/>
          <w:szCs w:val="26"/>
          <w:lang w:eastAsia="en-US"/>
        </w:rPr>
      </w:pPr>
      <w:r w:rsidRPr="00EB072B">
        <w:rPr>
          <w:rFonts w:eastAsia="Calibri"/>
          <w:sz w:val="26"/>
          <w:szCs w:val="26"/>
          <w:lang w:eastAsia="en-US"/>
        </w:rPr>
        <w:t>Durante su estancia en Antigua, el titular de la SRE sostuvo una reunión de trabajo con su homólogo guatemalteco, con quien preparó la agenda de la visita que realizará el Presidente de Guatemala a México el próximo viernes.</w:t>
      </w:r>
    </w:p>
    <w:p w:rsidR="00EB072B" w:rsidRPr="00EB072B" w:rsidRDefault="00EB072B" w:rsidP="00EB072B">
      <w:pPr>
        <w:spacing w:after="360" w:line="360" w:lineRule="auto"/>
        <w:ind w:right="-159"/>
        <w:jc w:val="both"/>
        <w:rPr>
          <w:rFonts w:eastAsia="Calibri"/>
          <w:sz w:val="26"/>
          <w:szCs w:val="26"/>
          <w:lang w:eastAsia="en-US"/>
        </w:rPr>
      </w:pPr>
      <w:r w:rsidRPr="00EB072B">
        <w:rPr>
          <w:rFonts w:eastAsia="Calibri"/>
          <w:sz w:val="26"/>
          <w:szCs w:val="26"/>
          <w:lang w:eastAsia="en-US"/>
        </w:rPr>
        <w:t>Ambos funcionarios repasaron los temas de la conversación que sostendrán los presidentes de ambos países así como los acuerdos que habrán de suscribir los dos gobiernos.</w:t>
      </w:r>
    </w:p>
    <w:p w:rsidR="00EB072B" w:rsidRPr="00EB072B" w:rsidRDefault="00EB072B" w:rsidP="00EB072B">
      <w:pPr>
        <w:spacing w:after="360" w:line="360" w:lineRule="auto"/>
        <w:ind w:right="-159"/>
        <w:jc w:val="both"/>
        <w:rPr>
          <w:rFonts w:eastAsia="Calibri"/>
          <w:sz w:val="26"/>
          <w:szCs w:val="26"/>
          <w:lang w:eastAsia="en-US"/>
        </w:rPr>
      </w:pPr>
      <w:r w:rsidRPr="00EB072B">
        <w:rPr>
          <w:rFonts w:eastAsia="Calibri"/>
          <w:sz w:val="26"/>
          <w:szCs w:val="26"/>
          <w:lang w:eastAsia="en-US"/>
        </w:rPr>
        <w:t>Posteriormente a este encuentro, los Cancilleres de México, de Colombia y de Guatemala se reunieron para analizar los avances registrados en el mecanismo político del SICA, y para revisar diversos proyectos de cooperación a nivel regional.</w:t>
      </w:r>
    </w:p>
    <w:p w:rsidR="00EB072B" w:rsidRPr="00EB072B" w:rsidRDefault="00EB072B" w:rsidP="00EB072B">
      <w:pPr>
        <w:spacing w:after="360" w:line="360" w:lineRule="auto"/>
        <w:ind w:right="-159"/>
        <w:jc w:val="both"/>
        <w:rPr>
          <w:rFonts w:eastAsia="Calibri"/>
          <w:sz w:val="26"/>
          <w:szCs w:val="26"/>
          <w:lang w:eastAsia="en-US"/>
        </w:rPr>
      </w:pPr>
      <w:r w:rsidRPr="00EB072B">
        <w:rPr>
          <w:rFonts w:eastAsia="Calibri"/>
          <w:sz w:val="26"/>
          <w:szCs w:val="26"/>
          <w:lang w:eastAsia="en-US"/>
        </w:rPr>
        <w:t>Al término de su estancia en Guatemala, el Canciller mexicano se reunió con el Ministro de Asuntos Exteriores de Cuba, con quien analizó los temas de la agenda binacional como comercio, cooperación y promoción cultural.</w:t>
      </w:r>
    </w:p>
    <w:p w:rsidR="00EB072B" w:rsidRPr="00EB072B" w:rsidRDefault="00EB072B" w:rsidP="00EB072B">
      <w:pPr>
        <w:ind w:right="-159"/>
        <w:jc w:val="both"/>
        <w:rPr>
          <w:rFonts w:eastAsia="Calibri"/>
          <w:b/>
          <w:sz w:val="20"/>
          <w:szCs w:val="20"/>
          <w:lang w:eastAsia="en-US"/>
        </w:rPr>
      </w:pPr>
      <w:r w:rsidRPr="00EB072B">
        <w:rPr>
          <w:rFonts w:eastAsia="Calibri"/>
          <w:b/>
          <w:sz w:val="20"/>
          <w:szCs w:val="20"/>
          <w:lang w:eastAsia="en-US"/>
        </w:rPr>
        <w:t>Fuente de información:</w:t>
      </w:r>
    </w:p>
    <w:p w:rsidR="00EB072B" w:rsidRPr="002C0B6D" w:rsidRDefault="004638E5" w:rsidP="002C0B6D">
      <w:pPr>
        <w:spacing w:after="720"/>
        <w:ind w:right="-159"/>
        <w:jc w:val="both"/>
        <w:rPr>
          <w:rFonts w:eastAsia="Calibri"/>
          <w:color w:val="0000FF"/>
          <w:sz w:val="20"/>
          <w:szCs w:val="20"/>
          <w:lang w:eastAsia="en-US"/>
        </w:rPr>
      </w:pPr>
      <w:hyperlink r:id="rId37" w:history="1">
        <w:r w:rsidR="00EB072B" w:rsidRPr="002C0B6D">
          <w:rPr>
            <w:rFonts w:eastAsia="Calibri"/>
            <w:color w:val="0000FF"/>
            <w:sz w:val="20"/>
            <w:szCs w:val="20"/>
            <w:u w:val="single"/>
            <w:lang w:eastAsia="en-US"/>
          </w:rPr>
          <w:t>http://saladeprensa.sre.gob.mx/index.php/es/comunicados/5735-127</w:t>
        </w:r>
      </w:hyperlink>
    </w:p>
    <w:p w:rsidR="0032171F" w:rsidRPr="0032171F" w:rsidRDefault="0032171F" w:rsidP="0032171F">
      <w:pPr>
        <w:ind w:right="-159"/>
        <w:jc w:val="both"/>
        <w:rPr>
          <w:rFonts w:eastAsia="Calibri"/>
          <w:b/>
          <w:sz w:val="26"/>
          <w:szCs w:val="26"/>
          <w:lang w:eastAsia="en-US"/>
        </w:rPr>
      </w:pPr>
      <w:r w:rsidRPr="0032171F">
        <w:rPr>
          <w:rFonts w:eastAsia="Calibri"/>
          <w:b/>
          <w:sz w:val="26"/>
          <w:szCs w:val="26"/>
          <w:lang w:eastAsia="en-US"/>
        </w:rPr>
        <w:t>Crean   puente  aéreo  México-China;  nueva</w:t>
      </w:r>
    </w:p>
    <w:p w:rsidR="0032171F" w:rsidRPr="0032171F" w:rsidRDefault="0032171F" w:rsidP="0032171F">
      <w:pPr>
        <w:ind w:right="-159"/>
        <w:jc w:val="both"/>
        <w:rPr>
          <w:rFonts w:eastAsia="Calibri"/>
          <w:b/>
          <w:sz w:val="26"/>
          <w:szCs w:val="26"/>
          <w:lang w:eastAsia="en-US"/>
        </w:rPr>
      </w:pPr>
      <w:r w:rsidRPr="0032171F">
        <w:rPr>
          <w:rFonts w:eastAsia="Calibri"/>
          <w:b/>
          <w:sz w:val="26"/>
          <w:szCs w:val="26"/>
          <w:lang w:eastAsia="en-US"/>
        </w:rPr>
        <w:t>era en el comercio agroalimentario de ambos</w:t>
      </w:r>
    </w:p>
    <w:p w:rsidR="0032171F" w:rsidRPr="0032171F" w:rsidRDefault="0032171F" w:rsidP="0032171F">
      <w:pPr>
        <w:spacing w:after="360" w:line="360" w:lineRule="auto"/>
        <w:ind w:right="-159"/>
        <w:jc w:val="both"/>
        <w:rPr>
          <w:rFonts w:eastAsia="Calibri"/>
          <w:b/>
          <w:sz w:val="26"/>
          <w:szCs w:val="26"/>
          <w:lang w:eastAsia="en-US"/>
        </w:rPr>
      </w:pPr>
      <w:r w:rsidRPr="0032171F">
        <w:rPr>
          <w:rFonts w:eastAsia="Calibri"/>
          <w:b/>
          <w:sz w:val="26"/>
          <w:szCs w:val="26"/>
          <w:lang w:eastAsia="en-US"/>
        </w:rPr>
        <w:t>países (SAGARPA)</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 xml:space="preserve">El 9 de marzo de 2015, la Secretaría de Agricultura, Ganadería, Desarrollo Rural, Pesca y Alimentación (SAGARPA) informó que crean puente aéreo México-China; nueva era </w:t>
      </w:r>
      <w:r w:rsidRPr="0032171F">
        <w:rPr>
          <w:rFonts w:eastAsia="Calibri"/>
          <w:sz w:val="26"/>
          <w:szCs w:val="26"/>
          <w:lang w:eastAsia="en-US"/>
        </w:rPr>
        <w:lastRenderedPageBreak/>
        <w:t>en el comercio agroalimentario de ambos países. A continuación se presenta la información.</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Una nueva era en la cooperación y el intercambio comercial se ha establecido entre México y la República Popular de China, resultado de la continuidad de los acuerdos alcanzados entre los Presidentes de ambas naciones, aseguró el Secretario de Agricultura, Ganadería, Desarrollo Rural, Pesca y Alimentación.</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 xml:space="preserve">En el marco de la firma de un Memorándum de Entendimiento entre la SAGARPA y la provincia de Henan, China, el Secretario de la SAGARPA afirmó que la amistad, historia y cultura de los dos países son elementos que en estos últimos años han permitido estrechar los lazos de cooperación, inversión y relaciones comerciales.   </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El Memor</w:t>
      </w:r>
      <w:r w:rsidR="00544044">
        <w:rPr>
          <w:rFonts w:eastAsia="Calibri"/>
          <w:sz w:val="26"/>
          <w:szCs w:val="26"/>
          <w:lang w:eastAsia="en-US"/>
        </w:rPr>
        <w:t>á</w:t>
      </w:r>
      <w:r w:rsidRPr="0032171F">
        <w:rPr>
          <w:rFonts w:eastAsia="Calibri"/>
          <w:sz w:val="26"/>
          <w:szCs w:val="26"/>
          <w:lang w:eastAsia="en-US"/>
        </w:rPr>
        <w:t>nd</w:t>
      </w:r>
      <w:r w:rsidR="00544044">
        <w:rPr>
          <w:rFonts w:eastAsia="Calibri"/>
          <w:sz w:val="26"/>
          <w:szCs w:val="26"/>
          <w:lang w:eastAsia="en-US"/>
        </w:rPr>
        <w:t>um</w:t>
      </w:r>
      <w:r w:rsidRPr="0032171F">
        <w:rPr>
          <w:rFonts w:eastAsia="Calibri"/>
          <w:sz w:val="26"/>
          <w:szCs w:val="26"/>
          <w:lang w:eastAsia="en-US"/>
        </w:rPr>
        <w:t xml:space="preserve"> establece la operación de un puente aéreo entre Guadalajara, Jalisco y la provincia de Henan —ubicada en el centro de la nación asiática, con más de              106 millones de habitantes y una estratégica conectividad en transporte que permite alcanzar una cobertura de alrededor de 700 millones de personas— para la exportación a ese país de productos agroalimentarios de origen mexicano.</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El Titular de la SAGARPA señaló que la posición geográfica de México, su clima y potencial en el sector hortofrutícola y pecuario, así como la rapidez con que las autoridades de sanitarias han respondido a los protocolos, aumenta las posibilidades de incrementar paulatinamente las exportaciones de productos agroalimentarios de calidad a China.</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 xml:space="preserve">Ante la presencia de productores y agroindustriales mexicanos, el funcionario añadió que estas acciones de </w:t>
      </w:r>
      <w:proofErr w:type="spellStart"/>
      <w:r w:rsidRPr="0032171F">
        <w:rPr>
          <w:rFonts w:eastAsia="Calibri"/>
          <w:sz w:val="26"/>
          <w:szCs w:val="26"/>
          <w:lang w:eastAsia="en-US"/>
        </w:rPr>
        <w:t>agrologística</w:t>
      </w:r>
      <w:proofErr w:type="spellEnd"/>
      <w:r w:rsidRPr="0032171F">
        <w:rPr>
          <w:rFonts w:eastAsia="Calibri"/>
          <w:sz w:val="26"/>
          <w:szCs w:val="26"/>
          <w:lang w:eastAsia="en-US"/>
        </w:rPr>
        <w:t xml:space="preserve">, aunado a los protocolos </w:t>
      </w:r>
      <w:proofErr w:type="spellStart"/>
      <w:r w:rsidRPr="0032171F">
        <w:rPr>
          <w:rFonts w:eastAsia="Calibri"/>
          <w:sz w:val="26"/>
          <w:szCs w:val="26"/>
          <w:lang w:eastAsia="en-US"/>
        </w:rPr>
        <w:t>fito</w:t>
      </w:r>
      <w:proofErr w:type="spellEnd"/>
      <w:r w:rsidRPr="0032171F">
        <w:rPr>
          <w:rFonts w:eastAsia="Calibri"/>
          <w:sz w:val="26"/>
          <w:szCs w:val="26"/>
          <w:lang w:eastAsia="en-US"/>
        </w:rPr>
        <w:t xml:space="preserve"> y zoosanitarios facilitará iniciar próximamente las exportaciones de carne de res, cerdo, melón, papaya, entre otras frutas, además de aumentar el aguacate y las </w:t>
      </w:r>
      <w:proofErr w:type="spellStart"/>
      <w:r w:rsidRPr="0032171F">
        <w:rPr>
          <w:rFonts w:eastAsia="Calibri"/>
          <w:sz w:val="26"/>
          <w:szCs w:val="26"/>
          <w:lang w:eastAsia="en-US"/>
        </w:rPr>
        <w:t>berries</w:t>
      </w:r>
      <w:proofErr w:type="spellEnd"/>
      <w:r w:rsidRPr="0032171F">
        <w:rPr>
          <w:rFonts w:eastAsia="Calibri"/>
          <w:sz w:val="26"/>
          <w:szCs w:val="26"/>
          <w:lang w:eastAsia="en-US"/>
        </w:rPr>
        <w:t xml:space="preserve">. </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lastRenderedPageBreak/>
        <w:t xml:space="preserve">Destacó que el estatus sanitario alcanzado permite estar en los mercados más exigentes del mundo, con un cierre el año pasado en exportaciones agroalimentarias de alrededor de 26 mil millones de dólares, de los cuales el 80% se destinó a Estados Unidos de Norteamérica, Canadá y Japón, principalmente.      </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 xml:space="preserve">El Vicegobernador de la provincia de Henan, China, indicó que </w:t>
      </w:r>
      <w:r w:rsidR="00544044">
        <w:rPr>
          <w:rFonts w:eastAsia="Calibri"/>
          <w:sz w:val="26"/>
          <w:szCs w:val="26"/>
          <w:lang w:eastAsia="en-US"/>
        </w:rPr>
        <w:t>é</w:t>
      </w:r>
      <w:r w:rsidRPr="0032171F">
        <w:rPr>
          <w:rFonts w:eastAsia="Calibri"/>
          <w:sz w:val="26"/>
          <w:szCs w:val="26"/>
          <w:lang w:eastAsia="en-US"/>
        </w:rPr>
        <w:t>ste es un encuentro de mutua amistad y gran impulso a la cooperación económica entre ambos países, en un contexto de apertura de su nación para lograr un desarrollo más integral y participativo.</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Explicó que la ubicación de provincia de Henan es fundamental para el establecimiento del puente aéreo que complementará el comercio de productos agropecuarios.</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 xml:space="preserve">Expresó sus deseos para que este acuerdo de cooperación sea el inicio de otros que fortalezcan la relación de cooperación económica entre México y China, e hizo la solicitud formal al Secretario de la SAGARPA para que participe en la Expo Internacional de Inversión y Comercio que tendrá lugar en esta provincia.  </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El Embajador de China en México destacó la visión de las autoridades mexicanas de escoger esa región de China para la distribución de alimentos, y añadió que en dos años la relación entre ambas naciones ha tenido avances significativos, como la firma de este memor</w:t>
      </w:r>
      <w:r w:rsidR="00544044">
        <w:rPr>
          <w:rFonts w:eastAsia="Calibri"/>
          <w:sz w:val="26"/>
          <w:szCs w:val="26"/>
          <w:lang w:eastAsia="en-US"/>
        </w:rPr>
        <w:t>á</w:t>
      </w:r>
      <w:r w:rsidRPr="0032171F">
        <w:rPr>
          <w:rFonts w:eastAsia="Calibri"/>
          <w:sz w:val="26"/>
          <w:szCs w:val="26"/>
          <w:lang w:eastAsia="en-US"/>
        </w:rPr>
        <w:t>nd</w:t>
      </w:r>
      <w:r w:rsidR="00544044">
        <w:rPr>
          <w:rFonts w:eastAsia="Calibri"/>
          <w:sz w:val="26"/>
          <w:szCs w:val="26"/>
          <w:lang w:eastAsia="en-US"/>
        </w:rPr>
        <w:t>um</w:t>
      </w:r>
      <w:r w:rsidRPr="0032171F">
        <w:rPr>
          <w:rFonts w:eastAsia="Calibri"/>
          <w:sz w:val="26"/>
          <w:szCs w:val="26"/>
          <w:lang w:eastAsia="en-US"/>
        </w:rPr>
        <w:t xml:space="preserve"> que propicia el intercambio comercial. </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 xml:space="preserve">El Director General de Aeronáutica Civil de la Secretaría de Comunicaciones y Transportes reconoció que los puentes aéreos están dentro de las mejores opciones para el traslado de productos agroalimentarios, por lo que las autoridades mexicanas están en la disposición de establecer rutas para favorecer el comercio entre ambos países.    </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 xml:space="preserve">Con la representación de los productores y agroindustriales de México, el Presidente del Consejo Nacional Agropecuario (CNA) resaltó que </w:t>
      </w:r>
      <w:r w:rsidR="002C0B6D">
        <w:rPr>
          <w:rFonts w:eastAsia="Calibri"/>
          <w:sz w:val="26"/>
          <w:szCs w:val="26"/>
          <w:lang w:eastAsia="en-US"/>
        </w:rPr>
        <w:t>é</w:t>
      </w:r>
      <w:r w:rsidRPr="0032171F">
        <w:rPr>
          <w:rFonts w:eastAsia="Calibri"/>
          <w:sz w:val="26"/>
          <w:szCs w:val="26"/>
          <w:lang w:eastAsia="en-US"/>
        </w:rPr>
        <w:t xml:space="preserve">ste es el mejor momento de toda la historia de ambos naciones, gracias a la buena relación de los Presidentes de </w:t>
      </w:r>
      <w:r w:rsidRPr="0032171F">
        <w:rPr>
          <w:rFonts w:eastAsia="Calibri"/>
          <w:sz w:val="26"/>
          <w:szCs w:val="26"/>
          <w:lang w:eastAsia="en-US"/>
        </w:rPr>
        <w:lastRenderedPageBreak/>
        <w:t>México y China, mencionó que su organización integra el 100% de los productos agroalimentarios exportados a ese país.</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El Coordinador General de Planeación Estratégica de la SAGARPA señaló que en el Plan Estratégico del Gobierno de la República se establece la importancia del sector primario nacional, como un pilar de crecimiento y desarrollo para el país, en un dinamismo que impulsa la producción y exportación de productos agroalimentarios.</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 xml:space="preserve">Precisó que las reformas estructurales impulsadas por México, así como los proyectos de conectividad </w:t>
      </w:r>
      <w:proofErr w:type="spellStart"/>
      <w:r w:rsidRPr="0032171F">
        <w:rPr>
          <w:rFonts w:eastAsia="Calibri"/>
          <w:sz w:val="26"/>
          <w:szCs w:val="26"/>
          <w:lang w:eastAsia="en-US"/>
        </w:rPr>
        <w:t>agrologística</w:t>
      </w:r>
      <w:proofErr w:type="spellEnd"/>
      <w:r w:rsidRPr="0032171F">
        <w:rPr>
          <w:rFonts w:eastAsia="Calibri"/>
          <w:sz w:val="26"/>
          <w:szCs w:val="26"/>
          <w:lang w:eastAsia="en-US"/>
        </w:rPr>
        <w:t>, son factores determinantes para un mayor desarrollo e intercambio comercial, con pronósticos para aumentar en un 100% el valor de las exportaciones del país en los próximos 10 años.</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Cabe señalar que el memor</w:t>
      </w:r>
      <w:r w:rsidR="00544044">
        <w:rPr>
          <w:rFonts w:eastAsia="Calibri"/>
          <w:sz w:val="26"/>
          <w:szCs w:val="26"/>
          <w:lang w:eastAsia="en-US"/>
        </w:rPr>
        <w:t>á</w:t>
      </w:r>
      <w:r w:rsidRPr="0032171F">
        <w:rPr>
          <w:rFonts w:eastAsia="Calibri"/>
          <w:sz w:val="26"/>
          <w:szCs w:val="26"/>
          <w:lang w:eastAsia="en-US"/>
        </w:rPr>
        <w:t>nd</w:t>
      </w:r>
      <w:r w:rsidR="00544044">
        <w:rPr>
          <w:rFonts w:eastAsia="Calibri"/>
          <w:sz w:val="26"/>
          <w:szCs w:val="26"/>
          <w:lang w:eastAsia="en-US"/>
        </w:rPr>
        <w:t>um</w:t>
      </w:r>
      <w:r w:rsidRPr="0032171F">
        <w:rPr>
          <w:rFonts w:eastAsia="Calibri"/>
          <w:sz w:val="26"/>
          <w:szCs w:val="26"/>
          <w:lang w:eastAsia="en-US"/>
        </w:rPr>
        <w:t xml:space="preserve"> responde al compromiso establecido por el Presidente de México, durante su visita a la República Popular de China, realizada en noviembre pasado, para concretar un proyecto de </w:t>
      </w:r>
      <w:proofErr w:type="spellStart"/>
      <w:r w:rsidRPr="0032171F">
        <w:rPr>
          <w:rFonts w:eastAsia="Calibri"/>
          <w:sz w:val="26"/>
          <w:szCs w:val="26"/>
          <w:lang w:eastAsia="en-US"/>
        </w:rPr>
        <w:t>agrologística</w:t>
      </w:r>
      <w:proofErr w:type="spellEnd"/>
      <w:r w:rsidRPr="0032171F">
        <w:rPr>
          <w:rFonts w:eastAsia="Calibri"/>
          <w:sz w:val="26"/>
          <w:szCs w:val="26"/>
          <w:lang w:eastAsia="en-US"/>
        </w:rPr>
        <w:t xml:space="preserve"> denominado “Puente Aéreo Henan–Guadalajara”, el cual establece el marco legal para convertir a esta provincia en centro de distribución de mercancías agropecuarias mexicanas que arriben vía aérea a China.</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El “Puente Aéreo Henan–Guadalajara” permitirá el transporte de productos agroalimentarios mexicanos a una de las regiones más importantes y con mayor poder adquisitivo de ese país.</w:t>
      </w:r>
    </w:p>
    <w:p w:rsid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Al contar con la infraestructura adecuada para el traslado de sus mercancías, los productores mexicanos pueden exportar en condiciones de mayor competitividad.</w:t>
      </w:r>
    </w:p>
    <w:p w:rsidR="000B0616" w:rsidRDefault="000B0616" w:rsidP="0032171F">
      <w:pPr>
        <w:spacing w:after="360" w:line="360" w:lineRule="auto"/>
        <w:ind w:right="-159"/>
        <w:jc w:val="both"/>
        <w:rPr>
          <w:rFonts w:eastAsia="Calibri"/>
          <w:sz w:val="26"/>
          <w:szCs w:val="26"/>
          <w:lang w:eastAsia="en-US"/>
        </w:rPr>
      </w:pPr>
    </w:p>
    <w:p w:rsidR="000B0616" w:rsidRPr="0032171F" w:rsidRDefault="000B0616" w:rsidP="0032171F">
      <w:pPr>
        <w:spacing w:after="360" w:line="360" w:lineRule="auto"/>
        <w:ind w:right="-159"/>
        <w:jc w:val="both"/>
        <w:rPr>
          <w:rFonts w:eastAsia="Calibri"/>
          <w:sz w:val="26"/>
          <w:szCs w:val="26"/>
          <w:lang w:eastAsia="en-US"/>
        </w:rPr>
      </w:pPr>
    </w:p>
    <w:p w:rsidR="0032171F" w:rsidRPr="0032171F" w:rsidRDefault="0032171F" w:rsidP="0032171F">
      <w:pPr>
        <w:spacing w:after="360" w:line="360" w:lineRule="auto"/>
        <w:ind w:right="-159"/>
        <w:jc w:val="both"/>
        <w:rPr>
          <w:rFonts w:eastAsia="Calibri"/>
          <w:b/>
          <w:sz w:val="26"/>
          <w:szCs w:val="26"/>
          <w:lang w:eastAsia="en-US"/>
        </w:rPr>
      </w:pPr>
      <w:r w:rsidRPr="0032171F">
        <w:rPr>
          <w:rFonts w:eastAsia="Calibri"/>
          <w:b/>
          <w:sz w:val="26"/>
          <w:szCs w:val="26"/>
          <w:lang w:eastAsia="en-US"/>
        </w:rPr>
        <w:lastRenderedPageBreak/>
        <w:t>Técnicos chinos visitan la Terminal de Carga de Guadalajara, Jalisco</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 xml:space="preserve">Previo a la firma del convenio, una delegación de funcionarios, empresarios e importadores chinos visitaron la terminal de carga del aeropuerto de Guadalajara, que cuenta con infraestructura moderna para el adecuado manejo </w:t>
      </w:r>
      <w:proofErr w:type="spellStart"/>
      <w:r w:rsidRPr="0032171F">
        <w:rPr>
          <w:rFonts w:eastAsia="Calibri"/>
          <w:sz w:val="26"/>
          <w:szCs w:val="26"/>
          <w:lang w:eastAsia="en-US"/>
        </w:rPr>
        <w:t>agrologístico</w:t>
      </w:r>
      <w:proofErr w:type="spellEnd"/>
      <w:r w:rsidRPr="0032171F">
        <w:rPr>
          <w:rFonts w:eastAsia="Calibri"/>
          <w:sz w:val="26"/>
          <w:szCs w:val="26"/>
          <w:lang w:eastAsia="en-US"/>
        </w:rPr>
        <w:t>, lo que garantiza la inocuidad de las mercancías agroalimentarias que se exportan desde ese punto.</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A través de esta terminal de carga se exportan anualmente más de 48 mil toneladas de productos perecederos, entre los que destacan mangos, aguacates y 4 mil toneladas de frutillas al año, a diversos destinos de Europa, Asia y América, como Estados Unidos de Norteamérica, Reino Unido, Francia, Corea del Sur y China, entre otros.</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 xml:space="preserve">El aeropuerto internacional de Henan, se localiza en Zhengzhou. Es uno de los más importantes de China y ha sido autorizado por la Administración de Inspección y Cuarentena de China (AQSIQ, por sus siglas en inglés) para el ingreso de frutas y carnes. </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 xml:space="preserve">Anualmente moviliza 400 mil toneladas de carga y el Plan de Aviación de China     2010-2020 considera que para el 2020 movilizará un millón de toneladas de productos, ya que tiene conexiones con 91 ciudades en ese país y 32 rutas de carga internacionales, incluyendo Los Ángeles, Miami, Nueva York y Chicago. </w:t>
      </w:r>
    </w:p>
    <w:p w:rsidR="0032171F" w:rsidRPr="0032171F" w:rsidRDefault="0032171F" w:rsidP="0032171F">
      <w:pPr>
        <w:spacing w:after="360" w:line="360" w:lineRule="auto"/>
        <w:ind w:right="-159"/>
        <w:jc w:val="both"/>
        <w:rPr>
          <w:rFonts w:eastAsia="Calibri"/>
          <w:sz w:val="26"/>
          <w:szCs w:val="26"/>
          <w:lang w:eastAsia="en-US"/>
        </w:rPr>
      </w:pPr>
      <w:r w:rsidRPr="0032171F">
        <w:rPr>
          <w:rFonts w:eastAsia="Calibri"/>
          <w:sz w:val="26"/>
          <w:szCs w:val="26"/>
          <w:lang w:eastAsia="en-US"/>
        </w:rPr>
        <w:t xml:space="preserve">En el evento participaron también los Subsecretarios de Alimentación y Competitividad y de Desarrollo Rural, la Abogada General, el Director en jefe del Servicio Nacional de Sanidad, Inocuidad y Calidad </w:t>
      </w:r>
      <w:proofErr w:type="spellStart"/>
      <w:r w:rsidRPr="0032171F">
        <w:rPr>
          <w:rFonts w:eastAsia="Calibri"/>
          <w:sz w:val="26"/>
          <w:szCs w:val="26"/>
          <w:lang w:eastAsia="en-US"/>
        </w:rPr>
        <w:t>Agroalimentaría</w:t>
      </w:r>
      <w:proofErr w:type="spellEnd"/>
      <w:r w:rsidRPr="0032171F">
        <w:rPr>
          <w:rFonts w:eastAsia="Calibri"/>
          <w:sz w:val="26"/>
          <w:szCs w:val="26"/>
          <w:lang w:eastAsia="en-US"/>
        </w:rPr>
        <w:t xml:space="preserve"> (SENASICA) y el Coordinador General de Asuntos Internacionales de la SAGARPA.</w:t>
      </w:r>
    </w:p>
    <w:p w:rsidR="0032171F" w:rsidRPr="0032171F" w:rsidRDefault="0032171F" w:rsidP="0032171F">
      <w:pPr>
        <w:ind w:right="-159"/>
        <w:jc w:val="both"/>
        <w:rPr>
          <w:rFonts w:eastAsia="Calibri"/>
          <w:b/>
          <w:sz w:val="20"/>
          <w:szCs w:val="20"/>
          <w:lang w:eastAsia="en-US"/>
        </w:rPr>
      </w:pPr>
      <w:r w:rsidRPr="0032171F">
        <w:rPr>
          <w:rFonts w:eastAsia="Calibri"/>
          <w:b/>
          <w:sz w:val="20"/>
          <w:szCs w:val="20"/>
          <w:lang w:eastAsia="en-US"/>
        </w:rPr>
        <w:t>Fuente de información:</w:t>
      </w:r>
    </w:p>
    <w:p w:rsidR="0032171F" w:rsidRPr="002753B3" w:rsidRDefault="004638E5" w:rsidP="0032171F">
      <w:pPr>
        <w:ind w:right="-159"/>
        <w:jc w:val="both"/>
        <w:rPr>
          <w:rFonts w:eastAsia="Calibri"/>
          <w:color w:val="0000FF"/>
          <w:sz w:val="20"/>
          <w:szCs w:val="20"/>
          <w:lang w:eastAsia="en-US"/>
        </w:rPr>
      </w:pPr>
      <w:hyperlink r:id="rId38" w:history="1">
        <w:r w:rsidR="0032171F" w:rsidRPr="002753B3">
          <w:rPr>
            <w:rFonts w:eastAsia="Calibri"/>
            <w:color w:val="0000FF"/>
            <w:sz w:val="20"/>
            <w:szCs w:val="20"/>
            <w:u w:val="single"/>
            <w:lang w:eastAsia="en-US"/>
          </w:rPr>
          <w:t>http://www.sagarpa.gob.mx/saladeprensa/2012/Paginas/2015B184.aspx</w:t>
        </w:r>
      </w:hyperlink>
      <w:r w:rsidR="0032171F" w:rsidRPr="002753B3">
        <w:rPr>
          <w:rFonts w:eastAsia="Calibri"/>
          <w:color w:val="0000FF"/>
          <w:sz w:val="20"/>
          <w:szCs w:val="20"/>
          <w:lang w:eastAsia="en-US"/>
        </w:rPr>
        <w:t xml:space="preserve"> </w:t>
      </w:r>
    </w:p>
    <w:p w:rsidR="002B4CC6" w:rsidRDefault="002B4CC6" w:rsidP="00FF4306">
      <w:pPr>
        <w:spacing w:after="360" w:line="360" w:lineRule="auto"/>
        <w:ind w:right="-159"/>
        <w:jc w:val="both"/>
        <w:rPr>
          <w:sz w:val="26"/>
          <w:szCs w:val="26"/>
          <w:lang w:val="es-ES"/>
        </w:rPr>
      </w:pPr>
    </w:p>
    <w:p w:rsidR="00276B9C" w:rsidRPr="00276B9C" w:rsidRDefault="00276B9C" w:rsidP="00276B9C">
      <w:pPr>
        <w:ind w:right="-159"/>
        <w:jc w:val="both"/>
        <w:rPr>
          <w:rFonts w:eastAsia="Calibri"/>
          <w:b/>
          <w:sz w:val="26"/>
          <w:szCs w:val="26"/>
          <w:lang w:eastAsia="en-US"/>
        </w:rPr>
      </w:pPr>
      <w:r w:rsidRPr="00276B9C">
        <w:rPr>
          <w:rFonts w:eastAsia="Calibri"/>
          <w:b/>
          <w:sz w:val="26"/>
          <w:szCs w:val="26"/>
          <w:lang w:eastAsia="en-US"/>
        </w:rPr>
        <w:lastRenderedPageBreak/>
        <w:t>Inversión Extranjera Directa en México</w:t>
      </w:r>
    </w:p>
    <w:p w:rsidR="00276B9C" w:rsidRPr="00276B9C" w:rsidRDefault="00276B9C" w:rsidP="00276B9C">
      <w:pPr>
        <w:spacing w:after="360" w:line="360" w:lineRule="auto"/>
        <w:ind w:right="-159"/>
        <w:jc w:val="both"/>
        <w:rPr>
          <w:rFonts w:eastAsia="Calibri"/>
          <w:b/>
          <w:sz w:val="26"/>
          <w:szCs w:val="26"/>
          <w:lang w:eastAsia="en-US"/>
        </w:rPr>
      </w:pPr>
      <w:r w:rsidRPr="00276B9C">
        <w:rPr>
          <w:rFonts w:eastAsia="Calibri"/>
          <w:b/>
          <w:sz w:val="26"/>
          <w:szCs w:val="26"/>
          <w:lang w:eastAsia="en-US"/>
        </w:rPr>
        <w:t>durante  enero-diciembre  de  2014 (SE)</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El 27 de febrero de 2015, la Secretaría de Economía (SE) publicó el informe estadístico sobre el comportamiento de la Inversión Extranjera Directa (IED) en México          enero-diciembre de 2014.</w:t>
      </w:r>
    </w:p>
    <w:p w:rsidR="00276B9C" w:rsidRPr="00276B9C" w:rsidRDefault="00276B9C" w:rsidP="00276B9C">
      <w:pPr>
        <w:spacing w:after="360" w:line="360" w:lineRule="auto"/>
        <w:ind w:right="-159"/>
        <w:jc w:val="both"/>
        <w:rPr>
          <w:rFonts w:eastAsia="Calibri"/>
          <w:b/>
          <w:sz w:val="26"/>
          <w:szCs w:val="26"/>
          <w:lang w:eastAsia="en-US"/>
        </w:rPr>
      </w:pPr>
      <w:r w:rsidRPr="00276B9C">
        <w:rPr>
          <w:rFonts w:eastAsia="Calibri"/>
          <w:b/>
          <w:sz w:val="26"/>
          <w:szCs w:val="26"/>
          <w:lang w:eastAsia="en-US"/>
        </w:rPr>
        <w:t>Introducción</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De conformidad con el artículo 27, fracción IV de la Ley de Inversión Extranjera, se presenta ante el H. Congreso de la Unión el presente informe estadístico sobre el comportamiento de la IED en México durante el período enero–diciembre de 2014.</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El informe está integrado por las siguientes secciones:</w:t>
      </w:r>
    </w:p>
    <w:p w:rsidR="00276B9C" w:rsidRPr="00276B9C" w:rsidRDefault="00276B9C" w:rsidP="00276B9C">
      <w:pPr>
        <w:spacing w:after="360" w:line="360" w:lineRule="auto"/>
        <w:ind w:left="714" w:right="-159" w:hanging="357"/>
        <w:jc w:val="both"/>
        <w:rPr>
          <w:rFonts w:eastAsia="Calibri"/>
          <w:sz w:val="26"/>
          <w:szCs w:val="26"/>
          <w:lang w:eastAsia="en-US"/>
        </w:rPr>
      </w:pPr>
      <w:r w:rsidRPr="00276B9C">
        <w:rPr>
          <w:rFonts w:eastAsia="Calibri"/>
          <w:sz w:val="26"/>
          <w:szCs w:val="26"/>
          <w:lang w:eastAsia="en-US"/>
        </w:rPr>
        <w:t>1. Comportamiento de la IED durante el período de referencia.</w:t>
      </w:r>
    </w:p>
    <w:p w:rsidR="00276B9C" w:rsidRPr="00276B9C" w:rsidRDefault="00276B9C" w:rsidP="00276B9C">
      <w:pPr>
        <w:spacing w:after="360" w:line="360" w:lineRule="auto"/>
        <w:ind w:left="714" w:right="-159" w:hanging="357"/>
        <w:jc w:val="both"/>
        <w:rPr>
          <w:rFonts w:eastAsia="Calibri"/>
          <w:sz w:val="26"/>
          <w:szCs w:val="26"/>
          <w:lang w:eastAsia="en-US"/>
        </w:rPr>
      </w:pPr>
      <w:r w:rsidRPr="00276B9C">
        <w:rPr>
          <w:rFonts w:eastAsia="Calibri"/>
          <w:sz w:val="26"/>
          <w:szCs w:val="26"/>
          <w:lang w:eastAsia="en-US"/>
        </w:rPr>
        <w:t>2. Evolución histórica.</w:t>
      </w:r>
    </w:p>
    <w:p w:rsidR="00276B9C" w:rsidRPr="00276B9C" w:rsidRDefault="00276B9C" w:rsidP="00276B9C">
      <w:pPr>
        <w:spacing w:after="360" w:line="360" w:lineRule="auto"/>
        <w:ind w:left="714" w:right="-159" w:hanging="357"/>
        <w:jc w:val="both"/>
        <w:rPr>
          <w:rFonts w:eastAsia="Calibri"/>
          <w:sz w:val="26"/>
          <w:szCs w:val="26"/>
          <w:lang w:eastAsia="en-US"/>
        </w:rPr>
      </w:pPr>
      <w:r w:rsidRPr="00276B9C">
        <w:rPr>
          <w:rFonts w:eastAsia="Calibri"/>
          <w:sz w:val="26"/>
          <w:szCs w:val="26"/>
          <w:lang w:eastAsia="en-US"/>
        </w:rPr>
        <w:t>3. Contexto internacional.</w:t>
      </w:r>
    </w:p>
    <w:p w:rsidR="00276B9C" w:rsidRPr="00276B9C" w:rsidRDefault="00276B9C" w:rsidP="00276B9C">
      <w:pPr>
        <w:spacing w:after="360" w:line="360" w:lineRule="auto"/>
        <w:ind w:left="714" w:right="-159" w:hanging="357"/>
        <w:jc w:val="both"/>
        <w:rPr>
          <w:rFonts w:eastAsia="Calibri"/>
          <w:sz w:val="26"/>
          <w:szCs w:val="26"/>
          <w:lang w:eastAsia="en-US"/>
        </w:rPr>
      </w:pPr>
      <w:r w:rsidRPr="00276B9C">
        <w:rPr>
          <w:rFonts w:eastAsia="Calibri"/>
          <w:sz w:val="26"/>
          <w:szCs w:val="26"/>
          <w:lang w:eastAsia="en-US"/>
        </w:rPr>
        <w:t>4. Apéndice metodológico.</w:t>
      </w:r>
    </w:p>
    <w:p w:rsidR="00276B9C" w:rsidRPr="00276B9C" w:rsidRDefault="00276B9C" w:rsidP="00276B9C">
      <w:pPr>
        <w:spacing w:after="360" w:line="360" w:lineRule="auto"/>
        <w:ind w:left="714" w:right="-159" w:hanging="357"/>
        <w:jc w:val="both"/>
        <w:rPr>
          <w:rFonts w:eastAsia="Calibri"/>
          <w:sz w:val="26"/>
          <w:szCs w:val="26"/>
          <w:lang w:eastAsia="en-US"/>
        </w:rPr>
      </w:pPr>
      <w:r w:rsidRPr="00276B9C">
        <w:rPr>
          <w:rFonts w:eastAsia="Calibri"/>
          <w:sz w:val="26"/>
          <w:szCs w:val="26"/>
          <w:lang w:eastAsia="en-US"/>
        </w:rPr>
        <w:t>5. Apéndice estadístico.</w:t>
      </w:r>
    </w:p>
    <w:p w:rsidR="00276B9C" w:rsidRPr="00276B9C" w:rsidRDefault="00276B9C" w:rsidP="00276B9C">
      <w:pPr>
        <w:spacing w:after="360" w:line="360" w:lineRule="auto"/>
        <w:ind w:right="-159"/>
        <w:jc w:val="both"/>
        <w:rPr>
          <w:rFonts w:eastAsia="Calibri"/>
          <w:b/>
          <w:sz w:val="26"/>
          <w:szCs w:val="26"/>
          <w:lang w:eastAsia="en-US"/>
        </w:rPr>
      </w:pPr>
      <w:r w:rsidRPr="00276B9C">
        <w:rPr>
          <w:rFonts w:eastAsia="Calibri"/>
          <w:b/>
          <w:sz w:val="26"/>
          <w:szCs w:val="26"/>
          <w:lang w:eastAsia="en-US"/>
        </w:rPr>
        <w:t>1. Comportamiento de la IED durante enero–diciembre de 2014</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El monto de la IED registrada asciende a 22 mil 568.4 millones de dólares, cantidad 35.9% menor a la cifra preliminar del mismo período de 2013 (35 mil 188.4 millones de dólares).</w:t>
      </w:r>
    </w:p>
    <w:p w:rsidR="00276B9C" w:rsidRPr="00276B9C" w:rsidRDefault="00276B9C" w:rsidP="00276B9C">
      <w:pPr>
        <w:spacing w:after="360" w:line="360" w:lineRule="auto"/>
        <w:ind w:right="-159"/>
        <w:jc w:val="center"/>
        <w:rPr>
          <w:rFonts w:eastAsia="Calibri"/>
          <w:sz w:val="26"/>
          <w:szCs w:val="26"/>
          <w:lang w:eastAsia="en-US"/>
        </w:rPr>
      </w:pPr>
      <w:r w:rsidRPr="00276B9C">
        <w:rPr>
          <w:rFonts w:ascii="Calibri" w:eastAsia="Calibri" w:hAnsi="Calibri"/>
          <w:sz w:val="22"/>
          <w:szCs w:val="22"/>
          <w:lang w:eastAsia="en-US"/>
        </w:rPr>
        <w:lastRenderedPageBreak/>
        <w:fldChar w:fldCharType="begin"/>
      </w:r>
      <w:r w:rsidRPr="00276B9C">
        <w:rPr>
          <w:rFonts w:ascii="Calibri" w:eastAsia="Calibri" w:hAnsi="Calibri"/>
          <w:sz w:val="22"/>
          <w:szCs w:val="22"/>
          <w:lang w:eastAsia="en-US"/>
        </w:rPr>
        <w:instrText xml:space="preserve"> LINK PowerPoint.Slide.8 "D:\\2015\\MARZO 2014\\GRÁFICAS EN POWER POINT\\7.- GRÁFICAS DE IED.pptx!289" "" \a \p </w:instrText>
      </w:r>
      <w:r w:rsidRPr="00276B9C">
        <w:rPr>
          <w:rFonts w:ascii="Calibri" w:eastAsia="Calibri" w:hAnsi="Calibri"/>
          <w:sz w:val="22"/>
          <w:szCs w:val="22"/>
          <w:lang w:eastAsia="en-US"/>
        </w:rPr>
        <w:fldChar w:fldCharType="separate"/>
      </w:r>
      <w:r w:rsidRPr="00276B9C">
        <w:rPr>
          <w:rFonts w:ascii="Calibri" w:eastAsia="Calibri" w:hAnsi="Calibri"/>
          <w:noProof/>
          <w:sz w:val="22"/>
          <w:szCs w:val="22"/>
          <w:lang w:eastAsia="es-MX"/>
        </w:rPr>
        <w:drawing>
          <wp:inline distT="0" distB="0" distL="0" distR="0" wp14:anchorId="4734DFC2" wp14:editId="5278FF6D">
            <wp:extent cx="4306570" cy="3429000"/>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39" cstate="print">
                      <a:extLst>
                        <a:ext uri="{28A0092B-C50C-407E-A947-70E740481C1C}">
                          <a14:useLocalDpi xmlns:a14="http://schemas.microsoft.com/office/drawing/2010/main" val="0"/>
                        </a:ext>
                      </a:extLst>
                    </a:blip>
                    <a:srcRect l="2087" r="3549"/>
                    <a:stretch>
                      <a:fillRect/>
                    </a:stretch>
                  </pic:blipFill>
                  <pic:spPr bwMode="auto">
                    <a:xfrm>
                      <a:off x="0" y="0"/>
                      <a:ext cx="4306570" cy="3429000"/>
                    </a:xfrm>
                    <a:prstGeom prst="rect">
                      <a:avLst/>
                    </a:prstGeom>
                    <a:noFill/>
                    <a:ln>
                      <a:noFill/>
                    </a:ln>
                  </pic:spPr>
                </pic:pic>
              </a:graphicData>
            </a:graphic>
          </wp:inline>
        </w:drawing>
      </w:r>
      <w:r w:rsidRPr="00276B9C">
        <w:rPr>
          <w:rFonts w:ascii="Calibri" w:eastAsia="Calibri" w:hAnsi="Calibri"/>
          <w:sz w:val="22"/>
          <w:szCs w:val="22"/>
          <w:lang w:eastAsia="en-US"/>
        </w:rPr>
        <w:fldChar w:fldCharType="end"/>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La cifra se vio afectada por dos transacciones atípicas: la primera es una disminución de IED por 5 mil 496 millones de dólares debido al retiro de AT&amp;T como accionista de América Móvil; la segunda es una entrada de IED por 2 mil 51 millones de dólares, derivado de la venta de acciones de la empresa mexicana Comex a una sociedad extranjera. Estas transacciones tienen un impacto en las desagregaciones de IED por tipo de inversión, país de origen, sector económico, y entidad federativa de destino como se describe en este documento.</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Los 22 mil 568.4 millones de dólares fueron reportados por 4 mil 310 sociedades mexicanas con IED en su capital social, además de fideicomisos y personas morales extranjera que realizan de forma habitual actividades comerciales en el país.</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 xml:space="preserve">Del total referido, 12 mil 768.6 millones de dólares se originaron de reinversión de utilidades, 5 mil 565.2 millones de dólares de cuentas entre compañías y 4 mil 234.6 millones de dólares de nuevas inversiones. Estos conceptos se refieren únicamente a las </w:t>
      </w:r>
      <w:r w:rsidRPr="00276B9C">
        <w:rPr>
          <w:rFonts w:eastAsia="Calibri"/>
          <w:sz w:val="26"/>
          <w:szCs w:val="26"/>
          <w:lang w:eastAsia="en-US"/>
        </w:rPr>
        <w:lastRenderedPageBreak/>
        <w:t>fuentes de financiamiento y no a la aplicación de los recursos como se explica en el numeral cuatro siguiente.</w:t>
      </w:r>
    </w:p>
    <w:tbl>
      <w:tblPr>
        <w:tblW w:w="7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9"/>
        <w:gridCol w:w="1134"/>
        <w:gridCol w:w="1134"/>
        <w:gridCol w:w="1134"/>
        <w:gridCol w:w="1511"/>
      </w:tblGrid>
      <w:tr w:rsidR="00276B9C" w:rsidRPr="00276B9C" w:rsidTr="001E7D79">
        <w:trPr>
          <w:jc w:val="center"/>
        </w:trPr>
        <w:tc>
          <w:tcPr>
            <w:tcW w:w="7222" w:type="dxa"/>
            <w:gridSpan w:val="5"/>
            <w:tcBorders>
              <w:top w:val="nil"/>
              <w:left w:val="nil"/>
              <w:right w:val="nil"/>
            </w:tcBorders>
            <w:shd w:val="clear" w:color="auto" w:fill="auto"/>
            <w:vAlign w:val="center"/>
          </w:tcPr>
          <w:p w:rsidR="00276B9C" w:rsidRPr="00276B9C" w:rsidRDefault="00276B9C" w:rsidP="00276B9C">
            <w:pPr>
              <w:jc w:val="center"/>
              <w:rPr>
                <w:rFonts w:eastAsia="Times New Roman"/>
                <w:b/>
                <w:sz w:val="22"/>
                <w:szCs w:val="22"/>
                <w:lang w:val="es-ES"/>
              </w:rPr>
            </w:pPr>
            <w:r w:rsidRPr="00276B9C">
              <w:rPr>
                <w:rFonts w:eastAsia="Times New Roman"/>
                <w:b/>
                <w:sz w:val="22"/>
                <w:szCs w:val="22"/>
                <w:lang w:val="es-ES"/>
              </w:rPr>
              <w:t xml:space="preserve">COMPARATIVO DE LA IED REPORTADA </w:t>
            </w:r>
          </w:p>
          <w:p w:rsidR="00276B9C" w:rsidRPr="00276B9C" w:rsidRDefault="00276B9C" w:rsidP="00276B9C">
            <w:pPr>
              <w:jc w:val="center"/>
              <w:rPr>
                <w:rFonts w:eastAsia="Times New Roman"/>
                <w:b/>
                <w:sz w:val="22"/>
                <w:szCs w:val="22"/>
                <w:vertAlign w:val="superscript"/>
                <w:lang w:val="es-ES"/>
              </w:rPr>
            </w:pPr>
            <w:r w:rsidRPr="00276B9C">
              <w:rPr>
                <w:rFonts w:eastAsia="Times New Roman"/>
                <w:b/>
                <w:sz w:val="22"/>
                <w:szCs w:val="22"/>
                <w:lang w:val="es-ES"/>
              </w:rPr>
              <w:t>ENERO-DICIEMBRE DE 2013 Y 2014</w:t>
            </w:r>
            <w:r w:rsidRPr="00276B9C">
              <w:rPr>
                <w:rFonts w:eastAsia="Times New Roman"/>
                <w:b/>
                <w:sz w:val="22"/>
                <w:szCs w:val="22"/>
                <w:u w:val="single"/>
                <w:vertAlign w:val="superscript"/>
                <w:lang w:val="es-ES"/>
              </w:rPr>
              <w:t>*</w:t>
            </w:r>
            <w:r w:rsidRPr="00276B9C">
              <w:rPr>
                <w:rFonts w:eastAsia="Times New Roman"/>
                <w:b/>
                <w:sz w:val="22"/>
                <w:szCs w:val="22"/>
                <w:vertAlign w:val="superscript"/>
                <w:lang w:val="es-ES"/>
              </w:rPr>
              <w:t>/</w:t>
            </w:r>
          </w:p>
          <w:p w:rsidR="00276B9C" w:rsidRPr="00276B9C" w:rsidRDefault="00276B9C" w:rsidP="00276B9C">
            <w:pPr>
              <w:jc w:val="center"/>
              <w:rPr>
                <w:rFonts w:eastAsia="Times New Roman"/>
                <w:b/>
                <w:sz w:val="16"/>
                <w:szCs w:val="16"/>
                <w:lang w:val="es-ES"/>
              </w:rPr>
            </w:pPr>
            <w:r w:rsidRPr="00276B9C">
              <w:rPr>
                <w:rFonts w:eastAsia="Times New Roman"/>
                <w:b/>
                <w:sz w:val="22"/>
                <w:szCs w:val="22"/>
                <w:lang w:val="es-ES"/>
              </w:rPr>
              <w:t>-Millones de dólares-</w:t>
            </w:r>
          </w:p>
        </w:tc>
      </w:tr>
      <w:tr w:rsidR="00276B9C" w:rsidRPr="00276B9C" w:rsidTr="001E7D79">
        <w:trPr>
          <w:jc w:val="center"/>
        </w:trPr>
        <w:tc>
          <w:tcPr>
            <w:tcW w:w="2309" w:type="dxa"/>
            <w:vMerge w:val="restart"/>
          </w:tcPr>
          <w:p w:rsidR="00276B9C" w:rsidRPr="00276B9C" w:rsidRDefault="00276B9C" w:rsidP="00276B9C">
            <w:pPr>
              <w:rPr>
                <w:rFonts w:eastAsia="Times New Roman"/>
                <w:b/>
                <w:sz w:val="20"/>
                <w:szCs w:val="20"/>
                <w:lang w:val="es-ES"/>
              </w:rPr>
            </w:pPr>
          </w:p>
        </w:tc>
        <w:tc>
          <w:tcPr>
            <w:tcW w:w="1134" w:type="dxa"/>
            <w:vMerge w:val="restart"/>
            <w:vAlign w:val="center"/>
          </w:tcPr>
          <w:p w:rsidR="00276B9C" w:rsidRPr="00276B9C" w:rsidRDefault="00276B9C" w:rsidP="00276B9C">
            <w:pPr>
              <w:ind w:right="57"/>
              <w:jc w:val="center"/>
              <w:rPr>
                <w:rFonts w:eastAsia="Times New Roman"/>
                <w:b/>
                <w:sz w:val="20"/>
                <w:szCs w:val="20"/>
                <w:lang w:val="es-ES"/>
              </w:rPr>
            </w:pPr>
            <w:r w:rsidRPr="00276B9C">
              <w:rPr>
                <w:rFonts w:eastAsia="Times New Roman"/>
                <w:b/>
                <w:sz w:val="20"/>
                <w:szCs w:val="20"/>
                <w:lang w:val="es-ES"/>
              </w:rPr>
              <w:t>2013</w:t>
            </w:r>
          </w:p>
        </w:tc>
        <w:tc>
          <w:tcPr>
            <w:tcW w:w="1134" w:type="dxa"/>
            <w:vMerge w:val="restart"/>
            <w:vAlign w:val="center"/>
          </w:tcPr>
          <w:p w:rsidR="00276B9C" w:rsidRPr="00276B9C" w:rsidRDefault="00276B9C" w:rsidP="00276B9C">
            <w:pPr>
              <w:jc w:val="center"/>
              <w:rPr>
                <w:rFonts w:eastAsia="Times New Roman"/>
                <w:b/>
                <w:sz w:val="20"/>
                <w:szCs w:val="20"/>
                <w:lang w:val="es-ES"/>
              </w:rPr>
            </w:pPr>
            <w:r w:rsidRPr="00276B9C">
              <w:rPr>
                <w:rFonts w:eastAsia="Times New Roman"/>
                <w:b/>
                <w:sz w:val="20"/>
                <w:szCs w:val="20"/>
                <w:lang w:val="es-ES"/>
              </w:rPr>
              <w:t>2014</w:t>
            </w:r>
          </w:p>
        </w:tc>
        <w:tc>
          <w:tcPr>
            <w:tcW w:w="2645" w:type="dxa"/>
            <w:gridSpan w:val="2"/>
            <w:vAlign w:val="center"/>
          </w:tcPr>
          <w:p w:rsidR="00276B9C" w:rsidRPr="00276B9C" w:rsidRDefault="00276B9C" w:rsidP="00276B9C">
            <w:pPr>
              <w:ind w:right="113"/>
              <w:jc w:val="center"/>
              <w:rPr>
                <w:rFonts w:eastAsia="Times New Roman"/>
                <w:b/>
                <w:sz w:val="20"/>
                <w:szCs w:val="20"/>
                <w:lang w:val="es-ES"/>
              </w:rPr>
            </w:pPr>
            <w:r w:rsidRPr="00276B9C">
              <w:rPr>
                <w:rFonts w:eastAsia="Times New Roman"/>
                <w:b/>
                <w:sz w:val="20"/>
                <w:szCs w:val="20"/>
                <w:lang w:val="es-ES"/>
              </w:rPr>
              <w:t>Variación</w:t>
            </w:r>
          </w:p>
        </w:tc>
      </w:tr>
      <w:tr w:rsidR="00276B9C" w:rsidRPr="00276B9C" w:rsidTr="001E7D79">
        <w:trPr>
          <w:jc w:val="center"/>
        </w:trPr>
        <w:tc>
          <w:tcPr>
            <w:tcW w:w="2309" w:type="dxa"/>
            <w:vMerge/>
          </w:tcPr>
          <w:p w:rsidR="00276B9C" w:rsidRPr="00276B9C" w:rsidRDefault="00276B9C" w:rsidP="00276B9C">
            <w:pPr>
              <w:rPr>
                <w:rFonts w:eastAsia="Times New Roman"/>
                <w:b/>
                <w:sz w:val="20"/>
                <w:szCs w:val="20"/>
                <w:lang w:val="es-ES"/>
              </w:rPr>
            </w:pPr>
          </w:p>
        </w:tc>
        <w:tc>
          <w:tcPr>
            <w:tcW w:w="1134" w:type="dxa"/>
            <w:vMerge/>
            <w:vAlign w:val="center"/>
          </w:tcPr>
          <w:p w:rsidR="00276B9C" w:rsidRPr="00276B9C" w:rsidRDefault="00276B9C" w:rsidP="00276B9C">
            <w:pPr>
              <w:ind w:right="57"/>
              <w:jc w:val="center"/>
              <w:rPr>
                <w:rFonts w:eastAsia="Times New Roman"/>
                <w:b/>
                <w:sz w:val="20"/>
                <w:szCs w:val="20"/>
                <w:lang w:val="es-ES"/>
              </w:rPr>
            </w:pPr>
          </w:p>
        </w:tc>
        <w:tc>
          <w:tcPr>
            <w:tcW w:w="1134" w:type="dxa"/>
            <w:vMerge/>
            <w:vAlign w:val="center"/>
          </w:tcPr>
          <w:p w:rsidR="00276B9C" w:rsidRPr="00276B9C" w:rsidRDefault="00276B9C" w:rsidP="00276B9C">
            <w:pPr>
              <w:ind w:right="57"/>
              <w:jc w:val="center"/>
              <w:rPr>
                <w:rFonts w:eastAsia="Times New Roman"/>
                <w:b/>
                <w:sz w:val="20"/>
                <w:szCs w:val="20"/>
                <w:lang w:val="es-ES"/>
              </w:rPr>
            </w:pPr>
          </w:p>
        </w:tc>
        <w:tc>
          <w:tcPr>
            <w:tcW w:w="1134" w:type="dxa"/>
            <w:vAlign w:val="center"/>
          </w:tcPr>
          <w:p w:rsidR="00276B9C" w:rsidRPr="00276B9C" w:rsidRDefault="00276B9C" w:rsidP="00276B9C">
            <w:pPr>
              <w:ind w:right="113"/>
              <w:jc w:val="center"/>
              <w:rPr>
                <w:rFonts w:eastAsia="Times New Roman"/>
                <w:b/>
                <w:sz w:val="20"/>
                <w:szCs w:val="20"/>
                <w:lang w:val="es-ES"/>
              </w:rPr>
            </w:pPr>
            <w:r w:rsidRPr="00276B9C">
              <w:rPr>
                <w:rFonts w:eastAsia="Times New Roman"/>
                <w:b/>
                <w:sz w:val="20"/>
                <w:szCs w:val="20"/>
                <w:lang w:val="es-ES"/>
              </w:rPr>
              <w:t>Absoluta</w:t>
            </w:r>
          </w:p>
        </w:tc>
        <w:tc>
          <w:tcPr>
            <w:tcW w:w="1511" w:type="dxa"/>
            <w:vAlign w:val="center"/>
          </w:tcPr>
          <w:p w:rsidR="00276B9C" w:rsidRPr="00276B9C" w:rsidRDefault="00276B9C" w:rsidP="00276B9C">
            <w:pPr>
              <w:ind w:right="113"/>
              <w:jc w:val="center"/>
              <w:rPr>
                <w:rFonts w:eastAsia="Times New Roman"/>
                <w:b/>
                <w:sz w:val="20"/>
                <w:szCs w:val="20"/>
                <w:lang w:val="es-ES"/>
              </w:rPr>
            </w:pPr>
            <w:r w:rsidRPr="00276B9C">
              <w:rPr>
                <w:rFonts w:eastAsia="Times New Roman"/>
                <w:b/>
                <w:sz w:val="20"/>
                <w:szCs w:val="20"/>
                <w:lang w:val="es-ES"/>
              </w:rPr>
              <w:t>Relativa</w:t>
            </w:r>
          </w:p>
          <w:p w:rsidR="00276B9C" w:rsidRPr="00276B9C" w:rsidRDefault="00276B9C" w:rsidP="00276B9C">
            <w:pPr>
              <w:ind w:right="113"/>
              <w:jc w:val="center"/>
              <w:rPr>
                <w:rFonts w:eastAsia="Times New Roman"/>
                <w:b/>
                <w:sz w:val="20"/>
                <w:szCs w:val="20"/>
                <w:lang w:val="es-ES"/>
              </w:rPr>
            </w:pPr>
            <w:r w:rsidRPr="00276B9C">
              <w:rPr>
                <w:rFonts w:eastAsia="Times New Roman"/>
                <w:b/>
                <w:sz w:val="20"/>
                <w:szCs w:val="20"/>
                <w:lang w:val="es-ES"/>
              </w:rPr>
              <w:t>-Porcentajes-</w:t>
            </w:r>
          </w:p>
        </w:tc>
      </w:tr>
      <w:tr w:rsidR="00276B9C" w:rsidRPr="00276B9C" w:rsidTr="000B0616">
        <w:trPr>
          <w:jc w:val="center"/>
        </w:trPr>
        <w:tc>
          <w:tcPr>
            <w:tcW w:w="2309" w:type="dxa"/>
            <w:tcBorders>
              <w:bottom w:val="nil"/>
            </w:tcBorders>
          </w:tcPr>
          <w:p w:rsidR="00276B9C" w:rsidRPr="00276B9C" w:rsidRDefault="00276B9C" w:rsidP="00276B9C">
            <w:pPr>
              <w:rPr>
                <w:rFonts w:eastAsia="Times New Roman"/>
                <w:b/>
                <w:sz w:val="20"/>
                <w:szCs w:val="20"/>
                <w:lang w:val="es-ES"/>
              </w:rPr>
            </w:pPr>
            <w:r w:rsidRPr="00276B9C">
              <w:rPr>
                <w:rFonts w:eastAsia="Times New Roman"/>
                <w:b/>
                <w:sz w:val="20"/>
                <w:szCs w:val="20"/>
                <w:lang w:val="es-ES"/>
              </w:rPr>
              <w:t>TOTAL</w:t>
            </w:r>
          </w:p>
        </w:tc>
        <w:tc>
          <w:tcPr>
            <w:tcW w:w="1134" w:type="dxa"/>
            <w:tcBorders>
              <w:bottom w:val="nil"/>
            </w:tcBorders>
          </w:tcPr>
          <w:p w:rsidR="00276B9C" w:rsidRPr="00276B9C" w:rsidRDefault="00276B9C" w:rsidP="00276B9C">
            <w:pPr>
              <w:ind w:right="113"/>
              <w:jc w:val="right"/>
              <w:rPr>
                <w:rFonts w:eastAsia="Times New Roman"/>
                <w:b/>
                <w:sz w:val="20"/>
                <w:szCs w:val="20"/>
                <w:lang w:val="es-ES"/>
              </w:rPr>
            </w:pPr>
            <w:r w:rsidRPr="00276B9C">
              <w:rPr>
                <w:rFonts w:eastAsia="Times New Roman"/>
                <w:b/>
                <w:sz w:val="20"/>
                <w:szCs w:val="20"/>
                <w:lang w:val="es-ES"/>
              </w:rPr>
              <w:t>35 188.4</w:t>
            </w:r>
          </w:p>
        </w:tc>
        <w:tc>
          <w:tcPr>
            <w:tcW w:w="1134" w:type="dxa"/>
            <w:tcBorders>
              <w:bottom w:val="nil"/>
            </w:tcBorders>
          </w:tcPr>
          <w:p w:rsidR="00276B9C" w:rsidRPr="00276B9C" w:rsidRDefault="00276B9C" w:rsidP="00276B9C">
            <w:pPr>
              <w:ind w:right="113"/>
              <w:jc w:val="right"/>
              <w:rPr>
                <w:rFonts w:eastAsia="Times New Roman"/>
                <w:b/>
                <w:sz w:val="20"/>
                <w:szCs w:val="20"/>
                <w:lang w:val="es-ES"/>
              </w:rPr>
            </w:pPr>
            <w:r w:rsidRPr="00276B9C">
              <w:rPr>
                <w:rFonts w:eastAsia="Times New Roman"/>
                <w:b/>
                <w:sz w:val="20"/>
                <w:szCs w:val="20"/>
                <w:lang w:val="es-ES"/>
              </w:rPr>
              <w:t>22 568.4</w:t>
            </w:r>
          </w:p>
        </w:tc>
        <w:tc>
          <w:tcPr>
            <w:tcW w:w="1134" w:type="dxa"/>
            <w:tcBorders>
              <w:bottom w:val="nil"/>
            </w:tcBorders>
          </w:tcPr>
          <w:p w:rsidR="00276B9C" w:rsidRPr="00276B9C" w:rsidRDefault="00276B9C" w:rsidP="00276B9C">
            <w:pPr>
              <w:ind w:right="113"/>
              <w:jc w:val="right"/>
              <w:rPr>
                <w:rFonts w:eastAsia="Times New Roman"/>
                <w:b/>
                <w:sz w:val="20"/>
                <w:szCs w:val="20"/>
                <w:lang w:val="es-ES"/>
              </w:rPr>
            </w:pPr>
            <w:r w:rsidRPr="00276B9C">
              <w:rPr>
                <w:rFonts w:eastAsia="Times New Roman"/>
                <w:b/>
                <w:sz w:val="20"/>
                <w:szCs w:val="20"/>
                <w:lang w:val="es-ES"/>
              </w:rPr>
              <w:t>-12 620.0</w:t>
            </w:r>
          </w:p>
        </w:tc>
        <w:tc>
          <w:tcPr>
            <w:tcW w:w="1511" w:type="dxa"/>
            <w:tcBorders>
              <w:bottom w:val="nil"/>
            </w:tcBorders>
          </w:tcPr>
          <w:p w:rsidR="00276B9C" w:rsidRPr="00276B9C" w:rsidRDefault="00276B9C" w:rsidP="00276B9C">
            <w:pPr>
              <w:ind w:right="510"/>
              <w:jc w:val="right"/>
              <w:rPr>
                <w:rFonts w:eastAsia="Times New Roman"/>
                <w:b/>
                <w:sz w:val="20"/>
                <w:szCs w:val="20"/>
                <w:lang w:val="es-ES"/>
              </w:rPr>
            </w:pPr>
            <w:r w:rsidRPr="00276B9C">
              <w:rPr>
                <w:rFonts w:eastAsia="Times New Roman"/>
                <w:b/>
                <w:sz w:val="20"/>
                <w:szCs w:val="20"/>
                <w:lang w:val="es-ES"/>
              </w:rPr>
              <w:t>-35.9</w:t>
            </w:r>
          </w:p>
        </w:tc>
      </w:tr>
      <w:tr w:rsidR="00276B9C" w:rsidRPr="00276B9C" w:rsidTr="000B0616">
        <w:trPr>
          <w:jc w:val="center"/>
        </w:trPr>
        <w:tc>
          <w:tcPr>
            <w:tcW w:w="2309" w:type="dxa"/>
            <w:tcBorders>
              <w:top w:val="nil"/>
              <w:bottom w:val="nil"/>
            </w:tcBorders>
          </w:tcPr>
          <w:p w:rsidR="00276B9C" w:rsidRPr="00276B9C" w:rsidRDefault="00276B9C" w:rsidP="00276B9C">
            <w:pPr>
              <w:rPr>
                <w:rFonts w:eastAsia="Times New Roman"/>
                <w:sz w:val="20"/>
                <w:szCs w:val="20"/>
                <w:lang w:val="es-ES"/>
              </w:rPr>
            </w:pPr>
            <w:r w:rsidRPr="00276B9C">
              <w:rPr>
                <w:rFonts w:eastAsia="Times New Roman"/>
                <w:sz w:val="20"/>
                <w:szCs w:val="20"/>
                <w:lang w:val="es-ES"/>
              </w:rPr>
              <w:t>Nuevas inversiones</w:t>
            </w:r>
          </w:p>
        </w:tc>
        <w:tc>
          <w:tcPr>
            <w:tcW w:w="1134" w:type="dxa"/>
            <w:tcBorders>
              <w:top w:val="nil"/>
              <w:bottom w:val="nil"/>
            </w:tcBorders>
          </w:tcPr>
          <w:p w:rsidR="00276B9C" w:rsidRPr="00276B9C" w:rsidRDefault="00276B9C" w:rsidP="00276B9C">
            <w:pPr>
              <w:ind w:right="113"/>
              <w:jc w:val="right"/>
              <w:rPr>
                <w:rFonts w:eastAsia="Times New Roman"/>
                <w:sz w:val="20"/>
                <w:szCs w:val="20"/>
                <w:lang w:val="es-ES"/>
              </w:rPr>
            </w:pPr>
            <w:r w:rsidRPr="00276B9C">
              <w:rPr>
                <w:rFonts w:eastAsia="Times New Roman"/>
                <w:sz w:val="20"/>
                <w:szCs w:val="20"/>
                <w:lang w:val="es-ES"/>
              </w:rPr>
              <w:t>17 587.9</w:t>
            </w:r>
          </w:p>
        </w:tc>
        <w:tc>
          <w:tcPr>
            <w:tcW w:w="1134" w:type="dxa"/>
            <w:tcBorders>
              <w:top w:val="nil"/>
              <w:bottom w:val="nil"/>
            </w:tcBorders>
          </w:tcPr>
          <w:p w:rsidR="00276B9C" w:rsidRPr="00276B9C" w:rsidRDefault="00276B9C" w:rsidP="00276B9C">
            <w:pPr>
              <w:ind w:right="113"/>
              <w:jc w:val="right"/>
              <w:rPr>
                <w:rFonts w:eastAsia="Times New Roman"/>
                <w:sz w:val="20"/>
                <w:szCs w:val="20"/>
                <w:lang w:val="es-ES"/>
              </w:rPr>
            </w:pPr>
            <w:r w:rsidRPr="00276B9C">
              <w:rPr>
                <w:rFonts w:eastAsia="Times New Roman"/>
                <w:sz w:val="20"/>
                <w:szCs w:val="20"/>
                <w:lang w:val="es-ES"/>
              </w:rPr>
              <w:t>4 234.6</w:t>
            </w:r>
          </w:p>
        </w:tc>
        <w:tc>
          <w:tcPr>
            <w:tcW w:w="1134" w:type="dxa"/>
            <w:tcBorders>
              <w:top w:val="nil"/>
              <w:bottom w:val="nil"/>
            </w:tcBorders>
          </w:tcPr>
          <w:p w:rsidR="00276B9C" w:rsidRPr="00276B9C" w:rsidRDefault="00276B9C" w:rsidP="00276B9C">
            <w:pPr>
              <w:ind w:right="113"/>
              <w:jc w:val="right"/>
              <w:rPr>
                <w:rFonts w:eastAsia="Times New Roman"/>
                <w:sz w:val="20"/>
                <w:szCs w:val="20"/>
                <w:lang w:val="es-ES"/>
              </w:rPr>
            </w:pPr>
            <w:r w:rsidRPr="00276B9C">
              <w:rPr>
                <w:rFonts w:eastAsia="Times New Roman"/>
                <w:sz w:val="20"/>
                <w:szCs w:val="20"/>
                <w:lang w:val="es-ES"/>
              </w:rPr>
              <w:t>-13 353.4</w:t>
            </w:r>
          </w:p>
        </w:tc>
        <w:tc>
          <w:tcPr>
            <w:tcW w:w="1511" w:type="dxa"/>
            <w:tcBorders>
              <w:top w:val="nil"/>
              <w:bottom w:val="nil"/>
            </w:tcBorders>
          </w:tcPr>
          <w:p w:rsidR="00276B9C" w:rsidRPr="00276B9C" w:rsidRDefault="00276B9C" w:rsidP="00276B9C">
            <w:pPr>
              <w:ind w:right="510"/>
              <w:jc w:val="right"/>
              <w:rPr>
                <w:rFonts w:eastAsia="Times New Roman"/>
                <w:sz w:val="20"/>
                <w:szCs w:val="20"/>
                <w:lang w:val="es-ES"/>
              </w:rPr>
            </w:pPr>
            <w:r w:rsidRPr="00276B9C">
              <w:rPr>
                <w:rFonts w:eastAsia="Times New Roman"/>
                <w:sz w:val="20"/>
                <w:szCs w:val="20"/>
                <w:lang w:val="es-ES"/>
              </w:rPr>
              <w:t>-75.9</w:t>
            </w:r>
          </w:p>
        </w:tc>
      </w:tr>
      <w:tr w:rsidR="00276B9C" w:rsidRPr="00276B9C" w:rsidTr="000B0616">
        <w:trPr>
          <w:jc w:val="center"/>
        </w:trPr>
        <w:tc>
          <w:tcPr>
            <w:tcW w:w="2309" w:type="dxa"/>
            <w:tcBorders>
              <w:top w:val="nil"/>
              <w:bottom w:val="nil"/>
            </w:tcBorders>
          </w:tcPr>
          <w:p w:rsidR="00276B9C" w:rsidRPr="00276B9C" w:rsidRDefault="00276B9C" w:rsidP="00276B9C">
            <w:pPr>
              <w:rPr>
                <w:rFonts w:eastAsia="Times New Roman"/>
                <w:sz w:val="20"/>
                <w:szCs w:val="20"/>
                <w:lang w:val="es-ES"/>
              </w:rPr>
            </w:pPr>
            <w:r w:rsidRPr="00276B9C">
              <w:rPr>
                <w:rFonts w:eastAsia="Times New Roman"/>
                <w:sz w:val="20"/>
                <w:szCs w:val="20"/>
                <w:lang w:val="es-ES"/>
              </w:rPr>
              <w:t>Reinversión de utilidades</w:t>
            </w:r>
          </w:p>
        </w:tc>
        <w:tc>
          <w:tcPr>
            <w:tcW w:w="1134" w:type="dxa"/>
            <w:tcBorders>
              <w:top w:val="nil"/>
              <w:bottom w:val="nil"/>
            </w:tcBorders>
            <w:vAlign w:val="bottom"/>
          </w:tcPr>
          <w:p w:rsidR="00276B9C" w:rsidRPr="00276B9C" w:rsidRDefault="00276B9C" w:rsidP="00276B9C">
            <w:pPr>
              <w:ind w:right="113"/>
              <w:jc w:val="right"/>
              <w:rPr>
                <w:rFonts w:eastAsia="Times New Roman"/>
                <w:sz w:val="20"/>
                <w:szCs w:val="20"/>
                <w:lang w:val="es-ES"/>
              </w:rPr>
            </w:pPr>
            <w:r w:rsidRPr="00276B9C">
              <w:rPr>
                <w:rFonts w:eastAsia="Times New Roman"/>
                <w:sz w:val="20"/>
                <w:szCs w:val="20"/>
                <w:lang w:val="es-ES"/>
              </w:rPr>
              <w:t>10 335.1</w:t>
            </w:r>
          </w:p>
        </w:tc>
        <w:tc>
          <w:tcPr>
            <w:tcW w:w="1134" w:type="dxa"/>
            <w:tcBorders>
              <w:top w:val="nil"/>
              <w:bottom w:val="nil"/>
            </w:tcBorders>
            <w:vAlign w:val="bottom"/>
          </w:tcPr>
          <w:p w:rsidR="00276B9C" w:rsidRPr="00276B9C" w:rsidRDefault="00276B9C" w:rsidP="00276B9C">
            <w:pPr>
              <w:ind w:right="113"/>
              <w:jc w:val="right"/>
              <w:rPr>
                <w:rFonts w:eastAsia="Times New Roman"/>
                <w:sz w:val="20"/>
                <w:szCs w:val="20"/>
                <w:lang w:val="es-ES"/>
              </w:rPr>
            </w:pPr>
            <w:r w:rsidRPr="00276B9C">
              <w:rPr>
                <w:rFonts w:eastAsia="Times New Roman"/>
                <w:sz w:val="20"/>
                <w:szCs w:val="20"/>
                <w:lang w:val="es-ES"/>
              </w:rPr>
              <w:t>12 768.6</w:t>
            </w:r>
          </w:p>
        </w:tc>
        <w:tc>
          <w:tcPr>
            <w:tcW w:w="1134" w:type="dxa"/>
            <w:tcBorders>
              <w:top w:val="nil"/>
              <w:bottom w:val="nil"/>
            </w:tcBorders>
            <w:vAlign w:val="bottom"/>
          </w:tcPr>
          <w:p w:rsidR="00276B9C" w:rsidRPr="00276B9C" w:rsidRDefault="00276B9C" w:rsidP="00276B9C">
            <w:pPr>
              <w:ind w:right="113"/>
              <w:jc w:val="right"/>
              <w:rPr>
                <w:rFonts w:eastAsia="Times New Roman"/>
                <w:sz w:val="20"/>
                <w:szCs w:val="20"/>
                <w:lang w:val="es-ES"/>
              </w:rPr>
            </w:pPr>
            <w:r w:rsidRPr="00276B9C">
              <w:rPr>
                <w:rFonts w:eastAsia="Times New Roman"/>
                <w:sz w:val="20"/>
                <w:szCs w:val="20"/>
                <w:lang w:val="es-ES"/>
              </w:rPr>
              <w:t>2 433.5</w:t>
            </w:r>
          </w:p>
        </w:tc>
        <w:tc>
          <w:tcPr>
            <w:tcW w:w="1511" w:type="dxa"/>
            <w:tcBorders>
              <w:top w:val="nil"/>
              <w:bottom w:val="nil"/>
            </w:tcBorders>
          </w:tcPr>
          <w:p w:rsidR="00276B9C" w:rsidRPr="00276B9C" w:rsidRDefault="00276B9C" w:rsidP="00276B9C">
            <w:pPr>
              <w:ind w:right="510"/>
              <w:jc w:val="right"/>
              <w:rPr>
                <w:rFonts w:eastAsia="Times New Roman"/>
                <w:sz w:val="20"/>
                <w:szCs w:val="20"/>
                <w:lang w:val="es-ES"/>
              </w:rPr>
            </w:pPr>
            <w:r w:rsidRPr="00276B9C">
              <w:rPr>
                <w:rFonts w:eastAsia="Times New Roman"/>
                <w:sz w:val="20"/>
                <w:szCs w:val="20"/>
                <w:lang w:val="es-ES"/>
              </w:rPr>
              <w:t>23.5</w:t>
            </w:r>
          </w:p>
        </w:tc>
      </w:tr>
      <w:tr w:rsidR="00276B9C" w:rsidRPr="00276B9C" w:rsidTr="000B0616">
        <w:trPr>
          <w:jc w:val="center"/>
        </w:trPr>
        <w:tc>
          <w:tcPr>
            <w:tcW w:w="2309" w:type="dxa"/>
            <w:tcBorders>
              <w:top w:val="nil"/>
              <w:bottom w:val="single" w:sz="4" w:space="0" w:color="auto"/>
            </w:tcBorders>
          </w:tcPr>
          <w:p w:rsidR="00276B9C" w:rsidRPr="00276B9C" w:rsidRDefault="00276B9C" w:rsidP="00276B9C">
            <w:pPr>
              <w:rPr>
                <w:rFonts w:eastAsia="Times New Roman"/>
                <w:sz w:val="20"/>
                <w:szCs w:val="20"/>
                <w:lang w:val="es-ES"/>
              </w:rPr>
            </w:pPr>
            <w:r w:rsidRPr="00276B9C">
              <w:rPr>
                <w:rFonts w:eastAsia="Times New Roman"/>
                <w:sz w:val="20"/>
                <w:szCs w:val="20"/>
                <w:lang w:val="es-ES"/>
              </w:rPr>
              <w:t>Cuentas entre compañías</w:t>
            </w:r>
          </w:p>
        </w:tc>
        <w:tc>
          <w:tcPr>
            <w:tcW w:w="1134" w:type="dxa"/>
            <w:tcBorders>
              <w:top w:val="nil"/>
              <w:bottom w:val="single" w:sz="4" w:space="0" w:color="auto"/>
            </w:tcBorders>
          </w:tcPr>
          <w:p w:rsidR="00276B9C" w:rsidRPr="00276B9C" w:rsidRDefault="00276B9C" w:rsidP="00276B9C">
            <w:pPr>
              <w:ind w:right="113"/>
              <w:jc w:val="right"/>
              <w:rPr>
                <w:rFonts w:eastAsia="Times New Roman"/>
                <w:sz w:val="20"/>
                <w:szCs w:val="20"/>
                <w:lang w:val="es-ES"/>
              </w:rPr>
            </w:pPr>
            <w:r w:rsidRPr="00276B9C">
              <w:rPr>
                <w:rFonts w:eastAsia="Times New Roman"/>
                <w:sz w:val="20"/>
                <w:szCs w:val="20"/>
                <w:lang w:val="es-ES"/>
              </w:rPr>
              <w:t>7 265.4</w:t>
            </w:r>
          </w:p>
        </w:tc>
        <w:tc>
          <w:tcPr>
            <w:tcW w:w="1134" w:type="dxa"/>
            <w:tcBorders>
              <w:top w:val="nil"/>
              <w:bottom w:val="single" w:sz="4" w:space="0" w:color="auto"/>
            </w:tcBorders>
          </w:tcPr>
          <w:p w:rsidR="00276B9C" w:rsidRPr="00276B9C" w:rsidRDefault="00276B9C" w:rsidP="00276B9C">
            <w:pPr>
              <w:ind w:right="113"/>
              <w:jc w:val="right"/>
              <w:rPr>
                <w:rFonts w:eastAsia="Times New Roman"/>
                <w:sz w:val="20"/>
                <w:szCs w:val="20"/>
                <w:lang w:val="es-ES"/>
              </w:rPr>
            </w:pPr>
            <w:r w:rsidRPr="00276B9C">
              <w:rPr>
                <w:rFonts w:eastAsia="Times New Roman"/>
                <w:sz w:val="20"/>
                <w:szCs w:val="20"/>
                <w:lang w:val="es-ES"/>
              </w:rPr>
              <w:t>5 565.2</w:t>
            </w:r>
          </w:p>
        </w:tc>
        <w:tc>
          <w:tcPr>
            <w:tcW w:w="1134" w:type="dxa"/>
            <w:tcBorders>
              <w:top w:val="nil"/>
              <w:bottom w:val="single" w:sz="4" w:space="0" w:color="auto"/>
            </w:tcBorders>
          </w:tcPr>
          <w:p w:rsidR="00276B9C" w:rsidRPr="00276B9C" w:rsidRDefault="00276B9C" w:rsidP="00276B9C">
            <w:pPr>
              <w:ind w:right="113"/>
              <w:jc w:val="right"/>
              <w:rPr>
                <w:rFonts w:eastAsia="Times New Roman"/>
                <w:sz w:val="20"/>
                <w:szCs w:val="20"/>
                <w:lang w:val="es-ES"/>
              </w:rPr>
            </w:pPr>
            <w:r w:rsidRPr="00276B9C">
              <w:rPr>
                <w:rFonts w:eastAsia="Times New Roman"/>
                <w:sz w:val="20"/>
                <w:szCs w:val="20"/>
                <w:lang w:val="es-ES"/>
              </w:rPr>
              <w:t>-1 700.1</w:t>
            </w:r>
          </w:p>
        </w:tc>
        <w:tc>
          <w:tcPr>
            <w:tcW w:w="1511" w:type="dxa"/>
            <w:tcBorders>
              <w:top w:val="nil"/>
              <w:bottom w:val="single" w:sz="4" w:space="0" w:color="auto"/>
            </w:tcBorders>
            <w:vAlign w:val="bottom"/>
          </w:tcPr>
          <w:p w:rsidR="00276B9C" w:rsidRPr="00276B9C" w:rsidRDefault="00276B9C" w:rsidP="00276B9C">
            <w:pPr>
              <w:ind w:right="510"/>
              <w:jc w:val="right"/>
              <w:rPr>
                <w:rFonts w:eastAsia="Times New Roman"/>
                <w:sz w:val="20"/>
                <w:szCs w:val="20"/>
                <w:lang w:val="es-ES"/>
              </w:rPr>
            </w:pPr>
            <w:r w:rsidRPr="00276B9C">
              <w:rPr>
                <w:rFonts w:eastAsia="Times New Roman"/>
                <w:sz w:val="20"/>
                <w:szCs w:val="20"/>
                <w:lang w:val="es-ES"/>
              </w:rPr>
              <w:t>-23.4</w:t>
            </w:r>
          </w:p>
        </w:tc>
      </w:tr>
      <w:tr w:rsidR="00276B9C" w:rsidRPr="00276B9C" w:rsidTr="001E7D79">
        <w:trPr>
          <w:jc w:val="center"/>
        </w:trPr>
        <w:tc>
          <w:tcPr>
            <w:tcW w:w="7222" w:type="dxa"/>
            <w:gridSpan w:val="5"/>
            <w:tcBorders>
              <w:left w:val="nil"/>
              <w:bottom w:val="nil"/>
              <w:right w:val="nil"/>
            </w:tcBorders>
          </w:tcPr>
          <w:p w:rsidR="00276B9C" w:rsidRPr="00276B9C" w:rsidRDefault="00276B9C" w:rsidP="00276B9C">
            <w:pPr>
              <w:ind w:left="227" w:right="57" w:hanging="227"/>
              <w:jc w:val="both"/>
              <w:rPr>
                <w:rFonts w:eastAsia="Times New Roman"/>
                <w:sz w:val="20"/>
                <w:szCs w:val="20"/>
                <w:lang w:val="es-ES"/>
              </w:rPr>
            </w:pPr>
            <w:r w:rsidRPr="00276B9C">
              <w:rPr>
                <w:rFonts w:eastAsia="Times New Roman"/>
                <w:sz w:val="20"/>
                <w:szCs w:val="20"/>
                <w:u w:val="single"/>
                <w:lang w:val="es-ES"/>
              </w:rPr>
              <w:t>*</w:t>
            </w:r>
            <w:r w:rsidRPr="00276B9C">
              <w:rPr>
                <w:rFonts w:eastAsia="Times New Roman"/>
                <w:sz w:val="20"/>
                <w:szCs w:val="20"/>
                <w:lang w:val="es-ES"/>
              </w:rPr>
              <w:t>/ IED realizada y notificada al 31 de diciembre de cada año.</w:t>
            </w:r>
          </w:p>
          <w:p w:rsidR="00276B9C" w:rsidRPr="00276B9C" w:rsidRDefault="00276B9C" w:rsidP="00276B9C">
            <w:pPr>
              <w:ind w:right="57"/>
              <w:jc w:val="both"/>
              <w:rPr>
                <w:rFonts w:eastAsia="Times New Roman"/>
                <w:sz w:val="18"/>
                <w:szCs w:val="18"/>
                <w:lang w:val="es-ES"/>
              </w:rPr>
            </w:pPr>
            <w:r w:rsidRPr="00276B9C">
              <w:rPr>
                <w:rFonts w:eastAsia="Times New Roman"/>
                <w:sz w:val="20"/>
                <w:szCs w:val="20"/>
                <w:lang w:val="es-ES"/>
              </w:rPr>
              <w:t xml:space="preserve">FUENTE: Secretaría de Economía. </w:t>
            </w:r>
          </w:p>
        </w:tc>
      </w:tr>
    </w:tbl>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826E04" w:rsidP="00276B9C">
      <w:pPr>
        <w:spacing w:after="360" w:line="360" w:lineRule="auto"/>
        <w:ind w:right="-159"/>
        <w:jc w:val="center"/>
        <w:rPr>
          <w:rFonts w:eastAsia="Calibri"/>
          <w:sz w:val="26"/>
          <w:szCs w:val="26"/>
          <w:lang w:eastAsia="en-US"/>
        </w:rPr>
      </w:pPr>
      <w:r w:rsidRPr="00826E04">
        <w:rPr>
          <w:rFonts w:ascii="Calibri" w:eastAsia="Calibri" w:hAnsi="Calibri"/>
          <w:sz w:val="22"/>
          <w:szCs w:val="22"/>
          <w:lang w:eastAsia="en-US"/>
        </w:rPr>
        <w:fldChar w:fldCharType="begin"/>
      </w:r>
      <w:r w:rsidRPr="00826E04">
        <w:rPr>
          <w:rFonts w:ascii="Calibri" w:eastAsia="Calibri" w:hAnsi="Calibri"/>
          <w:sz w:val="22"/>
          <w:szCs w:val="22"/>
          <w:lang w:eastAsia="en-US"/>
        </w:rPr>
        <w:instrText xml:space="preserve"> LINK PowerPoint.Slide.8 "D:\\2015\\MARZO 2014\\GRÁFICAS EN POWER POINT\\7.- GRÁFICAS DE IED.pptx!290" "" \a \p </w:instrText>
      </w:r>
      <w:r w:rsidRPr="00826E04">
        <w:rPr>
          <w:rFonts w:ascii="Calibri" w:eastAsia="Calibri" w:hAnsi="Calibri"/>
          <w:sz w:val="22"/>
          <w:szCs w:val="22"/>
          <w:lang w:eastAsia="en-US"/>
        </w:rPr>
        <w:fldChar w:fldCharType="separate"/>
      </w:r>
      <w:r w:rsidRPr="00826E04">
        <w:rPr>
          <w:rFonts w:ascii="Calibri" w:eastAsia="Calibri" w:hAnsi="Calibri"/>
          <w:noProof/>
          <w:sz w:val="22"/>
          <w:szCs w:val="22"/>
          <w:lang w:eastAsia="es-MX"/>
        </w:rPr>
        <w:drawing>
          <wp:inline distT="0" distB="0" distL="0" distR="0" wp14:anchorId="06EBCC4C" wp14:editId="1F092EF7">
            <wp:extent cx="4083685" cy="3039745"/>
            <wp:effectExtent l="0" t="0" r="0" b="8255"/>
            <wp:docPr id="1577" name="Imagen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40" cstate="print">
                      <a:extLst>
                        <a:ext uri="{28A0092B-C50C-407E-A947-70E740481C1C}">
                          <a14:useLocalDpi xmlns:a14="http://schemas.microsoft.com/office/drawing/2010/main" val="0"/>
                        </a:ext>
                      </a:extLst>
                    </a:blip>
                    <a:srcRect l="5011" t="3334" r="5428" b="8055"/>
                    <a:stretch>
                      <a:fillRect/>
                    </a:stretch>
                  </pic:blipFill>
                  <pic:spPr bwMode="auto">
                    <a:xfrm>
                      <a:off x="0" y="0"/>
                      <a:ext cx="4083685" cy="3039745"/>
                    </a:xfrm>
                    <a:prstGeom prst="rect">
                      <a:avLst/>
                    </a:prstGeom>
                    <a:noFill/>
                    <a:ln>
                      <a:noFill/>
                    </a:ln>
                  </pic:spPr>
                </pic:pic>
              </a:graphicData>
            </a:graphic>
          </wp:inline>
        </w:drawing>
      </w:r>
      <w:r w:rsidRPr="00826E04">
        <w:rPr>
          <w:rFonts w:ascii="Calibri" w:eastAsia="Calibri" w:hAnsi="Calibri"/>
          <w:sz w:val="22"/>
          <w:szCs w:val="22"/>
          <w:lang w:eastAsia="en-US"/>
        </w:rPr>
        <w:fldChar w:fldCharType="end"/>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Los flujos registrados de IED se canalizaron a la industria manufacturera (12 mil 869.9 millones de dólares), servicios financieros (5 mil 556.6 millones de dólares), minería (2 mil 215.2 millones de dólares), comercio (1 mil 954.3 millones de dólares), y construcción (872.6 millones de dólares); el sector de información en medios masivos sufrió una desinversión por 4 mil 152.5 millones de dólares; el resto de los sectores recibieron 3 mil 252.3 millones de dólares.</w:t>
      </w:r>
    </w:p>
    <w:p w:rsidR="00276B9C" w:rsidRPr="00276B9C" w:rsidRDefault="00276B9C" w:rsidP="00276B9C">
      <w:pPr>
        <w:spacing w:after="360" w:line="360" w:lineRule="auto"/>
        <w:ind w:right="-159"/>
        <w:jc w:val="center"/>
        <w:rPr>
          <w:rFonts w:eastAsia="Calibri"/>
          <w:sz w:val="26"/>
          <w:szCs w:val="26"/>
          <w:lang w:eastAsia="en-US"/>
        </w:rPr>
      </w:pPr>
      <w:r w:rsidRPr="00276B9C">
        <w:rPr>
          <w:rFonts w:ascii="Calibri" w:eastAsia="Calibri" w:hAnsi="Calibri"/>
          <w:sz w:val="22"/>
          <w:szCs w:val="22"/>
          <w:lang w:eastAsia="en-US"/>
        </w:rPr>
        <w:lastRenderedPageBreak/>
        <w:fldChar w:fldCharType="begin"/>
      </w:r>
      <w:r w:rsidRPr="00276B9C">
        <w:rPr>
          <w:rFonts w:ascii="Calibri" w:eastAsia="Calibri" w:hAnsi="Calibri"/>
          <w:sz w:val="22"/>
          <w:szCs w:val="22"/>
          <w:lang w:eastAsia="en-US"/>
        </w:rPr>
        <w:instrText xml:space="preserve"> LINK PowerPoint.Slide.8 "D:\\2015\\MARZO 2014\\GRÁFICAS EN POWER POINT\\7.- GRÁFICAS DE IED.pptx!291" "" \a \p </w:instrText>
      </w:r>
      <w:r w:rsidRPr="00276B9C">
        <w:rPr>
          <w:rFonts w:ascii="Calibri" w:eastAsia="Calibri" w:hAnsi="Calibri"/>
          <w:sz w:val="22"/>
          <w:szCs w:val="22"/>
          <w:lang w:eastAsia="en-US"/>
        </w:rPr>
        <w:fldChar w:fldCharType="separate"/>
      </w:r>
      <w:r w:rsidRPr="00276B9C">
        <w:rPr>
          <w:rFonts w:ascii="Calibri" w:eastAsia="Calibri" w:hAnsi="Calibri"/>
          <w:noProof/>
          <w:sz w:val="22"/>
          <w:szCs w:val="22"/>
          <w:lang w:eastAsia="es-MX"/>
        </w:rPr>
        <w:drawing>
          <wp:inline distT="0" distB="0" distL="0" distR="0" wp14:anchorId="3E5B8BC7" wp14:editId="590E2729">
            <wp:extent cx="4559935" cy="342900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559935" cy="3429000"/>
                    </a:xfrm>
                    <a:prstGeom prst="rect">
                      <a:avLst/>
                    </a:prstGeom>
                    <a:noFill/>
                    <a:ln>
                      <a:noFill/>
                    </a:ln>
                  </pic:spPr>
                </pic:pic>
              </a:graphicData>
            </a:graphic>
          </wp:inline>
        </w:drawing>
      </w:r>
      <w:r w:rsidRPr="00276B9C">
        <w:rPr>
          <w:rFonts w:ascii="Calibri" w:eastAsia="Calibri" w:hAnsi="Calibri"/>
          <w:sz w:val="22"/>
          <w:szCs w:val="22"/>
          <w:lang w:eastAsia="en-US"/>
        </w:rPr>
        <w:fldChar w:fldCharType="end"/>
      </w: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center"/>
        <w:rPr>
          <w:rFonts w:eastAsia="Calibri"/>
          <w:sz w:val="26"/>
          <w:szCs w:val="26"/>
          <w:lang w:eastAsia="en-US"/>
        </w:rPr>
      </w:pPr>
      <w:r w:rsidRPr="00276B9C">
        <w:rPr>
          <w:rFonts w:ascii="Calibri" w:eastAsia="Calibri" w:hAnsi="Calibri"/>
          <w:sz w:val="22"/>
          <w:szCs w:val="22"/>
          <w:lang w:eastAsia="en-US"/>
        </w:rPr>
        <w:fldChar w:fldCharType="begin"/>
      </w:r>
      <w:r w:rsidRPr="00276B9C">
        <w:rPr>
          <w:rFonts w:ascii="Calibri" w:eastAsia="Calibri" w:hAnsi="Calibri"/>
          <w:sz w:val="22"/>
          <w:szCs w:val="22"/>
          <w:lang w:eastAsia="en-US"/>
        </w:rPr>
        <w:instrText xml:space="preserve"> LINK PowerPoint.Slide.8 "D:\\2015\\MARZO 2014\\GRÁFICAS EN POWER POINT\\8.- IED II.pptx!259" "" \a \p </w:instrText>
      </w:r>
      <w:r w:rsidRPr="00276B9C">
        <w:rPr>
          <w:rFonts w:ascii="Calibri" w:eastAsia="Calibri" w:hAnsi="Calibri"/>
          <w:sz w:val="22"/>
          <w:szCs w:val="22"/>
          <w:lang w:eastAsia="en-US"/>
        </w:rPr>
        <w:fldChar w:fldCharType="separate"/>
      </w:r>
      <w:r w:rsidRPr="00276B9C">
        <w:rPr>
          <w:rFonts w:ascii="Calibri" w:eastAsia="Calibri" w:hAnsi="Calibri"/>
          <w:noProof/>
          <w:sz w:val="22"/>
          <w:szCs w:val="22"/>
          <w:lang w:eastAsia="es-MX"/>
        </w:rPr>
        <w:drawing>
          <wp:inline distT="0" distB="0" distL="0" distR="0" wp14:anchorId="0F012FE2" wp14:editId="3B96985D">
            <wp:extent cx="5721350" cy="342900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42" cstate="print">
                      <a:extLst>
                        <a:ext uri="{28A0092B-C50C-407E-A947-70E740481C1C}">
                          <a14:useLocalDpi xmlns:a14="http://schemas.microsoft.com/office/drawing/2010/main" val="0"/>
                        </a:ext>
                      </a:extLst>
                    </a:blip>
                    <a:srcRect l="2411" r="3401"/>
                    <a:stretch>
                      <a:fillRect/>
                    </a:stretch>
                  </pic:blipFill>
                  <pic:spPr bwMode="auto">
                    <a:xfrm>
                      <a:off x="0" y="0"/>
                      <a:ext cx="5721350" cy="3429000"/>
                    </a:xfrm>
                    <a:prstGeom prst="rect">
                      <a:avLst/>
                    </a:prstGeom>
                    <a:noFill/>
                    <a:ln>
                      <a:noFill/>
                    </a:ln>
                  </pic:spPr>
                </pic:pic>
              </a:graphicData>
            </a:graphic>
          </wp:inline>
        </w:drawing>
      </w:r>
      <w:r w:rsidRPr="00276B9C">
        <w:rPr>
          <w:rFonts w:ascii="Calibri" w:eastAsia="Calibri" w:hAnsi="Calibri"/>
          <w:sz w:val="22"/>
          <w:szCs w:val="22"/>
          <w:lang w:eastAsia="en-US"/>
        </w:rPr>
        <w:fldChar w:fldCharType="end"/>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18"/>
        <w:gridCol w:w="1050"/>
        <w:gridCol w:w="1372"/>
        <w:gridCol w:w="1106"/>
        <w:gridCol w:w="1418"/>
      </w:tblGrid>
      <w:tr w:rsidR="00276B9C" w:rsidRPr="00276B9C" w:rsidTr="001E7D79">
        <w:trPr>
          <w:trHeight w:val="207"/>
          <w:jc w:val="center"/>
        </w:trPr>
        <w:tc>
          <w:tcPr>
            <w:tcW w:w="8364" w:type="dxa"/>
            <w:gridSpan w:val="5"/>
            <w:tcBorders>
              <w:top w:val="nil"/>
              <w:left w:val="nil"/>
              <w:right w:val="nil"/>
            </w:tcBorders>
            <w:shd w:val="clear" w:color="auto" w:fill="auto"/>
            <w:vAlign w:val="center"/>
          </w:tcPr>
          <w:p w:rsidR="00276B9C" w:rsidRPr="00276B9C" w:rsidRDefault="00276B9C" w:rsidP="00276B9C">
            <w:pPr>
              <w:jc w:val="center"/>
              <w:rPr>
                <w:rFonts w:eastAsia="Times New Roman"/>
                <w:b/>
                <w:sz w:val="22"/>
                <w:szCs w:val="22"/>
                <w:lang w:val="es-ES"/>
              </w:rPr>
            </w:pPr>
            <w:r w:rsidRPr="00276B9C">
              <w:rPr>
                <w:rFonts w:eastAsia="Times New Roman"/>
                <w:b/>
                <w:sz w:val="22"/>
                <w:szCs w:val="22"/>
                <w:lang w:val="es-ES"/>
              </w:rPr>
              <w:lastRenderedPageBreak/>
              <w:t>COMPARATIVO DE LA DISTRIBUCIÓN SECTORIAL</w:t>
            </w:r>
          </w:p>
          <w:p w:rsidR="00276B9C" w:rsidRPr="00276B9C" w:rsidRDefault="00276B9C" w:rsidP="00276B9C">
            <w:pPr>
              <w:jc w:val="center"/>
              <w:rPr>
                <w:rFonts w:eastAsia="Times New Roman"/>
                <w:b/>
                <w:sz w:val="22"/>
                <w:szCs w:val="22"/>
                <w:lang w:val="es-ES"/>
              </w:rPr>
            </w:pPr>
            <w:r w:rsidRPr="00276B9C">
              <w:rPr>
                <w:rFonts w:eastAsia="Times New Roman"/>
                <w:b/>
                <w:sz w:val="22"/>
                <w:szCs w:val="22"/>
                <w:lang w:val="es-ES"/>
              </w:rPr>
              <w:t>DE LA IED REPORTADA</w:t>
            </w:r>
          </w:p>
          <w:p w:rsidR="00276B9C" w:rsidRPr="00276B9C" w:rsidRDefault="00276B9C" w:rsidP="00276B9C">
            <w:pPr>
              <w:jc w:val="center"/>
              <w:rPr>
                <w:rFonts w:eastAsia="Times New Roman"/>
                <w:b/>
                <w:sz w:val="22"/>
                <w:szCs w:val="22"/>
                <w:vertAlign w:val="superscript"/>
                <w:lang w:val="es-ES"/>
              </w:rPr>
            </w:pPr>
            <w:r w:rsidRPr="00276B9C">
              <w:rPr>
                <w:rFonts w:eastAsia="Times New Roman"/>
                <w:b/>
                <w:sz w:val="22"/>
                <w:szCs w:val="22"/>
                <w:lang w:val="es-ES"/>
              </w:rPr>
              <w:t>ENERO-</w:t>
            </w:r>
            <w:r w:rsidRPr="00276B9C">
              <w:rPr>
                <w:rFonts w:eastAsia="Calibri"/>
                <w:b/>
                <w:sz w:val="22"/>
                <w:szCs w:val="22"/>
                <w:lang w:eastAsia="en-US"/>
              </w:rPr>
              <w:t xml:space="preserve">DICIEMBRE DE 2013 </w:t>
            </w:r>
            <w:r w:rsidRPr="00276B9C">
              <w:rPr>
                <w:rFonts w:eastAsia="Times New Roman"/>
                <w:b/>
                <w:sz w:val="22"/>
                <w:szCs w:val="22"/>
                <w:lang w:val="es-ES"/>
              </w:rPr>
              <w:t>Y 2014</w:t>
            </w:r>
            <w:r w:rsidRPr="00276B9C">
              <w:rPr>
                <w:rFonts w:eastAsia="Times New Roman"/>
                <w:b/>
                <w:sz w:val="22"/>
                <w:szCs w:val="22"/>
                <w:u w:val="single"/>
                <w:vertAlign w:val="superscript"/>
                <w:lang w:val="es-ES"/>
              </w:rPr>
              <w:t>*</w:t>
            </w:r>
            <w:r w:rsidRPr="00276B9C">
              <w:rPr>
                <w:rFonts w:eastAsia="Times New Roman"/>
                <w:b/>
                <w:sz w:val="22"/>
                <w:szCs w:val="22"/>
                <w:vertAlign w:val="superscript"/>
                <w:lang w:val="es-ES"/>
              </w:rPr>
              <w:t>/</w:t>
            </w:r>
          </w:p>
          <w:p w:rsidR="00276B9C" w:rsidRPr="00276B9C" w:rsidRDefault="00276B9C" w:rsidP="00276B9C">
            <w:pPr>
              <w:jc w:val="center"/>
              <w:rPr>
                <w:rFonts w:eastAsia="Times New Roman"/>
                <w:b/>
                <w:sz w:val="20"/>
                <w:szCs w:val="20"/>
                <w:lang w:val="es-ES"/>
              </w:rPr>
            </w:pPr>
            <w:r w:rsidRPr="00276B9C">
              <w:rPr>
                <w:rFonts w:eastAsia="Times New Roman"/>
                <w:b/>
                <w:sz w:val="22"/>
                <w:szCs w:val="22"/>
                <w:lang w:val="es-ES"/>
              </w:rPr>
              <w:t>-Millones de dólares-</w:t>
            </w:r>
          </w:p>
        </w:tc>
      </w:tr>
      <w:tr w:rsidR="00276B9C" w:rsidRPr="00276B9C" w:rsidTr="001E7D79">
        <w:trPr>
          <w:trHeight w:val="230"/>
          <w:jc w:val="center"/>
        </w:trPr>
        <w:tc>
          <w:tcPr>
            <w:tcW w:w="3418" w:type="dxa"/>
            <w:vMerge w:val="restart"/>
            <w:shd w:val="clear" w:color="auto" w:fill="auto"/>
            <w:vAlign w:val="center"/>
          </w:tcPr>
          <w:p w:rsidR="00276B9C" w:rsidRPr="00276B9C" w:rsidRDefault="00276B9C" w:rsidP="00276B9C">
            <w:pPr>
              <w:jc w:val="center"/>
              <w:rPr>
                <w:rFonts w:eastAsia="Times New Roman"/>
                <w:sz w:val="20"/>
                <w:szCs w:val="20"/>
                <w:lang w:val="es-ES"/>
              </w:rPr>
            </w:pPr>
          </w:p>
        </w:tc>
        <w:tc>
          <w:tcPr>
            <w:tcW w:w="1050" w:type="dxa"/>
            <w:vMerge w:val="restart"/>
            <w:vAlign w:val="center"/>
          </w:tcPr>
          <w:p w:rsidR="00276B9C" w:rsidRPr="00276B9C" w:rsidRDefault="00276B9C" w:rsidP="00276B9C">
            <w:pPr>
              <w:jc w:val="center"/>
              <w:rPr>
                <w:rFonts w:eastAsia="Times New Roman"/>
                <w:b/>
                <w:sz w:val="20"/>
                <w:szCs w:val="20"/>
                <w:lang w:val="es-ES"/>
              </w:rPr>
            </w:pPr>
            <w:r w:rsidRPr="00276B9C">
              <w:rPr>
                <w:rFonts w:eastAsia="Times New Roman"/>
                <w:b/>
                <w:sz w:val="20"/>
                <w:szCs w:val="20"/>
                <w:lang w:val="es-ES"/>
              </w:rPr>
              <w:t>2013</w:t>
            </w:r>
          </w:p>
        </w:tc>
        <w:tc>
          <w:tcPr>
            <w:tcW w:w="1372" w:type="dxa"/>
            <w:vMerge w:val="restart"/>
            <w:vAlign w:val="center"/>
          </w:tcPr>
          <w:p w:rsidR="00276B9C" w:rsidRPr="00276B9C" w:rsidRDefault="00276B9C" w:rsidP="00276B9C">
            <w:pPr>
              <w:jc w:val="center"/>
              <w:rPr>
                <w:rFonts w:eastAsia="Times New Roman"/>
                <w:b/>
                <w:sz w:val="20"/>
                <w:szCs w:val="20"/>
                <w:lang w:val="es-ES"/>
              </w:rPr>
            </w:pPr>
            <w:r w:rsidRPr="00276B9C">
              <w:rPr>
                <w:rFonts w:eastAsia="Times New Roman"/>
                <w:b/>
                <w:sz w:val="20"/>
                <w:szCs w:val="20"/>
                <w:lang w:val="es-ES"/>
              </w:rPr>
              <w:t>Participación</w:t>
            </w:r>
          </w:p>
          <w:p w:rsidR="00276B9C" w:rsidRPr="00276B9C" w:rsidRDefault="00276B9C" w:rsidP="00276B9C">
            <w:pPr>
              <w:jc w:val="center"/>
              <w:rPr>
                <w:rFonts w:eastAsia="Times New Roman"/>
                <w:b/>
                <w:sz w:val="20"/>
                <w:szCs w:val="20"/>
                <w:lang w:val="es-ES"/>
              </w:rPr>
            </w:pPr>
            <w:r w:rsidRPr="00276B9C">
              <w:rPr>
                <w:rFonts w:eastAsia="Times New Roman"/>
                <w:b/>
                <w:sz w:val="20"/>
                <w:szCs w:val="20"/>
                <w:lang w:val="es-ES"/>
              </w:rPr>
              <w:t>porcentual</w:t>
            </w:r>
          </w:p>
        </w:tc>
        <w:tc>
          <w:tcPr>
            <w:tcW w:w="1106" w:type="dxa"/>
            <w:vMerge w:val="restart"/>
            <w:vAlign w:val="center"/>
          </w:tcPr>
          <w:p w:rsidR="00276B9C" w:rsidRPr="00276B9C" w:rsidRDefault="00276B9C" w:rsidP="00276B9C">
            <w:pPr>
              <w:jc w:val="center"/>
              <w:rPr>
                <w:rFonts w:eastAsia="Times New Roman"/>
                <w:b/>
                <w:sz w:val="20"/>
                <w:szCs w:val="20"/>
                <w:lang w:val="es-ES"/>
              </w:rPr>
            </w:pPr>
            <w:r w:rsidRPr="00276B9C">
              <w:rPr>
                <w:rFonts w:eastAsia="Times New Roman"/>
                <w:b/>
                <w:sz w:val="20"/>
                <w:szCs w:val="20"/>
                <w:lang w:val="es-ES"/>
              </w:rPr>
              <w:t>2014</w:t>
            </w:r>
          </w:p>
        </w:tc>
        <w:tc>
          <w:tcPr>
            <w:tcW w:w="1418" w:type="dxa"/>
            <w:vMerge w:val="restart"/>
            <w:vAlign w:val="center"/>
          </w:tcPr>
          <w:p w:rsidR="00276B9C" w:rsidRPr="00276B9C" w:rsidRDefault="00276B9C" w:rsidP="00276B9C">
            <w:pPr>
              <w:jc w:val="center"/>
              <w:rPr>
                <w:rFonts w:eastAsia="Times New Roman"/>
                <w:b/>
                <w:sz w:val="20"/>
                <w:szCs w:val="20"/>
                <w:lang w:val="es-ES"/>
              </w:rPr>
            </w:pPr>
            <w:r w:rsidRPr="00276B9C">
              <w:rPr>
                <w:rFonts w:eastAsia="Times New Roman"/>
                <w:b/>
                <w:sz w:val="20"/>
                <w:szCs w:val="20"/>
                <w:lang w:val="es-ES"/>
              </w:rPr>
              <w:t>Participación</w:t>
            </w:r>
          </w:p>
          <w:p w:rsidR="00276B9C" w:rsidRPr="00276B9C" w:rsidRDefault="00276B9C" w:rsidP="00276B9C">
            <w:pPr>
              <w:jc w:val="center"/>
              <w:rPr>
                <w:rFonts w:eastAsia="Times New Roman"/>
                <w:b/>
                <w:sz w:val="20"/>
                <w:szCs w:val="20"/>
                <w:lang w:val="es-ES"/>
              </w:rPr>
            </w:pPr>
            <w:r w:rsidRPr="00276B9C">
              <w:rPr>
                <w:rFonts w:eastAsia="Times New Roman"/>
                <w:b/>
                <w:sz w:val="20"/>
                <w:szCs w:val="20"/>
                <w:lang w:val="es-ES"/>
              </w:rPr>
              <w:t>porcentual</w:t>
            </w:r>
          </w:p>
        </w:tc>
      </w:tr>
      <w:tr w:rsidR="00276B9C" w:rsidRPr="00276B9C" w:rsidTr="001E7D79">
        <w:trPr>
          <w:trHeight w:val="230"/>
          <w:jc w:val="center"/>
        </w:trPr>
        <w:tc>
          <w:tcPr>
            <w:tcW w:w="3418" w:type="dxa"/>
            <w:vMerge/>
            <w:shd w:val="clear" w:color="auto" w:fill="auto"/>
          </w:tcPr>
          <w:p w:rsidR="00276B9C" w:rsidRPr="00276B9C" w:rsidRDefault="00276B9C" w:rsidP="00276B9C">
            <w:pPr>
              <w:rPr>
                <w:rFonts w:eastAsia="Times New Roman"/>
                <w:b/>
                <w:sz w:val="20"/>
                <w:szCs w:val="20"/>
                <w:lang w:val="es-ES"/>
              </w:rPr>
            </w:pPr>
          </w:p>
        </w:tc>
        <w:tc>
          <w:tcPr>
            <w:tcW w:w="1050" w:type="dxa"/>
            <w:vMerge/>
            <w:vAlign w:val="center"/>
          </w:tcPr>
          <w:p w:rsidR="00276B9C" w:rsidRPr="00276B9C" w:rsidRDefault="00276B9C" w:rsidP="00276B9C">
            <w:pPr>
              <w:jc w:val="center"/>
              <w:rPr>
                <w:rFonts w:eastAsia="Times New Roman"/>
                <w:b/>
                <w:sz w:val="20"/>
                <w:szCs w:val="20"/>
                <w:lang w:val="es-ES"/>
              </w:rPr>
            </w:pPr>
          </w:p>
        </w:tc>
        <w:tc>
          <w:tcPr>
            <w:tcW w:w="1372" w:type="dxa"/>
            <w:vMerge/>
            <w:vAlign w:val="center"/>
          </w:tcPr>
          <w:p w:rsidR="00276B9C" w:rsidRPr="00276B9C" w:rsidRDefault="00276B9C" w:rsidP="00276B9C">
            <w:pPr>
              <w:jc w:val="center"/>
              <w:rPr>
                <w:rFonts w:eastAsia="Times New Roman"/>
                <w:b/>
                <w:sz w:val="20"/>
                <w:szCs w:val="20"/>
                <w:lang w:val="es-ES"/>
              </w:rPr>
            </w:pPr>
          </w:p>
        </w:tc>
        <w:tc>
          <w:tcPr>
            <w:tcW w:w="1106" w:type="dxa"/>
            <w:vMerge/>
            <w:vAlign w:val="center"/>
          </w:tcPr>
          <w:p w:rsidR="00276B9C" w:rsidRPr="00276B9C" w:rsidRDefault="00276B9C" w:rsidP="00276B9C">
            <w:pPr>
              <w:jc w:val="center"/>
              <w:rPr>
                <w:rFonts w:eastAsia="Times New Roman"/>
                <w:b/>
                <w:sz w:val="20"/>
                <w:szCs w:val="20"/>
                <w:lang w:val="es-ES"/>
              </w:rPr>
            </w:pPr>
          </w:p>
        </w:tc>
        <w:tc>
          <w:tcPr>
            <w:tcW w:w="1418" w:type="dxa"/>
            <w:vMerge/>
            <w:vAlign w:val="center"/>
          </w:tcPr>
          <w:p w:rsidR="00276B9C" w:rsidRPr="00276B9C" w:rsidRDefault="00276B9C" w:rsidP="00276B9C">
            <w:pPr>
              <w:jc w:val="center"/>
              <w:rPr>
                <w:rFonts w:eastAsia="Times New Roman"/>
                <w:b/>
                <w:sz w:val="20"/>
                <w:szCs w:val="20"/>
                <w:lang w:val="es-ES"/>
              </w:rPr>
            </w:pPr>
          </w:p>
        </w:tc>
      </w:tr>
      <w:tr w:rsidR="00276B9C" w:rsidRPr="00276B9C" w:rsidTr="001E7D79">
        <w:trPr>
          <w:trHeight w:val="230"/>
          <w:jc w:val="center"/>
        </w:trPr>
        <w:tc>
          <w:tcPr>
            <w:tcW w:w="3418" w:type="dxa"/>
            <w:vMerge/>
            <w:tcBorders>
              <w:bottom w:val="single" w:sz="4" w:space="0" w:color="auto"/>
            </w:tcBorders>
          </w:tcPr>
          <w:p w:rsidR="00276B9C" w:rsidRPr="00276B9C" w:rsidRDefault="00276B9C" w:rsidP="00276B9C">
            <w:pPr>
              <w:rPr>
                <w:rFonts w:eastAsia="Times New Roman"/>
                <w:b/>
                <w:sz w:val="20"/>
                <w:szCs w:val="20"/>
                <w:lang w:val="es-ES"/>
              </w:rPr>
            </w:pPr>
          </w:p>
        </w:tc>
        <w:tc>
          <w:tcPr>
            <w:tcW w:w="1050" w:type="dxa"/>
            <w:vMerge/>
            <w:tcBorders>
              <w:bottom w:val="single" w:sz="4" w:space="0" w:color="auto"/>
            </w:tcBorders>
          </w:tcPr>
          <w:p w:rsidR="00276B9C" w:rsidRPr="00276B9C" w:rsidRDefault="00276B9C" w:rsidP="00276B9C">
            <w:pPr>
              <w:ind w:right="113"/>
              <w:jc w:val="right"/>
              <w:rPr>
                <w:rFonts w:eastAsia="Times New Roman"/>
                <w:sz w:val="20"/>
                <w:szCs w:val="20"/>
                <w:lang w:val="es-ES"/>
              </w:rPr>
            </w:pPr>
          </w:p>
        </w:tc>
        <w:tc>
          <w:tcPr>
            <w:tcW w:w="1372" w:type="dxa"/>
            <w:vMerge/>
            <w:tcBorders>
              <w:bottom w:val="single" w:sz="4" w:space="0" w:color="auto"/>
            </w:tcBorders>
          </w:tcPr>
          <w:p w:rsidR="00276B9C" w:rsidRPr="00276B9C" w:rsidRDefault="00276B9C" w:rsidP="00276B9C">
            <w:pPr>
              <w:ind w:right="113"/>
              <w:jc w:val="right"/>
              <w:rPr>
                <w:rFonts w:eastAsia="Times New Roman"/>
                <w:sz w:val="20"/>
                <w:szCs w:val="20"/>
                <w:lang w:val="es-ES"/>
              </w:rPr>
            </w:pPr>
          </w:p>
        </w:tc>
        <w:tc>
          <w:tcPr>
            <w:tcW w:w="1106" w:type="dxa"/>
            <w:vMerge/>
            <w:tcBorders>
              <w:bottom w:val="single" w:sz="4" w:space="0" w:color="auto"/>
            </w:tcBorders>
          </w:tcPr>
          <w:p w:rsidR="00276B9C" w:rsidRPr="00276B9C" w:rsidRDefault="00276B9C" w:rsidP="00276B9C">
            <w:pPr>
              <w:ind w:right="113"/>
              <w:jc w:val="right"/>
              <w:rPr>
                <w:rFonts w:eastAsia="Times New Roman"/>
                <w:sz w:val="20"/>
                <w:szCs w:val="20"/>
                <w:lang w:val="es-ES"/>
              </w:rPr>
            </w:pPr>
          </w:p>
        </w:tc>
        <w:tc>
          <w:tcPr>
            <w:tcW w:w="1418" w:type="dxa"/>
            <w:vMerge/>
            <w:tcBorders>
              <w:bottom w:val="single" w:sz="4" w:space="0" w:color="auto"/>
            </w:tcBorders>
          </w:tcPr>
          <w:p w:rsidR="00276B9C" w:rsidRPr="00276B9C" w:rsidRDefault="00276B9C" w:rsidP="00276B9C">
            <w:pPr>
              <w:ind w:right="113"/>
              <w:jc w:val="right"/>
              <w:rPr>
                <w:rFonts w:eastAsia="Times New Roman"/>
                <w:sz w:val="20"/>
                <w:szCs w:val="20"/>
                <w:lang w:val="es-ES"/>
              </w:rPr>
            </w:pPr>
          </w:p>
        </w:tc>
      </w:tr>
      <w:tr w:rsidR="00276B9C" w:rsidRPr="00276B9C" w:rsidTr="001E7D79">
        <w:trPr>
          <w:jc w:val="center"/>
        </w:trPr>
        <w:tc>
          <w:tcPr>
            <w:tcW w:w="3418" w:type="dxa"/>
            <w:tcBorders>
              <w:bottom w:val="nil"/>
            </w:tcBorders>
          </w:tcPr>
          <w:p w:rsidR="00276B9C" w:rsidRPr="00276B9C" w:rsidRDefault="00276B9C" w:rsidP="00276B9C">
            <w:pPr>
              <w:rPr>
                <w:rFonts w:eastAsia="Times New Roman"/>
                <w:b/>
                <w:sz w:val="20"/>
                <w:szCs w:val="20"/>
                <w:lang w:val="es-ES"/>
              </w:rPr>
            </w:pPr>
            <w:r w:rsidRPr="00276B9C">
              <w:rPr>
                <w:rFonts w:eastAsia="Times New Roman"/>
                <w:b/>
                <w:sz w:val="20"/>
                <w:szCs w:val="20"/>
                <w:lang w:val="es-ES"/>
              </w:rPr>
              <w:t>Agropecuario</w:t>
            </w:r>
          </w:p>
        </w:tc>
        <w:tc>
          <w:tcPr>
            <w:tcW w:w="1050" w:type="dxa"/>
            <w:tcBorders>
              <w:bottom w:val="nil"/>
            </w:tcBorders>
            <w:vAlign w:val="center"/>
          </w:tcPr>
          <w:p w:rsidR="00276B9C" w:rsidRPr="00276B9C" w:rsidRDefault="00276B9C" w:rsidP="00276B9C">
            <w:pPr>
              <w:ind w:right="113"/>
              <w:jc w:val="right"/>
              <w:rPr>
                <w:rFonts w:eastAsia="Times New Roman"/>
                <w:b/>
                <w:sz w:val="20"/>
                <w:szCs w:val="20"/>
                <w:lang w:val="es-ES"/>
              </w:rPr>
            </w:pPr>
            <w:r w:rsidRPr="00276B9C">
              <w:rPr>
                <w:rFonts w:eastAsia="Times New Roman"/>
                <w:b/>
                <w:sz w:val="20"/>
                <w:szCs w:val="20"/>
                <w:lang w:val="es-ES"/>
              </w:rPr>
              <w:t>75.5</w:t>
            </w:r>
          </w:p>
        </w:tc>
        <w:tc>
          <w:tcPr>
            <w:tcW w:w="1372" w:type="dxa"/>
            <w:tcBorders>
              <w:bottom w:val="nil"/>
            </w:tcBorders>
            <w:vAlign w:val="center"/>
          </w:tcPr>
          <w:p w:rsidR="00276B9C" w:rsidRPr="00276B9C" w:rsidRDefault="00276B9C" w:rsidP="00276B9C">
            <w:pPr>
              <w:ind w:right="397"/>
              <w:jc w:val="right"/>
              <w:rPr>
                <w:rFonts w:eastAsia="Times New Roman"/>
                <w:b/>
                <w:sz w:val="20"/>
                <w:szCs w:val="20"/>
                <w:lang w:val="es-ES"/>
              </w:rPr>
            </w:pPr>
            <w:r w:rsidRPr="00276B9C">
              <w:rPr>
                <w:rFonts w:eastAsia="Times New Roman"/>
                <w:b/>
                <w:sz w:val="20"/>
                <w:szCs w:val="20"/>
                <w:lang w:val="es-ES"/>
              </w:rPr>
              <w:t>0.2</w:t>
            </w:r>
          </w:p>
        </w:tc>
        <w:tc>
          <w:tcPr>
            <w:tcW w:w="1106" w:type="dxa"/>
            <w:tcBorders>
              <w:bottom w:val="nil"/>
            </w:tcBorders>
            <w:vAlign w:val="center"/>
          </w:tcPr>
          <w:p w:rsidR="00276B9C" w:rsidRPr="00276B9C" w:rsidRDefault="00276B9C" w:rsidP="00276B9C">
            <w:pPr>
              <w:ind w:right="113"/>
              <w:jc w:val="right"/>
              <w:rPr>
                <w:rFonts w:eastAsia="Times New Roman"/>
                <w:b/>
                <w:sz w:val="20"/>
                <w:szCs w:val="20"/>
                <w:lang w:val="es-ES"/>
              </w:rPr>
            </w:pPr>
            <w:r w:rsidRPr="00276B9C">
              <w:rPr>
                <w:rFonts w:eastAsia="Times New Roman"/>
                <w:b/>
                <w:sz w:val="20"/>
                <w:szCs w:val="20"/>
                <w:lang w:val="es-ES"/>
              </w:rPr>
              <w:t>84.3</w:t>
            </w:r>
          </w:p>
        </w:tc>
        <w:tc>
          <w:tcPr>
            <w:tcW w:w="1418" w:type="dxa"/>
            <w:tcBorders>
              <w:bottom w:val="nil"/>
            </w:tcBorders>
            <w:vAlign w:val="center"/>
          </w:tcPr>
          <w:p w:rsidR="00276B9C" w:rsidRPr="00276B9C" w:rsidRDefault="00276B9C" w:rsidP="00276B9C">
            <w:pPr>
              <w:ind w:right="397"/>
              <w:jc w:val="right"/>
              <w:rPr>
                <w:rFonts w:eastAsia="Times New Roman"/>
                <w:b/>
                <w:sz w:val="20"/>
                <w:szCs w:val="20"/>
                <w:lang w:val="es-ES"/>
              </w:rPr>
            </w:pPr>
            <w:r w:rsidRPr="00276B9C">
              <w:rPr>
                <w:rFonts w:eastAsia="Times New Roman"/>
                <w:b/>
                <w:sz w:val="20"/>
                <w:szCs w:val="20"/>
                <w:lang w:val="es-ES"/>
              </w:rPr>
              <w:t>0.4</w:t>
            </w:r>
          </w:p>
        </w:tc>
      </w:tr>
      <w:tr w:rsidR="00276B9C" w:rsidRPr="00276B9C" w:rsidTr="001E7D79">
        <w:trPr>
          <w:jc w:val="center"/>
        </w:trPr>
        <w:tc>
          <w:tcPr>
            <w:tcW w:w="3418" w:type="dxa"/>
            <w:tcBorders>
              <w:top w:val="nil"/>
              <w:bottom w:val="nil"/>
            </w:tcBorders>
          </w:tcPr>
          <w:p w:rsidR="00276B9C" w:rsidRPr="00276B9C" w:rsidRDefault="00276B9C" w:rsidP="00276B9C">
            <w:pPr>
              <w:rPr>
                <w:rFonts w:eastAsia="Times New Roman"/>
                <w:b/>
                <w:sz w:val="20"/>
                <w:szCs w:val="20"/>
                <w:lang w:val="es-ES"/>
              </w:rPr>
            </w:pPr>
            <w:r w:rsidRPr="00276B9C">
              <w:rPr>
                <w:rFonts w:eastAsia="Times New Roman"/>
                <w:b/>
                <w:sz w:val="20"/>
                <w:szCs w:val="20"/>
                <w:lang w:val="es-ES"/>
              </w:rPr>
              <w:t>Industrial</w:t>
            </w:r>
          </w:p>
        </w:tc>
        <w:tc>
          <w:tcPr>
            <w:tcW w:w="1050" w:type="dxa"/>
            <w:tcBorders>
              <w:top w:val="nil"/>
              <w:bottom w:val="nil"/>
            </w:tcBorders>
            <w:vAlign w:val="center"/>
          </w:tcPr>
          <w:p w:rsidR="00276B9C" w:rsidRPr="00276B9C" w:rsidRDefault="00276B9C" w:rsidP="00276B9C">
            <w:pPr>
              <w:ind w:right="113"/>
              <w:jc w:val="right"/>
              <w:rPr>
                <w:rFonts w:eastAsia="Times New Roman"/>
                <w:b/>
                <w:sz w:val="20"/>
                <w:szCs w:val="20"/>
                <w:lang w:val="es-ES"/>
              </w:rPr>
            </w:pPr>
            <w:r w:rsidRPr="00276B9C">
              <w:rPr>
                <w:rFonts w:eastAsia="Times New Roman"/>
                <w:b/>
                <w:sz w:val="20"/>
                <w:szCs w:val="20"/>
                <w:lang w:val="es-ES"/>
              </w:rPr>
              <w:t>29 920.1</w:t>
            </w:r>
          </w:p>
        </w:tc>
        <w:tc>
          <w:tcPr>
            <w:tcW w:w="1372" w:type="dxa"/>
            <w:tcBorders>
              <w:top w:val="nil"/>
              <w:bottom w:val="nil"/>
            </w:tcBorders>
            <w:vAlign w:val="center"/>
          </w:tcPr>
          <w:p w:rsidR="00276B9C" w:rsidRPr="00276B9C" w:rsidRDefault="00276B9C" w:rsidP="00276B9C">
            <w:pPr>
              <w:ind w:right="397"/>
              <w:jc w:val="right"/>
              <w:rPr>
                <w:rFonts w:eastAsia="Times New Roman"/>
                <w:b/>
                <w:sz w:val="20"/>
                <w:szCs w:val="20"/>
                <w:lang w:val="es-ES"/>
              </w:rPr>
            </w:pPr>
            <w:r w:rsidRPr="00276B9C">
              <w:rPr>
                <w:rFonts w:eastAsia="Times New Roman"/>
                <w:b/>
                <w:sz w:val="20"/>
                <w:szCs w:val="20"/>
                <w:lang w:val="es-ES"/>
              </w:rPr>
              <w:t>85.0</w:t>
            </w:r>
          </w:p>
        </w:tc>
        <w:tc>
          <w:tcPr>
            <w:tcW w:w="1106" w:type="dxa"/>
            <w:tcBorders>
              <w:top w:val="nil"/>
              <w:bottom w:val="nil"/>
            </w:tcBorders>
            <w:vAlign w:val="center"/>
          </w:tcPr>
          <w:p w:rsidR="00276B9C" w:rsidRPr="00276B9C" w:rsidRDefault="00276B9C" w:rsidP="00276B9C">
            <w:pPr>
              <w:ind w:right="113"/>
              <w:jc w:val="right"/>
              <w:rPr>
                <w:rFonts w:eastAsia="Times New Roman"/>
                <w:b/>
                <w:sz w:val="20"/>
                <w:szCs w:val="20"/>
                <w:lang w:val="es-ES"/>
              </w:rPr>
            </w:pPr>
            <w:r w:rsidRPr="00276B9C">
              <w:rPr>
                <w:rFonts w:eastAsia="Times New Roman"/>
                <w:b/>
                <w:sz w:val="20"/>
                <w:szCs w:val="20"/>
                <w:lang w:val="es-ES"/>
              </w:rPr>
              <w:t>16 558.7</w:t>
            </w:r>
          </w:p>
        </w:tc>
        <w:tc>
          <w:tcPr>
            <w:tcW w:w="1418" w:type="dxa"/>
            <w:tcBorders>
              <w:top w:val="nil"/>
              <w:bottom w:val="nil"/>
            </w:tcBorders>
            <w:vAlign w:val="center"/>
          </w:tcPr>
          <w:p w:rsidR="00276B9C" w:rsidRPr="00276B9C" w:rsidRDefault="00276B9C" w:rsidP="00276B9C">
            <w:pPr>
              <w:ind w:right="397"/>
              <w:jc w:val="right"/>
              <w:rPr>
                <w:rFonts w:eastAsia="Times New Roman"/>
                <w:b/>
                <w:sz w:val="20"/>
                <w:szCs w:val="20"/>
                <w:lang w:val="es-ES"/>
              </w:rPr>
            </w:pPr>
            <w:r w:rsidRPr="00276B9C">
              <w:rPr>
                <w:rFonts w:eastAsia="Times New Roman"/>
                <w:b/>
                <w:sz w:val="20"/>
                <w:szCs w:val="20"/>
                <w:lang w:val="es-ES"/>
              </w:rPr>
              <w:t>73.4</w:t>
            </w:r>
          </w:p>
        </w:tc>
      </w:tr>
      <w:tr w:rsidR="00276B9C" w:rsidRPr="00276B9C" w:rsidTr="001E7D79">
        <w:trPr>
          <w:jc w:val="center"/>
        </w:trPr>
        <w:tc>
          <w:tcPr>
            <w:tcW w:w="3418" w:type="dxa"/>
            <w:tcBorders>
              <w:top w:val="nil"/>
              <w:bottom w:val="nil"/>
            </w:tcBorders>
          </w:tcPr>
          <w:p w:rsidR="00276B9C" w:rsidRPr="00276B9C" w:rsidRDefault="00276B9C" w:rsidP="00276B9C">
            <w:pPr>
              <w:ind w:left="57"/>
              <w:rPr>
                <w:rFonts w:eastAsia="Times New Roman"/>
                <w:sz w:val="20"/>
                <w:szCs w:val="20"/>
                <w:lang w:val="es-ES"/>
              </w:rPr>
            </w:pPr>
            <w:r w:rsidRPr="00276B9C">
              <w:rPr>
                <w:rFonts w:eastAsia="Times New Roman"/>
                <w:sz w:val="20"/>
                <w:szCs w:val="20"/>
                <w:lang w:val="es-ES"/>
              </w:rPr>
              <w:t>Minería</w:t>
            </w:r>
          </w:p>
        </w:tc>
        <w:tc>
          <w:tcPr>
            <w:tcW w:w="1050"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2 767.4</w:t>
            </w:r>
          </w:p>
        </w:tc>
        <w:tc>
          <w:tcPr>
            <w:tcW w:w="1372"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7.9</w:t>
            </w:r>
          </w:p>
        </w:tc>
        <w:tc>
          <w:tcPr>
            <w:tcW w:w="1106"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2 215.2</w:t>
            </w:r>
          </w:p>
        </w:tc>
        <w:tc>
          <w:tcPr>
            <w:tcW w:w="1418"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9.8</w:t>
            </w:r>
          </w:p>
        </w:tc>
      </w:tr>
      <w:tr w:rsidR="00276B9C" w:rsidRPr="00276B9C" w:rsidTr="001E7D79">
        <w:trPr>
          <w:jc w:val="center"/>
        </w:trPr>
        <w:tc>
          <w:tcPr>
            <w:tcW w:w="3418" w:type="dxa"/>
            <w:tcBorders>
              <w:top w:val="nil"/>
              <w:bottom w:val="nil"/>
            </w:tcBorders>
          </w:tcPr>
          <w:p w:rsidR="00276B9C" w:rsidRPr="00276B9C" w:rsidRDefault="00276B9C" w:rsidP="00276B9C">
            <w:pPr>
              <w:ind w:left="57"/>
              <w:rPr>
                <w:rFonts w:eastAsia="Times New Roman"/>
                <w:sz w:val="20"/>
                <w:szCs w:val="20"/>
                <w:lang w:val="es-ES"/>
              </w:rPr>
            </w:pPr>
            <w:r w:rsidRPr="00276B9C">
              <w:rPr>
                <w:rFonts w:eastAsia="Times New Roman"/>
                <w:sz w:val="20"/>
                <w:szCs w:val="20"/>
                <w:lang w:val="es-ES"/>
              </w:rPr>
              <w:t>Electricidad y agua</w:t>
            </w:r>
          </w:p>
        </w:tc>
        <w:tc>
          <w:tcPr>
            <w:tcW w:w="1050"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207.6</w:t>
            </w:r>
          </w:p>
        </w:tc>
        <w:tc>
          <w:tcPr>
            <w:tcW w:w="1372"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0.6</w:t>
            </w:r>
          </w:p>
        </w:tc>
        <w:tc>
          <w:tcPr>
            <w:tcW w:w="1106"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601.1</w:t>
            </w:r>
          </w:p>
        </w:tc>
        <w:tc>
          <w:tcPr>
            <w:tcW w:w="1418"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2.7</w:t>
            </w:r>
          </w:p>
        </w:tc>
      </w:tr>
      <w:tr w:rsidR="00276B9C" w:rsidRPr="00276B9C" w:rsidTr="001E7D79">
        <w:trPr>
          <w:jc w:val="center"/>
        </w:trPr>
        <w:tc>
          <w:tcPr>
            <w:tcW w:w="3418" w:type="dxa"/>
            <w:tcBorders>
              <w:top w:val="nil"/>
              <w:bottom w:val="nil"/>
            </w:tcBorders>
          </w:tcPr>
          <w:p w:rsidR="00276B9C" w:rsidRPr="00276B9C" w:rsidRDefault="00276B9C" w:rsidP="00276B9C">
            <w:pPr>
              <w:ind w:left="57"/>
              <w:rPr>
                <w:rFonts w:eastAsia="Times New Roman"/>
                <w:sz w:val="20"/>
                <w:szCs w:val="20"/>
                <w:lang w:val="es-ES"/>
              </w:rPr>
            </w:pPr>
            <w:r w:rsidRPr="00276B9C">
              <w:rPr>
                <w:rFonts w:eastAsia="Times New Roman"/>
                <w:sz w:val="20"/>
                <w:szCs w:val="20"/>
                <w:lang w:val="es-ES"/>
              </w:rPr>
              <w:t>Construcción</w:t>
            </w:r>
          </w:p>
        </w:tc>
        <w:tc>
          <w:tcPr>
            <w:tcW w:w="1050"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982.2</w:t>
            </w:r>
          </w:p>
        </w:tc>
        <w:tc>
          <w:tcPr>
            <w:tcW w:w="1372"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2.8</w:t>
            </w:r>
          </w:p>
        </w:tc>
        <w:tc>
          <w:tcPr>
            <w:tcW w:w="1106"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872.6</w:t>
            </w:r>
          </w:p>
        </w:tc>
        <w:tc>
          <w:tcPr>
            <w:tcW w:w="1418"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3.9</w:t>
            </w:r>
          </w:p>
        </w:tc>
      </w:tr>
      <w:tr w:rsidR="00276B9C" w:rsidRPr="00276B9C" w:rsidTr="001E7D79">
        <w:trPr>
          <w:jc w:val="center"/>
        </w:trPr>
        <w:tc>
          <w:tcPr>
            <w:tcW w:w="3418" w:type="dxa"/>
            <w:tcBorders>
              <w:top w:val="nil"/>
              <w:bottom w:val="nil"/>
            </w:tcBorders>
          </w:tcPr>
          <w:p w:rsidR="00276B9C" w:rsidRPr="00276B9C" w:rsidRDefault="00276B9C" w:rsidP="00276B9C">
            <w:pPr>
              <w:ind w:left="57"/>
              <w:rPr>
                <w:rFonts w:eastAsia="Times New Roman"/>
                <w:sz w:val="20"/>
                <w:szCs w:val="20"/>
                <w:lang w:val="es-ES"/>
              </w:rPr>
            </w:pPr>
            <w:r w:rsidRPr="00276B9C">
              <w:rPr>
                <w:rFonts w:eastAsia="Times New Roman"/>
                <w:sz w:val="20"/>
                <w:szCs w:val="20"/>
                <w:lang w:val="es-ES"/>
              </w:rPr>
              <w:t>Manufactureras</w:t>
            </w:r>
          </w:p>
        </w:tc>
        <w:tc>
          <w:tcPr>
            <w:tcW w:w="1050"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25 962.9</w:t>
            </w:r>
          </w:p>
        </w:tc>
        <w:tc>
          <w:tcPr>
            <w:tcW w:w="1372"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73.8</w:t>
            </w:r>
          </w:p>
        </w:tc>
        <w:tc>
          <w:tcPr>
            <w:tcW w:w="1106"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12 869.9</w:t>
            </w:r>
          </w:p>
        </w:tc>
        <w:tc>
          <w:tcPr>
            <w:tcW w:w="1418"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57.0</w:t>
            </w:r>
          </w:p>
        </w:tc>
      </w:tr>
      <w:tr w:rsidR="00276B9C" w:rsidRPr="00276B9C" w:rsidTr="001E7D79">
        <w:trPr>
          <w:jc w:val="center"/>
        </w:trPr>
        <w:tc>
          <w:tcPr>
            <w:tcW w:w="3418" w:type="dxa"/>
            <w:tcBorders>
              <w:top w:val="nil"/>
              <w:bottom w:val="nil"/>
            </w:tcBorders>
          </w:tcPr>
          <w:p w:rsidR="00276B9C" w:rsidRPr="00276B9C" w:rsidRDefault="00276B9C" w:rsidP="00276B9C">
            <w:pPr>
              <w:rPr>
                <w:rFonts w:eastAsia="Times New Roman"/>
                <w:b/>
                <w:sz w:val="20"/>
                <w:szCs w:val="20"/>
                <w:lang w:val="es-ES"/>
              </w:rPr>
            </w:pPr>
            <w:r w:rsidRPr="00276B9C">
              <w:rPr>
                <w:rFonts w:eastAsia="Times New Roman"/>
                <w:b/>
                <w:sz w:val="20"/>
                <w:szCs w:val="20"/>
                <w:lang w:val="es-ES"/>
              </w:rPr>
              <w:t>Servicios</w:t>
            </w:r>
          </w:p>
        </w:tc>
        <w:tc>
          <w:tcPr>
            <w:tcW w:w="1050" w:type="dxa"/>
            <w:tcBorders>
              <w:top w:val="nil"/>
              <w:bottom w:val="nil"/>
            </w:tcBorders>
            <w:vAlign w:val="center"/>
          </w:tcPr>
          <w:p w:rsidR="00276B9C" w:rsidRPr="00276B9C" w:rsidRDefault="00276B9C" w:rsidP="00276B9C">
            <w:pPr>
              <w:ind w:right="113"/>
              <w:jc w:val="right"/>
              <w:rPr>
                <w:rFonts w:eastAsia="Times New Roman"/>
                <w:b/>
                <w:bCs/>
                <w:sz w:val="20"/>
                <w:szCs w:val="20"/>
              </w:rPr>
            </w:pPr>
            <w:r w:rsidRPr="00276B9C">
              <w:rPr>
                <w:rFonts w:eastAsia="Times New Roman"/>
                <w:b/>
                <w:bCs/>
                <w:sz w:val="20"/>
                <w:szCs w:val="20"/>
              </w:rPr>
              <w:t>5 192.7</w:t>
            </w:r>
          </w:p>
        </w:tc>
        <w:tc>
          <w:tcPr>
            <w:tcW w:w="1372" w:type="dxa"/>
            <w:tcBorders>
              <w:top w:val="nil"/>
              <w:bottom w:val="nil"/>
            </w:tcBorders>
            <w:vAlign w:val="center"/>
          </w:tcPr>
          <w:p w:rsidR="00276B9C" w:rsidRPr="00276B9C" w:rsidRDefault="00276B9C" w:rsidP="00276B9C">
            <w:pPr>
              <w:ind w:right="397"/>
              <w:jc w:val="right"/>
              <w:rPr>
                <w:rFonts w:eastAsia="Times New Roman"/>
                <w:b/>
                <w:bCs/>
                <w:sz w:val="20"/>
                <w:szCs w:val="20"/>
              </w:rPr>
            </w:pPr>
            <w:r w:rsidRPr="00276B9C">
              <w:rPr>
                <w:rFonts w:eastAsia="Times New Roman"/>
                <w:b/>
                <w:bCs/>
                <w:sz w:val="20"/>
                <w:szCs w:val="20"/>
              </w:rPr>
              <w:t>14.8</w:t>
            </w:r>
          </w:p>
        </w:tc>
        <w:tc>
          <w:tcPr>
            <w:tcW w:w="1106" w:type="dxa"/>
            <w:tcBorders>
              <w:top w:val="nil"/>
              <w:bottom w:val="nil"/>
            </w:tcBorders>
            <w:vAlign w:val="center"/>
          </w:tcPr>
          <w:p w:rsidR="00276B9C" w:rsidRPr="00276B9C" w:rsidRDefault="00276B9C" w:rsidP="00276B9C">
            <w:pPr>
              <w:ind w:right="113"/>
              <w:jc w:val="right"/>
              <w:rPr>
                <w:rFonts w:eastAsia="Times New Roman"/>
                <w:b/>
                <w:bCs/>
                <w:sz w:val="20"/>
                <w:szCs w:val="20"/>
              </w:rPr>
            </w:pPr>
            <w:r w:rsidRPr="00276B9C">
              <w:rPr>
                <w:rFonts w:eastAsia="Times New Roman"/>
                <w:b/>
                <w:bCs/>
                <w:sz w:val="20"/>
                <w:szCs w:val="20"/>
              </w:rPr>
              <w:t>5 925.3</w:t>
            </w:r>
          </w:p>
        </w:tc>
        <w:tc>
          <w:tcPr>
            <w:tcW w:w="1418" w:type="dxa"/>
            <w:tcBorders>
              <w:top w:val="nil"/>
              <w:bottom w:val="nil"/>
            </w:tcBorders>
            <w:vAlign w:val="center"/>
          </w:tcPr>
          <w:p w:rsidR="00276B9C" w:rsidRPr="00276B9C" w:rsidRDefault="00276B9C" w:rsidP="00276B9C">
            <w:pPr>
              <w:ind w:right="397"/>
              <w:jc w:val="right"/>
              <w:rPr>
                <w:rFonts w:eastAsia="Times New Roman"/>
                <w:b/>
                <w:bCs/>
                <w:sz w:val="20"/>
                <w:szCs w:val="20"/>
              </w:rPr>
            </w:pPr>
            <w:r w:rsidRPr="00276B9C">
              <w:rPr>
                <w:rFonts w:eastAsia="Times New Roman"/>
                <w:b/>
                <w:bCs/>
                <w:sz w:val="20"/>
                <w:szCs w:val="20"/>
              </w:rPr>
              <w:t>26.3</w:t>
            </w:r>
          </w:p>
        </w:tc>
      </w:tr>
      <w:tr w:rsidR="00276B9C" w:rsidRPr="00276B9C" w:rsidTr="001E7D79">
        <w:trPr>
          <w:jc w:val="center"/>
        </w:trPr>
        <w:tc>
          <w:tcPr>
            <w:tcW w:w="3418" w:type="dxa"/>
            <w:tcBorders>
              <w:top w:val="nil"/>
              <w:bottom w:val="nil"/>
            </w:tcBorders>
          </w:tcPr>
          <w:p w:rsidR="00276B9C" w:rsidRPr="00276B9C" w:rsidRDefault="00276B9C" w:rsidP="00276B9C">
            <w:pPr>
              <w:ind w:left="57"/>
              <w:rPr>
                <w:rFonts w:eastAsia="Times New Roman"/>
                <w:sz w:val="20"/>
                <w:szCs w:val="20"/>
                <w:lang w:val="es-ES"/>
              </w:rPr>
            </w:pPr>
            <w:r w:rsidRPr="00276B9C">
              <w:rPr>
                <w:rFonts w:eastAsia="Times New Roman"/>
                <w:sz w:val="20"/>
                <w:szCs w:val="20"/>
                <w:lang w:val="es-ES"/>
              </w:rPr>
              <w:t>Comercio</w:t>
            </w:r>
          </w:p>
        </w:tc>
        <w:tc>
          <w:tcPr>
            <w:tcW w:w="1050"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1 709.1</w:t>
            </w:r>
          </w:p>
        </w:tc>
        <w:tc>
          <w:tcPr>
            <w:tcW w:w="1372"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4.9</w:t>
            </w:r>
          </w:p>
        </w:tc>
        <w:tc>
          <w:tcPr>
            <w:tcW w:w="1106"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1 954.3</w:t>
            </w:r>
          </w:p>
        </w:tc>
        <w:tc>
          <w:tcPr>
            <w:tcW w:w="1418"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8.7</w:t>
            </w:r>
          </w:p>
        </w:tc>
      </w:tr>
      <w:tr w:rsidR="00276B9C" w:rsidRPr="00276B9C" w:rsidTr="001E7D79">
        <w:trPr>
          <w:jc w:val="center"/>
        </w:trPr>
        <w:tc>
          <w:tcPr>
            <w:tcW w:w="3418" w:type="dxa"/>
            <w:tcBorders>
              <w:top w:val="nil"/>
              <w:bottom w:val="nil"/>
            </w:tcBorders>
          </w:tcPr>
          <w:p w:rsidR="00276B9C" w:rsidRPr="00276B9C" w:rsidRDefault="00276B9C" w:rsidP="00276B9C">
            <w:pPr>
              <w:ind w:left="57"/>
              <w:rPr>
                <w:rFonts w:eastAsia="Times New Roman"/>
                <w:sz w:val="20"/>
                <w:szCs w:val="20"/>
                <w:lang w:val="es-ES"/>
              </w:rPr>
            </w:pPr>
            <w:r w:rsidRPr="00276B9C">
              <w:rPr>
                <w:rFonts w:eastAsia="Times New Roman"/>
                <w:sz w:val="20"/>
                <w:szCs w:val="20"/>
                <w:lang w:val="es-ES"/>
              </w:rPr>
              <w:t>Transportes</w:t>
            </w:r>
          </w:p>
        </w:tc>
        <w:tc>
          <w:tcPr>
            <w:tcW w:w="1050"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727.1</w:t>
            </w:r>
          </w:p>
        </w:tc>
        <w:tc>
          <w:tcPr>
            <w:tcW w:w="1372"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2.1</w:t>
            </w:r>
          </w:p>
        </w:tc>
        <w:tc>
          <w:tcPr>
            <w:tcW w:w="1106"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399.5</w:t>
            </w:r>
          </w:p>
        </w:tc>
        <w:tc>
          <w:tcPr>
            <w:tcW w:w="1418"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1.8</w:t>
            </w:r>
          </w:p>
        </w:tc>
      </w:tr>
      <w:tr w:rsidR="00276B9C" w:rsidRPr="00276B9C" w:rsidTr="001E7D79">
        <w:trPr>
          <w:jc w:val="center"/>
        </w:trPr>
        <w:tc>
          <w:tcPr>
            <w:tcW w:w="3418" w:type="dxa"/>
            <w:tcBorders>
              <w:top w:val="nil"/>
              <w:bottom w:val="nil"/>
            </w:tcBorders>
          </w:tcPr>
          <w:p w:rsidR="00276B9C" w:rsidRPr="00276B9C" w:rsidRDefault="00276B9C" w:rsidP="00276B9C">
            <w:pPr>
              <w:ind w:left="57"/>
              <w:rPr>
                <w:rFonts w:eastAsia="Times New Roman"/>
                <w:sz w:val="20"/>
                <w:szCs w:val="20"/>
                <w:lang w:val="es-ES"/>
              </w:rPr>
            </w:pPr>
            <w:r w:rsidRPr="00276B9C">
              <w:rPr>
                <w:rFonts w:eastAsia="Times New Roman"/>
                <w:sz w:val="20"/>
                <w:szCs w:val="20"/>
                <w:lang w:val="es-ES"/>
              </w:rPr>
              <w:t>Información en medios masivos</w:t>
            </w:r>
          </w:p>
        </w:tc>
        <w:tc>
          <w:tcPr>
            <w:tcW w:w="1050"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981.5</w:t>
            </w:r>
          </w:p>
        </w:tc>
        <w:tc>
          <w:tcPr>
            <w:tcW w:w="1372"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2.8</w:t>
            </w:r>
          </w:p>
        </w:tc>
        <w:tc>
          <w:tcPr>
            <w:tcW w:w="1106"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-4 152.5</w:t>
            </w:r>
          </w:p>
        </w:tc>
        <w:tc>
          <w:tcPr>
            <w:tcW w:w="1418"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-18.4</w:t>
            </w:r>
          </w:p>
        </w:tc>
      </w:tr>
      <w:tr w:rsidR="00276B9C" w:rsidRPr="00276B9C" w:rsidTr="001E7D79">
        <w:trPr>
          <w:jc w:val="center"/>
        </w:trPr>
        <w:tc>
          <w:tcPr>
            <w:tcW w:w="3418" w:type="dxa"/>
            <w:tcBorders>
              <w:top w:val="nil"/>
              <w:bottom w:val="nil"/>
            </w:tcBorders>
          </w:tcPr>
          <w:p w:rsidR="00276B9C" w:rsidRPr="00276B9C" w:rsidRDefault="00276B9C" w:rsidP="00276B9C">
            <w:pPr>
              <w:ind w:left="57"/>
              <w:rPr>
                <w:rFonts w:eastAsia="Times New Roman"/>
                <w:sz w:val="20"/>
                <w:szCs w:val="20"/>
                <w:lang w:val="es-ES"/>
              </w:rPr>
            </w:pPr>
            <w:r w:rsidRPr="00276B9C">
              <w:rPr>
                <w:rFonts w:eastAsia="Times New Roman"/>
                <w:sz w:val="20"/>
                <w:szCs w:val="20"/>
                <w:lang w:val="es-ES"/>
              </w:rPr>
              <w:t>Servicios financieros</w:t>
            </w:r>
          </w:p>
        </w:tc>
        <w:tc>
          <w:tcPr>
            <w:tcW w:w="1050"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-841.0</w:t>
            </w:r>
          </w:p>
        </w:tc>
        <w:tc>
          <w:tcPr>
            <w:tcW w:w="1372"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-2.4</w:t>
            </w:r>
          </w:p>
        </w:tc>
        <w:tc>
          <w:tcPr>
            <w:tcW w:w="1106"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5 556.6</w:t>
            </w:r>
          </w:p>
        </w:tc>
        <w:tc>
          <w:tcPr>
            <w:tcW w:w="1418"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24.6</w:t>
            </w:r>
          </w:p>
        </w:tc>
      </w:tr>
      <w:tr w:rsidR="00276B9C" w:rsidRPr="00276B9C" w:rsidTr="001E7D79">
        <w:trPr>
          <w:jc w:val="center"/>
        </w:trPr>
        <w:tc>
          <w:tcPr>
            <w:tcW w:w="3418" w:type="dxa"/>
            <w:tcBorders>
              <w:top w:val="nil"/>
              <w:bottom w:val="nil"/>
            </w:tcBorders>
          </w:tcPr>
          <w:p w:rsidR="00276B9C" w:rsidRPr="00276B9C" w:rsidRDefault="00276B9C" w:rsidP="00276B9C">
            <w:pPr>
              <w:ind w:left="57"/>
              <w:rPr>
                <w:rFonts w:eastAsia="Times New Roman"/>
                <w:sz w:val="20"/>
                <w:szCs w:val="20"/>
                <w:lang w:val="es-ES"/>
              </w:rPr>
            </w:pPr>
            <w:r w:rsidRPr="00276B9C">
              <w:rPr>
                <w:rFonts w:eastAsia="Times New Roman"/>
                <w:sz w:val="20"/>
                <w:szCs w:val="20"/>
                <w:lang w:val="es-ES"/>
              </w:rPr>
              <w:t>Servicios inmobiliarios y de alquiler</w:t>
            </w:r>
          </w:p>
        </w:tc>
        <w:tc>
          <w:tcPr>
            <w:tcW w:w="1050"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253.6</w:t>
            </w:r>
          </w:p>
        </w:tc>
        <w:tc>
          <w:tcPr>
            <w:tcW w:w="1372"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0.7</w:t>
            </w:r>
          </w:p>
        </w:tc>
        <w:tc>
          <w:tcPr>
            <w:tcW w:w="1106"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180.0</w:t>
            </w:r>
          </w:p>
        </w:tc>
        <w:tc>
          <w:tcPr>
            <w:tcW w:w="1418"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0.8</w:t>
            </w:r>
          </w:p>
        </w:tc>
      </w:tr>
      <w:tr w:rsidR="00276B9C" w:rsidRPr="00276B9C" w:rsidTr="001E7D79">
        <w:trPr>
          <w:jc w:val="center"/>
        </w:trPr>
        <w:tc>
          <w:tcPr>
            <w:tcW w:w="3418" w:type="dxa"/>
            <w:tcBorders>
              <w:top w:val="nil"/>
              <w:bottom w:val="nil"/>
            </w:tcBorders>
          </w:tcPr>
          <w:p w:rsidR="00276B9C" w:rsidRPr="00276B9C" w:rsidRDefault="00276B9C" w:rsidP="00276B9C">
            <w:pPr>
              <w:ind w:left="57"/>
              <w:rPr>
                <w:rFonts w:eastAsia="Times New Roman"/>
                <w:sz w:val="20"/>
                <w:szCs w:val="20"/>
                <w:lang w:val="es-ES"/>
              </w:rPr>
            </w:pPr>
            <w:r w:rsidRPr="00276B9C">
              <w:rPr>
                <w:rFonts w:eastAsia="Times New Roman"/>
                <w:sz w:val="20"/>
                <w:szCs w:val="20"/>
                <w:lang w:val="es-ES"/>
              </w:rPr>
              <w:t>Servicios profesionales</w:t>
            </w:r>
          </w:p>
        </w:tc>
        <w:tc>
          <w:tcPr>
            <w:tcW w:w="1050"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785.4</w:t>
            </w:r>
          </w:p>
        </w:tc>
        <w:tc>
          <w:tcPr>
            <w:tcW w:w="1372"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2.2</w:t>
            </w:r>
          </w:p>
        </w:tc>
        <w:tc>
          <w:tcPr>
            <w:tcW w:w="1106"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675.3</w:t>
            </w:r>
          </w:p>
        </w:tc>
        <w:tc>
          <w:tcPr>
            <w:tcW w:w="1418"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3.0</w:t>
            </w:r>
          </w:p>
        </w:tc>
      </w:tr>
      <w:tr w:rsidR="00276B9C" w:rsidRPr="00276B9C" w:rsidTr="001E7D79">
        <w:trPr>
          <w:jc w:val="center"/>
        </w:trPr>
        <w:tc>
          <w:tcPr>
            <w:tcW w:w="3418" w:type="dxa"/>
            <w:tcBorders>
              <w:top w:val="nil"/>
              <w:bottom w:val="nil"/>
            </w:tcBorders>
          </w:tcPr>
          <w:p w:rsidR="00276B9C" w:rsidRPr="00276B9C" w:rsidRDefault="00276B9C" w:rsidP="00276B9C">
            <w:pPr>
              <w:ind w:left="57"/>
              <w:rPr>
                <w:rFonts w:eastAsia="Times New Roman"/>
                <w:sz w:val="20"/>
                <w:szCs w:val="20"/>
                <w:lang w:val="es-ES"/>
              </w:rPr>
            </w:pPr>
            <w:r w:rsidRPr="00276B9C">
              <w:rPr>
                <w:rFonts w:eastAsia="Times New Roman"/>
                <w:sz w:val="20"/>
                <w:szCs w:val="20"/>
                <w:lang w:val="es-ES"/>
              </w:rPr>
              <w:t>Servicios de apoyo a los negocios</w:t>
            </w:r>
          </w:p>
        </w:tc>
        <w:tc>
          <w:tcPr>
            <w:tcW w:w="1050" w:type="dxa"/>
            <w:tcBorders>
              <w:top w:val="nil"/>
              <w:bottom w:val="nil"/>
            </w:tcBorders>
            <w:vAlign w:val="center"/>
          </w:tcPr>
          <w:p w:rsidR="00276B9C" w:rsidRPr="00276B9C" w:rsidRDefault="00276B9C" w:rsidP="00276B9C">
            <w:pPr>
              <w:ind w:right="113"/>
              <w:jc w:val="right"/>
              <w:rPr>
                <w:rFonts w:eastAsia="Times New Roman"/>
                <w:bCs/>
                <w:sz w:val="20"/>
                <w:szCs w:val="20"/>
                <w:lang w:val="es-ES"/>
              </w:rPr>
            </w:pPr>
            <w:r w:rsidRPr="00276B9C">
              <w:rPr>
                <w:rFonts w:eastAsia="Times New Roman"/>
                <w:bCs/>
                <w:sz w:val="20"/>
                <w:szCs w:val="20"/>
                <w:lang w:val="es-ES"/>
              </w:rPr>
              <w:t>245.1</w:t>
            </w:r>
          </w:p>
        </w:tc>
        <w:tc>
          <w:tcPr>
            <w:tcW w:w="1372"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0.7</w:t>
            </w:r>
          </w:p>
        </w:tc>
        <w:tc>
          <w:tcPr>
            <w:tcW w:w="1106"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309.3</w:t>
            </w:r>
          </w:p>
        </w:tc>
        <w:tc>
          <w:tcPr>
            <w:tcW w:w="1418"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1.4</w:t>
            </w:r>
          </w:p>
        </w:tc>
      </w:tr>
      <w:tr w:rsidR="00276B9C" w:rsidRPr="00276B9C" w:rsidTr="001E7D79">
        <w:trPr>
          <w:jc w:val="center"/>
        </w:trPr>
        <w:tc>
          <w:tcPr>
            <w:tcW w:w="3418" w:type="dxa"/>
            <w:tcBorders>
              <w:top w:val="nil"/>
              <w:bottom w:val="nil"/>
            </w:tcBorders>
          </w:tcPr>
          <w:p w:rsidR="00276B9C" w:rsidRPr="00276B9C" w:rsidRDefault="00276B9C" w:rsidP="00276B9C">
            <w:pPr>
              <w:ind w:left="57"/>
              <w:rPr>
                <w:rFonts w:eastAsia="Times New Roman"/>
                <w:sz w:val="20"/>
                <w:szCs w:val="20"/>
                <w:lang w:val="es-ES"/>
              </w:rPr>
            </w:pPr>
            <w:r w:rsidRPr="00276B9C">
              <w:rPr>
                <w:rFonts w:eastAsia="Times New Roman"/>
                <w:sz w:val="20"/>
                <w:szCs w:val="20"/>
                <w:lang w:val="es-ES"/>
              </w:rPr>
              <w:t>Servicios educativos</w:t>
            </w:r>
          </w:p>
        </w:tc>
        <w:tc>
          <w:tcPr>
            <w:tcW w:w="1050"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16.7</w:t>
            </w:r>
          </w:p>
        </w:tc>
        <w:tc>
          <w:tcPr>
            <w:tcW w:w="1372"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0.0</w:t>
            </w:r>
          </w:p>
        </w:tc>
        <w:tc>
          <w:tcPr>
            <w:tcW w:w="1106"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4.1</w:t>
            </w:r>
          </w:p>
        </w:tc>
        <w:tc>
          <w:tcPr>
            <w:tcW w:w="1418"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0.0</w:t>
            </w:r>
          </w:p>
        </w:tc>
      </w:tr>
      <w:tr w:rsidR="00276B9C" w:rsidRPr="00276B9C" w:rsidTr="001E7D79">
        <w:trPr>
          <w:jc w:val="center"/>
        </w:trPr>
        <w:tc>
          <w:tcPr>
            <w:tcW w:w="3418" w:type="dxa"/>
            <w:tcBorders>
              <w:top w:val="nil"/>
              <w:bottom w:val="nil"/>
            </w:tcBorders>
          </w:tcPr>
          <w:p w:rsidR="00276B9C" w:rsidRPr="00276B9C" w:rsidRDefault="00276B9C" w:rsidP="00276B9C">
            <w:pPr>
              <w:ind w:left="57"/>
              <w:rPr>
                <w:rFonts w:eastAsia="Times New Roman"/>
                <w:sz w:val="20"/>
                <w:szCs w:val="20"/>
                <w:lang w:val="es-ES"/>
              </w:rPr>
            </w:pPr>
            <w:r w:rsidRPr="00276B9C">
              <w:rPr>
                <w:rFonts w:eastAsia="Times New Roman"/>
                <w:sz w:val="20"/>
                <w:szCs w:val="20"/>
                <w:lang w:val="es-ES"/>
              </w:rPr>
              <w:t>Servicios de salud</w:t>
            </w:r>
          </w:p>
        </w:tc>
        <w:tc>
          <w:tcPr>
            <w:tcW w:w="1050"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49.9</w:t>
            </w:r>
          </w:p>
        </w:tc>
        <w:tc>
          <w:tcPr>
            <w:tcW w:w="1372"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0.1</w:t>
            </w:r>
          </w:p>
        </w:tc>
        <w:tc>
          <w:tcPr>
            <w:tcW w:w="1106"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-13.8</w:t>
            </w:r>
          </w:p>
        </w:tc>
        <w:tc>
          <w:tcPr>
            <w:tcW w:w="1418"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-0.1</w:t>
            </w:r>
          </w:p>
        </w:tc>
      </w:tr>
      <w:tr w:rsidR="00276B9C" w:rsidRPr="00276B9C" w:rsidTr="001E7D79">
        <w:trPr>
          <w:jc w:val="center"/>
        </w:trPr>
        <w:tc>
          <w:tcPr>
            <w:tcW w:w="3418" w:type="dxa"/>
            <w:tcBorders>
              <w:top w:val="nil"/>
              <w:bottom w:val="nil"/>
            </w:tcBorders>
          </w:tcPr>
          <w:p w:rsidR="00276B9C" w:rsidRPr="00276B9C" w:rsidRDefault="00276B9C" w:rsidP="00276B9C">
            <w:pPr>
              <w:ind w:left="57"/>
              <w:rPr>
                <w:rFonts w:eastAsia="Times New Roman"/>
                <w:sz w:val="20"/>
                <w:szCs w:val="20"/>
                <w:lang w:val="es-ES"/>
              </w:rPr>
            </w:pPr>
            <w:r w:rsidRPr="00276B9C">
              <w:rPr>
                <w:rFonts w:eastAsia="Times New Roman"/>
                <w:sz w:val="20"/>
                <w:szCs w:val="20"/>
                <w:lang w:val="es-ES"/>
              </w:rPr>
              <w:t>Servicios de esparcimiento</w:t>
            </w:r>
          </w:p>
        </w:tc>
        <w:tc>
          <w:tcPr>
            <w:tcW w:w="1050"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21.7</w:t>
            </w:r>
          </w:p>
        </w:tc>
        <w:tc>
          <w:tcPr>
            <w:tcW w:w="1372"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0.1</w:t>
            </w:r>
          </w:p>
        </w:tc>
        <w:tc>
          <w:tcPr>
            <w:tcW w:w="1106"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85.5</w:t>
            </w:r>
          </w:p>
        </w:tc>
        <w:tc>
          <w:tcPr>
            <w:tcW w:w="1418"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0.4</w:t>
            </w:r>
          </w:p>
        </w:tc>
      </w:tr>
      <w:tr w:rsidR="00276B9C" w:rsidRPr="00276B9C" w:rsidTr="001E7D79">
        <w:trPr>
          <w:jc w:val="center"/>
        </w:trPr>
        <w:tc>
          <w:tcPr>
            <w:tcW w:w="3418" w:type="dxa"/>
            <w:tcBorders>
              <w:top w:val="nil"/>
              <w:bottom w:val="nil"/>
            </w:tcBorders>
          </w:tcPr>
          <w:p w:rsidR="00276B9C" w:rsidRPr="00276B9C" w:rsidRDefault="00276B9C" w:rsidP="00276B9C">
            <w:pPr>
              <w:ind w:left="57"/>
              <w:rPr>
                <w:rFonts w:eastAsia="Times New Roman"/>
                <w:sz w:val="20"/>
                <w:szCs w:val="20"/>
                <w:lang w:val="es-ES"/>
              </w:rPr>
            </w:pPr>
            <w:r w:rsidRPr="00276B9C">
              <w:rPr>
                <w:rFonts w:eastAsia="Times New Roman"/>
                <w:sz w:val="20"/>
                <w:szCs w:val="20"/>
                <w:lang w:val="es-ES"/>
              </w:rPr>
              <w:t>Servicios de alojamiento temporal</w:t>
            </w:r>
          </w:p>
        </w:tc>
        <w:tc>
          <w:tcPr>
            <w:tcW w:w="1050"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1 058.2</w:t>
            </w:r>
          </w:p>
        </w:tc>
        <w:tc>
          <w:tcPr>
            <w:tcW w:w="1372"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3.0</w:t>
            </w:r>
          </w:p>
        </w:tc>
        <w:tc>
          <w:tcPr>
            <w:tcW w:w="1106"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825.4</w:t>
            </w:r>
          </w:p>
        </w:tc>
        <w:tc>
          <w:tcPr>
            <w:tcW w:w="1418"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3.7</w:t>
            </w:r>
          </w:p>
        </w:tc>
      </w:tr>
      <w:tr w:rsidR="00276B9C" w:rsidRPr="00276B9C" w:rsidTr="001E7D79">
        <w:trPr>
          <w:jc w:val="center"/>
        </w:trPr>
        <w:tc>
          <w:tcPr>
            <w:tcW w:w="3418" w:type="dxa"/>
            <w:tcBorders>
              <w:top w:val="nil"/>
              <w:bottom w:val="nil"/>
            </w:tcBorders>
          </w:tcPr>
          <w:p w:rsidR="00276B9C" w:rsidRPr="00276B9C" w:rsidRDefault="00276B9C" w:rsidP="00276B9C">
            <w:pPr>
              <w:ind w:left="57"/>
              <w:rPr>
                <w:rFonts w:eastAsia="Times New Roman"/>
                <w:sz w:val="20"/>
                <w:szCs w:val="20"/>
                <w:lang w:val="es-ES"/>
              </w:rPr>
            </w:pPr>
            <w:r w:rsidRPr="00276B9C">
              <w:rPr>
                <w:rFonts w:eastAsia="Times New Roman"/>
                <w:sz w:val="20"/>
                <w:szCs w:val="20"/>
                <w:lang w:val="es-ES"/>
              </w:rPr>
              <w:t>Otros servicios</w:t>
            </w:r>
          </w:p>
        </w:tc>
        <w:tc>
          <w:tcPr>
            <w:tcW w:w="1050"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185.3</w:t>
            </w:r>
          </w:p>
        </w:tc>
        <w:tc>
          <w:tcPr>
            <w:tcW w:w="1372"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0.5</w:t>
            </w:r>
          </w:p>
        </w:tc>
        <w:tc>
          <w:tcPr>
            <w:tcW w:w="1106" w:type="dxa"/>
            <w:tcBorders>
              <w:top w:val="nil"/>
              <w:bottom w:val="nil"/>
            </w:tcBorders>
            <w:vAlign w:val="center"/>
          </w:tcPr>
          <w:p w:rsidR="00276B9C" w:rsidRPr="00276B9C" w:rsidRDefault="00276B9C" w:rsidP="00276B9C">
            <w:pPr>
              <w:ind w:right="113"/>
              <w:jc w:val="right"/>
              <w:rPr>
                <w:rFonts w:eastAsia="Times New Roman"/>
                <w:bCs/>
                <w:sz w:val="20"/>
                <w:szCs w:val="20"/>
              </w:rPr>
            </w:pPr>
            <w:r w:rsidRPr="00276B9C">
              <w:rPr>
                <w:rFonts w:eastAsia="Times New Roman"/>
                <w:bCs/>
                <w:sz w:val="20"/>
                <w:szCs w:val="20"/>
              </w:rPr>
              <w:t>101.6</w:t>
            </w:r>
          </w:p>
        </w:tc>
        <w:tc>
          <w:tcPr>
            <w:tcW w:w="1418" w:type="dxa"/>
            <w:tcBorders>
              <w:top w:val="nil"/>
              <w:bottom w:val="nil"/>
            </w:tcBorders>
            <w:vAlign w:val="center"/>
          </w:tcPr>
          <w:p w:rsidR="00276B9C" w:rsidRPr="00276B9C" w:rsidRDefault="00276B9C" w:rsidP="00276B9C">
            <w:pPr>
              <w:ind w:right="397"/>
              <w:jc w:val="right"/>
              <w:rPr>
                <w:rFonts w:eastAsia="Times New Roman"/>
                <w:bCs/>
                <w:sz w:val="20"/>
                <w:szCs w:val="20"/>
              </w:rPr>
            </w:pPr>
            <w:r w:rsidRPr="00276B9C">
              <w:rPr>
                <w:rFonts w:eastAsia="Times New Roman"/>
                <w:bCs/>
                <w:sz w:val="20"/>
                <w:szCs w:val="20"/>
              </w:rPr>
              <w:t>0.4</w:t>
            </w:r>
          </w:p>
        </w:tc>
      </w:tr>
      <w:tr w:rsidR="00276B9C" w:rsidRPr="00276B9C" w:rsidTr="001E7D79">
        <w:trPr>
          <w:jc w:val="center"/>
        </w:trPr>
        <w:tc>
          <w:tcPr>
            <w:tcW w:w="3418" w:type="dxa"/>
            <w:tcBorders>
              <w:top w:val="nil"/>
              <w:bottom w:val="single" w:sz="4" w:space="0" w:color="auto"/>
            </w:tcBorders>
          </w:tcPr>
          <w:p w:rsidR="00276B9C" w:rsidRPr="00276B9C" w:rsidRDefault="00276B9C" w:rsidP="00276B9C">
            <w:pPr>
              <w:ind w:left="57"/>
              <w:rPr>
                <w:rFonts w:eastAsia="Times New Roman"/>
                <w:b/>
                <w:sz w:val="20"/>
                <w:szCs w:val="20"/>
                <w:lang w:val="es-ES"/>
              </w:rPr>
            </w:pPr>
            <w:r w:rsidRPr="00276B9C">
              <w:rPr>
                <w:rFonts w:eastAsia="Times New Roman"/>
                <w:b/>
                <w:sz w:val="20"/>
                <w:szCs w:val="20"/>
                <w:lang w:val="es-ES"/>
              </w:rPr>
              <w:t>Total</w:t>
            </w:r>
          </w:p>
        </w:tc>
        <w:tc>
          <w:tcPr>
            <w:tcW w:w="1050" w:type="dxa"/>
            <w:tcBorders>
              <w:top w:val="nil"/>
              <w:bottom w:val="single" w:sz="4" w:space="0" w:color="auto"/>
            </w:tcBorders>
            <w:vAlign w:val="center"/>
          </w:tcPr>
          <w:p w:rsidR="00276B9C" w:rsidRPr="00276B9C" w:rsidRDefault="00276B9C" w:rsidP="00276B9C">
            <w:pPr>
              <w:ind w:right="113"/>
              <w:jc w:val="right"/>
              <w:rPr>
                <w:rFonts w:eastAsia="Times New Roman"/>
                <w:b/>
                <w:bCs/>
                <w:sz w:val="20"/>
                <w:szCs w:val="20"/>
              </w:rPr>
            </w:pPr>
            <w:r w:rsidRPr="00276B9C">
              <w:rPr>
                <w:rFonts w:eastAsia="Times New Roman"/>
                <w:b/>
                <w:bCs/>
                <w:sz w:val="20"/>
                <w:szCs w:val="20"/>
              </w:rPr>
              <w:t>35 188.4</w:t>
            </w:r>
          </w:p>
        </w:tc>
        <w:tc>
          <w:tcPr>
            <w:tcW w:w="1372" w:type="dxa"/>
            <w:tcBorders>
              <w:top w:val="nil"/>
              <w:bottom w:val="single" w:sz="4" w:space="0" w:color="auto"/>
            </w:tcBorders>
            <w:vAlign w:val="center"/>
          </w:tcPr>
          <w:p w:rsidR="00276B9C" w:rsidRPr="00276B9C" w:rsidRDefault="00276B9C" w:rsidP="00276B9C">
            <w:pPr>
              <w:ind w:right="397"/>
              <w:jc w:val="right"/>
              <w:rPr>
                <w:rFonts w:eastAsia="Times New Roman"/>
                <w:b/>
                <w:bCs/>
                <w:sz w:val="20"/>
                <w:szCs w:val="20"/>
              </w:rPr>
            </w:pPr>
            <w:r w:rsidRPr="00276B9C">
              <w:rPr>
                <w:rFonts w:eastAsia="Times New Roman"/>
                <w:b/>
                <w:bCs/>
                <w:sz w:val="20"/>
                <w:szCs w:val="20"/>
              </w:rPr>
              <w:t>100.0</w:t>
            </w:r>
          </w:p>
        </w:tc>
        <w:tc>
          <w:tcPr>
            <w:tcW w:w="1106" w:type="dxa"/>
            <w:tcBorders>
              <w:top w:val="nil"/>
              <w:bottom w:val="single" w:sz="4" w:space="0" w:color="auto"/>
            </w:tcBorders>
            <w:vAlign w:val="center"/>
          </w:tcPr>
          <w:p w:rsidR="00276B9C" w:rsidRPr="00276B9C" w:rsidRDefault="00276B9C" w:rsidP="00276B9C">
            <w:pPr>
              <w:ind w:right="113"/>
              <w:jc w:val="right"/>
              <w:rPr>
                <w:rFonts w:eastAsia="Times New Roman"/>
                <w:b/>
                <w:bCs/>
                <w:sz w:val="20"/>
                <w:szCs w:val="20"/>
              </w:rPr>
            </w:pPr>
            <w:r w:rsidRPr="00276B9C">
              <w:rPr>
                <w:rFonts w:eastAsia="Times New Roman"/>
                <w:b/>
                <w:bCs/>
                <w:sz w:val="20"/>
                <w:szCs w:val="20"/>
              </w:rPr>
              <w:t>22 568.4</w:t>
            </w:r>
          </w:p>
        </w:tc>
        <w:tc>
          <w:tcPr>
            <w:tcW w:w="1418" w:type="dxa"/>
            <w:tcBorders>
              <w:top w:val="nil"/>
              <w:bottom w:val="single" w:sz="4" w:space="0" w:color="auto"/>
            </w:tcBorders>
            <w:vAlign w:val="center"/>
          </w:tcPr>
          <w:p w:rsidR="00276B9C" w:rsidRPr="00276B9C" w:rsidRDefault="00276B9C" w:rsidP="00276B9C">
            <w:pPr>
              <w:ind w:right="397"/>
              <w:jc w:val="right"/>
              <w:rPr>
                <w:rFonts w:eastAsia="Times New Roman"/>
                <w:b/>
                <w:bCs/>
                <w:sz w:val="20"/>
                <w:szCs w:val="20"/>
              </w:rPr>
            </w:pPr>
            <w:r w:rsidRPr="00276B9C">
              <w:rPr>
                <w:rFonts w:eastAsia="Times New Roman"/>
                <w:b/>
                <w:bCs/>
                <w:sz w:val="20"/>
                <w:szCs w:val="20"/>
              </w:rPr>
              <w:t>100.0</w:t>
            </w:r>
          </w:p>
        </w:tc>
      </w:tr>
      <w:tr w:rsidR="00276B9C" w:rsidRPr="00276B9C" w:rsidTr="001E7D79">
        <w:trPr>
          <w:jc w:val="center"/>
        </w:trPr>
        <w:tc>
          <w:tcPr>
            <w:tcW w:w="8364" w:type="dxa"/>
            <w:gridSpan w:val="5"/>
            <w:tcBorders>
              <w:left w:val="nil"/>
              <w:bottom w:val="nil"/>
              <w:right w:val="nil"/>
            </w:tcBorders>
          </w:tcPr>
          <w:p w:rsidR="00276B9C" w:rsidRPr="00276B9C" w:rsidRDefault="00276B9C" w:rsidP="00276B9C">
            <w:pPr>
              <w:ind w:left="510" w:hanging="510"/>
              <w:jc w:val="both"/>
              <w:rPr>
                <w:rFonts w:eastAsia="Times New Roman"/>
                <w:bCs/>
                <w:sz w:val="20"/>
                <w:szCs w:val="20"/>
              </w:rPr>
            </w:pPr>
            <w:r w:rsidRPr="00276B9C">
              <w:rPr>
                <w:rFonts w:eastAsia="Times New Roman"/>
                <w:bCs/>
                <w:sz w:val="20"/>
                <w:szCs w:val="20"/>
              </w:rPr>
              <w:t>Nota: La suma de los parciales puede diferir de los totales debido al redondeo que efectúa la hoja de cálculo.</w:t>
            </w:r>
          </w:p>
          <w:p w:rsidR="00276B9C" w:rsidRPr="00276B9C" w:rsidRDefault="00276B9C" w:rsidP="00276B9C">
            <w:pPr>
              <w:jc w:val="both"/>
              <w:rPr>
                <w:rFonts w:eastAsia="Times New Roman"/>
                <w:bCs/>
                <w:sz w:val="20"/>
                <w:szCs w:val="20"/>
              </w:rPr>
            </w:pPr>
            <w:r w:rsidRPr="00276B9C">
              <w:rPr>
                <w:rFonts w:eastAsia="Times New Roman"/>
                <w:bCs/>
                <w:sz w:val="20"/>
                <w:szCs w:val="20"/>
                <w:u w:val="single"/>
              </w:rPr>
              <w:t>*</w:t>
            </w:r>
            <w:r w:rsidRPr="00276B9C">
              <w:rPr>
                <w:rFonts w:eastAsia="Times New Roman"/>
                <w:bCs/>
                <w:sz w:val="20"/>
                <w:szCs w:val="20"/>
              </w:rPr>
              <w:t>/ IED realizada y notificada al RNIE al 31 de diciembre de cada año.</w:t>
            </w:r>
          </w:p>
          <w:p w:rsidR="00276B9C" w:rsidRPr="00276B9C" w:rsidRDefault="00276B9C" w:rsidP="00276B9C">
            <w:pPr>
              <w:jc w:val="both"/>
              <w:rPr>
                <w:rFonts w:eastAsia="Times New Roman"/>
                <w:bCs/>
                <w:sz w:val="20"/>
                <w:szCs w:val="20"/>
              </w:rPr>
            </w:pPr>
            <w:r w:rsidRPr="00276B9C">
              <w:rPr>
                <w:rFonts w:eastAsia="Times New Roman"/>
                <w:bCs/>
                <w:sz w:val="20"/>
                <w:szCs w:val="20"/>
              </w:rPr>
              <w:t>FUENTE: Secretaría de Economía.</w:t>
            </w:r>
          </w:p>
        </w:tc>
      </w:tr>
    </w:tbl>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La IED provino de Estados Unidos de Norteamérica, 6 mil 516.4 millones de dólares (28.9%); España, 4 mil 92.9 millones de dólares (10.7%); Alemania, 1 mil 546.2 millones de dólares (6.9%); Países Bajos, 1 mil 489.6 millones de dólares (6.6%); y Japón, 1 mil 433.7 millones de dólares (6.4%). Otros 79 países aportaron 5 mil 68.2 millones de dólares (22.4%).</w:t>
      </w:r>
    </w:p>
    <w:p w:rsidR="00276B9C" w:rsidRPr="00276B9C" w:rsidRDefault="00276B9C" w:rsidP="00276B9C">
      <w:pPr>
        <w:spacing w:after="200" w:line="276" w:lineRule="auto"/>
        <w:ind w:right="-159"/>
        <w:jc w:val="center"/>
        <w:rPr>
          <w:rFonts w:eastAsia="Calibri"/>
          <w:b/>
          <w:sz w:val="22"/>
          <w:szCs w:val="22"/>
          <w:lang w:eastAsia="en-US"/>
        </w:rPr>
      </w:pPr>
      <w:r w:rsidRPr="00276B9C">
        <w:rPr>
          <w:rFonts w:ascii="Calibri" w:eastAsia="Calibri" w:hAnsi="Calibri"/>
          <w:sz w:val="22"/>
          <w:szCs w:val="22"/>
          <w:lang w:eastAsia="en-US"/>
        </w:rPr>
        <w:lastRenderedPageBreak/>
        <w:fldChar w:fldCharType="begin"/>
      </w:r>
      <w:r w:rsidRPr="00276B9C">
        <w:rPr>
          <w:rFonts w:ascii="Calibri" w:eastAsia="Calibri" w:hAnsi="Calibri"/>
          <w:sz w:val="22"/>
          <w:szCs w:val="22"/>
          <w:lang w:eastAsia="en-US"/>
        </w:rPr>
        <w:instrText xml:space="preserve"> LINK PowerPoint.Slide.8 "D:\\2015\\MARZO 2014\\GRÁFICAS EN POWER POINT\\7.- GRÁFICAS DE IED.pptx!292" "" \a \p </w:instrText>
      </w:r>
      <w:r w:rsidRPr="00276B9C">
        <w:rPr>
          <w:rFonts w:ascii="Calibri" w:eastAsia="Calibri" w:hAnsi="Calibri"/>
          <w:sz w:val="22"/>
          <w:szCs w:val="22"/>
          <w:lang w:eastAsia="en-US"/>
        </w:rPr>
        <w:fldChar w:fldCharType="separate"/>
      </w:r>
      <w:r w:rsidRPr="00276B9C">
        <w:rPr>
          <w:rFonts w:ascii="Calibri" w:eastAsia="Calibri" w:hAnsi="Calibri"/>
          <w:noProof/>
          <w:sz w:val="22"/>
          <w:szCs w:val="22"/>
          <w:lang w:eastAsia="es-MX"/>
        </w:rPr>
        <w:drawing>
          <wp:inline distT="0" distB="0" distL="0" distR="0" wp14:anchorId="1B600885" wp14:editId="4E339CE6">
            <wp:extent cx="4559935" cy="2811145"/>
            <wp:effectExtent l="0" t="0" r="0" b="8255"/>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43" cstate="print">
                      <a:extLst>
                        <a:ext uri="{28A0092B-C50C-407E-A947-70E740481C1C}">
                          <a14:useLocalDpi xmlns:a14="http://schemas.microsoft.com/office/drawing/2010/main" val="0"/>
                        </a:ext>
                      </a:extLst>
                    </a:blip>
                    <a:srcRect t="11389" b="6667"/>
                    <a:stretch>
                      <a:fillRect/>
                    </a:stretch>
                  </pic:blipFill>
                  <pic:spPr bwMode="auto">
                    <a:xfrm>
                      <a:off x="0" y="0"/>
                      <a:ext cx="4559935" cy="2811145"/>
                    </a:xfrm>
                    <a:prstGeom prst="rect">
                      <a:avLst/>
                    </a:prstGeom>
                    <a:noFill/>
                    <a:ln>
                      <a:noFill/>
                    </a:ln>
                  </pic:spPr>
                </pic:pic>
              </a:graphicData>
            </a:graphic>
          </wp:inline>
        </w:drawing>
      </w:r>
      <w:r w:rsidRPr="00276B9C">
        <w:rPr>
          <w:rFonts w:ascii="Calibri" w:eastAsia="Calibri" w:hAnsi="Calibri"/>
          <w:sz w:val="22"/>
          <w:szCs w:val="22"/>
          <w:lang w:eastAsia="en-US"/>
        </w:rPr>
        <w:fldChar w:fldCharType="end"/>
      </w:r>
    </w:p>
    <w:p w:rsidR="00276B9C" w:rsidRPr="00276B9C" w:rsidRDefault="00276B9C" w:rsidP="00276B9C">
      <w:pPr>
        <w:spacing w:after="360" w:line="360" w:lineRule="auto"/>
        <w:ind w:left="510" w:right="-159" w:hanging="510"/>
        <w:jc w:val="both"/>
        <w:rPr>
          <w:rFonts w:eastAsia="Calibri"/>
          <w:b/>
          <w:sz w:val="26"/>
          <w:szCs w:val="26"/>
          <w:lang w:eastAsia="en-US"/>
        </w:rPr>
      </w:pPr>
      <w:r w:rsidRPr="00276B9C">
        <w:rPr>
          <w:rFonts w:eastAsia="Calibri"/>
          <w:b/>
          <w:sz w:val="26"/>
          <w:szCs w:val="26"/>
          <w:lang w:eastAsia="en-US"/>
        </w:rPr>
        <w:t>2. Evolución histórica</w:t>
      </w:r>
    </w:p>
    <w:p w:rsidR="00276B9C" w:rsidRPr="00276B9C" w:rsidRDefault="00276B9C" w:rsidP="00276B9C">
      <w:pPr>
        <w:spacing w:after="360" w:line="360" w:lineRule="auto"/>
        <w:ind w:left="510" w:right="-159" w:hanging="510"/>
        <w:jc w:val="center"/>
        <w:rPr>
          <w:rFonts w:eastAsia="Calibri"/>
          <w:sz w:val="26"/>
          <w:szCs w:val="26"/>
          <w:lang w:eastAsia="en-US"/>
        </w:rPr>
      </w:pPr>
      <w:r w:rsidRPr="00276B9C">
        <w:rPr>
          <w:rFonts w:ascii="Calibri" w:eastAsia="Calibri" w:hAnsi="Calibri"/>
          <w:sz w:val="22"/>
          <w:szCs w:val="22"/>
          <w:lang w:eastAsia="en-US"/>
        </w:rPr>
        <w:fldChar w:fldCharType="begin"/>
      </w:r>
      <w:r w:rsidRPr="00276B9C">
        <w:rPr>
          <w:rFonts w:ascii="Calibri" w:eastAsia="Calibri" w:hAnsi="Calibri"/>
          <w:sz w:val="22"/>
          <w:szCs w:val="22"/>
          <w:lang w:eastAsia="en-US"/>
        </w:rPr>
        <w:instrText xml:space="preserve"> LINK PowerPoint.Slide.8 "D:\\2015\\MARZO 2014\\GRÁFICAS EN POWER POINT\\7.- GRÁFICAS DE IED.pptx!293" "" \a \p </w:instrText>
      </w:r>
      <w:r w:rsidRPr="00276B9C">
        <w:rPr>
          <w:rFonts w:ascii="Calibri" w:eastAsia="Calibri" w:hAnsi="Calibri"/>
          <w:sz w:val="22"/>
          <w:szCs w:val="22"/>
          <w:lang w:eastAsia="en-US"/>
        </w:rPr>
        <w:fldChar w:fldCharType="separate"/>
      </w:r>
      <w:r w:rsidRPr="00276B9C">
        <w:rPr>
          <w:rFonts w:ascii="Calibri" w:eastAsia="Calibri" w:hAnsi="Calibri"/>
          <w:noProof/>
          <w:sz w:val="22"/>
          <w:szCs w:val="22"/>
          <w:lang w:eastAsia="es-MX"/>
        </w:rPr>
        <w:drawing>
          <wp:inline distT="0" distB="0" distL="0" distR="0" wp14:anchorId="2D170171" wp14:editId="669F1661">
            <wp:extent cx="4559935" cy="3206750"/>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44" cstate="print">
                      <a:extLst>
                        <a:ext uri="{28A0092B-C50C-407E-A947-70E740481C1C}">
                          <a14:useLocalDpi xmlns:a14="http://schemas.microsoft.com/office/drawing/2010/main" val="0"/>
                        </a:ext>
                      </a:extLst>
                    </a:blip>
                    <a:srcRect t="6389"/>
                    <a:stretch>
                      <a:fillRect/>
                    </a:stretch>
                  </pic:blipFill>
                  <pic:spPr bwMode="auto">
                    <a:xfrm>
                      <a:off x="0" y="0"/>
                      <a:ext cx="4559935" cy="3206750"/>
                    </a:xfrm>
                    <a:prstGeom prst="rect">
                      <a:avLst/>
                    </a:prstGeom>
                    <a:noFill/>
                    <a:ln>
                      <a:noFill/>
                    </a:ln>
                  </pic:spPr>
                </pic:pic>
              </a:graphicData>
            </a:graphic>
          </wp:inline>
        </w:drawing>
      </w:r>
      <w:r w:rsidRPr="00276B9C">
        <w:rPr>
          <w:rFonts w:ascii="Calibri" w:eastAsia="Calibri" w:hAnsi="Calibri"/>
          <w:sz w:val="22"/>
          <w:szCs w:val="22"/>
          <w:lang w:eastAsia="en-US"/>
        </w:rPr>
        <w:fldChar w:fldCharType="end"/>
      </w:r>
    </w:p>
    <w:p w:rsidR="00276B9C" w:rsidRPr="00276B9C" w:rsidRDefault="00276B9C" w:rsidP="00276B9C">
      <w:pPr>
        <w:spacing w:after="360" w:line="360" w:lineRule="auto"/>
        <w:ind w:left="510" w:right="-159" w:hanging="510"/>
        <w:jc w:val="both"/>
        <w:rPr>
          <w:rFonts w:eastAsia="Calibri"/>
          <w:sz w:val="26"/>
          <w:szCs w:val="26"/>
          <w:lang w:eastAsia="en-US"/>
        </w:rPr>
      </w:pPr>
    </w:p>
    <w:p w:rsidR="00276B9C" w:rsidRPr="00276B9C" w:rsidRDefault="00276B9C" w:rsidP="00276B9C">
      <w:pPr>
        <w:spacing w:after="360" w:line="360" w:lineRule="auto"/>
        <w:ind w:left="510" w:right="-159" w:hanging="510"/>
        <w:jc w:val="center"/>
        <w:rPr>
          <w:rFonts w:ascii="Calibri" w:eastAsia="Calibri" w:hAnsi="Calibri"/>
          <w:sz w:val="22"/>
          <w:szCs w:val="22"/>
          <w:lang w:eastAsia="en-US"/>
        </w:rPr>
      </w:pPr>
      <w:r w:rsidRPr="00276B9C">
        <w:rPr>
          <w:rFonts w:ascii="Calibri" w:eastAsia="Calibri" w:hAnsi="Calibri"/>
          <w:sz w:val="22"/>
          <w:szCs w:val="22"/>
          <w:lang w:eastAsia="en-US"/>
        </w:rPr>
        <w:lastRenderedPageBreak/>
        <w:fldChar w:fldCharType="begin"/>
      </w:r>
      <w:r w:rsidRPr="00276B9C">
        <w:rPr>
          <w:rFonts w:ascii="Calibri" w:eastAsia="Calibri" w:hAnsi="Calibri"/>
          <w:sz w:val="22"/>
          <w:szCs w:val="22"/>
          <w:lang w:eastAsia="en-US"/>
        </w:rPr>
        <w:instrText xml:space="preserve"> LINK PowerPoint.Slide.8 "D:\\2015\\MARZO 2014\\GRÁFICAS EN POWER POINT\\7.- GRÁFICAS DE IED.pptx!294" "" \a \p </w:instrText>
      </w:r>
      <w:r w:rsidRPr="00276B9C">
        <w:rPr>
          <w:rFonts w:ascii="Calibri" w:eastAsia="Calibri" w:hAnsi="Calibri"/>
          <w:sz w:val="22"/>
          <w:szCs w:val="22"/>
          <w:lang w:eastAsia="en-US"/>
        </w:rPr>
        <w:fldChar w:fldCharType="separate"/>
      </w:r>
      <w:r w:rsidRPr="00276B9C">
        <w:rPr>
          <w:rFonts w:ascii="Calibri" w:eastAsia="Calibri" w:hAnsi="Calibri"/>
          <w:noProof/>
          <w:sz w:val="22"/>
          <w:szCs w:val="22"/>
          <w:lang w:eastAsia="es-MX"/>
        </w:rPr>
        <w:drawing>
          <wp:inline distT="0" distB="0" distL="0" distR="0" wp14:anchorId="002A6846" wp14:editId="75EF0185">
            <wp:extent cx="4275455" cy="3200400"/>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ChangeAspect="1" noChangeArrowheads="1"/>
                    </pic:cNvPicPr>
                  </pic:nvPicPr>
                  <pic:blipFill>
                    <a:blip r:embed="rId45" cstate="print">
                      <a:extLst>
                        <a:ext uri="{28A0092B-C50C-407E-A947-70E740481C1C}">
                          <a14:useLocalDpi xmlns:a14="http://schemas.microsoft.com/office/drawing/2010/main" val="0"/>
                        </a:ext>
                      </a:extLst>
                    </a:blip>
                    <a:srcRect l="3967" t="6667" r="2296"/>
                    <a:stretch>
                      <a:fillRect/>
                    </a:stretch>
                  </pic:blipFill>
                  <pic:spPr bwMode="auto">
                    <a:xfrm>
                      <a:off x="0" y="0"/>
                      <a:ext cx="4275455" cy="3200400"/>
                    </a:xfrm>
                    <a:prstGeom prst="rect">
                      <a:avLst/>
                    </a:prstGeom>
                    <a:noFill/>
                    <a:ln>
                      <a:noFill/>
                    </a:ln>
                  </pic:spPr>
                </pic:pic>
              </a:graphicData>
            </a:graphic>
          </wp:inline>
        </w:drawing>
      </w:r>
      <w:r w:rsidRPr="00276B9C">
        <w:rPr>
          <w:rFonts w:ascii="Calibri" w:eastAsia="Calibri" w:hAnsi="Calibri"/>
          <w:sz w:val="22"/>
          <w:szCs w:val="22"/>
          <w:lang w:eastAsia="en-US"/>
        </w:rPr>
        <w:fldChar w:fldCharType="end"/>
      </w:r>
    </w:p>
    <w:p w:rsidR="00276B9C" w:rsidRPr="00276B9C" w:rsidRDefault="00276B9C" w:rsidP="00276B9C">
      <w:pPr>
        <w:spacing w:after="360" w:line="360" w:lineRule="auto"/>
        <w:ind w:left="510" w:right="-159" w:hanging="510"/>
        <w:jc w:val="center"/>
        <w:rPr>
          <w:rFonts w:ascii="Calibri" w:eastAsia="Calibri" w:hAnsi="Calibri"/>
          <w:sz w:val="22"/>
          <w:szCs w:val="22"/>
          <w:lang w:eastAsia="en-US"/>
        </w:rPr>
      </w:pPr>
    </w:p>
    <w:p w:rsidR="00276B9C" w:rsidRPr="00276B9C" w:rsidRDefault="00276B9C" w:rsidP="00276B9C">
      <w:pPr>
        <w:spacing w:after="360" w:line="360" w:lineRule="auto"/>
        <w:ind w:left="510" w:right="-159" w:hanging="510"/>
        <w:jc w:val="center"/>
        <w:rPr>
          <w:rFonts w:ascii="Calibri" w:eastAsia="Calibri" w:hAnsi="Calibri"/>
          <w:sz w:val="22"/>
          <w:szCs w:val="22"/>
          <w:lang w:eastAsia="en-US"/>
        </w:rPr>
      </w:pPr>
      <w:r w:rsidRPr="00276B9C">
        <w:rPr>
          <w:rFonts w:ascii="Calibri" w:eastAsia="Calibri" w:hAnsi="Calibri"/>
          <w:sz w:val="22"/>
          <w:szCs w:val="22"/>
          <w:lang w:eastAsia="en-US"/>
        </w:rPr>
        <w:fldChar w:fldCharType="begin"/>
      </w:r>
      <w:r w:rsidRPr="00276B9C">
        <w:rPr>
          <w:rFonts w:ascii="Calibri" w:eastAsia="Calibri" w:hAnsi="Calibri"/>
          <w:sz w:val="22"/>
          <w:szCs w:val="22"/>
          <w:lang w:eastAsia="en-US"/>
        </w:rPr>
        <w:instrText xml:space="preserve"> LINK PowerPoint.Slide.8 "D:\\2015\\MARZO 2014\\GRÁFICAS EN POWER POINT\\7.- GRÁFICAS DE IED.pptx!295" "" \a \p </w:instrText>
      </w:r>
      <w:r w:rsidRPr="00276B9C">
        <w:rPr>
          <w:rFonts w:ascii="Calibri" w:eastAsia="Calibri" w:hAnsi="Calibri"/>
          <w:sz w:val="22"/>
          <w:szCs w:val="22"/>
          <w:lang w:eastAsia="en-US"/>
        </w:rPr>
        <w:fldChar w:fldCharType="separate"/>
      </w:r>
      <w:r w:rsidRPr="00276B9C">
        <w:rPr>
          <w:rFonts w:ascii="Calibri" w:eastAsia="Calibri" w:hAnsi="Calibri"/>
          <w:noProof/>
          <w:sz w:val="22"/>
          <w:szCs w:val="22"/>
          <w:lang w:eastAsia="es-MX"/>
        </w:rPr>
        <w:drawing>
          <wp:inline distT="0" distB="0" distL="0" distR="0" wp14:anchorId="6D1A3F14" wp14:editId="22F2E2EB">
            <wp:extent cx="4559935" cy="2953385"/>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46" cstate="print">
                      <a:extLst>
                        <a:ext uri="{28A0092B-C50C-407E-A947-70E740481C1C}">
                          <a14:useLocalDpi xmlns:a14="http://schemas.microsoft.com/office/drawing/2010/main" val="0"/>
                        </a:ext>
                      </a:extLst>
                    </a:blip>
                    <a:srcRect t="8611" b="5278"/>
                    <a:stretch>
                      <a:fillRect/>
                    </a:stretch>
                  </pic:blipFill>
                  <pic:spPr bwMode="auto">
                    <a:xfrm>
                      <a:off x="0" y="0"/>
                      <a:ext cx="4559935" cy="2953385"/>
                    </a:xfrm>
                    <a:prstGeom prst="rect">
                      <a:avLst/>
                    </a:prstGeom>
                    <a:noFill/>
                    <a:ln>
                      <a:noFill/>
                    </a:ln>
                  </pic:spPr>
                </pic:pic>
              </a:graphicData>
            </a:graphic>
          </wp:inline>
        </w:drawing>
      </w:r>
      <w:r w:rsidRPr="00276B9C">
        <w:rPr>
          <w:rFonts w:ascii="Calibri" w:eastAsia="Calibri" w:hAnsi="Calibri"/>
          <w:sz w:val="22"/>
          <w:szCs w:val="22"/>
          <w:lang w:eastAsia="en-US"/>
        </w:rPr>
        <w:fldChar w:fldCharType="end"/>
      </w:r>
    </w:p>
    <w:p w:rsidR="00276B9C" w:rsidRPr="00276B9C" w:rsidRDefault="00276B9C" w:rsidP="00276B9C">
      <w:pPr>
        <w:spacing w:after="360" w:line="360" w:lineRule="auto"/>
        <w:ind w:left="510" w:right="-159" w:hanging="510"/>
        <w:jc w:val="center"/>
        <w:rPr>
          <w:rFonts w:eastAsia="Calibri"/>
          <w:sz w:val="26"/>
          <w:szCs w:val="26"/>
          <w:lang w:eastAsia="en-US"/>
        </w:rPr>
      </w:pPr>
    </w:p>
    <w:p w:rsidR="00276B9C" w:rsidRPr="00276B9C" w:rsidRDefault="00276B9C" w:rsidP="00276B9C">
      <w:pPr>
        <w:spacing w:after="360" w:line="360" w:lineRule="auto"/>
        <w:ind w:left="510" w:right="-159" w:hanging="510"/>
        <w:jc w:val="center"/>
        <w:rPr>
          <w:rFonts w:eastAsia="Calibri"/>
          <w:sz w:val="26"/>
          <w:szCs w:val="26"/>
          <w:lang w:eastAsia="en-US"/>
        </w:rPr>
      </w:pPr>
      <w:r w:rsidRPr="00276B9C">
        <w:rPr>
          <w:rFonts w:ascii="Calibri" w:eastAsia="Calibri" w:hAnsi="Calibri"/>
          <w:sz w:val="22"/>
          <w:szCs w:val="22"/>
          <w:lang w:eastAsia="en-US"/>
        </w:rPr>
        <w:lastRenderedPageBreak/>
        <w:fldChar w:fldCharType="begin"/>
      </w:r>
      <w:r w:rsidRPr="00276B9C">
        <w:rPr>
          <w:rFonts w:ascii="Calibri" w:eastAsia="Calibri" w:hAnsi="Calibri"/>
          <w:sz w:val="22"/>
          <w:szCs w:val="22"/>
          <w:lang w:eastAsia="en-US"/>
        </w:rPr>
        <w:instrText xml:space="preserve"> LINK PowerPoint.Slide.8 "D:\\2015\\MARZO 2014\\GRÁFICAS EN POWER POINT\\7.- GRÁFICAS DE IED.pptx!296" "" \a \p </w:instrText>
      </w:r>
      <w:r w:rsidRPr="00276B9C">
        <w:rPr>
          <w:rFonts w:ascii="Calibri" w:eastAsia="Calibri" w:hAnsi="Calibri"/>
          <w:sz w:val="22"/>
          <w:szCs w:val="22"/>
          <w:lang w:eastAsia="en-US"/>
        </w:rPr>
        <w:fldChar w:fldCharType="separate"/>
      </w:r>
      <w:r w:rsidRPr="00276B9C">
        <w:rPr>
          <w:rFonts w:ascii="Calibri" w:eastAsia="Calibri" w:hAnsi="Calibri"/>
          <w:noProof/>
          <w:sz w:val="22"/>
          <w:szCs w:val="22"/>
          <w:lang w:eastAsia="es-MX"/>
        </w:rPr>
        <w:drawing>
          <wp:inline distT="0" distB="0" distL="0" distR="0" wp14:anchorId="5AF82690" wp14:editId="7CEC504E">
            <wp:extent cx="4559935" cy="3114040"/>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
                    <pic:cNvPicPr>
                      <a:picLocks noChangeAspect="1" noChangeArrowheads="1"/>
                    </pic:cNvPicPr>
                  </pic:nvPicPr>
                  <pic:blipFill>
                    <a:blip r:embed="rId47" cstate="print">
                      <a:extLst>
                        <a:ext uri="{28A0092B-C50C-407E-A947-70E740481C1C}">
                          <a14:useLocalDpi xmlns:a14="http://schemas.microsoft.com/office/drawing/2010/main" val="0"/>
                        </a:ext>
                      </a:extLst>
                    </a:blip>
                    <a:srcRect t="9166"/>
                    <a:stretch>
                      <a:fillRect/>
                    </a:stretch>
                  </pic:blipFill>
                  <pic:spPr bwMode="auto">
                    <a:xfrm>
                      <a:off x="0" y="0"/>
                      <a:ext cx="4559935" cy="3114040"/>
                    </a:xfrm>
                    <a:prstGeom prst="rect">
                      <a:avLst/>
                    </a:prstGeom>
                    <a:noFill/>
                    <a:ln>
                      <a:noFill/>
                    </a:ln>
                  </pic:spPr>
                </pic:pic>
              </a:graphicData>
            </a:graphic>
          </wp:inline>
        </w:drawing>
      </w:r>
      <w:r w:rsidRPr="00276B9C">
        <w:rPr>
          <w:rFonts w:ascii="Calibri" w:eastAsia="Calibri" w:hAnsi="Calibri"/>
          <w:sz w:val="22"/>
          <w:szCs w:val="22"/>
          <w:lang w:eastAsia="en-US"/>
        </w:rPr>
        <w:fldChar w:fldCharType="end"/>
      </w:r>
    </w:p>
    <w:p w:rsidR="00276B9C" w:rsidRPr="00276B9C" w:rsidRDefault="00276B9C" w:rsidP="00276B9C">
      <w:pPr>
        <w:spacing w:after="360" w:line="360" w:lineRule="auto"/>
        <w:ind w:left="510" w:right="-159" w:hanging="510"/>
        <w:jc w:val="center"/>
        <w:rPr>
          <w:rFonts w:eastAsia="Calibri"/>
          <w:sz w:val="26"/>
          <w:szCs w:val="26"/>
          <w:lang w:eastAsia="en-US"/>
        </w:rPr>
      </w:pPr>
    </w:p>
    <w:p w:rsidR="00276B9C" w:rsidRPr="00276B9C" w:rsidRDefault="00276B9C" w:rsidP="00276B9C">
      <w:pPr>
        <w:spacing w:after="360" w:line="360" w:lineRule="auto"/>
        <w:ind w:left="510" w:right="-159" w:hanging="510"/>
        <w:jc w:val="both"/>
        <w:rPr>
          <w:rFonts w:eastAsia="Calibri"/>
          <w:b/>
          <w:sz w:val="26"/>
          <w:szCs w:val="26"/>
          <w:lang w:eastAsia="en-US"/>
        </w:rPr>
      </w:pPr>
      <w:r w:rsidRPr="00276B9C">
        <w:rPr>
          <w:rFonts w:eastAsia="Calibri"/>
          <w:b/>
          <w:sz w:val="26"/>
          <w:szCs w:val="26"/>
          <w:lang w:eastAsia="en-US"/>
        </w:rPr>
        <w:t>3. Contexto internacional</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De enero a junio de 2014, según datos de la Organización para la Cooperación y el Desarrollo Económicos (OCDE), la participación de México en la recepción de flujos de IED mundiales fue de 1.6 por ciento.</w:t>
      </w: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963B12">
      <w:pPr>
        <w:spacing w:after="200"/>
        <w:ind w:right="-159"/>
        <w:jc w:val="both"/>
        <w:rPr>
          <w:rFonts w:eastAsia="Calibri"/>
          <w:sz w:val="26"/>
          <w:szCs w:val="26"/>
          <w:lang w:eastAsia="en-US"/>
        </w:rPr>
      </w:pPr>
    </w:p>
    <w:tbl>
      <w:tblPr>
        <w:tblW w:w="10283" w:type="dxa"/>
        <w:jc w:val="center"/>
        <w:tblLayout w:type="fixed"/>
        <w:tblLook w:val="04A0" w:firstRow="1" w:lastRow="0" w:firstColumn="1" w:lastColumn="0" w:noHBand="0" w:noVBand="1"/>
      </w:tblPr>
      <w:tblGrid>
        <w:gridCol w:w="1559"/>
        <w:gridCol w:w="709"/>
        <w:gridCol w:w="709"/>
        <w:gridCol w:w="676"/>
        <w:gridCol w:w="676"/>
        <w:gridCol w:w="709"/>
        <w:gridCol w:w="709"/>
        <w:gridCol w:w="709"/>
        <w:gridCol w:w="850"/>
        <w:gridCol w:w="709"/>
        <w:gridCol w:w="632"/>
        <w:gridCol w:w="818"/>
        <w:gridCol w:w="818"/>
      </w:tblGrid>
      <w:tr w:rsidR="00276B9C" w:rsidRPr="00276B9C" w:rsidTr="0011560C">
        <w:trPr>
          <w:jc w:val="center"/>
        </w:trPr>
        <w:tc>
          <w:tcPr>
            <w:tcW w:w="10283" w:type="dxa"/>
            <w:gridSpan w:val="13"/>
            <w:tcBorders>
              <w:top w:val="nil"/>
              <w:left w:val="nil"/>
              <w:bottom w:val="single" w:sz="4" w:space="0" w:color="auto"/>
              <w:right w:val="nil"/>
            </w:tcBorders>
          </w:tcPr>
          <w:p w:rsidR="00276B9C" w:rsidRPr="00276B9C" w:rsidRDefault="00276B9C" w:rsidP="00276B9C">
            <w:pPr>
              <w:jc w:val="center"/>
              <w:rPr>
                <w:rFonts w:eastAsia="Calibri"/>
                <w:b/>
                <w:sz w:val="20"/>
                <w:szCs w:val="20"/>
                <w:lang w:eastAsia="en-US"/>
              </w:rPr>
            </w:pPr>
            <w:r w:rsidRPr="00276B9C">
              <w:rPr>
                <w:rFonts w:eastAsia="Calibri"/>
                <w:b/>
                <w:sz w:val="20"/>
                <w:szCs w:val="20"/>
                <w:lang w:eastAsia="en-US"/>
              </w:rPr>
              <w:t>PRINCIPALES PAÍSES RECEPTORES DE IED, 2012-2014</w:t>
            </w:r>
          </w:p>
          <w:p w:rsidR="00276B9C" w:rsidRPr="00276B9C" w:rsidRDefault="00276B9C" w:rsidP="00276B9C">
            <w:pPr>
              <w:jc w:val="center"/>
              <w:rPr>
                <w:rFonts w:eastAsia="Calibri"/>
                <w:b/>
                <w:sz w:val="18"/>
                <w:szCs w:val="18"/>
                <w:lang w:eastAsia="en-US"/>
              </w:rPr>
            </w:pPr>
            <w:r w:rsidRPr="00276B9C">
              <w:rPr>
                <w:rFonts w:eastAsia="Calibri"/>
                <w:b/>
                <w:sz w:val="20"/>
                <w:szCs w:val="20"/>
                <w:lang w:eastAsia="en-US"/>
              </w:rPr>
              <w:t>-Miles de millones de dólares-</w:t>
            </w:r>
          </w:p>
        </w:tc>
      </w:tr>
      <w:tr w:rsidR="00276B9C" w:rsidRPr="00276B9C" w:rsidTr="0011560C">
        <w:trPr>
          <w:jc w:val="center"/>
        </w:trPr>
        <w:tc>
          <w:tcPr>
            <w:tcW w:w="1559" w:type="dxa"/>
            <w:vMerge w:val="restart"/>
            <w:tcBorders>
              <w:top w:val="single" w:sz="4" w:space="0" w:color="auto"/>
              <w:left w:val="single" w:sz="4" w:space="0" w:color="auto"/>
              <w:bottom w:val="single" w:sz="4" w:space="0" w:color="auto"/>
              <w:right w:val="single" w:sz="4" w:space="0" w:color="auto"/>
            </w:tcBorders>
          </w:tcPr>
          <w:p w:rsidR="00276B9C" w:rsidRPr="00276B9C" w:rsidRDefault="00276B9C" w:rsidP="00276B9C">
            <w:pPr>
              <w:jc w:val="both"/>
              <w:rPr>
                <w:rFonts w:eastAsia="Calibri"/>
                <w:sz w:val="18"/>
                <w:szCs w:val="18"/>
                <w:lang w:eastAsia="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Anual</w:t>
            </w:r>
          </w:p>
        </w:tc>
        <w:tc>
          <w:tcPr>
            <w:tcW w:w="1352" w:type="dxa"/>
            <w:gridSpan w:val="2"/>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Enero-junio</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Variación Absoluta</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Variación Relativa</w:t>
            </w:r>
          </w:p>
        </w:tc>
        <w:tc>
          <w:tcPr>
            <w:tcW w:w="1341" w:type="dxa"/>
            <w:gridSpan w:val="2"/>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Participación porcentual</w:t>
            </w:r>
          </w:p>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Anual</w:t>
            </w:r>
          </w:p>
        </w:tc>
        <w:tc>
          <w:tcPr>
            <w:tcW w:w="1636" w:type="dxa"/>
            <w:gridSpan w:val="2"/>
            <w:tcBorders>
              <w:top w:val="single" w:sz="4" w:space="0" w:color="auto"/>
              <w:left w:val="single" w:sz="4" w:space="0" w:color="auto"/>
              <w:bottom w:val="single" w:sz="4" w:space="0" w:color="auto"/>
              <w:right w:val="single" w:sz="4" w:space="0" w:color="auto"/>
            </w:tcBorders>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Participación porcentual</w:t>
            </w:r>
          </w:p>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Enero-junio</w:t>
            </w:r>
          </w:p>
        </w:tc>
      </w:tr>
      <w:tr w:rsidR="00276B9C" w:rsidRPr="00276B9C" w:rsidTr="0011560C">
        <w:trPr>
          <w:jc w:val="center"/>
        </w:trPr>
        <w:tc>
          <w:tcPr>
            <w:tcW w:w="1559"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jc w:val="both"/>
              <w:rPr>
                <w:rFonts w:eastAsia="Calibri"/>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2012</w:t>
            </w:r>
          </w:p>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(a)</w:t>
            </w:r>
          </w:p>
        </w:tc>
        <w:tc>
          <w:tcPr>
            <w:tcW w:w="709" w:type="dxa"/>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2013</w:t>
            </w:r>
          </w:p>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(b)</w:t>
            </w:r>
          </w:p>
        </w:tc>
        <w:tc>
          <w:tcPr>
            <w:tcW w:w="676" w:type="dxa"/>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2013</w:t>
            </w:r>
          </w:p>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(c)</w:t>
            </w:r>
          </w:p>
        </w:tc>
        <w:tc>
          <w:tcPr>
            <w:tcW w:w="676" w:type="dxa"/>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2014</w:t>
            </w:r>
          </w:p>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(d)</w:t>
            </w:r>
          </w:p>
        </w:tc>
        <w:tc>
          <w:tcPr>
            <w:tcW w:w="709" w:type="dxa"/>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(b-a)</w:t>
            </w:r>
          </w:p>
        </w:tc>
        <w:tc>
          <w:tcPr>
            <w:tcW w:w="709" w:type="dxa"/>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(d-c)</w:t>
            </w:r>
          </w:p>
        </w:tc>
        <w:tc>
          <w:tcPr>
            <w:tcW w:w="709" w:type="dxa"/>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(b/a)</w:t>
            </w:r>
          </w:p>
        </w:tc>
        <w:tc>
          <w:tcPr>
            <w:tcW w:w="850" w:type="dxa"/>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(d/c)</w:t>
            </w:r>
          </w:p>
        </w:tc>
        <w:tc>
          <w:tcPr>
            <w:tcW w:w="709" w:type="dxa"/>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2012</w:t>
            </w:r>
          </w:p>
        </w:tc>
        <w:tc>
          <w:tcPr>
            <w:tcW w:w="632" w:type="dxa"/>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2013</w:t>
            </w:r>
          </w:p>
        </w:tc>
        <w:tc>
          <w:tcPr>
            <w:tcW w:w="818" w:type="dxa"/>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2013</w:t>
            </w:r>
          </w:p>
        </w:tc>
        <w:tc>
          <w:tcPr>
            <w:tcW w:w="818" w:type="dxa"/>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8"/>
                <w:szCs w:val="18"/>
                <w:lang w:eastAsia="en-US"/>
              </w:rPr>
            </w:pPr>
            <w:r w:rsidRPr="00276B9C">
              <w:rPr>
                <w:rFonts w:eastAsia="Calibri"/>
                <w:b/>
                <w:sz w:val="18"/>
                <w:szCs w:val="18"/>
                <w:lang w:eastAsia="en-US"/>
              </w:rPr>
              <w:t>2014</w:t>
            </w:r>
          </w:p>
        </w:tc>
      </w:tr>
      <w:tr w:rsidR="00276B9C" w:rsidRPr="00276B9C" w:rsidTr="0011560C">
        <w:trPr>
          <w:jc w:val="center"/>
        </w:trPr>
        <w:tc>
          <w:tcPr>
            <w:tcW w:w="1559" w:type="dxa"/>
            <w:tcBorders>
              <w:top w:val="single" w:sz="4" w:space="0" w:color="auto"/>
              <w:left w:val="single" w:sz="4" w:space="0" w:color="auto"/>
              <w:right w:val="single" w:sz="4" w:space="0" w:color="auto"/>
            </w:tcBorders>
          </w:tcPr>
          <w:p w:rsidR="00276B9C" w:rsidRPr="00276B9C" w:rsidRDefault="00276B9C" w:rsidP="00276B9C">
            <w:pPr>
              <w:jc w:val="both"/>
              <w:rPr>
                <w:rFonts w:eastAsia="Calibri"/>
                <w:sz w:val="18"/>
                <w:szCs w:val="18"/>
                <w:lang w:eastAsia="en-US"/>
              </w:rPr>
            </w:pPr>
            <w:r w:rsidRPr="00276B9C">
              <w:rPr>
                <w:rFonts w:eastAsia="Calibri"/>
                <w:sz w:val="18"/>
                <w:szCs w:val="18"/>
                <w:lang w:eastAsia="en-US"/>
              </w:rPr>
              <w:t>China</w:t>
            </w:r>
          </w:p>
        </w:tc>
        <w:tc>
          <w:tcPr>
            <w:tcW w:w="709" w:type="dxa"/>
            <w:tcBorders>
              <w:top w:val="single" w:sz="4" w:space="0" w:color="auto"/>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253.4</w:t>
            </w:r>
          </w:p>
        </w:tc>
        <w:tc>
          <w:tcPr>
            <w:tcW w:w="709" w:type="dxa"/>
            <w:tcBorders>
              <w:top w:val="single" w:sz="4" w:space="0" w:color="auto"/>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258.2</w:t>
            </w:r>
          </w:p>
        </w:tc>
        <w:tc>
          <w:tcPr>
            <w:tcW w:w="676" w:type="dxa"/>
            <w:tcBorders>
              <w:top w:val="single" w:sz="4" w:space="0" w:color="auto"/>
              <w:left w:val="single" w:sz="4" w:space="0" w:color="auto"/>
              <w:right w:val="single" w:sz="4" w:space="0" w:color="auto"/>
            </w:tcBorders>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114.5</w:t>
            </w:r>
          </w:p>
        </w:tc>
        <w:tc>
          <w:tcPr>
            <w:tcW w:w="676" w:type="dxa"/>
            <w:tcBorders>
              <w:top w:val="single" w:sz="4" w:space="0" w:color="auto"/>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124.1</w:t>
            </w:r>
          </w:p>
        </w:tc>
        <w:tc>
          <w:tcPr>
            <w:tcW w:w="709" w:type="dxa"/>
            <w:tcBorders>
              <w:top w:val="single" w:sz="4" w:space="0" w:color="auto"/>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4.8</w:t>
            </w:r>
          </w:p>
        </w:tc>
        <w:tc>
          <w:tcPr>
            <w:tcW w:w="709" w:type="dxa"/>
            <w:tcBorders>
              <w:top w:val="single" w:sz="4" w:space="0" w:color="auto"/>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9.6</w:t>
            </w:r>
          </w:p>
        </w:tc>
        <w:tc>
          <w:tcPr>
            <w:tcW w:w="709" w:type="dxa"/>
            <w:tcBorders>
              <w:top w:val="single" w:sz="4" w:space="0" w:color="auto"/>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1.9</w:t>
            </w:r>
          </w:p>
        </w:tc>
        <w:tc>
          <w:tcPr>
            <w:tcW w:w="850" w:type="dxa"/>
            <w:tcBorders>
              <w:top w:val="single" w:sz="4" w:space="0" w:color="auto"/>
              <w:left w:val="single" w:sz="4" w:space="0" w:color="auto"/>
              <w:right w:val="single" w:sz="4" w:space="0" w:color="auto"/>
            </w:tcBorders>
            <w:vAlign w:val="center"/>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8.4</w:t>
            </w:r>
          </w:p>
        </w:tc>
        <w:tc>
          <w:tcPr>
            <w:tcW w:w="709" w:type="dxa"/>
            <w:tcBorders>
              <w:top w:val="single" w:sz="4" w:space="0" w:color="auto"/>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19.3</w:t>
            </w:r>
          </w:p>
        </w:tc>
        <w:tc>
          <w:tcPr>
            <w:tcW w:w="632" w:type="dxa"/>
            <w:tcBorders>
              <w:top w:val="single" w:sz="4" w:space="0" w:color="auto"/>
              <w:left w:val="single" w:sz="4" w:space="0" w:color="auto"/>
              <w:right w:val="single" w:sz="4" w:space="0" w:color="auto"/>
            </w:tcBorders>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18.4</w:t>
            </w:r>
          </w:p>
        </w:tc>
        <w:tc>
          <w:tcPr>
            <w:tcW w:w="818" w:type="dxa"/>
            <w:tcBorders>
              <w:top w:val="single" w:sz="4" w:space="0" w:color="auto"/>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16.6</w:t>
            </w:r>
          </w:p>
        </w:tc>
        <w:tc>
          <w:tcPr>
            <w:tcW w:w="818" w:type="dxa"/>
            <w:tcBorders>
              <w:top w:val="single" w:sz="4" w:space="0" w:color="auto"/>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20.7</w:t>
            </w:r>
          </w:p>
        </w:tc>
      </w:tr>
      <w:tr w:rsidR="00276B9C" w:rsidRPr="00276B9C" w:rsidTr="0011560C">
        <w:trPr>
          <w:jc w:val="center"/>
        </w:trPr>
        <w:tc>
          <w:tcPr>
            <w:tcW w:w="1559" w:type="dxa"/>
            <w:tcBorders>
              <w:left w:val="single" w:sz="4" w:space="0" w:color="auto"/>
              <w:right w:val="single" w:sz="4" w:space="0" w:color="auto"/>
            </w:tcBorders>
          </w:tcPr>
          <w:p w:rsidR="00276B9C" w:rsidRPr="00276B9C" w:rsidRDefault="00276B9C" w:rsidP="00276B9C">
            <w:pPr>
              <w:jc w:val="both"/>
              <w:rPr>
                <w:rFonts w:eastAsia="Calibri"/>
                <w:sz w:val="18"/>
                <w:szCs w:val="18"/>
                <w:lang w:eastAsia="en-US"/>
              </w:rPr>
            </w:pPr>
            <w:r w:rsidRPr="00276B9C">
              <w:rPr>
                <w:rFonts w:eastAsia="Calibri"/>
                <w:sz w:val="18"/>
                <w:szCs w:val="18"/>
                <w:lang w:eastAsia="en-US"/>
              </w:rPr>
              <w:t xml:space="preserve">Reino Unido </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45.9</w:t>
            </w:r>
          </w:p>
        </w:tc>
        <w:tc>
          <w:tcPr>
            <w:tcW w:w="709"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47.7</w:t>
            </w:r>
          </w:p>
        </w:tc>
        <w:tc>
          <w:tcPr>
            <w:tcW w:w="676" w:type="dxa"/>
            <w:tcBorders>
              <w:left w:val="single" w:sz="4" w:space="0" w:color="auto"/>
              <w:right w:val="single" w:sz="4" w:space="0" w:color="auto"/>
            </w:tcBorders>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33.7</w:t>
            </w:r>
          </w:p>
        </w:tc>
        <w:tc>
          <w:tcPr>
            <w:tcW w:w="676"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48.8</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1.7</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15.1</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3.8</w:t>
            </w:r>
          </w:p>
        </w:tc>
        <w:tc>
          <w:tcPr>
            <w:tcW w:w="850" w:type="dxa"/>
            <w:tcBorders>
              <w:left w:val="single" w:sz="4" w:space="0" w:color="auto"/>
              <w:right w:val="single" w:sz="4" w:space="0" w:color="auto"/>
            </w:tcBorders>
            <w:vAlign w:val="center"/>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44.9</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3.5</w:t>
            </w:r>
          </w:p>
        </w:tc>
        <w:tc>
          <w:tcPr>
            <w:tcW w:w="632" w:type="dxa"/>
            <w:tcBorders>
              <w:left w:val="single" w:sz="4" w:space="0" w:color="auto"/>
              <w:right w:val="single" w:sz="4" w:space="0" w:color="auto"/>
            </w:tcBorders>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3.4</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4.9</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8.1</w:t>
            </w:r>
          </w:p>
        </w:tc>
      </w:tr>
      <w:tr w:rsidR="00276B9C" w:rsidRPr="00276B9C" w:rsidTr="0011560C">
        <w:trPr>
          <w:jc w:val="center"/>
        </w:trPr>
        <w:tc>
          <w:tcPr>
            <w:tcW w:w="1559" w:type="dxa"/>
            <w:tcBorders>
              <w:left w:val="single" w:sz="4" w:space="0" w:color="auto"/>
              <w:right w:val="single" w:sz="4" w:space="0" w:color="auto"/>
            </w:tcBorders>
          </w:tcPr>
          <w:p w:rsidR="00276B9C" w:rsidRPr="00276B9C" w:rsidRDefault="00276B9C" w:rsidP="00276B9C">
            <w:pPr>
              <w:jc w:val="both"/>
              <w:rPr>
                <w:rFonts w:eastAsia="Calibri"/>
                <w:sz w:val="18"/>
                <w:szCs w:val="18"/>
                <w:lang w:eastAsia="en-US"/>
              </w:rPr>
            </w:pPr>
            <w:r w:rsidRPr="00276B9C">
              <w:rPr>
                <w:rFonts w:eastAsia="Calibri"/>
                <w:sz w:val="18"/>
                <w:szCs w:val="18"/>
                <w:lang w:eastAsia="en-US"/>
              </w:rPr>
              <w:t>Brasil</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65.3</w:t>
            </w:r>
          </w:p>
        </w:tc>
        <w:tc>
          <w:tcPr>
            <w:tcW w:w="709"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64.0</w:t>
            </w:r>
          </w:p>
        </w:tc>
        <w:tc>
          <w:tcPr>
            <w:tcW w:w="676" w:type="dxa"/>
            <w:tcBorders>
              <w:left w:val="single" w:sz="4" w:space="0" w:color="auto"/>
              <w:right w:val="single" w:sz="4" w:space="0" w:color="auto"/>
            </w:tcBorders>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30.0</w:t>
            </w:r>
          </w:p>
        </w:tc>
        <w:tc>
          <w:tcPr>
            <w:tcW w:w="676"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29.3</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-1.3</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-0.7</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-1.9</w:t>
            </w:r>
          </w:p>
        </w:tc>
        <w:tc>
          <w:tcPr>
            <w:tcW w:w="850" w:type="dxa"/>
            <w:tcBorders>
              <w:left w:val="single" w:sz="4" w:space="0" w:color="auto"/>
              <w:right w:val="single" w:sz="4" w:space="0" w:color="auto"/>
            </w:tcBorders>
            <w:vAlign w:val="center"/>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-2.4</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5.0</w:t>
            </w:r>
          </w:p>
        </w:tc>
        <w:tc>
          <w:tcPr>
            <w:tcW w:w="632" w:type="dxa"/>
            <w:tcBorders>
              <w:left w:val="single" w:sz="4" w:space="0" w:color="auto"/>
              <w:right w:val="single" w:sz="4" w:space="0" w:color="auto"/>
            </w:tcBorders>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4.6</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4.3</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4.9</w:t>
            </w:r>
          </w:p>
        </w:tc>
      </w:tr>
      <w:tr w:rsidR="00276B9C" w:rsidRPr="00276B9C" w:rsidTr="0011560C">
        <w:trPr>
          <w:jc w:val="center"/>
        </w:trPr>
        <w:tc>
          <w:tcPr>
            <w:tcW w:w="1559" w:type="dxa"/>
            <w:tcBorders>
              <w:left w:val="single" w:sz="4" w:space="0" w:color="auto"/>
              <w:right w:val="single" w:sz="4" w:space="0" w:color="auto"/>
            </w:tcBorders>
          </w:tcPr>
          <w:p w:rsidR="00276B9C" w:rsidRPr="00276B9C" w:rsidRDefault="00276B9C" w:rsidP="00276B9C">
            <w:pPr>
              <w:jc w:val="both"/>
              <w:rPr>
                <w:rFonts w:eastAsia="Calibri"/>
                <w:sz w:val="18"/>
                <w:szCs w:val="18"/>
                <w:lang w:eastAsia="en-US"/>
              </w:rPr>
            </w:pPr>
            <w:r w:rsidRPr="00276B9C">
              <w:rPr>
                <w:rFonts w:eastAsia="Calibri"/>
                <w:sz w:val="18"/>
                <w:szCs w:val="18"/>
                <w:lang w:eastAsia="en-US"/>
              </w:rPr>
              <w:t xml:space="preserve">Canadá </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43.0</w:t>
            </w:r>
          </w:p>
        </w:tc>
        <w:tc>
          <w:tcPr>
            <w:tcW w:w="709"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67.3</w:t>
            </w:r>
          </w:p>
        </w:tc>
        <w:tc>
          <w:tcPr>
            <w:tcW w:w="676" w:type="dxa"/>
            <w:tcBorders>
              <w:left w:val="single" w:sz="4" w:space="0" w:color="auto"/>
              <w:right w:val="single" w:sz="4" w:space="0" w:color="auto"/>
            </w:tcBorders>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40.9</w:t>
            </w:r>
          </w:p>
        </w:tc>
        <w:tc>
          <w:tcPr>
            <w:tcW w:w="676"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24.9</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24.3</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-16.1</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56.5</w:t>
            </w:r>
          </w:p>
        </w:tc>
        <w:tc>
          <w:tcPr>
            <w:tcW w:w="850" w:type="dxa"/>
            <w:tcBorders>
              <w:left w:val="single" w:sz="4" w:space="0" w:color="auto"/>
              <w:right w:val="single" w:sz="4" w:space="0" w:color="auto"/>
            </w:tcBorders>
            <w:vAlign w:val="center"/>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-39.3</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3.3</w:t>
            </w:r>
          </w:p>
        </w:tc>
        <w:tc>
          <w:tcPr>
            <w:tcW w:w="632" w:type="dxa"/>
            <w:tcBorders>
              <w:left w:val="single" w:sz="4" w:space="0" w:color="auto"/>
              <w:right w:val="single" w:sz="4" w:space="0" w:color="auto"/>
            </w:tcBorders>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4.8</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5.9</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4.1</w:t>
            </w:r>
          </w:p>
        </w:tc>
      </w:tr>
      <w:tr w:rsidR="00276B9C" w:rsidRPr="00276B9C" w:rsidTr="0011560C">
        <w:trPr>
          <w:jc w:val="center"/>
        </w:trPr>
        <w:tc>
          <w:tcPr>
            <w:tcW w:w="1559" w:type="dxa"/>
            <w:tcBorders>
              <w:left w:val="single" w:sz="4" w:space="0" w:color="auto"/>
              <w:right w:val="single" w:sz="4" w:space="0" w:color="auto"/>
            </w:tcBorders>
          </w:tcPr>
          <w:p w:rsidR="00276B9C" w:rsidRPr="00276B9C" w:rsidRDefault="00276B9C" w:rsidP="00276B9C">
            <w:pPr>
              <w:jc w:val="both"/>
              <w:rPr>
                <w:rFonts w:eastAsia="Calibri"/>
                <w:sz w:val="18"/>
                <w:szCs w:val="18"/>
                <w:lang w:eastAsia="en-US"/>
              </w:rPr>
            </w:pPr>
            <w:r w:rsidRPr="00276B9C">
              <w:rPr>
                <w:rFonts w:eastAsia="Calibri"/>
                <w:sz w:val="18"/>
                <w:szCs w:val="18"/>
                <w:lang w:eastAsia="en-US"/>
              </w:rPr>
              <w:t>Australia</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57.6</w:t>
            </w:r>
          </w:p>
        </w:tc>
        <w:tc>
          <w:tcPr>
            <w:tcW w:w="709"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53.7</w:t>
            </w:r>
          </w:p>
        </w:tc>
        <w:tc>
          <w:tcPr>
            <w:tcW w:w="676" w:type="dxa"/>
            <w:tcBorders>
              <w:left w:val="single" w:sz="4" w:space="0" w:color="auto"/>
              <w:right w:val="single" w:sz="4" w:space="0" w:color="auto"/>
            </w:tcBorders>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23.9</w:t>
            </w:r>
          </w:p>
        </w:tc>
        <w:tc>
          <w:tcPr>
            <w:tcW w:w="676"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18.2</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-3.8</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-5.6</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-6.6</w:t>
            </w:r>
          </w:p>
        </w:tc>
        <w:tc>
          <w:tcPr>
            <w:tcW w:w="850" w:type="dxa"/>
            <w:tcBorders>
              <w:left w:val="single" w:sz="4" w:space="0" w:color="auto"/>
              <w:right w:val="single" w:sz="4" w:space="0" w:color="auto"/>
            </w:tcBorders>
            <w:vAlign w:val="center"/>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-23.6</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4.4</w:t>
            </w:r>
          </w:p>
        </w:tc>
        <w:tc>
          <w:tcPr>
            <w:tcW w:w="632" w:type="dxa"/>
            <w:tcBorders>
              <w:left w:val="single" w:sz="4" w:space="0" w:color="auto"/>
              <w:right w:val="single" w:sz="4" w:space="0" w:color="auto"/>
            </w:tcBorders>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3.8</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3.5</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3.0</w:t>
            </w:r>
          </w:p>
        </w:tc>
      </w:tr>
      <w:tr w:rsidR="00276B9C" w:rsidRPr="00276B9C" w:rsidTr="0011560C">
        <w:trPr>
          <w:jc w:val="center"/>
        </w:trPr>
        <w:tc>
          <w:tcPr>
            <w:tcW w:w="1559" w:type="dxa"/>
            <w:tcBorders>
              <w:left w:val="single" w:sz="4" w:space="0" w:color="auto"/>
              <w:right w:val="single" w:sz="4" w:space="0" w:color="auto"/>
            </w:tcBorders>
          </w:tcPr>
          <w:p w:rsidR="00276B9C" w:rsidRPr="00276B9C" w:rsidRDefault="00276B9C" w:rsidP="00276B9C">
            <w:pPr>
              <w:jc w:val="both"/>
              <w:rPr>
                <w:rFonts w:eastAsia="Calibri"/>
                <w:sz w:val="18"/>
                <w:szCs w:val="18"/>
                <w:lang w:eastAsia="en-US"/>
              </w:rPr>
            </w:pPr>
            <w:r w:rsidRPr="00276B9C">
              <w:rPr>
                <w:rFonts w:eastAsia="Calibri"/>
                <w:sz w:val="18"/>
                <w:szCs w:val="18"/>
                <w:lang w:eastAsia="en-US"/>
              </w:rPr>
              <w:t>Suecia</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16.3</w:t>
            </w:r>
          </w:p>
        </w:tc>
        <w:tc>
          <w:tcPr>
            <w:tcW w:w="709"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10.9</w:t>
            </w:r>
          </w:p>
        </w:tc>
        <w:tc>
          <w:tcPr>
            <w:tcW w:w="676" w:type="dxa"/>
            <w:tcBorders>
              <w:left w:val="single" w:sz="4" w:space="0" w:color="auto"/>
              <w:right w:val="single" w:sz="4" w:space="0" w:color="auto"/>
            </w:tcBorders>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4.0</w:t>
            </w:r>
          </w:p>
        </w:tc>
        <w:tc>
          <w:tcPr>
            <w:tcW w:w="676"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12.6</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-5.5</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8.6</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-33.4</w:t>
            </w:r>
          </w:p>
        </w:tc>
        <w:tc>
          <w:tcPr>
            <w:tcW w:w="850" w:type="dxa"/>
            <w:tcBorders>
              <w:left w:val="single" w:sz="4" w:space="0" w:color="auto"/>
              <w:right w:val="single" w:sz="4" w:space="0" w:color="auto"/>
            </w:tcBorders>
            <w:vAlign w:val="center"/>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213.0</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1.2</w:t>
            </w:r>
          </w:p>
        </w:tc>
        <w:tc>
          <w:tcPr>
            <w:tcW w:w="632"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0.8</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0.6</w:t>
            </w:r>
          </w:p>
        </w:tc>
        <w:tc>
          <w:tcPr>
            <w:tcW w:w="818" w:type="dxa"/>
            <w:tcBorders>
              <w:left w:val="single" w:sz="4" w:space="0" w:color="auto"/>
              <w:right w:val="single" w:sz="4" w:space="0" w:color="auto"/>
            </w:tcBorders>
            <w:vAlign w:val="center"/>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2.1</w:t>
            </w:r>
          </w:p>
        </w:tc>
      </w:tr>
      <w:tr w:rsidR="00276B9C" w:rsidRPr="00276B9C" w:rsidTr="0011560C">
        <w:trPr>
          <w:jc w:val="center"/>
        </w:trPr>
        <w:tc>
          <w:tcPr>
            <w:tcW w:w="1559" w:type="dxa"/>
            <w:tcBorders>
              <w:left w:val="single" w:sz="4" w:space="0" w:color="auto"/>
              <w:right w:val="single" w:sz="4" w:space="0" w:color="auto"/>
            </w:tcBorders>
          </w:tcPr>
          <w:p w:rsidR="00276B9C" w:rsidRPr="00276B9C" w:rsidRDefault="00276B9C" w:rsidP="00276B9C">
            <w:pPr>
              <w:jc w:val="both"/>
              <w:rPr>
                <w:rFonts w:eastAsia="Calibri"/>
                <w:sz w:val="18"/>
                <w:szCs w:val="18"/>
                <w:lang w:eastAsia="en-US"/>
              </w:rPr>
            </w:pPr>
            <w:r w:rsidRPr="00276B9C">
              <w:rPr>
                <w:rFonts w:eastAsia="Calibri"/>
                <w:sz w:val="18"/>
                <w:szCs w:val="18"/>
                <w:lang w:eastAsia="en-US"/>
              </w:rPr>
              <w:t>Indonesia</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19.1</w:t>
            </w:r>
          </w:p>
        </w:tc>
        <w:tc>
          <w:tcPr>
            <w:tcW w:w="709"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18.8</w:t>
            </w:r>
          </w:p>
        </w:tc>
        <w:tc>
          <w:tcPr>
            <w:tcW w:w="676" w:type="dxa"/>
            <w:tcBorders>
              <w:left w:val="single" w:sz="4" w:space="0" w:color="auto"/>
              <w:right w:val="single" w:sz="4" w:space="0" w:color="auto"/>
            </w:tcBorders>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8.4</w:t>
            </w:r>
          </w:p>
        </w:tc>
        <w:tc>
          <w:tcPr>
            <w:tcW w:w="676"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10.5</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-0.3</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2.1</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-1.6</w:t>
            </w:r>
          </w:p>
        </w:tc>
        <w:tc>
          <w:tcPr>
            <w:tcW w:w="850" w:type="dxa"/>
            <w:tcBorders>
              <w:left w:val="single" w:sz="4" w:space="0" w:color="auto"/>
              <w:right w:val="single" w:sz="4" w:space="0" w:color="auto"/>
            </w:tcBorders>
            <w:vAlign w:val="center"/>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24.8</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1.5</w:t>
            </w:r>
          </w:p>
        </w:tc>
        <w:tc>
          <w:tcPr>
            <w:tcW w:w="632" w:type="dxa"/>
            <w:tcBorders>
              <w:left w:val="single" w:sz="4" w:space="0" w:color="auto"/>
              <w:right w:val="single" w:sz="4" w:space="0" w:color="auto"/>
            </w:tcBorders>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1.3</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1.2</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1.7</w:t>
            </w:r>
          </w:p>
        </w:tc>
      </w:tr>
      <w:tr w:rsidR="00276B9C" w:rsidRPr="00276B9C" w:rsidTr="0011560C">
        <w:trPr>
          <w:jc w:val="center"/>
        </w:trPr>
        <w:tc>
          <w:tcPr>
            <w:tcW w:w="1559" w:type="dxa"/>
            <w:tcBorders>
              <w:left w:val="single" w:sz="4" w:space="0" w:color="auto"/>
              <w:right w:val="single" w:sz="4" w:space="0" w:color="auto"/>
            </w:tcBorders>
          </w:tcPr>
          <w:p w:rsidR="00276B9C" w:rsidRPr="00276B9C" w:rsidRDefault="00276B9C" w:rsidP="00276B9C">
            <w:pPr>
              <w:jc w:val="both"/>
              <w:rPr>
                <w:rFonts w:eastAsia="Calibri"/>
                <w:b/>
                <w:sz w:val="18"/>
                <w:szCs w:val="18"/>
                <w:lang w:eastAsia="en-US"/>
              </w:rPr>
            </w:pPr>
            <w:r w:rsidRPr="00276B9C">
              <w:rPr>
                <w:rFonts w:eastAsia="Calibri"/>
                <w:b/>
                <w:sz w:val="18"/>
                <w:szCs w:val="18"/>
                <w:lang w:eastAsia="en-US"/>
              </w:rPr>
              <w:t>México</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b/>
                <w:sz w:val="18"/>
                <w:szCs w:val="18"/>
                <w:lang w:eastAsia="en-US"/>
              </w:rPr>
            </w:pPr>
            <w:r w:rsidRPr="00276B9C">
              <w:rPr>
                <w:rFonts w:eastAsia="Calibri"/>
                <w:b/>
                <w:sz w:val="18"/>
                <w:szCs w:val="18"/>
                <w:lang w:eastAsia="en-US"/>
              </w:rPr>
              <w:t>17.2</w:t>
            </w:r>
          </w:p>
        </w:tc>
        <w:tc>
          <w:tcPr>
            <w:tcW w:w="709"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b/>
                <w:sz w:val="18"/>
                <w:szCs w:val="18"/>
                <w:lang w:eastAsia="en-US"/>
              </w:rPr>
            </w:pPr>
            <w:r w:rsidRPr="00276B9C">
              <w:rPr>
                <w:rFonts w:eastAsia="Calibri"/>
                <w:b/>
                <w:sz w:val="18"/>
                <w:szCs w:val="18"/>
                <w:lang w:eastAsia="en-US"/>
              </w:rPr>
              <w:t>39.2</w:t>
            </w:r>
          </w:p>
        </w:tc>
        <w:tc>
          <w:tcPr>
            <w:tcW w:w="676" w:type="dxa"/>
            <w:tcBorders>
              <w:left w:val="single" w:sz="4" w:space="0" w:color="auto"/>
              <w:right w:val="single" w:sz="4" w:space="0" w:color="auto"/>
            </w:tcBorders>
          </w:tcPr>
          <w:p w:rsidR="00276B9C" w:rsidRPr="00276B9C" w:rsidRDefault="00276B9C" w:rsidP="00276B9C">
            <w:pPr>
              <w:ind w:left="-57" w:right="-57"/>
              <w:jc w:val="right"/>
              <w:rPr>
                <w:rFonts w:eastAsia="Calibri"/>
                <w:b/>
                <w:sz w:val="18"/>
                <w:szCs w:val="18"/>
                <w:lang w:eastAsia="en-US"/>
              </w:rPr>
            </w:pPr>
            <w:r w:rsidRPr="00276B9C">
              <w:rPr>
                <w:rFonts w:eastAsia="Calibri"/>
                <w:b/>
                <w:sz w:val="18"/>
                <w:szCs w:val="18"/>
                <w:lang w:eastAsia="en-US"/>
              </w:rPr>
              <w:t>28.8</w:t>
            </w:r>
          </w:p>
        </w:tc>
        <w:tc>
          <w:tcPr>
            <w:tcW w:w="676"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b/>
                <w:sz w:val="18"/>
                <w:szCs w:val="18"/>
                <w:lang w:eastAsia="en-US"/>
              </w:rPr>
            </w:pPr>
            <w:r w:rsidRPr="00276B9C">
              <w:rPr>
                <w:rFonts w:eastAsia="Calibri"/>
                <w:b/>
                <w:sz w:val="18"/>
                <w:szCs w:val="18"/>
                <w:lang w:eastAsia="en-US"/>
              </w:rPr>
              <w:t>9.7</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b/>
                <w:sz w:val="18"/>
                <w:szCs w:val="18"/>
                <w:lang w:eastAsia="en-US"/>
              </w:rPr>
            </w:pPr>
            <w:r w:rsidRPr="00276B9C">
              <w:rPr>
                <w:rFonts w:eastAsia="Calibri"/>
                <w:b/>
                <w:sz w:val="18"/>
                <w:szCs w:val="18"/>
                <w:lang w:eastAsia="en-US"/>
              </w:rPr>
              <w:t>21.9</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b/>
                <w:sz w:val="18"/>
                <w:szCs w:val="18"/>
                <w:lang w:eastAsia="en-US"/>
              </w:rPr>
            </w:pPr>
            <w:r w:rsidRPr="00276B9C">
              <w:rPr>
                <w:rFonts w:eastAsia="Calibri"/>
                <w:b/>
                <w:sz w:val="18"/>
                <w:szCs w:val="18"/>
                <w:lang w:eastAsia="en-US"/>
              </w:rPr>
              <w:t>-19.1</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b/>
                <w:sz w:val="18"/>
                <w:szCs w:val="18"/>
                <w:lang w:eastAsia="en-US"/>
              </w:rPr>
            </w:pPr>
            <w:r w:rsidRPr="00276B9C">
              <w:rPr>
                <w:rFonts w:eastAsia="Calibri"/>
                <w:b/>
                <w:sz w:val="18"/>
                <w:szCs w:val="18"/>
                <w:lang w:eastAsia="en-US"/>
              </w:rPr>
              <w:t>127.4</w:t>
            </w:r>
          </w:p>
        </w:tc>
        <w:tc>
          <w:tcPr>
            <w:tcW w:w="850" w:type="dxa"/>
            <w:tcBorders>
              <w:left w:val="single" w:sz="4" w:space="0" w:color="auto"/>
              <w:right w:val="single" w:sz="4" w:space="0" w:color="auto"/>
            </w:tcBorders>
            <w:vAlign w:val="center"/>
          </w:tcPr>
          <w:p w:rsidR="00276B9C" w:rsidRPr="00276B9C" w:rsidRDefault="00276B9C" w:rsidP="00276B9C">
            <w:pPr>
              <w:ind w:right="113"/>
              <w:jc w:val="right"/>
              <w:rPr>
                <w:rFonts w:eastAsia="Calibri"/>
                <w:b/>
                <w:sz w:val="18"/>
                <w:szCs w:val="18"/>
                <w:lang w:eastAsia="en-US"/>
              </w:rPr>
            </w:pPr>
            <w:r w:rsidRPr="00276B9C">
              <w:rPr>
                <w:rFonts w:eastAsia="Calibri"/>
                <w:b/>
                <w:sz w:val="18"/>
                <w:szCs w:val="18"/>
                <w:lang w:eastAsia="en-US"/>
              </w:rPr>
              <w:t>-66.2</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b/>
                <w:sz w:val="18"/>
                <w:szCs w:val="18"/>
                <w:lang w:eastAsia="en-US"/>
              </w:rPr>
            </w:pPr>
            <w:r w:rsidRPr="00276B9C">
              <w:rPr>
                <w:rFonts w:eastAsia="Calibri"/>
                <w:b/>
                <w:sz w:val="18"/>
                <w:szCs w:val="18"/>
                <w:lang w:eastAsia="en-US"/>
              </w:rPr>
              <w:t>1.3</w:t>
            </w:r>
          </w:p>
        </w:tc>
        <w:tc>
          <w:tcPr>
            <w:tcW w:w="632" w:type="dxa"/>
            <w:tcBorders>
              <w:left w:val="single" w:sz="4" w:space="0" w:color="auto"/>
              <w:right w:val="single" w:sz="4" w:space="0" w:color="auto"/>
            </w:tcBorders>
          </w:tcPr>
          <w:p w:rsidR="00276B9C" w:rsidRPr="00276B9C" w:rsidRDefault="00276B9C" w:rsidP="00276B9C">
            <w:pPr>
              <w:jc w:val="right"/>
              <w:rPr>
                <w:rFonts w:eastAsia="Calibri"/>
                <w:b/>
                <w:sz w:val="18"/>
                <w:szCs w:val="18"/>
                <w:lang w:eastAsia="en-US"/>
              </w:rPr>
            </w:pPr>
            <w:r w:rsidRPr="00276B9C">
              <w:rPr>
                <w:rFonts w:eastAsia="Calibri"/>
                <w:b/>
                <w:sz w:val="18"/>
                <w:szCs w:val="18"/>
                <w:lang w:eastAsia="en-US"/>
              </w:rPr>
              <w:t>2.8</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b/>
                <w:sz w:val="18"/>
                <w:szCs w:val="18"/>
                <w:lang w:eastAsia="en-US"/>
              </w:rPr>
            </w:pPr>
            <w:r w:rsidRPr="00276B9C">
              <w:rPr>
                <w:rFonts w:eastAsia="Calibri"/>
                <w:b/>
                <w:sz w:val="18"/>
                <w:szCs w:val="18"/>
                <w:lang w:eastAsia="en-US"/>
              </w:rPr>
              <w:t>4.2</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b/>
                <w:sz w:val="18"/>
                <w:szCs w:val="18"/>
                <w:lang w:eastAsia="en-US"/>
              </w:rPr>
            </w:pPr>
            <w:r w:rsidRPr="00276B9C">
              <w:rPr>
                <w:rFonts w:eastAsia="Calibri"/>
                <w:b/>
                <w:sz w:val="18"/>
                <w:szCs w:val="18"/>
                <w:lang w:eastAsia="en-US"/>
              </w:rPr>
              <w:t>1.6</w:t>
            </w:r>
          </w:p>
        </w:tc>
      </w:tr>
      <w:tr w:rsidR="00276B9C" w:rsidRPr="00276B9C" w:rsidTr="0011560C">
        <w:trPr>
          <w:jc w:val="center"/>
        </w:trPr>
        <w:tc>
          <w:tcPr>
            <w:tcW w:w="1559" w:type="dxa"/>
            <w:tcBorders>
              <w:left w:val="single" w:sz="4" w:space="0" w:color="auto"/>
              <w:right w:val="single" w:sz="4" w:space="0" w:color="auto"/>
            </w:tcBorders>
          </w:tcPr>
          <w:p w:rsidR="00276B9C" w:rsidRPr="00276B9C" w:rsidRDefault="00276B9C" w:rsidP="00276B9C">
            <w:pPr>
              <w:jc w:val="both"/>
              <w:rPr>
                <w:rFonts w:eastAsia="Calibri"/>
                <w:sz w:val="18"/>
                <w:szCs w:val="18"/>
                <w:lang w:eastAsia="en-US"/>
              </w:rPr>
            </w:pPr>
            <w:r w:rsidRPr="00276B9C">
              <w:rPr>
                <w:rFonts w:eastAsia="Calibri"/>
                <w:sz w:val="18"/>
                <w:szCs w:val="18"/>
                <w:lang w:eastAsia="en-US"/>
              </w:rPr>
              <w:t>Portugal</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0.0</w:t>
            </w:r>
          </w:p>
        </w:tc>
        <w:tc>
          <w:tcPr>
            <w:tcW w:w="709"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2.6</w:t>
            </w:r>
          </w:p>
        </w:tc>
        <w:tc>
          <w:tcPr>
            <w:tcW w:w="676" w:type="dxa"/>
            <w:tcBorders>
              <w:left w:val="single" w:sz="4" w:space="0" w:color="auto"/>
              <w:right w:val="single" w:sz="4" w:space="0" w:color="auto"/>
            </w:tcBorders>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-1.0</w:t>
            </w:r>
          </w:p>
        </w:tc>
        <w:tc>
          <w:tcPr>
            <w:tcW w:w="676"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8.8</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2.6</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9.9</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proofErr w:type="spellStart"/>
            <w:r w:rsidRPr="00276B9C">
              <w:rPr>
                <w:rFonts w:eastAsia="Calibri"/>
                <w:sz w:val="18"/>
                <w:szCs w:val="18"/>
                <w:lang w:eastAsia="en-US"/>
              </w:rPr>
              <w:t>n.a</w:t>
            </w:r>
            <w:proofErr w:type="spellEnd"/>
            <w:r w:rsidRPr="00276B9C">
              <w:rPr>
                <w:rFonts w:eastAsia="Calibri"/>
                <w:sz w:val="18"/>
                <w:szCs w:val="18"/>
                <w:lang w:eastAsia="en-US"/>
              </w:rPr>
              <w:t>.</w:t>
            </w:r>
          </w:p>
        </w:tc>
        <w:tc>
          <w:tcPr>
            <w:tcW w:w="850" w:type="dxa"/>
            <w:tcBorders>
              <w:left w:val="single" w:sz="4" w:space="0" w:color="auto"/>
              <w:right w:val="single" w:sz="4" w:space="0" w:color="auto"/>
            </w:tcBorders>
            <w:vAlign w:val="center"/>
          </w:tcPr>
          <w:p w:rsidR="00276B9C" w:rsidRPr="00276B9C" w:rsidRDefault="00276B9C" w:rsidP="00276B9C">
            <w:pPr>
              <w:ind w:right="113"/>
              <w:jc w:val="right"/>
              <w:rPr>
                <w:rFonts w:eastAsia="Calibri"/>
                <w:sz w:val="18"/>
                <w:szCs w:val="18"/>
                <w:lang w:eastAsia="en-US"/>
              </w:rPr>
            </w:pPr>
            <w:proofErr w:type="spellStart"/>
            <w:r w:rsidRPr="00276B9C">
              <w:rPr>
                <w:rFonts w:eastAsia="Calibri"/>
                <w:sz w:val="18"/>
                <w:szCs w:val="18"/>
                <w:lang w:eastAsia="en-US"/>
              </w:rPr>
              <w:t>n.a</w:t>
            </w:r>
            <w:proofErr w:type="spellEnd"/>
            <w:r w:rsidRPr="00276B9C">
              <w:rPr>
                <w:rFonts w:eastAsia="Calibri"/>
                <w:sz w:val="18"/>
                <w:szCs w:val="18"/>
                <w:lang w:eastAsia="en-US"/>
              </w:rPr>
              <w:t>.</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0.0</w:t>
            </w:r>
          </w:p>
        </w:tc>
        <w:tc>
          <w:tcPr>
            <w:tcW w:w="632" w:type="dxa"/>
            <w:tcBorders>
              <w:left w:val="single" w:sz="4" w:space="0" w:color="auto"/>
              <w:right w:val="single" w:sz="4" w:space="0" w:color="auto"/>
            </w:tcBorders>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0.2</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-0.2</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1.5</w:t>
            </w:r>
          </w:p>
        </w:tc>
      </w:tr>
      <w:tr w:rsidR="00276B9C" w:rsidRPr="00276B9C" w:rsidTr="0011560C">
        <w:trPr>
          <w:jc w:val="center"/>
        </w:trPr>
        <w:tc>
          <w:tcPr>
            <w:tcW w:w="1559" w:type="dxa"/>
            <w:tcBorders>
              <w:left w:val="single" w:sz="4" w:space="0" w:color="auto"/>
              <w:right w:val="single" w:sz="4" w:space="0" w:color="auto"/>
            </w:tcBorders>
          </w:tcPr>
          <w:p w:rsidR="00276B9C" w:rsidRPr="00276B9C" w:rsidRDefault="00276B9C" w:rsidP="00276B9C">
            <w:pPr>
              <w:jc w:val="both"/>
              <w:rPr>
                <w:rFonts w:eastAsia="Calibri"/>
                <w:sz w:val="18"/>
                <w:szCs w:val="18"/>
                <w:lang w:eastAsia="en-US"/>
              </w:rPr>
            </w:pPr>
            <w:r w:rsidRPr="00276B9C">
              <w:rPr>
                <w:rFonts w:eastAsia="Calibri"/>
                <w:sz w:val="18"/>
                <w:szCs w:val="18"/>
                <w:lang w:eastAsia="en-US"/>
              </w:rPr>
              <w:t>Países Bajos</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9.7</w:t>
            </w:r>
          </w:p>
        </w:tc>
        <w:tc>
          <w:tcPr>
            <w:tcW w:w="709"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36.9</w:t>
            </w:r>
          </w:p>
        </w:tc>
        <w:tc>
          <w:tcPr>
            <w:tcW w:w="676" w:type="dxa"/>
            <w:tcBorders>
              <w:left w:val="single" w:sz="4" w:space="0" w:color="auto"/>
              <w:right w:val="single" w:sz="4" w:space="0" w:color="auto"/>
            </w:tcBorders>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3.1</w:t>
            </w:r>
          </w:p>
        </w:tc>
        <w:tc>
          <w:tcPr>
            <w:tcW w:w="676"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8.8</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27.1</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5.7</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279.6</w:t>
            </w:r>
          </w:p>
        </w:tc>
        <w:tc>
          <w:tcPr>
            <w:tcW w:w="850" w:type="dxa"/>
            <w:tcBorders>
              <w:left w:val="single" w:sz="4" w:space="0" w:color="auto"/>
              <w:right w:val="single" w:sz="4" w:space="0" w:color="auto"/>
            </w:tcBorders>
            <w:vAlign w:val="center"/>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184.3</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0.7</w:t>
            </w:r>
          </w:p>
        </w:tc>
        <w:tc>
          <w:tcPr>
            <w:tcW w:w="632" w:type="dxa"/>
            <w:tcBorders>
              <w:left w:val="single" w:sz="4" w:space="0" w:color="auto"/>
              <w:right w:val="single" w:sz="4" w:space="0" w:color="auto"/>
            </w:tcBorders>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2.6</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0.4</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1.5</w:t>
            </w:r>
          </w:p>
        </w:tc>
      </w:tr>
      <w:tr w:rsidR="00276B9C" w:rsidRPr="00276B9C" w:rsidTr="0011560C">
        <w:trPr>
          <w:jc w:val="center"/>
        </w:trPr>
        <w:tc>
          <w:tcPr>
            <w:tcW w:w="1559" w:type="dxa"/>
            <w:tcBorders>
              <w:left w:val="single" w:sz="4" w:space="0" w:color="auto"/>
              <w:right w:val="single" w:sz="4" w:space="0" w:color="auto"/>
            </w:tcBorders>
          </w:tcPr>
          <w:p w:rsidR="00276B9C" w:rsidRPr="00276B9C" w:rsidRDefault="00276B9C" w:rsidP="00276B9C">
            <w:pPr>
              <w:jc w:val="both"/>
              <w:rPr>
                <w:rFonts w:eastAsia="Calibri"/>
                <w:sz w:val="18"/>
                <w:szCs w:val="18"/>
                <w:lang w:eastAsia="en-US"/>
              </w:rPr>
            </w:pPr>
            <w:r w:rsidRPr="00276B9C">
              <w:rPr>
                <w:rFonts w:eastAsia="Calibri"/>
                <w:sz w:val="18"/>
                <w:szCs w:val="18"/>
                <w:lang w:eastAsia="en-US"/>
              </w:rPr>
              <w:t>Chile</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24.7</w:t>
            </w:r>
          </w:p>
        </w:tc>
        <w:tc>
          <w:tcPr>
            <w:tcW w:w="709"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17.7</w:t>
            </w:r>
          </w:p>
        </w:tc>
        <w:tc>
          <w:tcPr>
            <w:tcW w:w="676" w:type="dxa"/>
            <w:tcBorders>
              <w:left w:val="single" w:sz="4" w:space="0" w:color="auto"/>
              <w:right w:val="single" w:sz="4" w:space="0" w:color="auto"/>
            </w:tcBorders>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3.6</w:t>
            </w:r>
          </w:p>
        </w:tc>
        <w:tc>
          <w:tcPr>
            <w:tcW w:w="676"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8.0</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-7.0</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4.4</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-28.4</w:t>
            </w:r>
          </w:p>
        </w:tc>
        <w:tc>
          <w:tcPr>
            <w:tcW w:w="850" w:type="dxa"/>
            <w:tcBorders>
              <w:left w:val="single" w:sz="4" w:space="0" w:color="auto"/>
              <w:right w:val="single" w:sz="4" w:space="0" w:color="auto"/>
            </w:tcBorders>
            <w:vAlign w:val="center"/>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124.9</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1.9</w:t>
            </w:r>
          </w:p>
        </w:tc>
        <w:tc>
          <w:tcPr>
            <w:tcW w:w="632" w:type="dxa"/>
            <w:tcBorders>
              <w:left w:val="single" w:sz="4" w:space="0" w:color="auto"/>
              <w:right w:val="single" w:sz="4" w:space="0" w:color="auto"/>
            </w:tcBorders>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1.3</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0.5</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1.3</w:t>
            </w:r>
          </w:p>
        </w:tc>
      </w:tr>
      <w:tr w:rsidR="00276B9C" w:rsidRPr="00276B9C" w:rsidTr="0011560C">
        <w:trPr>
          <w:jc w:val="center"/>
        </w:trPr>
        <w:tc>
          <w:tcPr>
            <w:tcW w:w="1559" w:type="dxa"/>
            <w:tcBorders>
              <w:left w:val="single" w:sz="4" w:space="0" w:color="auto"/>
              <w:right w:val="single" w:sz="4" w:space="0" w:color="auto"/>
            </w:tcBorders>
          </w:tcPr>
          <w:p w:rsidR="00276B9C" w:rsidRPr="00276B9C" w:rsidRDefault="00276B9C" w:rsidP="00276B9C">
            <w:pPr>
              <w:jc w:val="both"/>
              <w:rPr>
                <w:rFonts w:eastAsia="Calibri"/>
                <w:sz w:val="18"/>
                <w:szCs w:val="18"/>
                <w:lang w:eastAsia="en-US"/>
              </w:rPr>
            </w:pPr>
            <w:r w:rsidRPr="00276B9C">
              <w:rPr>
                <w:rFonts w:eastAsia="Calibri"/>
                <w:sz w:val="18"/>
                <w:szCs w:val="18"/>
                <w:lang w:eastAsia="en-US"/>
              </w:rPr>
              <w:t>Turquía</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13.2</w:t>
            </w:r>
          </w:p>
        </w:tc>
        <w:tc>
          <w:tcPr>
            <w:tcW w:w="709"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12.9</w:t>
            </w:r>
          </w:p>
        </w:tc>
        <w:tc>
          <w:tcPr>
            <w:tcW w:w="676" w:type="dxa"/>
            <w:tcBorders>
              <w:left w:val="single" w:sz="4" w:space="0" w:color="auto"/>
              <w:right w:val="single" w:sz="4" w:space="0" w:color="auto"/>
            </w:tcBorders>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5.3</w:t>
            </w:r>
          </w:p>
        </w:tc>
        <w:tc>
          <w:tcPr>
            <w:tcW w:w="676"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6.9</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-0.3</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1.6</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-2.5</w:t>
            </w:r>
          </w:p>
        </w:tc>
        <w:tc>
          <w:tcPr>
            <w:tcW w:w="850" w:type="dxa"/>
            <w:tcBorders>
              <w:left w:val="single" w:sz="4" w:space="0" w:color="auto"/>
              <w:right w:val="single" w:sz="4" w:space="0" w:color="auto"/>
            </w:tcBorders>
            <w:vAlign w:val="center"/>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30.3</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1.0</w:t>
            </w:r>
          </w:p>
        </w:tc>
        <w:tc>
          <w:tcPr>
            <w:tcW w:w="632" w:type="dxa"/>
            <w:tcBorders>
              <w:left w:val="single" w:sz="4" w:space="0" w:color="auto"/>
              <w:right w:val="single" w:sz="4" w:space="0" w:color="auto"/>
            </w:tcBorders>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0.9</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0.8</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1.1</w:t>
            </w:r>
          </w:p>
        </w:tc>
      </w:tr>
      <w:tr w:rsidR="00276B9C" w:rsidRPr="00276B9C" w:rsidTr="0011560C">
        <w:trPr>
          <w:jc w:val="center"/>
        </w:trPr>
        <w:tc>
          <w:tcPr>
            <w:tcW w:w="1559" w:type="dxa"/>
            <w:tcBorders>
              <w:left w:val="single" w:sz="4" w:space="0" w:color="auto"/>
              <w:right w:val="single" w:sz="4" w:space="0" w:color="auto"/>
            </w:tcBorders>
          </w:tcPr>
          <w:p w:rsidR="00276B9C" w:rsidRPr="00276B9C" w:rsidRDefault="00276B9C" w:rsidP="00276B9C">
            <w:pPr>
              <w:jc w:val="both"/>
              <w:rPr>
                <w:rFonts w:eastAsia="Calibri"/>
                <w:sz w:val="18"/>
                <w:szCs w:val="18"/>
                <w:lang w:eastAsia="en-US"/>
              </w:rPr>
            </w:pPr>
            <w:r w:rsidRPr="00276B9C">
              <w:rPr>
                <w:rFonts w:eastAsia="Calibri"/>
                <w:sz w:val="18"/>
                <w:szCs w:val="18"/>
                <w:lang w:eastAsia="en-US"/>
              </w:rPr>
              <w:t>Austria</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3.9</w:t>
            </w:r>
          </w:p>
        </w:tc>
        <w:tc>
          <w:tcPr>
            <w:tcW w:w="709"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12.3</w:t>
            </w:r>
          </w:p>
        </w:tc>
        <w:tc>
          <w:tcPr>
            <w:tcW w:w="676" w:type="dxa"/>
            <w:tcBorders>
              <w:left w:val="single" w:sz="4" w:space="0" w:color="auto"/>
              <w:right w:val="single" w:sz="4" w:space="0" w:color="auto"/>
            </w:tcBorders>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4.3</w:t>
            </w:r>
          </w:p>
        </w:tc>
        <w:tc>
          <w:tcPr>
            <w:tcW w:w="676"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4.8</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8.3</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0.5</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211.3</w:t>
            </w:r>
          </w:p>
        </w:tc>
        <w:tc>
          <w:tcPr>
            <w:tcW w:w="850" w:type="dxa"/>
            <w:tcBorders>
              <w:left w:val="single" w:sz="4" w:space="0" w:color="auto"/>
              <w:right w:val="single" w:sz="4" w:space="0" w:color="auto"/>
            </w:tcBorders>
            <w:vAlign w:val="center"/>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10.9</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0.3</w:t>
            </w:r>
          </w:p>
        </w:tc>
        <w:tc>
          <w:tcPr>
            <w:tcW w:w="632" w:type="dxa"/>
            <w:tcBorders>
              <w:left w:val="single" w:sz="4" w:space="0" w:color="auto"/>
              <w:right w:val="single" w:sz="4" w:space="0" w:color="auto"/>
            </w:tcBorders>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0.9</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0.6</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0.8</w:t>
            </w:r>
          </w:p>
        </w:tc>
      </w:tr>
      <w:tr w:rsidR="00276B9C" w:rsidRPr="00276B9C" w:rsidTr="0011560C">
        <w:trPr>
          <w:jc w:val="center"/>
        </w:trPr>
        <w:tc>
          <w:tcPr>
            <w:tcW w:w="1559" w:type="dxa"/>
            <w:tcBorders>
              <w:left w:val="single" w:sz="4" w:space="0" w:color="auto"/>
              <w:right w:val="single" w:sz="4" w:space="0" w:color="auto"/>
            </w:tcBorders>
          </w:tcPr>
          <w:p w:rsidR="00276B9C" w:rsidRPr="00276B9C" w:rsidRDefault="00276B9C" w:rsidP="00276B9C">
            <w:pPr>
              <w:jc w:val="both"/>
              <w:rPr>
                <w:rFonts w:eastAsia="Calibri"/>
                <w:sz w:val="18"/>
                <w:szCs w:val="18"/>
                <w:lang w:eastAsia="en-US"/>
              </w:rPr>
            </w:pPr>
            <w:r w:rsidRPr="00276B9C">
              <w:rPr>
                <w:rFonts w:eastAsia="Calibri"/>
                <w:sz w:val="18"/>
                <w:szCs w:val="18"/>
                <w:lang w:eastAsia="en-US"/>
              </w:rPr>
              <w:t>República Checa</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8.0</w:t>
            </w:r>
          </w:p>
        </w:tc>
        <w:tc>
          <w:tcPr>
            <w:tcW w:w="709"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5.0</w:t>
            </w:r>
          </w:p>
        </w:tc>
        <w:tc>
          <w:tcPr>
            <w:tcW w:w="676" w:type="dxa"/>
            <w:tcBorders>
              <w:left w:val="single" w:sz="4" w:space="0" w:color="auto"/>
              <w:right w:val="single" w:sz="4" w:space="0" w:color="auto"/>
            </w:tcBorders>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4.0</w:t>
            </w:r>
          </w:p>
        </w:tc>
        <w:tc>
          <w:tcPr>
            <w:tcW w:w="676"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2.8</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-3.0</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-1.2</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-37.6</w:t>
            </w:r>
          </w:p>
        </w:tc>
        <w:tc>
          <w:tcPr>
            <w:tcW w:w="850" w:type="dxa"/>
            <w:tcBorders>
              <w:left w:val="single" w:sz="4" w:space="0" w:color="auto"/>
              <w:right w:val="single" w:sz="4" w:space="0" w:color="auto"/>
            </w:tcBorders>
            <w:vAlign w:val="center"/>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-29.3</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0.6</w:t>
            </w:r>
          </w:p>
        </w:tc>
        <w:tc>
          <w:tcPr>
            <w:tcW w:w="632" w:type="dxa"/>
            <w:tcBorders>
              <w:left w:val="single" w:sz="4" w:space="0" w:color="auto"/>
              <w:right w:val="single" w:sz="4" w:space="0" w:color="auto"/>
            </w:tcBorders>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0.4</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0.6</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0.5</w:t>
            </w:r>
          </w:p>
        </w:tc>
      </w:tr>
      <w:tr w:rsidR="00276B9C" w:rsidRPr="00276B9C" w:rsidTr="0011560C">
        <w:trPr>
          <w:jc w:val="center"/>
        </w:trPr>
        <w:tc>
          <w:tcPr>
            <w:tcW w:w="1559" w:type="dxa"/>
            <w:tcBorders>
              <w:left w:val="single" w:sz="4" w:space="0" w:color="auto"/>
              <w:right w:val="single" w:sz="4" w:space="0" w:color="auto"/>
            </w:tcBorders>
          </w:tcPr>
          <w:p w:rsidR="00276B9C" w:rsidRPr="00276B9C" w:rsidRDefault="00276B9C" w:rsidP="00276B9C">
            <w:pPr>
              <w:jc w:val="both"/>
              <w:rPr>
                <w:rFonts w:eastAsia="Calibri"/>
                <w:sz w:val="18"/>
                <w:szCs w:val="18"/>
                <w:lang w:eastAsia="en-US"/>
              </w:rPr>
            </w:pPr>
            <w:r w:rsidRPr="00276B9C">
              <w:rPr>
                <w:rFonts w:eastAsia="Calibri"/>
                <w:sz w:val="18"/>
                <w:szCs w:val="18"/>
                <w:lang w:eastAsia="en-US"/>
              </w:rPr>
              <w:t>Israel</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9.5</w:t>
            </w:r>
          </w:p>
        </w:tc>
        <w:tc>
          <w:tcPr>
            <w:tcW w:w="709"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11.8</w:t>
            </w:r>
          </w:p>
        </w:tc>
        <w:tc>
          <w:tcPr>
            <w:tcW w:w="676" w:type="dxa"/>
            <w:tcBorders>
              <w:left w:val="single" w:sz="4" w:space="0" w:color="auto"/>
              <w:right w:val="single" w:sz="4" w:space="0" w:color="auto"/>
            </w:tcBorders>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8.0</w:t>
            </w:r>
          </w:p>
        </w:tc>
        <w:tc>
          <w:tcPr>
            <w:tcW w:w="676"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1.6</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2.3</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-6.4</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24.5</w:t>
            </w:r>
          </w:p>
        </w:tc>
        <w:tc>
          <w:tcPr>
            <w:tcW w:w="850" w:type="dxa"/>
            <w:tcBorders>
              <w:left w:val="single" w:sz="4" w:space="0" w:color="auto"/>
              <w:right w:val="single" w:sz="4" w:space="0" w:color="auto"/>
            </w:tcBorders>
            <w:vAlign w:val="center"/>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-79.6</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0.7</w:t>
            </w:r>
          </w:p>
        </w:tc>
        <w:tc>
          <w:tcPr>
            <w:tcW w:w="632" w:type="dxa"/>
            <w:tcBorders>
              <w:left w:val="single" w:sz="4" w:space="0" w:color="auto"/>
              <w:right w:val="single" w:sz="4" w:space="0" w:color="auto"/>
            </w:tcBorders>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0.8</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1.2</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0.3</w:t>
            </w:r>
          </w:p>
        </w:tc>
      </w:tr>
      <w:tr w:rsidR="00276B9C" w:rsidRPr="00276B9C" w:rsidTr="0011560C">
        <w:trPr>
          <w:jc w:val="center"/>
        </w:trPr>
        <w:tc>
          <w:tcPr>
            <w:tcW w:w="1559" w:type="dxa"/>
            <w:tcBorders>
              <w:left w:val="single" w:sz="4" w:space="0" w:color="auto"/>
              <w:right w:val="single" w:sz="4" w:space="0" w:color="auto"/>
            </w:tcBorders>
          </w:tcPr>
          <w:p w:rsidR="00276B9C" w:rsidRPr="00276B9C" w:rsidRDefault="00276B9C" w:rsidP="00276B9C">
            <w:pPr>
              <w:jc w:val="both"/>
              <w:rPr>
                <w:rFonts w:eastAsia="Calibri"/>
                <w:sz w:val="18"/>
                <w:szCs w:val="18"/>
                <w:lang w:eastAsia="en-US"/>
              </w:rPr>
            </w:pPr>
            <w:r w:rsidRPr="00276B9C">
              <w:rPr>
                <w:rFonts w:eastAsia="Calibri"/>
                <w:sz w:val="18"/>
                <w:szCs w:val="18"/>
                <w:lang w:eastAsia="en-US"/>
              </w:rPr>
              <w:t>Resto</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0.7</w:t>
            </w:r>
          </w:p>
        </w:tc>
        <w:tc>
          <w:tcPr>
            <w:tcW w:w="709"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0.7</w:t>
            </w:r>
          </w:p>
        </w:tc>
        <w:tc>
          <w:tcPr>
            <w:tcW w:w="676" w:type="dxa"/>
            <w:tcBorders>
              <w:left w:val="single" w:sz="4" w:space="0" w:color="auto"/>
              <w:right w:val="single" w:sz="4" w:space="0" w:color="auto"/>
            </w:tcBorders>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379.1</w:t>
            </w:r>
          </w:p>
        </w:tc>
        <w:tc>
          <w:tcPr>
            <w:tcW w:w="676" w:type="dxa"/>
            <w:tcBorders>
              <w:left w:val="single" w:sz="4" w:space="0" w:color="auto"/>
              <w:right w:val="single" w:sz="4" w:space="0" w:color="auto"/>
            </w:tcBorders>
            <w:vAlign w:val="center"/>
          </w:tcPr>
          <w:p w:rsidR="00276B9C" w:rsidRPr="00276B9C" w:rsidRDefault="00276B9C" w:rsidP="00276B9C">
            <w:pPr>
              <w:ind w:left="-57" w:right="-57"/>
              <w:jc w:val="right"/>
              <w:rPr>
                <w:rFonts w:eastAsia="Calibri"/>
                <w:sz w:val="18"/>
                <w:szCs w:val="18"/>
                <w:lang w:eastAsia="en-US"/>
              </w:rPr>
            </w:pPr>
            <w:r w:rsidRPr="00276B9C">
              <w:rPr>
                <w:rFonts w:eastAsia="Calibri"/>
                <w:sz w:val="18"/>
                <w:szCs w:val="18"/>
                <w:lang w:eastAsia="en-US"/>
              </w:rPr>
              <w:t>281.2</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0.0</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-97.9</w:t>
            </w:r>
          </w:p>
        </w:tc>
        <w:tc>
          <w:tcPr>
            <w:tcW w:w="709" w:type="dxa"/>
            <w:tcBorders>
              <w:left w:val="single" w:sz="4" w:space="0" w:color="auto"/>
              <w:right w:val="single" w:sz="4" w:space="0" w:color="auto"/>
            </w:tcBorders>
            <w:vAlign w:val="center"/>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2.8</w:t>
            </w:r>
          </w:p>
        </w:tc>
        <w:tc>
          <w:tcPr>
            <w:tcW w:w="850" w:type="dxa"/>
            <w:tcBorders>
              <w:left w:val="single" w:sz="4" w:space="0" w:color="auto"/>
              <w:right w:val="single" w:sz="4" w:space="0" w:color="auto"/>
            </w:tcBorders>
            <w:vAlign w:val="center"/>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-25.8</w:t>
            </w:r>
          </w:p>
        </w:tc>
        <w:tc>
          <w:tcPr>
            <w:tcW w:w="709" w:type="dxa"/>
            <w:tcBorders>
              <w:left w:val="single" w:sz="4" w:space="0" w:color="auto"/>
              <w:right w:val="single" w:sz="4" w:space="0" w:color="auto"/>
            </w:tcBorders>
            <w:vAlign w:val="center"/>
          </w:tcPr>
          <w:p w:rsidR="00276B9C" w:rsidRPr="00276B9C" w:rsidRDefault="00276B9C" w:rsidP="00276B9C">
            <w:pPr>
              <w:ind w:right="57"/>
              <w:jc w:val="right"/>
              <w:rPr>
                <w:rFonts w:eastAsia="Calibri"/>
                <w:sz w:val="18"/>
                <w:szCs w:val="18"/>
                <w:lang w:eastAsia="en-US"/>
              </w:rPr>
            </w:pPr>
            <w:r w:rsidRPr="00276B9C">
              <w:rPr>
                <w:rFonts w:eastAsia="Calibri"/>
                <w:sz w:val="18"/>
                <w:szCs w:val="18"/>
                <w:lang w:eastAsia="en-US"/>
              </w:rPr>
              <w:t>0.1</w:t>
            </w:r>
          </w:p>
        </w:tc>
        <w:tc>
          <w:tcPr>
            <w:tcW w:w="632" w:type="dxa"/>
            <w:tcBorders>
              <w:left w:val="single" w:sz="4" w:space="0" w:color="auto"/>
              <w:right w:val="single" w:sz="4" w:space="0" w:color="auto"/>
            </w:tcBorders>
          </w:tcPr>
          <w:p w:rsidR="00276B9C" w:rsidRPr="00276B9C" w:rsidRDefault="00276B9C" w:rsidP="00276B9C">
            <w:pPr>
              <w:jc w:val="right"/>
              <w:rPr>
                <w:rFonts w:eastAsia="Calibri"/>
                <w:sz w:val="18"/>
                <w:szCs w:val="18"/>
                <w:lang w:eastAsia="en-US"/>
              </w:rPr>
            </w:pPr>
            <w:r w:rsidRPr="00276B9C">
              <w:rPr>
                <w:rFonts w:eastAsia="Calibri"/>
                <w:sz w:val="18"/>
                <w:szCs w:val="18"/>
                <w:lang w:eastAsia="en-US"/>
              </w:rPr>
              <w:t>0.1</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54.9</w:t>
            </w:r>
          </w:p>
        </w:tc>
        <w:tc>
          <w:tcPr>
            <w:tcW w:w="818" w:type="dxa"/>
            <w:tcBorders>
              <w:left w:val="single" w:sz="4" w:space="0" w:color="auto"/>
              <w:right w:val="single" w:sz="4" w:space="0" w:color="auto"/>
            </w:tcBorders>
          </w:tcPr>
          <w:p w:rsidR="00276B9C" w:rsidRPr="00276B9C" w:rsidRDefault="00276B9C" w:rsidP="00276B9C">
            <w:pPr>
              <w:ind w:right="113"/>
              <w:jc w:val="right"/>
              <w:rPr>
                <w:rFonts w:eastAsia="Calibri"/>
                <w:sz w:val="18"/>
                <w:szCs w:val="18"/>
                <w:lang w:eastAsia="en-US"/>
              </w:rPr>
            </w:pPr>
            <w:r w:rsidRPr="00276B9C">
              <w:rPr>
                <w:rFonts w:eastAsia="Calibri"/>
                <w:sz w:val="18"/>
                <w:szCs w:val="18"/>
                <w:lang w:eastAsia="en-US"/>
              </w:rPr>
              <w:t>46.8</w:t>
            </w:r>
          </w:p>
        </w:tc>
      </w:tr>
      <w:tr w:rsidR="00276B9C" w:rsidRPr="00276B9C" w:rsidTr="0011560C">
        <w:trPr>
          <w:jc w:val="center"/>
        </w:trPr>
        <w:tc>
          <w:tcPr>
            <w:tcW w:w="1559" w:type="dxa"/>
            <w:tcBorders>
              <w:left w:val="single" w:sz="4" w:space="0" w:color="auto"/>
              <w:bottom w:val="single" w:sz="4" w:space="0" w:color="auto"/>
              <w:right w:val="single" w:sz="4" w:space="0" w:color="auto"/>
            </w:tcBorders>
          </w:tcPr>
          <w:p w:rsidR="00276B9C" w:rsidRPr="00276B9C" w:rsidRDefault="00276B9C" w:rsidP="00276B9C">
            <w:pPr>
              <w:jc w:val="both"/>
              <w:rPr>
                <w:rFonts w:eastAsia="Calibri"/>
                <w:b/>
                <w:sz w:val="18"/>
                <w:szCs w:val="18"/>
                <w:lang w:eastAsia="en-US"/>
              </w:rPr>
            </w:pPr>
            <w:r w:rsidRPr="00276B9C">
              <w:rPr>
                <w:rFonts w:eastAsia="Calibri"/>
                <w:b/>
                <w:sz w:val="18"/>
                <w:szCs w:val="18"/>
                <w:lang w:eastAsia="en-US"/>
              </w:rPr>
              <w:t>Total mundial</w:t>
            </w:r>
          </w:p>
        </w:tc>
        <w:tc>
          <w:tcPr>
            <w:tcW w:w="709" w:type="dxa"/>
            <w:tcBorders>
              <w:left w:val="single" w:sz="4" w:space="0" w:color="auto"/>
              <w:bottom w:val="single" w:sz="4" w:space="0" w:color="auto"/>
              <w:right w:val="single" w:sz="4" w:space="0" w:color="auto"/>
            </w:tcBorders>
            <w:vAlign w:val="center"/>
          </w:tcPr>
          <w:p w:rsidR="00276B9C" w:rsidRPr="00276B9C" w:rsidRDefault="00276B9C" w:rsidP="00276B9C">
            <w:pPr>
              <w:ind w:right="-57"/>
              <w:jc w:val="right"/>
              <w:rPr>
                <w:rFonts w:eastAsia="Calibri"/>
                <w:b/>
                <w:sz w:val="18"/>
                <w:szCs w:val="18"/>
                <w:lang w:eastAsia="en-US"/>
              </w:rPr>
            </w:pPr>
            <w:r w:rsidRPr="00276B9C">
              <w:rPr>
                <w:rFonts w:eastAsia="Calibri"/>
                <w:b/>
                <w:sz w:val="18"/>
                <w:szCs w:val="18"/>
                <w:lang w:eastAsia="en-US"/>
              </w:rPr>
              <w:t>1 311.5</w:t>
            </w:r>
          </w:p>
        </w:tc>
        <w:tc>
          <w:tcPr>
            <w:tcW w:w="709" w:type="dxa"/>
            <w:tcBorders>
              <w:left w:val="single" w:sz="4" w:space="0" w:color="auto"/>
              <w:bottom w:val="single" w:sz="4" w:space="0" w:color="auto"/>
              <w:right w:val="single" w:sz="4" w:space="0" w:color="auto"/>
            </w:tcBorders>
            <w:vAlign w:val="center"/>
          </w:tcPr>
          <w:p w:rsidR="00276B9C" w:rsidRPr="00276B9C" w:rsidRDefault="00276B9C" w:rsidP="00276B9C">
            <w:pPr>
              <w:ind w:left="-57" w:right="-57"/>
              <w:jc w:val="right"/>
              <w:rPr>
                <w:rFonts w:eastAsia="Calibri"/>
                <w:b/>
                <w:sz w:val="18"/>
                <w:szCs w:val="18"/>
                <w:lang w:eastAsia="en-US"/>
              </w:rPr>
            </w:pPr>
            <w:r w:rsidRPr="00276B9C">
              <w:rPr>
                <w:rFonts w:eastAsia="Calibri"/>
                <w:b/>
                <w:sz w:val="18"/>
                <w:szCs w:val="18"/>
                <w:lang w:eastAsia="en-US"/>
              </w:rPr>
              <w:t>1 404.0</w:t>
            </w:r>
          </w:p>
        </w:tc>
        <w:tc>
          <w:tcPr>
            <w:tcW w:w="676" w:type="dxa"/>
            <w:tcBorders>
              <w:left w:val="single" w:sz="4" w:space="0" w:color="auto"/>
              <w:bottom w:val="single" w:sz="4" w:space="0" w:color="auto"/>
              <w:right w:val="single" w:sz="4" w:space="0" w:color="auto"/>
            </w:tcBorders>
          </w:tcPr>
          <w:p w:rsidR="00276B9C" w:rsidRPr="00276B9C" w:rsidRDefault="00276B9C" w:rsidP="00276B9C">
            <w:pPr>
              <w:ind w:left="-57" w:right="-57"/>
              <w:jc w:val="right"/>
              <w:rPr>
                <w:rFonts w:eastAsia="Calibri"/>
                <w:b/>
                <w:sz w:val="18"/>
                <w:szCs w:val="18"/>
                <w:lang w:eastAsia="en-US"/>
              </w:rPr>
            </w:pPr>
            <w:r w:rsidRPr="00276B9C">
              <w:rPr>
                <w:rFonts w:eastAsia="Calibri"/>
                <w:b/>
                <w:sz w:val="18"/>
                <w:szCs w:val="18"/>
                <w:lang w:eastAsia="en-US"/>
              </w:rPr>
              <w:t>690.5</w:t>
            </w:r>
          </w:p>
        </w:tc>
        <w:tc>
          <w:tcPr>
            <w:tcW w:w="676" w:type="dxa"/>
            <w:tcBorders>
              <w:left w:val="single" w:sz="4" w:space="0" w:color="auto"/>
              <w:bottom w:val="single" w:sz="4" w:space="0" w:color="auto"/>
              <w:right w:val="single" w:sz="4" w:space="0" w:color="auto"/>
            </w:tcBorders>
            <w:vAlign w:val="center"/>
          </w:tcPr>
          <w:p w:rsidR="00276B9C" w:rsidRPr="00276B9C" w:rsidRDefault="00276B9C" w:rsidP="00276B9C">
            <w:pPr>
              <w:ind w:left="-57" w:right="-57"/>
              <w:jc w:val="right"/>
              <w:rPr>
                <w:rFonts w:eastAsia="Calibri"/>
                <w:b/>
                <w:sz w:val="18"/>
                <w:szCs w:val="18"/>
                <w:lang w:eastAsia="en-US"/>
              </w:rPr>
            </w:pPr>
            <w:r w:rsidRPr="00276B9C">
              <w:rPr>
                <w:rFonts w:eastAsia="Calibri"/>
                <w:b/>
                <w:sz w:val="18"/>
                <w:szCs w:val="18"/>
                <w:lang w:eastAsia="en-US"/>
              </w:rPr>
              <w:t>601.0</w:t>
            </w:r>
          </w:p>
        </w:tc>
        <w:tc>
          <w:tcPr>
            <w:tcW w:w="709" w:type="dxa"/>
            <w:tcBorders>
              <w:left w:val="single" w:sz="4" w:space="0" w:color="auto"/>
              <w:bottom w:val="single" w:sz="4" w:space="0" w:color="auto"/>
              <w:right w:val="single" w:sz="4" w:space="0" w:color="auto"/>
            </w:tcBorders>
            <w:vAlign w:val="center"/>
          </w:tcPr>
          <w:p w:rsidR="00276B9C" w:rsidRPr="00276B9C" w:rsidRDefault="00276B9C" w:rsidP="00276B9C">
            <w:pPr>
              <w:jc w:val="right"/>
              <w:rPr>
                <w:rFonts w:eastAsia="Calibri"/>
                <w:b/>
                <w:sz w:val="18"/>
                <w:szCs w:val="18"/>
                <w:lang w:eastAsia="en-US"/>
              </w:rPr>
            </w:pPr>
            <w:r w:rsidRPr="00276B9C">
              <w:rPr>
                <w:rFonts w:eastAsia="Calibri"/>
                <w:b/>
                <w:sz w:val="18"/>
                <w:szCs w:val="18"/>
                <w:lang w:eastAsia="en-US"/>
              </w:rPr>
              <w:t>92.5</w:t>
            </w:r>
          </w:p>
        </w:tc>
        <w:tc>
          <w:tcPr>
            <w:tcW w:w="709" w:type="dxa"/>
            <w:tcBorders>
              <w:left w:val="single" w:sz="4" w:space="0" w:color="auto"/>
              <w:bottom w:val="single" w:sz="4" w:space="0" w:color="auto"/>
              <w:right w:val="single" w:sz="4" w:space="0" w:color="auto"/>
            </w:tcBorders>
            <w:vAlign w:val="center"/>
          </w:tcPr>
          <w:p w:rsidR="00276B9C" w:rsidRPr="00276B9C" w:rsidRDefault="00276B9C" w:rsidP="00276B9C">
            <w:pPr>
              <w:jc w:val="right"/>
              <w:rPr>
                <w:rFonts w:eastAsia="Calibri"/>
                <w:b/>
                <w:sz w:val="18"/>
                <w:szCs w:val="18"/>
                <w:lang w:eastAsia="en-US"/>
              </w:rPr>
            </w:pPr>
            <w:r w:rsidRPr="00276B9C">
              <w:rPr>
                <w:rFonts w:eastAsia="Calibri"/>
                <w:b/>
                <w:sz w:val="18"/>
                <w:szCs w:val="18"/>
                <w:lang w:eastAsia="en-US"/>
              </w:rPr>
              <w:t>-89.5</w:t>
            </w:r>
          </w:p>
        </w:tc>
        <w:tc>
          <w:tcPr>
            <w:tcW w:w="709" w:type="dxa"/>
            <w:tcBorders>
              <w:left w:val="single" w:sz="4" w:space="0" w:color="auto"/>
              <w:bottom w:val="single" w:sz="4" w:space="0" w:color="auto"/>
              <w:right w:val="single" w:sz="4" w:space="0" w:color="auto"/>
            </w:tcBorders>
            <w:vAlign w:val="center"/>
          </w:tcPr>
          <w:p w:rsidR="00276B9C" w:rsidRPr="00276B9C" w:rsidRDefault="00276B9C" w:rsidP="00276B9C">
            <w:pPr>
              <w:jc w:val="right"/>
              <w:rPr>
                <w:rFonts w:eastAsia="Calibri"/>
                <w:b/>
                <w:sz w:val="18"/>
                <w:szCs w:val="18"/>
                <w:lang w:eastAsia="en-US"/>
              </w:rPr>
            </w:pPr>
            <w:r w:rsidRPr="00276B9C">
              <w:rPr>
                <w:rFonts w:eastAsia="Calibri"/>
                <w:b/>
                <w:sz w:val="18"/>
                <w:szCs w:val="18"/>
                <w:lang w:eastAsia="en-US"/>
              </w:rPr>
              <w:t>7.1</w:t>
            </w:r>
          </w:p>
        </w:tc>
        <w:tc>
          <w:tcPr>
            <w:tcW w:w="850" w:type="dxa"/>
            <w:tcBorders>
              <w:left w:val="single" w:sz="4" w:space="0" w:color="auto"/>
              <w:bottom w:val="single" w:sz="4" w:space="0" w:color="auto"/>
              <w:right w:val="single" w:sz="4" w:space="0" w:color="auto"/>
            </w:tcBorders>
            <w:vAlign w:val="center"/>
          </w:tcPr>
          <w:p w:rsidR="00276B9C" w:rsidRPr="00276B9C" w:rsidRDefault="00276B9C" w:rsidP="00276B9C">
            <w:pPr>
              <w:ind w:right="113"/>
              <w:jc w:val="right"/>
              <w:rPr>
                <w:rFonts w:eastAsia="Calibri"/>
                <w:b/>
                <w:sz w:val="18"/>
                <w:szCs w:val="18"/>
                <w:lang w:eastAsia="en-US"/>
              </w:rPr>
            </w:pPr>
            <w:r w:rsidRPr="00276B9C">
              <w:rPr>
                <w:rFonts w:eastAsia="Calibri"/>
                <w:b/>
                <w:sz w:val="18"/>
                <w:szCs w:val="18"/>
                <w:lang w:eastAsia="en-US"/>
              </w:rPr>
              <w:t>-13.0</w:t>
            </w:r>
          </w:p>
        </w:tc>
        <w:tc>
          <w:tcPr>
            <w:tcW w:w="709" w:type="dxa"/>
            <w:tcBorders>
              <w:left w:val="single" w:sz="4" w:space="0" w:color="auto"/>
              <w:bottom w:val="single" w:sz="4" w:space="0" w:color="auto"/>
              <w:right w:val="single" w:sz="4" w:space="0" w:color="auto"/>
            </w:tcBorders>
            <w:vAlign w:val="center"/>
          </w:tcPr>
          <w:p w:rsidR="00276B9C" w:rsidRPr="00276B9C" w:rsidRDefault="00276B9C" w:rsidP="00276B9C">
            <w:pPr>
              <w:ind w:right="57"/>
              <w:jc w:val="right"/>
              <w:rPr>
                <w:rFonts w:eastAsia="Calibri"/>
                <w:b/>
                <w:sz w:val="18"/>
                <w:szCs w:val="18"/>
                <w:lang w:eastAsia="en-US"/>
              </w:rPr>
            </w:pPr>
            <w:r w:rsidRPr="00276B9C">
              <w:rPr>
                <w:rFonts w:eastAsia="Calibri"/>
                <w:b/>
                <w:sz w:val="18"/>
                <w:szCs w:val="18"/>
                <w:lang w:eastAsia="en-US"/>
              </w:rPr>
              <w:t>100.0</w:t>
            </w:r>
          </w:p>
        </w:tc>
        <w:tc>
          <w:tcPr>
            <w:tcW w:w="632" w:type="dxa"/>
            <w:tcBorders>
              <w:left w:val="single" w:sz="4" w:space="0" w:color="auto"/>
              <w:bottom w:val="single" w:sz="4" w:space="0" w:color="auto"/>
              <w:right w:val="single" w:sz="4" w:space="0" w:color="auto"/>
            </w:tcBorders>
          </w:tcPr>
          <w:p w:rsidR="00276B9C" w:rsidRPr="00276B9C" w:rsidRDefault="00276B9C" w:rsidP="00276B9C">
            <w:pPr>
              <w:jc w:val="right"/>
              <w:rPr>
                <w:rFonts w:eastAsia="Calibri"/>
                <w:b/>
                <w:sz w:val="18"/>
                <w:szCs w:val="18"/>
                <w:lang w:eastAsia="en-US"/>
              </w:rPr>
            </w:pPr>
            <w:r w:rsidRPr="00276B9C">
              <w:rPr>
                <w:rFonts w:eastAsia="Calibri"/>
                <w:b/>
                <w:sz w:val="18"/>
                <w:szCs w:val="18"/>
                <w:lang w:eastAsia="en-US"/>
              </w:rPr>
              <w:t>100.0</w:t>
            </w:r>
          </w:p>
        </w:tc>
        <w:tc>
          <w:tcPr>
            <w:tcW w:w="818" w:type="dxa"/>
            <w:tcBorders>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b/>
                <w:sz w:val="18"/>
                <w:szCs w:val="18"/>
                <w:lang w:eastAsia="en-US"/>
              </w:rPr>
            </w:pPr>
            <w:r w:rsidRPr="00276B9C">
              <w:rPr>
                <w:rFonts w:eastAsia="Calibri"/>
                <w:b/>
                <w:sz w:val="18"/>
                <w:szCs w:val="18"/>
                <w:lang w:eastAsia="en-US"/>
              </w:rPr>
              <w:t>100.0</w:t>
            </w:r>
          </w:p>
        </w:tc>
        <w:tc>
          <w:tcPr>
            <w:tcW w:w="818" w:type="dxa"/>
            <w:tcBorders>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b/>
                <w:sz w:val="18"/>
                <w:szCs w:val="18"/>
                <w:lang w:eastAsia="en-US"/>
              </w:rPr>
            </w:pPr>
            <w:r w:rsidRPr="00276B9C">
              <w:rPr>
                <w:rFonts w:eastAsia="Calibri"/>
                <w:b/>
                <w:sz w:val="18"/>
                <w:szCs w:val="18"/>
                <w:lang w:eastAsia="en-US"/>
              </w:rPr>
              <w:t>100.0</w:t>
            </w:r>
          </w:p>
        </w:tc>
      </w:tr>
      <w:tr w:rsidR="00276B9C" w:rsidRPr="00276B9C" w:rsidTr="001E7D79">
        <w:trPr>
          <w:jc w:val="center"/>
        </w:trPr>
        <w:tc>
          <w:tcPr>
            <w:tcW w:w="10283" w:type="dxa"/>
            <w:gridSpan w:val="13"/>
            <w:tcBorders>
              <w:left w:val="nil"/>
              <w:bottom w:val="nil"/>
              <w:right w:val="nil"/>
            </w:tcBorders>
          </w:tcPr>
          <w:p w:rsidR="00276B9C" w:rsidRPr="00276B9C" w:rsidRDefault="00276B9C" w:rsidP="00276B9C">
            <w:pPr>
              <w:ind w:left="510" w:hanging="510"/>
              <w:jc w:val="both"/>
              <w:rPr>
                <w:rFonts w:eastAsia="Calibri"/>
                <w:sz w:val="18"/>
                <w:szCs w:val="18"/>
                <w:lang w:eastAsia="en-US"/>
              </w:rPr>
            </w:pPr>
            <w:r w:rsidRPr="00276B9C">
              <w:rPr>
                <w:rFonts w:eastAsia="Calibri"/>
                <w:sz w:val="18"/>
                <w:szCs w:val="18"/>
                <w:lang w:eastAsia="en-US"/>
              </w:rPr>
              <w:t>Nota: Los países se ordenaron de mayor a menor de acuerdo con su participación porcentual en enero-junio de 2014.</w:t>
            </w:r>
          </w:p>
          <w:p w:rsidR="00276B9C" w:rsidRPr="00276B9C" w:rsidRDefault="00276B9C" w:rsidP="00276B9C">
            <w:pPr>
              <w:ind w:left="510" w:hanging="510"/>
              <w:jc w:val="both"/>
              <w:rPr>
                <w:rFonts w:eastAsia="Calibri"/>
                <w:sz w:val="18"/>
                <w:szCs w:val="18"/>
                <w:lang w:eastAsia="en-US"/>
              </w:rPr>
            </w:pPr>
            <w:proofErr w:type="spellStart"/>
            <w:r w:rsidRPr="00276B9C">
              <w:rPr>
                <w:rFonts w:eastAsia="Calibri"/>
                <w:sz w:val="18"/>
                <w:szCs w:val="18"/>
                <w:lang w:eastAsia="en-US"/>
              </w:rPr>
              <w:t>n.a</w:t>
            </w:r>
            <w:proofErr w:type="spellEnd"/>
            <w:r w:rsidR="00736C45">
              <w:rPr>
                <w:rFonts w:eastAsia="Calibri"/>
                <w:sz w:val="18"/>
                <w:szCs w:val="18"/>
                <w:lang w:eastAsia="en-US"/>
              </w:rPr>
              <w:t>.</w:t>
            </w:r>
            <w:r w:rsidRPr="00276B9C">
              <w:rPr>
                <w:rFonts w:eastAsia="Calibri"/>
                <w:sz w:val="18"/>
                <w:szCs w:val="18"/>
                <w:lang w:eastAsia="en-US"/>
              </w:rPr>
              <w:t xml:space="preserve"> No aplica.</w:t>
            </w:r>
          </w:p>
          <w:p w:rsidR="00276B9C" w:rsidRPr="00276B9C" w:rsidRDefault="00276B9C" w:rsidP="00276B9C">
            <w:pPr>
              <w:jc w:val="both"/>
              <w:rPr>
                <w:rFonts w:eastAsia="Calibri"/>
                <w:sz w:val="18"/>
                <w:szCs w:val="18"/>
                <w:lang w:eastAsia="en-US"/>
              </w:rPr>
            </w:pPr>
            <w:r w:rsidRPr="00276B9C">
              <w:rPr>
                <w:rFonts w:eastAsia="Calibri"/>
                <w:sz w:val="18"/>
                <w:szCs w:val="18"/>
                <w:lang w:eastAsia="en-US"/>
              </w:rPr>
              <w:t>FUENTE: Organización para la Cooperación y el Desarrollo Económicos (OCDE).</w:t>
            </w:r>
          </w:p>
        </w:tc>
      </w:tr>
    </w:tbl>
    <w:p w:rsidR="00276B9C" w:rsidRPr="00276B9C" w:rsidRDefault="00276B9C" w:rsidP="00276B9C">
      <w:pPr>
        <w:spacing w:after="360" w:line="360" w:lineRule="auto"/>
        <w:ind w:left="510" w:right="-159" w:hanging="510"/>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 xml:space="preserve">El informe sobre las inversiones en el mundo de la Conferencia de las Naciones Unidas sobre Comercio y Desarrollo (UNCTAD por sus siglas en inglés) </w:t>
      </w:r>
      <w:r w:rsidR="00736C45">
        <w:rPr>
          <w:rFonts w:eastAsia="Calibri"/>
          <w:sz w:val="26"/>
          <w:szCs w:val="26"/>
          <w:lang w:eastAsia="en-US"/>
        </w:rPr>
        <w:t>se</w:t>
      </w:r>
      <w:r w:rsidRPr="00276B9C">
        <w:rPr>
          <w:rFonts w:eastAsia="Calibri"/>
          <w:sz w:val="26"/>
          <w:szCs w:val="26"/>
          <w:lang w:eastAsia="en-US"/>
        </w:rPr>
        <w:t xml:space="preserve"> publica en junio de cada año. Según el último reporte, en 2013</w:t>
      </w:r>
      <w:r w:rsidR="00736C45">
        <w:rPr>
          <w:rFonts w:eastAsia="Calibri"/>
          <w:sz w:val="26"/>
          <w:szCs w:val="26"/>
          <w:lang w:eastAsia="en-US"/>
        </w:rPr>
        <w:t>,</w:t>
      </w:r>
      <w:r w:rsidRPr="00276B9C">
        <w:rPr>
          <w:rFonts w:eastAsia="Calibri"/>
          <w:sz w:val="26"/>
          <w:szCs w:val="26"/>
          <w:lang w:eastAsia="en-US"/>
        </w:rPr>
        <w:t xml:space="preserve"> México ocupó el lugar 10 como país receptor, con una participación de 2.6% respecto del total de flujos mundiales de IED. El mismo informe contiene la Encuesta Mundial Sobre Perspectivas de Inversión (</w:t>
      </w:r>
      <w:proofErr w:type="spellStart"/>
      <w:r w:rsidRPr="00276B9C">
        <w:rPr>
          <w:rFonts w:eastAsia="Calibri"/>
          <w:i/>
          <w:sz w:val="26"/>
          <w:szCs w:val="26"/>
          <w:lang w:eastAsia="en-US"/>
        </w:rPr>
        <w:t>World</w:t>
      </w:r>
      <w:proofErr w:type="spellEnd"/>
      <w:r w:rsidRPr="00276B9C">
        <w:rPr>
          <w:rFonts w:eastAsia="Calibri"/>
          <w:i/>
          <w:sz w:val="26"/>
          <w:szCs w:val="26"/>
          <w:lang w:eastAsia="en-US"/>
        </w:rPr>
        <w:t xml:space="preserve"> </w:t>
      </w:r>
      <w:proofErr w:type="spellStart"/>
      <w:r w:rsidRPr="00276B9C">
        <w:rPr>
          <w:rFonts w:eastAsia="Calibri"/>
          <w:i/>
          <w:sz w:val="26"/>
          <w:szCs w:val="26"/>
          <w:lang w:eastAsia="en-US"/>
        </w:rPr>
        <w:t>Investment</w:t>
      </w:r>
      <w:proofErr w:type="spellEnd"/>
      <w:r w:rsidRPr="00276B9C">
        <w:rPr>
          <w:rFonts w:eastAsia="Calibri"/>
          <w:i/>
          <w:sz w:val="26"/>
          <w:szCs w:val="26"/>
          <w:lang w:eastAsia="en-US"/>
        </w:rPr>
        <w:t xml:space="preserve"> </w:t>
      </w:r>
      <w:proofErr w:type="spellStart"/>
      <w:r w:rsidRPr="00276B9C">
        <w:rPr>
          <w:rFonts w:eastAsia="Calibri"/>
          <w:i/>
          <w:sz w:val="26"/>
          <w:szCs w:val="26"/>
          <w:lang w:eastAsia="en-US"/>
        </w:rPr>
        <w:t>Prospects</w:t>
      </w:r>
      <w:proofErr w:type="spellEnd"/>
      <w:r w:rsidRPr="00276B9C">
        <w:rPr>
          <w:rFonts w:eastAsia="Calibri"/>
          <w:i/>
          <w:sz w:val="26"/>
          <w:szCs w:val="26"/>
          <w:lang w:eastAsia="en-US"/>
        </w:rPr>
        <w:t xml:space="preserve"> </w:t>
      </w:r>
      <w:proofErr w:type="spellStart"/>
      <w:r w:rsidRPr="00276B9C">
        <w:rPr>
          <w:rFonts w:eastAsia="Calibri"/>
          <w:i/>
          <w:sz w:val="26"/>
          <w:szCs w:val="26"/>
          <w:lang w:eastAsia="en-US"/>
        </w:rPr>
        <w:t>Survey</w:t>
      </w:r>
      <w:proofErr w:type="spellEnd"/>
      <w:r w:rsidRPr="00276B9C">
        <w:rPr>
          <w:rFonts w:eastAsia="Calibri"/>
          <w:sz w:val="26"/>
          <w:szCs w:val="26"/>
          <w:lang w:eastAsia="en-US"/>
        </w:rPr>
        <w:t>) y posiciona a México como la 13ª economía más atractiva para invertir en los siguientes tres años.</w:t>
      </w:r>
    </w:p>
    <w:p w:rsidR="00276B9C" w:rsidRPr="00276B9C" w:rsidRDefault="00276B9C" w:rsidP="00276B9C">
      <w:pPr>
        <w:spacing w:after="360" w:line="360" w:lineRule="auto"/>
        <w:ind w:right="-159"/>
        <w:jc w:val="center"/>
        <w:rPr>
          <w:rFonts w:eastAsia="Calibri"/>
          <w:sz w:val="26"/>
          <w:szCs w:val="26"/>
          <w:lang w:eastAsia="en-US"/>
        </w:rPr>
      </w:pPr>
      <w:r w:rsidRPr="00276B9C">
        <w:rPr>
          <w:rFonts w:ascii="Calibri" w:eastAsia="Calibri" w:hAnsi="Calibri"/>
          <w:sz w:val="22"/>
          <w:szCs w:val="22"/>
          <w:lang w:eastAsia="en-US"/>
        </w:rPr>
        <w:lastRenderedPageBreak/>
        <w:fldChar w:fldCharType="begin"/>
      </w:r>
      <w:r w:rsidRPr="00276B9C">
        <w:rPr>
          <w:rFonts w:ascii="Calibri" w:eastAsia="Calibri" w:hAnsi="Calibri"/>
          <w:sz w:val="22"/>
          <w:szCs w:val="22"/>
          <w:lang w:eastAsia="en-US"/>
        </w:rPr>
        <w:instrText xml:space="preserve"> LINK PowerPoint.Slide.8 "D:\\2015\\MARZO 2014\\GRÁFICAS EN POWER POINT\\7.- GRÁFICAS DE IED.pptx!297" "" \a \p </w:instrText>
      </w:r>
      <w:r w:rsidRPr="00276B9C">
        <w:rPr>
          <w:rFonts w:ascii="Calibri" w:eastAsia="Calibri" w:hAnsi="Calibri"/>
          <w:sz w:val="22"/>
          <w:szCs w:val="22"/>
          <w:lang w:eastAsia="en-US"/>
        </w:rPr>
        <w:fldChar w:fldCharType="separate"/>
      </w:r>
      <w:r w:rsidRPr="00276B9C">
        <w:rPr>
          <w:rFonts w:ascii="Calibri" w:eastAsia="Calibri" w:hAnsi="Calibri"/>
          <w:noProof/>
          <w:sz w:val="22"/>
          <w:szCs w:val="22"/>
          <w:lang w:eastAsia="es-MX"/>
        </w:rPr>
        <w:drawing>
          <wp:inline distT="0" distB="0" distL="0" distR="0" wp14:anchorId="10D1B30E" wp14:editId="57CED728">
            <wp:extent cx="4559935" cy="3157220"/>
            <wp:effectExtent l="0" t="0" r="0" b="508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7"/>
                    <pic:cNvPicPr>
                      <a:picLocks noChangeAspect="1" noChangeArrowheads="1"/>
                    </pic:cNvPicPr>
                  </pic:nvPicPr>
                  <pic:blipFill>
                    <a:blip r:embed="rId48" cstate="print">
                      <a:extLst>
                        <a:ext uri="{28A0092B-C50C-407E-A947-70E740481C1C}">
                          <a14:useLocalDpi xmlns:a14="http://schemas.microsoft.com/office/drawing/2010/main" val="0"/>
                        </a:ext>
                      </a:extLst>
                    </a:blip>
                    <a:srcRect b="8055"/>
                    <a:stretch>
                      <a:fillRect/>
                    </a:stretch>
                  </pic:blipFill>
                  <pic:spPr bwMode="auto">
                    <a:xfrm>
                      <a:off x="0" y="0"/>
                      <a:ext cx="4559935" cy="3157220"/>
                    </a:xfrm>
                    <a:prstGeom prst="rect">
                      <a:avLst/>
                    </a:prstGeom>
                    <a:noFill/>
                    <a:ln>
                      <a:noFill/>
                    </a:ln>
                  </pic:spPr>
                </pic:pic>
              </a:graphicData>
            </a:graphic>
          </wp:inline>
        </w:drawing>
      </w:r>
      <w:r w:rsidRPr="00276B9C">
        <w:rPr>
          <w:rFonts w:ascii="Calibri" w:eastAsia="Calibri" w:hAnsi="Calibri"/>
          <w:sz w:val="22"/>
          <w:szCs w:val="22"/>
          <w:lang w:eastAsia="en-US"/>
        </w:rPr>
        <w:fldChar w:fldCharType="end"/>
      </w: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center"/>
        <w:rPr>
          <w:rFonts w:ascii="Calibri" w:eastAsia="Calibri" w:hAnsi="Calibri"/>
          <w:sz w:val="22"/>
          <w:szCs w:val="22"/>
          <w:lang w:eastAsia="en-US"/>
        </w:rPr>
      </w:pPr>
      <w:r w:rsidRPr="00276B9C">
        <w:rPr>
          <w:rFonts w:ascii="Calibri" w:eastAsia="Calibri" w:hAnsi="Calibri"/>
          <w:sz w:val="22"/>
          <w:szCs w:val="22"/>
          <w:lang w:eastAsia="en-US"/>
        </w:rPr>
        <w:fldChar w:fldCharType="begin"/>
      </w:r>
      <w:r w:rsidRPr="00276B9C">
        <w:rPr>
          <w:rFonts w:ascii="Calibri" w:eastAsia="Calibri" w:hAnsi="Calibri"/>
          <w:sz w:val="22"/>
          <w:szCs w:val="22"/>
          <w:lang w:eastAsia="en-US"/>
        </w:rPr>
        <w:instrText xml:space="preserve"> LINK PowerPoint.Slide.8 "D:\\2015\\MARZO 2014\\GRÁFICAS EN POWER POINT\\7.- GRÁFICAS DE IED.pptx!298" "" \a \p </w:instrText>
      </w:r>
      <w:r w:rsidRPr="00276B9C">
        <w:rPr>
          <w:rFonts w:ascii="Calibri" w:eastAsia="Calibri" w:hAnsi="Calibri"/>
          <w:sz w:val="22"/>
          <w:szCs w:val="22"/>
          <w:lang w:eastAsia="en-US"/>
        </w:rPr>
        <w:fldChar w:fldCharType="separate"/>
      </w:r>
      <w:r w:rsidRPr="00276B9C">
        <w:rPr>
          <w:rFonts w:ascii="Calibri" w:eastAsia="Calibri" w:hAnsi="Calibri"/>
          <w:noProof/>
          <w:sz w:val="22"/>
          <w:szCs w:val="22"/>
          <w:lang w:eastAsia="es-MX"/>
        </w:rPr>
        <w:drawing>
          <wp:inline distT="0" distB="0" distL="0" distR="0" wp14:anchorId="352106C7" wp14:editId="4F0DD3B0">
            <wp:extent cx="4559935" cy="342900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559935" cy="3429000"/>
                    </a:xfrm>
                    <a:prstGeom prst="rect">
                      <a:avLst/>
                    </a:prstGeom>
                    <a:noFill/>
                    <a:ln>
                      <a:noFill/>
                    </a:ln>
                  </pic:spPr>
                </pic:pic>
              </a:graphicData>
            </a:graphic>
          </wp:inline>
        </w:drawing>
      </w:r>
      <w:r w:rsidRPr="00276B9C">
        <w:rPr>
          <w:rFonts w:ascii="Calibri" w:eastAsia="Calibri" w:hAnsi="Calibri"/>
          <w:sz w:val="22"/>
          <w:szCs w:val="22"/>
          <w:lang w:eastAsia="en-US"/>
        </w:rPr>
        <w:fldChar w:fldCharType="end"/>
      </w:r>
    </w:p>
    <w:p w:rsidR="00276B9C" w:rsidRPr="00276B9C" w:rsidRDefault="00276B9C" w:rsidP="00276B9C">
      <w:pPr>
        <w:spacing w:after="360" w:line="360" w:lineRule="auto"/>
        <w:ind w:right="-159"/>
        <w:jc w:val="center"/>
        <w:rPr>
          <w:rFonts w:ascii="Calibri" w:eastAsia="Calibri" w:hAnsi="Calibri"/>
          <w:sz w:val="22"/>
          <w:szCs w:val="22"/>
          <w:lang w:eastAsia="en-US"/>
        </w:rPr>
      </w:pPr>
    </w:p>
    <w:p w:rsidR="00276B9C" w:rsidRPr="00276B9C" w:rsidRDefault="00276B9C" w:rsidP="00276B9C">
      <w:pPr>
        <w:spacing w:after="360" w:line="360" w:lineRule="auto"/>
        <w:ind w:right="-159"/>
        <w:jc w:val="center"/>
        <w:rPr>
          <w:rFonts w:eastAsia="Calibri"/>
          <w:sz w:val="26"/>
          <w:szCs w:val="26"/>
          <w:lang w:eastAsia="en-US"/>
        </w:rPr>
      </w:pPr>
      <w:r w:rsidRPr="00276B9C">
        <w:rPr>
          <w:rFonts w:ascii="Calibri" w:eastAsia="Calibri" w:hAnsi="Calibri"/>
          <w:sz w:val="22"/>
          <w:szCs w:val="22"/>
          <w:lang w:eastAsia="en-US"/>
        </w:rPr>
        <w:lastRenderedPageBreak/>
        <w:fldChar w:fldCharType="begin"/>
      </w:r>
      <w:r w:rsidRPr="00276B9C">
        <w:rPr>
          <w:rFonts w:ascii="Calibri" w:eastAsia="Calibri" w:hAnsi="Calibri"/>
          <w:sz w:val="22"/>
          <w:szCs w:val="22"/>
          <w:lang w:eastAsia="en-US"/>
        </w:rPr>
        <w:instrText xml:space="preserve"> LINK PowerPoint.Slide.8 "D:\\2015\\MARZO 2014\\GRÁFICAS EN POWER POINT\\7.- GRÁFICAS DE IED.pptx!299" "" \a \p </w:instrText>
      </w:r>
      <w:r w:rsidRPr="00276B9C">
        <w:rPr>
          <w:rFonts w:ascii="Calibri" w:eastAsia="Calibri" w:hAnsi="Calibri"/>
          <w:sz w:val="22"/>
          <w:szCs w:val="22"/>
          <w:lang w:eastAsia="en-US"/>
        </w:rPr>
        <w:fldChar w:fldCharType="separate"/>
      </w:r>
      <w:r w:rsidRPr="00276B9C">
        <w:rPr>
          <w:rFonts w:ascii="Calibri" w:eastAsia="Calibri" w:hAnsi="Calibri"/>
          <w:noProof/>
          <w:sz w:val="22"/>
          <w:szCs w:val="22"/>
          <w:lang w:eastAsia="es-MX"/>
        </w:rPr>
        <w:drawing>
          <wp:inline distT="0" distB="0" distL="0" distR="0" wp14:anchorId="607EE725" wp14:editId="7F7658F8">
            <wp:extent cx="4559935" cy="342900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559935" cy="3429000"/>
                    </a:xfrm>
                    <a:prstGeom prst="rect">
                      <a:avLst/>
                    </a:prstGeom>
                    <a:noFill/>
                    <a:ln>
                      <a:noFill/>
                    </a:ln>
                  </pic:spPr>
                </pic:pic>
              </a:graphicData>
            </a:graphic>
          </wp:inline>
        </w:drawing>
      </w:r>
      <w:r w:rsidRPr="00276B9C">
        <w:rPr>
          <w:rFonts w:ascii="Calibri" w:eastAsia="Calibri" w:hAnsi="Calibri"/>
          <w:sz w:val="22"/>
          <w:szCs w:val="22"/>
          <w:lang w:eastAsia="en-US"/>
        </w:rPr>
        <w:fldChar w:fldCharType="end"/>
      </w:r>
    </w:p>
    <w:p w:rsidR="00276B9C" w:rsidRPr="00276B9C" w:rsidRDefault="00276B9C" w:rsidP="00276B9C">
      <w:pPr>
        <w:spacing w:after="360" w:line="360" w:lineRule="auto"/>
        <w:ind w:right="-159"/>
        <w:jc w:val="center"/>
        <w:rPr>
          <w:rFonts w:eastAsia="Calibri"/>
          <w:sz w:val="26"/>
          <w:szCs w:val="26"/>
          <w:lang w:eastAsia="en-US"/>
        </w:rPr>
      </w:pP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1"/>
        <w:gridCol w:w="2780"/>
        <w:gridCol w:w="1036"/>
      </w:tblGrid>
      <w:tr w:rsidR="00276B9C" w:rsidRPr="00276B9C" w:rsidTr="0011560C">
        <w:trPr>
          <w:trHeight w:val="230"/>
          <w:jc w:val="center"/>
        </w:trPr>
        <w:tc>
          <w:tcPr>
            <w:tcW w:w="4727" w:type="dxa"/>
            <w:gridSpan w:val="3"/>
            <w:tcBorders>
              <w:top w:val="nil"/>
              <w:left w:val="nil"/>
              <w:bottom w:val="single" w:sz="4" w:space="0" w:color="auto"/>
              <w:right w:val="nil"/>
            </w:tcBorders>
            <w:vAlign w:val="center"/>
          </w:tcPr>
          <w:p w:rsidR="00276B9C" w:rsidRPr="00276B9C" w:rsidRDefault="00276B9C" w:rsidP="00276B9C">
            <w:pPr>
              <w:jc w:val="center"/>
              <w:rPr>
                <w:rFonts w:eastAsia="Times New Roman"/>
                <w:b/>
                <w:sz w:val="20"/>
                <w:szCs w:val="20"/>
                <w:lang w:val="es-ES"/>
              </w:rPr>
            </w:pPr>
            <w:r w:rsidRPr="00276B9C">
              <w:rPr>
                <w:rFonts w:eastAsia="Times New Roman"/>
                <w:b/>
                <w:sz w:val="20"/>
                <w:szCs w:val="20"/>
                <w:lang w:val="es-ES"/>
              </w:rPr>
              <w:t xml:space="preserve">PRINCIPALES PAÍSES RECEPTORES DE </w:t>
            </w:r>
          </w:p>
          <w:p w:rsidR="00276B9C" w:rsidRPr="00276B9C" w:rsidRDefault="00276B9C" w:rsidP="00276B9C">
            <w:pPr>
              <w:jc w:val="center"/>
              <w:rPr>
                <w:rFonts w:eastAsia="Times New Roman"/>
                <w:b/>
                <w:sz w:val="20"/>
                <w:szCs w:val="20"/>
                <w:lang w:val="es-ES"/>
              </w:rPr>
            </w:pPr>
            <w:r w:rsidRPr="00276B9C">
              <w:rPr>
                <w:rFonts w:eastAsia="Times New Roman"/>
                <w:b/>
                <w:sz w:val="20"/>
                <w:szCs w:val="20"/>
                <w:lang w:val="es-ES"/>
              </w:rPr>
              <w:t>IED, 2011</w:t>
            </w:r>
          </w:p>
          <w:p w:rsidR="00276B9C" w:rsidRPr="00276B9C" w:rsidRDefault="00276B9C" w:rsidP="00276B9C">
            <w:pPr>
              <w:jc w:val="center"/>
              <w:rPr>
                <w:rFonts w:eastAsia="Times New Roman"/>
                <w:b/>
                <w:sz w:val="20"/>
                <w:szCs w:val="20"/>
                <w:lang w:val="es-ES"/>
              </w:rPr>
            </w:pPr>
            <w:r w:rsidRPr="00276B9C">
              <w:rPr>
                <w:rFonts w:eastAsia="Times New Roman"/>
                <w:b/>
                <w:sz w:val="20"/>
                <w:szCs w:val="20"/>
                <w:lang w:val="es-ES"/>
              </w:rPr>
              <w:t>-Millones de dólares-</w:t>
            </w:r>
          </w:p>
        </w:tc>
      </w:tr>
      <w:tr w:rsidR="00276B9C" w:rsidRPr="00276B9C" w:rsidTr="0011560C">
        <w:trPr>
          <w:trHeight w:val="230"/>
          <w:jc w:val="center"/>
        </w:trPr>
        <w:tc>
          <w:tcPr>
            <w:tcW w:w="911" w:type="dxa"/>
            <w:vMerge w:val="restart"/>
            <w:tcBorders>
              <w:bottom w:val="single" w:sz="4" w:space="0" w:color="auto"/>
            </w:tcBorders>
            <w:vAlign w:val="center"/>
          </w:tcPr>
          <w:p w:rsidR="00276B9C" w:rsidRPr="00276B9C" w:rsidRDefault="00276B9C" w:rsidP="00276B9C">
            <w:pPr>
              <w:jc w:val="center"/>
              <w:rPr>
                <w:rFonts w:eastAsia="Times New Roman"/>
                <w:b/>
                <w:sz w:val="18"/>
                <w:szCs w:val="18"/>
                <w:lang w:val="es-ES"/>
              </w:rPr>
            </w:pPr>
            <w:r w:rsidRPr="00276B9C">
              <w:rPr>
                <w:rFonts w:eastAsia="Times New Roman"/>
                <w:b/>
                <w:sz w:val="18"/>
                <w:szCs w:val="18"/>
                <w:lang w:val="es-ES"/>
              </w:rPr>
              <w:t>Posición</w:t>
            </w:r>
          </w:p>
        </w:tc>
        <w:tc>
          <w:tcPr>
            <w:tcW w:w="2780" w:type="dxa"/>
            <w:vMerge w:val="restart"/>
            <w:tcBorders>
              <w:bottom w:val="single" w:sz="4" w:space="0" w:color="auto"/>
            </w:tcBorders>
            <w:vAlign w:val="center"/>
          </w:tcPr>
          <w:p w:rsidR="00276B9C" w:rsidRPr="00276B9C" w:rsidRDefault="00276B9C" w:rsidP="00276B9C">
            <w:pPr>
              <w:jc w:val="center"/>
              <w:rPr>
                <w:rFonts w:eastAsia="Times New Roman"/>
                <w:b/>
                <w:sz w:val="18"/>
                <w:szCs w:val="18"/>
                <w:lang w:val="es-ES"/>
              </w:rPr>
            </w:pPr>
            <w:r w:rsidRPr="00276B9C">
              <w:rPr>
                <w:rFonts w:eastAsia="Times New Roman"/>
                <w:b/>
                <w:sz w:val="18"/>
                <w:szCs w:val="18"/>
                <w:lang w:val="es-ES"/>
              </w:rPr>
              <w:t>País</w:t>
            </w:r>
          </w:p>
        </w:tc>
        <w:tc>
          <w:tcPr>
            <w:tcW w:w="1036" w:type="dxa"/>
            <w:vMerge w:val="restart"/>
            <w:tcBorders>
              <w:bottom w:val="single" w:sz="4" w:space="0" w:color="auto"/>
            </w:tcBorders>
            <w:vAlign w:val="center"/>
          </w:tcPr>
          <w:p w:rsidR="00276B9C" w:rsidRPr="00276B9C" w:rsidRDefault="00276B9C" w:rsidP="00276B9C">
            <w:pPr>
              <w:jc w:val="center"/>
              <w:rPr>
                <w:rFonts w:eastAsia="Times New Roman"/>
                <w:b/>
                <w:sz w:val="18"/>
                <w:szCs w:val="18"/>
                <w:lang w:val="es-ES"/>
              </w:rPr>
            </w:pPr>
            <w:r w:rsidRPr="00276B9C">
              <w:rPr>
                <w:rFonts w:eastAsia="Times New Roman"/>
                <w:b/>
                <w:sz w:val="18"/>
                <w:szCs w:val="18"/>
                <w:lang w:val="es-ES"/>
              </w:rPr>
              <w:t>IED</w:t>
            </w:r>
          </w:p>
        </w:tc>
      </w:tr>
      <w:tr w:rsidR="00276B9C" w:rsidRPr="00276B9C" w:rsidTr="0011560C">
        <w:trPr>
          <w:trHeight w:val="230"/>
          <w:jc w:val="center"/>
        </w:trPr>
        <w:tc>
          <w:tcPr>
            <w:tcW w:w="911" w:type="dxa"/>
            <w:vMerge/>
            <w:tcBorders>
              <w:top w:val="single" w:sz="4" w:space="0" w:color="auto"/>
              <w:bottom w:val="single" w:sz="4" w:space="0" w:color="auto"/>
            </w:tcBorders>
            <w:vAlign w:val="center"/>
          </w:tcPr>
          <w:p w:rsidR="00276B9C" w:rsidRPr="00276B9C" w:rsidRDefault="00276B9C" w:rsidP="00276B9C">
            <w:pPr>
              <w:jc w:val="center"/>
              <w:rPr>
                <w:rFonts w:eastAsia="Times New Roman"/>
                <w:b/>
                <w:sz w:val="18"/>
                <w:szCs w:val="18"/>
                <w:lang w:val="es-ES"/>
              </w:rPr>
            </w:pPr>
          </w:p>
        </w:tc>
        <w:tc>
          <w:tcPr>
            <w:tcW w:w="2780" w:type="dxa"/>
            <w:vMerge/>
            <w:tcBorders>
              <w:top w:val="single" w:sz="4" w:space="0" w:color="auto"/>
              <w:bottom w:val="single" w:sz="4" w:space="0" w:color="auto"/>
            </w:tcBorders>
            <w:vAlign w:val="center"/>
          </w:tcPr>
          <w:p w:rsidR="00276B9C" w:rsidRPr="00276B9C" w:rsidRDefault="00276B9C" w:rsidP="00276B9C">
            <w:pPr>
              <w:jc w:val="center"/>
              <w:rPr>
                <w:rFonts w:eastAsia="Times New Roman"/>
                <w:b/>
                <w:sz w:val="18"/>
                <w:szCs w:val="18"/>
                <w:lang w:val="es-ES"/>
              </w:rPr>
            </w:pPr>
          </w:p>
        </w:tc>
        <w:tc>
          <w:tcPr>
            <w:tcW w:w="1036" w:type="dxa"/>
            <w:vMerge/>
            <w:tcBorders>
              <w:top w:val="single" w:sz="4" w:space="0" w:color="auto"/>
              <w:bottom w:val="single" w:sz="4" w:space="0" w:color="auto"/>
            </w:tcBorders>
            <w:vAlign w:val="center"/>
          </w:tcPr>
          <w:p w:rsidR="00276B9C" w:rsidRPr="00276B9C" w:rsidRDefault="00276B9C" w:rsidP="00276B9C">
            <w:pPr>
              <w:jc w:val="center"/>
              <w:rPr>
                <w:rFonts w:eastAsia="Times New Roman"/>
                <w:b/>
                <w:sz w:val="18"/>
                <w:szCs w:val="18"/>
                <w:lang w:val="es-ES"/>
              </w:rPr>
            </w:pPr>
          </w:p>
        </w:tc>
      </w:tr>
      <w:tr w:rsidR="00276B9C" w:rsidRPr="00276B9C" w:rsidTr="0011560C">
        <w:trPr>
          <w:trHeight w:val="230"/>
          <w:jc w:val="center"/>
        </w:trPr>
        <w:tc>
          <w:tcPr>
            <w:tcW w:w="911" w:type="dxa"/>
            <w:vMerge/>
            <w:tcBorders>
              <w:top w:val="single" w:sz="4" w:space="0" w:color="auto"/>
              <w:bottom w:val="single" w:sz="4" w:space="0" w:color="auto"/>
            </w:tcBorders>
          </w:tcPr>
          <w:p w:rsidR="00276B9C" w:rsidRPr="00276B9C" w:rsidRDefault="00276B9C" w:rsidP="00276B9C">
            <w:pPr>
              <w:ind w:right="113"/>
              <w:jc w:val="right"/>
              <w:rPr>
                <w:rFonts w:eastAsia="Times New Roman"/>
                <w:sz w:val="18"/>
                <w:szCs w:val="18"/>
                <w:lang w:val="es-ES"/>
              </w:rPr>
            </w:pPr>
          </w:p>
        </w:tc>
        <w:tc>
          <w:tcPr>
            <w:tcW w:w="2780" w:type="dxa"/>
            <w:vMerge/>
            <w:tcBorders>
              <w:top w:val="single" w:sz="4" w:space="0" w:color="auto"/>
              <w:bottom w:val="single" w:sz="4" w:space="0" w:color="auto"/>
            </w:tcBorders>
          </w:tcPr>
          <w:p w:rsidR="00276B9C" w:rsidRPr="00276B9C" w:rsidRDefault="00276B9C" w:rsidP="00276B9C">
            <w:pPr>
              <w:ind w:right="113"/>
              <w:jc w:val="right"/>
              <w:rPr>
                <w:rFonts w:eastAsia="Times New Roman"/>
                <w:sz w:val="18"/>
                <w:szCs w:val="18"/>
                <w:lang w:val="es-ES"/>
              </w:rPr>
            </w:pPr>
          </w:p>
        </w:tc>
        <w:tc>
          <w:tcPr>
            <w:tcW w:w="1036" w:type="dxa"/>
            <w:vMerge/>
            <w:tcBorders>
              <w:top w:val="single" w:sz="4" w:space="0" w:color="auto"/>
              <w:bottom w:val="single" w:sz="4" w:space="0" w:color="auto"/>
            </w:tcBorders>
          </w:tcPr>
          <w:p w:rsidR="00276B9C" w:rsidRPr="00276B9C" w:rsidRDefault="00276B9C" w:rsidP="00276B9C">
            <w:pPr>
              <w:ind w:right="113"/>
              <w:jc w:val="right"/>
              <w:rPr>
                <w:rFonts w:eastAsia="Times New Roman"/>
                <w:sz w:val="18"/>
                <w:szCs w:val="18"/>
                <w:lang w:val="es-ES"/>
              </w:rPr>
            </w:pPr>
          </w:p>
        </w:tc>
      </w:tr>
      <w:tr w:rsidR="00276B9C" w:rsidRPr="00276B9C" w:rsidTr="0011560C">
        <w:trPr>
          <w:jc w:val="center"/>
        </w:trPr>
        <w:tc>
          <w:tcPr>
            <w:tcW w:w="911" w:type="dxa"/>
            <w:tcBorders>
              <w:top w:val="single" w:sz="4" w:space="0" w:color="auto"/>
              <w:bottom w:val="nil"/>
            </w:tcBorders>
            <w:vAlign w:val="center"/>
          </w:tcPr>
          <w:p w:rsidR="00276B9C" w:rsidRPr="00276B9C" w:rsidRDefault="00276B9C" w:rsidP="00276B9C">
            <w:pPr>
              <w:ind w:right="284"/>
              <w:jc w:val="right"/>
              <w:rPr>
                <w:rFonts w:eastAsia="Times New Roman"/>
                <w:sz w:val="18"/>
                <w:szCs w:val="18"/>
                <w:lang w:val="es-ES"/>
              </w:rPr>
            </w:pPr>
            <w:r w:rsidRPr="00276B9C">
              <w:rPr>
                <w:rFonts w:eastAsia="Times New Roman"/>
                <w:sz w:val="18"/>
                <w:szCs w:val="18"/>
                <w:lang w:val="es-ES"/>
              </w:rPr>
              <w:t>1</w:t>
            </w:r>
          </w:p>
        </w:tc>
        <w:tc>
          <w:tcPr>
            <w:tcW w:w="2780" w:type="dxa"/>
            <w:tcBorders>
              <w:top w:val="single" w:sz="4" w:space="0" w:color="auto"/>
              <w:bottom w:val="nil"/>
            </w:tcBorders>
            <w:vAlign w:val="center"/>
          </w:tcPr>
          <w:p w:rsidR="00276B9C" w:rsidRPr="00276B9C" w:rsidRDefault="00276B9C" w:rsidP="00276B9C">
            <w:pPr>
              <w:ind w:right="113"/>
              <w:jc w:val="both"/>
              <w:rPr>
                <w:rFonts w:eastAsia="Times New Roman"/>
                <w:sz w:val="18"/>
                <w:szCs w:val="18"/>
                <w:lang w:val="es-ES"/>
              </w:rPr>
            </w:pPr>
            <w:r w:rsidRPr="00276B9C">
              <w:rPr>
                <w:rFonts w:eastAsia="Times New Roman"/>
                <w:sz w:val="18"/>
                <w:szCs w:val="18"/>
                <w:lang w:val="es-ES"/>
              </w:rPr>
              <w:t>Estados Unidos de Norteamérica</w:t>
            </w:r>
          </w:p>
        </w:tc>
        <w:tc>
          <w:tcPr>
            <w:tcW w:w="1036" w:type="dxa"/>
            <w:tcBorders>
              <w:top w:val="single" w:sz="4" w:space="0" w:color="auto"/>
              <w:bottom w:val="nil"/>
            </w:tcBorders>
            <w:vAlign w:val="center"/>
          </w:tcPr>
          <w:p w:rsidR="00276B9C" w:rsidRPr="00276B9C" w:rsidRDefault="00276B9C" w:rsidP="00276B9C">
            <w:pPr>
              <w:ind w:right="113"/>
              <w:jc w:val="right"/>
              <w:rPr>
                <w:rFonts w:eastAsia="Times New Roman"/>
                <w:sz w:val="18"/>
                <w:szCs w:val="18"/>
                <w:lang w:val="es-ES"/>
              </w:rPr>
            </w:pPr>
            <w:r w:rsidRPr="00276B9C">
              <w:rPr>
                <w:rFonts w:eastAsia="Times New Roman"/>
                <w:sz w:val="18"/>
                <w:szCs w:val="18"/>
                <w:lang w:val="es-ES"/>
              </w:rPr>
              <w:t>223 759</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sz w:val="18"/>
                <w:szCs w:val="18"/>
                <w:lang w:val="es-ES"/>
              </w:rPr>
            </w:pPr>
            <w:r w:rsidRPr="00276B9C">
              <w:rPr>
                <w:rFonts w:eastAsia="Times New Roman"/>
                <w:sz w:val="18"/>
                <w:szCs w:val="18"/>
                <w:lang w:val="es-ES"/>
              </w:rPr>
              <w:t>2</w:t>
            </w:r>
          </w:p>
        </w:tc>
        <w:tc>
          <w:tcPr>
            <w:tcW w:w="2780" w:type="dxa"/>
            <w:tcBorders>
              <w:top w:val="nil"/>
              <w:bottom w:val="nil"/>
            </w:tcBorders>
            <w:vAlign w:val="center"/>
          </w:tcPr>
          <w:p w:rsidR="00276B9C" w:rsidRPr="00276B9C" w:rsidRDefault="00276B9C" w:rsidP="00276B9C">
            <w:pPr>
              <w:ind w:right="113"/>
              <w:jc w:val="both"/>
              <w:rPr>
                <w:rFonts w:eastAsia="Times New Roman"/>
                <w:sz w:val="18"/>
                <w:szCs w:val="18"/>
                <w:lang w:val="es-ES"/>
              </w:rPr>
            </w:pPr>
            <w:r w:rsidRPr="00276B9C">
              <w:rPr>
                <w:rFonts w:eastAsia="Times New Roman"/>
                <w:sz w:val="18"/>
                <w:szCs w:val="18"/>
                <w:lang w:val="es-ES"/>
              </w:rPr>
              <w:t>China</w:t>
            </w:r>
          </w:p>
        </w:tc>
        <w:tc>
          <w:tcPr>
            <w:tcW w:w="1036" w:type="dxa"/>
            <w:tcBorders>
              <w:top w:val="nil"/>
              <w:bottom w:val="nil"/>
            </w:tcBorders>
            <w:vAlign w:val="center"/>
          </w:tcPr>
          <w:p w:rsidR="00276B9C" w:rsidRPr="00276B9C" w:rsidRDefault="00276B9C" w:rsidP="00276B9C">
            <w:pPr>
              <w:ind w:right="113"/>
              <w:jc w:val="right"/>
              <w:rPr>
                <w:rFonts w:eastAsia="Times New Roman"/>
                <w:sz w:val="18"/>
                <w:szCs w:val="18"/>
                <w:lang w:val="es-ES"/>
              </w:rPr>
            </w:pPr>
            <w:r w:rsidRPr="00276B9C">
              <w:rPr>
                <w:rFonts w:eastAsia="Times New Roman"/>
                <w:sz w:val="18"/>
                <w:szCs w:val="18"/>
                <w:lang w:val="es-ES"/>
              </w:rPr>
              <w:t>123 985</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3</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 xml:space="preserve">Bélgica </w:t>
            </w:r>
          </w:p>
        </w:tc>
        <w:tc>
          <w:tcPr>
            <w:tcW w:w="1036" w:type="dxa"/>
            <w:tcBorders>
              <w:top w:val="nil"/>
              <w:bottom w:val="nil"/>
            </w:tcBorders>
            <w:vAlign w:val="center"/>
          </w:tcPr>
          <w:p w:rsidR="00276B9C" w:rsidRPr="00276B9C" w:rsidRDefault="00276B9C" w:rsidP="00276B9C">
            <w:pPr>
              <w:ind w:right="113"/>
              <w:jc w:val="right"/>
              <w:rPr>
                <w:rFonts w:eastAsia="Times New Roman"/>
                <w:bCs/>
                <w:sz w:val="18"/>
                <w:szCs w:val="18"/>
              </w:rPr>
            </w:pPr>
            <w:r w:rsidRPr="00276B9C">
              <w:rPr>
                <w:rFonts w:eastAsia="Times New Roman"/>
                <w:bCs/>
                <w:sz w:val="18"/>
                <w:szCs w:val="18"/>
              </w:rPr>
              <w:t>119 022</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4</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Hong Kong</w:t>
            </w:r>
          </w:p>
        </w:tc>
        <w:tc>
          <w:tcPr>
            <w:tcW w:w="1036" w:type="dxa"/>
            <w:tcBorders>
              <w:top w:val="nil"/>
              <w:bottom w:val="nil"/>
            </w:tcBorders>
            <w:vAlign w:val="center"/>
          </w:tcPr>
          <w:p w:rsidR="00276B9C" w:rsidRPr="00276B9C" w:rsidRDefault="00276B9C" w:rsidP="00276B9C">
            <w:pPr>
              <w:ind w:right="113"/>
              <w:jc w:val="right"/>
              <w:rPr>
                <w:rFonts w:eastAsia="Times New Roman"/>
                <w:bCs/>
                <w:sz w:val="18"/>
                <w:szCs w:val="18"/>
              </w:rPr>
            </w:pPr>
            <w:r w:rsidRPr="00276B9C">
              <w:rPr>
                <w:rFonts w:eastAsia="Times New Roman"/>
                <w:bCs/>
                <w:sz w:val="18"/>
                <w:szCs w:val="18"/>
              </w:rPr>
              <w:t>96 125</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5</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 xml:space="preserve">Brasil </w:t>
            </w:r>
          </w:p>
        </w:tc>
        <w:tc>
          <w:tcPr>
            <w:tcW w:w="1036" w:type="dxa"/>
            <w:tcBorders>
              <w:top w:val="nil"/>
              <w:bottom w:val="nil"/>
            </w:tcBorders>
            <w:vAlign w:val="center"/>
          </w:tcPr>
          <w:p w:rsidR="00276B9C" w:rsidRPr="00276B9C" w:rsidRDefault="00276B9C" w:rsidP="00276B9C">
            <w:pPr>
              <w:ind w:right="113"/>
              <w:jc w:val="right"/>
              <w:rPr>
                <w:rFonts w:eastAsia="Times New Roman"/>
                <w:bCs/>
                <w:sz w:val="18"/>
                <w:szCs w:val="18"/>
              </w:rPr>
            </w:pPr>
            <w:r w:rsidRPr="00276B9C">
              <w:rPr>
                <w:rFonts w:eastAsia="Times New Roman"/>
                <w:bCs/>
                <w:sz w:val="18"/>
                <w:szCs w:val="18"/>
              </w:rPr>
              <w:t>66 660</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6</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Australia</w:t>
            </w:r>
          </w:p>
        </w:tc>
        <w:tc>
          <w:tcPr>
            <w:tcW w:w="1036" w:type="dxa"/>
            <w:tcBorders>
              <w:top w:val="nil"/>
              <w:bottom w:val="nil"/>
            </w:tcBorders>
            <w:vAlign w:val="center"/>
          </w:tcPr>
          <w:p w:rsidR="00276B9C" w:rsidRPr="00276B9C" w:rsidRDefault="00276B9C" w:rsidP="00276B9C">
            <w:pPr>
              <w:ind w:right="113"/>
              <w:jc w:val="right"/>
              <w:rPr>
                <w:rFonts w:eastAsia="Times New Roman"/>
                <w:bCs/>
                <w:sz w:val="18"/>
                <w:szCs w:val="18"/>
              </w:rPr>
            </w:pPr>
            <w:r w:rsidRPr="00276B9C">
              <w:rPr>
                <w:rFonts w:eastAsia="Times New Roman"/>
                <w:bCs/>
                <w:sz w:val="18"/>
                <w:szCs w:val="18"/>
              </w:rPr>
              <w:t>65 209</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7</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Alemania</w:t>
            </w:r>
          </w:p>
        </w:tc>
        <w:tc>
          <w:tcPr>
            <w:tcW w:w="1036" w:type="dxa"/>
            <w:tcBorders>
              <w:top w:val="nil"/>
              <w:bottom w:val="nil"/>
            </w:tcBorders>
            <w:vAlign w:val="center"/>
          </w:tcPr>
          <w:p w:rsidR="00276B9C" w:rsidRPr="00276B9C" w:rsidRDefault="00276B9C" w:rsidP="00276B9C">
            <w:pPr>
              <w:ind w:right="113"/>
              <w:jc w:val="right"/>
              <w:rPr>
                <w:rFonts w:eastAsia="Times New Roman"/>
                <w:bCs/>
                <w:sz w:val="18"/>
                <w:szCs w:val="18"/>
              </w:rPr>
            </w:pPr>
            <w:r w:rsidRPr="00276B9C">
              <w:rPr>
                <w:rFonts w:eastAsia="Times New Roman"/>
                <w:bCs/>
                <w:sz w:val="18"/>
                <w:szCs w:val="18"/>
              </w:rPr>
              <w:t>59 317</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8</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 xml:space="preserve">Rusia </w:t>
            </w:r>
          </w:p>
        </w:tc>
        <w:tc>
          <w:tcPr>
            <w:tcW w:w="1036" w:type="dxa"/>
            <w:tcBorders>
              <w:top w:val="nil"/>
              <w:bottom w:val="nil"/>
            </w:tcBorders>
            <w:vAlign w:val="center"/>
          </w:tcPr>
          <w:p w:rsidR="00276B9C" w:rsidRPr="00276B9C" w:rsidRDefault="00276B9C" w:rsidP="00276B9C">
            <w:pPr>
              <w:ind w:right="113"/>
              <w:jc w:val="right"/>
              <w:rPr>
                <w:rFonts w:eastAsia="Times New Roman"/>
                <w:bCs/>
                <w:sz w:val="18"/>
                <w:szCs w:val="18"/>
              </w:rPr>
            </w:pPr>
            <w:r w:rsidRPr="00276B9C">
              <w:rPr>
                <w:rFonts w:eastAsia="Times New Roman"/>
                <w:bCs/>
                <w:sz w:val="18"/>
                <w:szCs w:val="18"/>
              </w:rPr>
              <w:t>55 084</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9</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Reino Unido</w:t>
            </w:r>
          </w:p>
        </w:tc>
        <w:tc>
          <w:tcPr>
            <w:tcW w:w="1036" w:type="dxa"/>
            <w:tcBorders>
              <w:top w:val="nil"/>
              <w:bottom w:val="nil"/>
            </w:tcBorders>
            <w:vAlign w:val="center"/>
          </w:tcPr>
          <w:p w:rsidR="00276B9C" w:rsidRPr="00276B9C" w:rsidRDefault="00276B9C" w:rsidP="00276B9C">
            <w:pPr>
              <w:ind w:right="113"/>
              <w:jc w:val="right"/>
              <w:rPr>
                <w:rFonts w:eastAsia="Times New Roman"/>
                <w:bCs/>
                <w:sz w:val="18"/>
                <w:szCs w:val="18"/>
              </w:rPr>
            </w:pPr>
            <w:r w:rsidRPr="00276B9C">
              <w:rPr>
                <w:rFonts w:eastAsia="Times New Roman"/>
                <w:bCs/>
                <w:sz w:val="18"/>
                <w:szCs w:val="18"/>
              </w:rPr>
              <w:t>51 137</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10</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Singapur</w:t>
            </w:r>
          </w:p>
        </w:tc>
        <w:tc>
          <w:tcPr>
            <w:tcW w:w="1036" w:type="dxa"/>
            <w:tcBorders>
              <w:top w:val="nil"/>
              <w:bottom w:val="nil"/>
            </w:tcBorders>
            <w:vAlign w:val="center"/>
          </w:tcPr>
          <w:p w:rsidR="00276B9C" w:rsidRPr="00276B9C" w:rsidRDefault="00276B9C" w:rsidP="00276B9C">
            <w:pPr>
              <w:ind w:right="113"/>
              <w:jc w:val="right"/>
              <w:rPr>
                <w:rFonts w:eastAsia="Times New Roman"/>
                <w:bCs/>
                <w:sz w:val="18"/>
                <w:szCs w:val="18"/>
              </w:rPr>
            </w:pPr>
            <w:r w:rsidRPr="00276B9C">
              <w:rPr>
                <w:rFonts w:eastAsia="Times New Roman"/>
                <w:bCs/>
                <w:sz w:val="18"/>
                <w:szCs w:val="18"/>
              </w:rPr>
              <w:t>50 368</w:t>
            </w:r>
          </w:p>
        </w:tc>
      </w:tr>
      <w:tr w:rsidR="00276B9C" w:rsidRPr="00276B9C" w:rsidTr="0011560C">
        <w:trPr>
          <w:jc w:val="center"/>
        </w:trPr>
        <w:tc>
          <w:tcPr>
            <w:tcW w:w="911" w:type="dxa"/>
            <w:tcBorders>
              <w:top w:val="nil"/>
              <w:bottom w:val="single" w:sz="4" w:space="0" w:color="auto"/>
            </w:tcBorders>
            <w:vAlign w:val="center"/>
          </w:tcPr>
          <w:p w:rsidR="00276B9C" w:rsidRPr="00276B9C" w:rsidRDefault="00276B9C" w:rsidP="00276B9C">
            <w:pPr>
              <w:ind w:right="284"/>
              <w:jc w:val="right"/>
              <w:rPr>
                <w:rFonts w:eastAsia="Times New Roman"/>
                <w:b/>
                <w:bCs/>
                <w:sz w:val="18"/>
                <w:szCs w:val="18"/>
              </w:rPr>
            </w:pPr>
            <w:r w:rsidRPr="00276B9C">
              <w:rPr>
                <w:rFonts w:eastAsia="Times New Roman"/>
                <w:b/>
                <w:bCs/>
                <w:sz w:val="18"/>
                <w:szCs w:val="18"/>
              </w:rPr>
              <w:t>19</w:t>
            </w:r>
          </w:p>
        </w:tc>
        <w:tc>
          <w:tcPr>
            <w:tcW w:w="2780" w:type="dxa"/>
            <w:tcBorders>
              <w:top w:val="nil"/>
              <w:bottom w:val="single" w:sz="4" w:space="0" w:color="auto"/>
            </w:tcBorders>
            <w:vAlign w:val="center"/>
          </w:tcPr>
          <w:p w:rsidR="00276B9C" w:rsidRPr="00276B9C" w:rsidRDefault="00276B9C" w:rsidP="00276B9C">
            <w:pPr>
              <w:ind w:right="113"/>
              <w:jc w:val="both"/>
              <w:rPr>
                <w:rFonts w:eastAsia="Times New Roman"/>
                <w:b/>
                <w:bCs/>
                <w:sz w:val="18"/>
                <w:szCs w:val="18"/>
              </w:rPr>
            </w:pPr>
            <w:r w:rsidRPr="00276B9C">
              <w:rPr>
                <w:rFonts w:eastAsia="Times New Roman"/>
                <w:b/>
                <w:bCs/>
                <w:sz w:val="18"/>
                <w:szCs w:val="18"/>
              </w:rPr>
              <w:t>México</w:t>
            </w:r>
          </w:p>
        </w:tc>
        <w:tc>
          <w:tcPr>
            <w:tcW w:w="1036" w:type="dxa"/>
            <w:tcBorders>
              <w:top w:val="nil"/>
              <w:bottom w:val="single" w:sz="4" w:space="0" w:color="auto"/>
            </w:tcBorders>
            <w:vAlign w:val="center"/>
          </w:tcPr>
          <w:p w:rsidR="00276B9C" w:rsidRPr="00276B9C" w:rsidRDefault="00276B9C" w:rsidP="00276B9C">
            <w:pPr>
              <w:ind w:right="113"/>
              <w:jc w:val="right"/>
              <w:rPr>
                <w:rFonts w:eastAsia="Times New Roman"/>
                <w:b/>
                <w:bCs/>
                <w:sz w:val="18"/>
                <w:szCs w:val="18"/>
              </w:rPr>
            </w:pPr>
            <w:r w:rsidRPr="00276B9C">
              <w:rPr>
                <w:rFonts w:eastAsia="Times New Roman"/>
                <w:b/>
                <w:bCs/>
                <w:sz w:val="18"/>
                <w:szCs w:val="18"/>
              </w:rPr>
              <w:t>23 354</w:t>
            </w:r>
          </w:p>
        </w:tc>
      </w:tr>
      <w:tr w:rsidR="00276B9C" w:rsidRPr="00276B9C" w:rsidTr="001E7D79">
        <w:trPr>
          <w:jc w:val="center"/>
        </w:trPr>
        <w:tc>
          <w:tcPr>
            <w:tcW w:w="4727" w:type="dxa"/>
            <w:gridSpan w:val="3"/>
            <w:tcBorders>
              <w:left w:val="nil"/>
              <w:bottom w:val="nil"/>
              <w:right w:val="nil"/>
            </w:tcBorders>
            <w:vAlign w:val="center"/>
          </w:tcPr>
          <w:p w:rsidR="00276B9C" w:rsidRPr="00276B9C" w:rsidRDefault="00276B9C" w:rsidP="00276B9C">
            <w:pPr>
              <w:ind w:right="284"/>
              <w:rPr>
                <w:rFonts w:eastAsia="Times New Roman"/>
                <w:bCs/>
                <w:sz w:val="18"/>
                <w:szCs w:val="18"/>
              </w:rPr>
            </w:pPr>
            <w:r w:rsidRPr="00276B9C">
              <w:rPr>
                <w:rFonts w:eastAsia="Times New Roman"/>
                <w:bCs/>
                <w:sz w:val="18"/>
                <w:szCs w:val="18"/>
              </w:rPr>
              <w:t>Nota: No incluye Islas Vírgenes Británica.</w:t>
            </w:r>
          </w:p>
          <w:p w:rsidR="00276B9C" w:rsidRPr="00276B9C" w:rsidRDefault="00276B9C" w:rsidP="00276B9C">
            <w:pPr>
              <w:ind w:right="284"/>
              <w:rPr>
                <w:rFonts w:eastAsia="Times New Roman"/>
                <w:bCs/>
                <w:sz w:val="18"/>
                <w:szCs w:val="18"/>
              </w:rPr>
            </w:pPr>
            <w:r w:rsidRPr="00276B9C">
              <w:rPr>
                <w:rFonts w:eastAsia="Times New Roman"/>
                <w:bCs/>
                <w:sz w:val="18"/>
                <w:szCs w:val="18"/>
              </w:rPr>
              <w:t>FUENTE: UNCTAD.</w:t>
            </w:r>
          </w:p>
        </w:tc>
      </w:tr>
    </w:tbl>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tbl>
      <w:tblPr>
        <w:tblW w:w="4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1"/>
        <w:gridCol w:w="2780"/>
        <w:gridCol w:w="1189"/>
      </w:tblGrid>
      <w:tr w:rsidR="00276B9C" w:rsidRPr="00276B9C" w:rsidTr="0011560C">
        <w:trPr>
          <w:trHeight w:val="230"/>
          <w:jc w:val="center"/>
        </w:trPr>
        <w:tc>
          <w:tcPr>
            <w:tcW w:w="4880" w:type="dxa"/>
            <w:gridSpan w:val="3"/>
            <w:tcBorders>
              <w:top w:val="nil"/>
              <w:left w:val="nil"/>
              <w:bottom w:val="single" w:sz="4" w:space="0" w:color="auto"/>
              <w:right w:val="nil"/>
            </w:tcBorders>
            <w:vAlign w:val="center"/>
          </w:tcPr>
          <w:p w:rsidR="00276B9C" w:rsidRPr="00276B9C" w:rsidRDefault="00276B9C" w:rsidP="00276B9C">
            <w:pPr>
              <w:jc w:val="center"/>
              <w:rPr>
                <w:rFonts w:eastAsia="Times New Roman"/>
                <w:b/>
                <w:sz w:val="20"/>
                <w:szCs w:val="20"/>
                <w:lang w:val="es-ES"/>
              </w:rPr>
            </w:pPr>
            <w:r w:rsidRPr="00276B9C">
              <w:rPr>
                <w:rFonts w:eastAsia="Times New Roman"/>
                <w:b/>
                <w:sz w:val="20"/>
                <w:szCs w:val="20"/>
                <w:lang w:val="es-ES"/>
              </w:rPr>
              <w:lastRenderedPageBreak/>
              <w:t xml:space="preserve">PRINCIPALES PAÍSES RECEPTORES DE </w:t>
            </w:r>
          </w:p>
          <w:p w:rsidR="00276B9C" w:rsidRPr="00276B9C" w:rsidRDefault="00276B9C" w:rsidP="00276B9C">
            <w:pPr>
              <w:jc w:val="center"/>
              <w:rPr>
                <w:rFonts w:eastAsia="Times New Roman"/>
                <w:b/>
                <w:sz w:val="20"/>
                <w:szCs w:val="20"/>
                <w:lang w:val="es-ES"/>
              </w:rPr>
            </w:pPr>
            <w:r w:rsidRPr="00276B9C">
              <w:rPr>
                <w:rFonts w:eastAsia="Times New Roman"/>
                <w:b/>
                <w:sz w:val="20"/>
                <w:szCs w:val="20"/>
                <w:lang w:val="es-ES"/>
              </w:rPr>
              <w:t>IED, 2012</w:t>
            </w:r>
          </w:p>
          <w:p w:rsidR="00276B9C" w:rsidRPr="00276B9C" w:rsidRDefault="00276B9C" w:rsidP="00276B9C">
            <w:pPr>
              <w:jc w:val="center"/>
              <w:rPr>
                <w:rFonts w:eastAsia="Times New Roman"/>
                <w:b/>
                <w:sz w:val="20"/>
                <w:szCs w:val="20"/>
                <w:lang w:val="es-ES"/>
              </w:rPr>
            </w:pPr>
            <w:r w:rsidRPr="00276B9C">
              <w:rPr>
                <w:rFonts w:eastAsia="Times New Roman"/>
                <w:b/>
                <w:sz w:val="20"/>
                <w:szCs w:val="20"/>
                <w:lang w:val="es-ES"/>
              </w:rPr>
              <w:t>-Millones de dólares-</w:t>
            </w:r>
          </w:p>
        </w:tc>
      </w:tr>
      <w:tr w:rsidR="00276B9C" w:rsidRPr="00276B9C" w:rsidTr="0011560C">
        <w:trPr>
          <w:trHeight w:val="230"/>
          <w:jc w:val="center"/>
        </w:trPr>
        <w:tc>
          <w:tcPr>
            <w:tcW w:w="911" w:type="dxa"/>
            <w:vMerge w:val="restart"/>
            <w:tcBorders>
              <w:bottom w:val="single" w:sz="4" w:space="0" w:color="auto"/>
            </w:tcBorders>
            <w:vAlign w:val="center"/>
          </w:tcPr>
          <w:p w:rsidR="00276B9C" w:rsidRPr="00276B9C" w:rsidRDefault="00276B9C" w:rsidP="00276B9C">
            <w:pPr>
              <w:jc w:val="center"/>
              <w:rPr>
                <w:rFonts w:eastAsia="Times New Roman"/>
                <w:b/>
                <w:sz w:val="18"/>
                <w:szCs w:val="18"/>
                <w:lang w:val="es-ES"/>
              </w:rPr>
            </w:pPr>
            <w:r w:rsidRPr="00276B9C">
              <w:rPr>
                <w:rFonts w:eastAsia="Times New Roman"/>
                <w:b/>
                <w:sz w:val="18"/>
                <w:szCs w:val="18"/>
                <w:lang w:val="es-ES"/>
              </w:rPr>
              <w:t>Posición</w:t>
            </w:r>
          </w:p>
        </w:tc>
        <w:tc>
          <w:tcPr>
            <w:tcW w:w="2780" w:type="dxa"/>
            <w:vMerge w:val="restart"/>
            <w:tcBorders>
              <w:bottom w:val="single" w:sz="4" w:space="0" w:color="auto"/>
            </w:tcBorders>
            <w:vAlign w:val="center"/>
          </w:tcPr>
          <w:p w:rsidR="00276B9C" w:rsidRPr="00276B9C" w:rsidRDefault="00276B9C" w:rsidP="00276B9C">
            <w:pPr>
              <w:jc w:val="center"/>
              <w:rPr>
                <w:rFonts w:eastAsia="Times New Roman"/>
                <w:b/>
                <w:sz w:val="18"/>
                <w:szCs w:val="18"/>
                <w:lang w:val="es-ES"/>
              </w:rPr>
            </w:pPr>
            <w:r w:rsidRPr="00276B9C">
              <w:rPr>
                <w:rFonts w:eastAsia="Times New Roman"/>
                <w:b/>
                <w:sz w:val="18"/>
                <w:szCs w:val="18"/>
                <w:lang w:val="es-ES"/>
              </w:rPr>
              <w:t>País</w:t>
            </w:r>
          </w:p>
        </w:tc>
        <w:tc>
          <w:tcPr>
            <w:tcW w:w="1189" w:type="dxa"/>
            <w:vMerge w:val="restart"/>
            <w:tcBorders>
              <w:bottom w:val="single" w:sz="4" w:space="0" w:color="auto"/>
            </w:tcBorders>
            <w:vAlign w:val="center"/>
          </w:tcPr>
          <w:p w:rsidR="00276B9C" w:rsidRPr="00276B9C" w:rsidRDefault="00276B9C" w:rsidP="00276B9C">
            <w:pPr>
              <w:jc w:val="center"/>
              <w:rPr>
                <w:rFonts w:eastAsia="Times New Roman"/>
                <w:b/>
                <w:sz w:val="18"/>
                <w:szCs w:val="18"/>
                <w:lang w:val="es-ES"/>
              </w:rPr>
            </w:pPr>
            <w:r w:rsidRPr="00276B9C">
              <w:rPr>
                <w:rFonts w:eastAsia="Times New Roman"/>
                <w:b/>
                <w:sz w:val="18"/>
                <w:szCs w:val="18"/>
                <w:lang w:val="es-ES"/>
              </w:rPr>
              <w:t>IED</w:t>
            </w:r>
          </w:p>
        </w:tc>
      </w:tr>
      <w:tr w:rsidR="00276B9C" w:rsidRPr="00276B9C" w:rsidTr="0011560C">
        <w:trPr>
          <w:trHeight w:val="230"/>
          <w:jc w:val="center"/>
        </w:trPr>
        <w:tc>
          <w:tcPr>
            <w:tcW w:w="911" w:type="dxa"/>
            <w:vMerge/>
            <w:tcBorders>
              <w:top w:val="single" w:sz="4" w:space="0" w:color="auto"/>
              <w:bottom w:val="single" w:sz="4" w:space="0" w:color="auto"/>
            </w:tcBorders>
            <w:vAlign w:val="center"/>
          </w:tcPr>
          <w:p w:rsidR="00276B9C" w:rsidRPr="00276B9C" w:rsidRDefault="00276B9C" w:rsidP="00276B9C">
            <w:pPr>
              <w:jc w:val="center"/>
              <w:rPr>
                <w:rFonts w:eastAsia="Times New Roman"/>
                <w:b/>
                <w:sz w:val="18"/>
                <w:szCs w:val="18"/>
                <w:lang w:val="es-ES"/>
              </w:rPr>
            </w:pPr>
          </w:p>
        </w:tc>
        <w:tc>
          <w:tcPr>
            <w:tcW w:w="2780" w:type="dxa"/>
            <w:vMerge/>
            <w:tcBorders>
              <w:top w:val="single" w:sz="4" w:space="0" w:color="auto"/>
              <w:bottom w:val="single" w:sz="4" w:space="0" w:color="auto"/>
            </w:tcBorders>
            <w:vAlign w:val="center"/>
          </w:tcPr>
          <w:p w:rsidR="00276B9C" w:rsidRPr="00276B9C" w:rsidRDefault="00276B9C" w:rsidP="00276B9C">
            <w:pPr>
              <w:jc w:val="center"/>
              <w:rPr>
                <w:rFonts w:eastAsia="Times New Roman"/>
                <w:b/>
                <w:sz w:val="18"/>
                <w:szCs w:val="18"/>
                <w:lang w:val="es-ES"/>
              </w:rPr>
            </w:pPr>
          </w:p>
        </w:tc>
        <w:tc>
          <w:tcPr>
            <w:tcW w:w="1189" w:type="dxa"/>
            <w:vMerge/>
            <w:tcBorders>
              <w:top w:val="single" w:sz="4" w:space="0" w:color="auto"/>
              <w:bottom w:val="single" w:sz="4" w:space="0" w:color="auto"/>
            </w:tcBorders>
            <w:vAlign w:val="center"/>
          </w:tcPr>
          <w:p w:rsidR="00276B9C" w:rsidRPr="00276B9C" w:rsidRDefault="00276B9C" w:rsidP="00276B9C">
            <w:pPr>
              <w:jc w:val="center"/>
              <w:rPr>
                <w:rFonts w:eastAsia="Times New Roman"/>
                <w:b/>
                <w:sz w:val="18"/>
                <w:szCs w:val="18"/>
                <w:lang w:val="es-ES"/>
              </w:rPr>
            </w:pPr>
          </w:p>
        </w:tc>
      </w:tr>
      <w:tr w:rsidR="00276B9C" w:rsidRPr="00276B9C" w:rsidTr="0011560C">
        <w:trPr>
          <w:trHeight w:val="230"/>
          <w:jc w:val="center"/>
        </w:trPr>
        <w:tc>
          <w:tcPr>
            <w:tcW w:w="911" w:type="dxa"/>
            <w:vMerge/>
            <w:tcBorders>
              <w:top w:val="single" w:sz="4" w:space="0" w:color="auto"/>
              <w:bottom w:val="single" w:sz="4" w:space="0" w:color="auto"/>
            </w:tcBorders>
          </w:tcPr>
          <w:p w:rsidR="00276B9C" w:rsidRPr="00276B9C" w:rsidRDefault="00276B9C" w:rsidP="00276B9C">
            <w:pPr>
              <w:ind w:right="113"/>
              <w:jc w:val="right"/>
              <w:rPr>
                <w:rFonts w:eastAsia="Times New Roman"/>
                <w:sz w:val="18"/>
                <w:szCs w:val="18"/>
                <w:lang w:val="es-ES"/>
              </w:rPr>
            </w:pPr>
          </w:p>
        </w:tc>
        <w:tc>
          <w:tcPr>
            <w:tcW w:w="2780" w:type="dxa"/>
            <w:vMerge/>
            <w:tcBorders>
              <w:top w:val="single" w:sz="4" w:space="0" w:color="auto"/>
              <w:bottom w:val="single" w:sz="4" w:space="0" w:color="auto"/>
            </w:tcBorders>
          </w:tcPr>
          <w:p w:rsidR="00276B9C" w:rsidRPr="00276B9C" w:rsidRDefault="00276B9C" w:rsidP="00276B9C">
            <w:pPr>
              <w:ind w:right="113"/>
              <w:jc w:val="right"/>
              <w:rPr>
                <w:rFonts w:eastAsia="Times New Roman"/>
                <w:sz w:val="18"/>
                <w:szCs w:val="18"/>
                <w:lang w:val="es-ES"/>
              </w:rPr>
            </w:pPr>
          </w:p>
        </w:tc>
        <w:tc>
          <w:tcPr>
            <w:tcW w:w="1189" w:type="dxa"/>
            <w:vMerge/>
            <w:tcBorders>
              <w:top w:val="single" w:sz="4" w:space="0" w:color="auto"/>
              <w:bottom w:val="single" w:sz="4" w:space="0" w:color="auto"/>
            </w:tcBorders>
          </w:tcPr>
          <w:p w:rsidR="00276B9C" w:rsidRPr="00276B9C" w:rsidRDefault="00276B9C" w:rsidP="00276B9C">
            <w:pPr>
              <w:ind w:right="113"/>
              <w:jc w:val="right"/>
              <w:rPr>
                <w:rFonts w:eastAsia="Times New Roman"/>
                <w:sz w:val="18"/>
                <w:szCs w:val="18"/>
                <w:lang w:val="es-ES"/>
              </w:rPr>
            </w:pPr>
          </w:p>
        </w:tc>
      </w:tr>
      <w:tr w:rsidR="00276B9C" w:rsidRPr="00276B9C" w:rsidTr="0011560C">
        <w:trPr>
          <w:jc w:val="center"/>
        </w:trPr>
        <w:tc>
          <w:tcPr>
            <w:tcW w:w="911" w:type="dxa"/>
            <w:tcBorders>
              <w:top w:val="single" w:sz="4" w:space="0" w:color="auto"/>
              <w:bottom w:val="nil"/>
            </w:tcBorders>
            <w:vAlign w:val="center"/>
          </w:tcPr>
          <w:p w:rsidR="00276B9C" w:rsidRPr="00276B9C" w:rsidRDefault="00276B9C" w:rsidP="00276B9C">
            <w:pPr>
              <w:ind w:right="284"/>
              <w:jc w:val="right"/>
              <w:rPr>
                <w:rFonts w:eastAsia="Times New Roman"/>
                <w:sz w:val="18"/>
                <w:szCs w:val="18"/>
                <w:lang w:val="es-ES"/>
              </w:rPr>
            </w:pPr>
            <w:r w:rsidRPr="00276B9C">
              <w:rPr>
                <w:rFonts w:eastAsia="Times New Roman"/>
                <w:sz w:val="18"/>
                <w:szCs w:val="18"/>
                <w:lang w:val="es-ES"/>
              </w:rPr>
              <w:t>1</w:t>
            </w:r>
          </w:p>
        </w:tc>
        <w:tc>
          <w:tcPr>
            <w:tcW w:w="2780" w:type="dxa"/>
            <w:tcBorders>
              <w:top w:val="single" w:sz="4" w:space="0" w:color="auto"/>
              <w:bottom w:val="nil"/>
            </w:tcBorders>
            <w:vAlign w:val="center"/>
          </w:tcPr>
          <w:p w:rsidR="00276B9C" w:rsidRPr="00276B9C" w:rsidRDefault="00276B9C" w:rsidP="00276B9C">
            <w:pPr>
              <w:ind w:right="113"/>
              <w:jc w:val="both"/>
              <w:rPr>
                <w:rFonts w:eastAsia="Times New Roman"/>
                <w:sz w:val="18"/>
                <w:szCs w:val="18"/>
                <w:lang w:val="es-ES"/>
              </w:rPr>
            </w:pPr>
            <w:r w:rsidRPr="00276B9C">
              <w:rPr>
                <w:rFonts w:eastAsia="Times New Roman"/>
                <w:sz w:val="18"/>
                <w:szCs w:val="18"/>
                <w:lang w:val="es-ES"/>
              </w:rPr>
              <w:t>Estados Unidos de Norteamérica</w:t>
            </w:r>
          </w:p>
        </w:tc>
        <w:tc>
          <w:tcPr>
            <w:tcW w:w="1189" w:type="dxa"/>
            <w:tcBorders>
              <w:top w:val="single" w:sz="4" w:space="0" w:color="auto"/>
              <w:bottom w:val="nil"/>
            </w:tcBorders>
            <w:vAlign w:val="center"/>
          </w:tcPr>
          <w:p w:rsidR="00276B9C" w:rsidRPr="00276B9C" w:rsidRDefault="00276B9C" w:rsidP="00276B9C">
            <w:pPr>
              <w:ind w:right="227"/>
              <w:jc w:val="right"/>
              <w:rPr>
                <w:rFonts w:eastAsia="Times New Roman"/>
                <w:sz w:val="18"/>
                <w:szCs w:val="18"/>
                <w:lang w:val="es-ES"/>
              </w:rPr>
            </w:pPr>
            <w:r w:rsidRPr="00276B9C">
              <w:rPr>
                <w:rFonts w:eastAsia="Times New Roman"/>
                <w:sz w:val="18"/>
                <w:szCs w:val="18"/>
                <w:lang w:val="es-ES"/>
              </w:rPr>
              <w:t>160 569</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sz w:val="18"/>
                <w:szCs w:val="18"/>
                <w:lang w:val="es-ES"/>
              </w:rPr>
            </w:pPr>
            <w:r w:rsidRPr="00276B9C">
              <w:rPr>
                <w:rFonts w:eastAsia="Times New Roman"/>
                <w:sz w:val="18"/>
                <w:szCs w:val="18"/>
                <w:lang w:val="es-ES"/>
              </w:rPr>
              <w:t>2</w:t>
            </w:r>
          </w:p>
        </w:tc>
        <w:tc>
          <w:tcPr>
            <w:tcW w:w="2780" w:type="dxa"/>
            <w:tcBorders>
              <w:top w:val="nil"/>
              <w:bottom w:val="nil"/>
            </w:tcBorders>
            <w:vAlign w:val="center"/>
          </w:tcPr>
          <w:p w:rsidR="00276B9C" w:rsidRPr="00276B9C" w:rsidRDefault="00276B9C" w:rsidP="00276B9C">
            <w:pPr>
              <w:ind w:right="113"/>
              <w:jc w:val="both"/>
              <w:rPr>
                <w:rFonts w:eastAsia="Times New Roman"/>
                <w:sz w:val="18"/>
                <w:szCs w:val="18"/>
                <w:lang w:val="es-ES"/>
              </w:rPr>
            </w:pPr>
            <w:r w:rsidRPr="00276B9C">
              <w:rPr>
                <w:rFonts w:eastAsia="Times New Roman"/>
                <w:sz w:val="18"/>
                <w:szCs w:val="18"/>
                <w:lang w:val="es-ES"/>
              </w:rPr>
              <w:t>China</w:t>
            </w:r>
          </w:p>
        </w:tc>
        <w:tc>
          <w:tcPr>
            <w:tcW w:w="1189" w:type="dxa"/>
            <w:tcBorders>
              <w:top w:val="nil"/>
              <w:bottom w:val="nil"/>
            </w:tcBorders>
            <w:vAlign w:val="center"/>
          </w:tcPr>
          <w:p w:rsidR="00276B9C" w:rsidRPr="00276B9C" w:rsidRDefault="00276B9C" w:rsidP="00276B9C">
            <w:pPr>
              <w:ind w:right="227"/>
              <w:jc w:val="right"/>
              <w:rPr>
                <w:rFonts w:eastAsia="Times New Roman"/>
                <w:sz w:val="18"/>
                <w:szCs w:val="18"/>
                <w:lang w:val="es-ES"/>
              </w:rPr>
            </w:pPr>
            <w:r w:rsidRPr="00276B9C">
              <w:rPr>
                <w:rFonts w:eastAsia="Times New Roman"/>
                <w:sz w:val="18"/>
                <w:szCs w:val="18"/>
                <w:lang w:val="es-ES"/>
              </w:rPr>
              <w:t>121 080</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3</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 xml:space="preserve">Hong Kong </w:t>
            </w:r>
          </w:p>
        </w:tc>
        <w:tc>
          <w:tcPr>
            <w:tcW w:w="1189" w:type="dxa"/>
            <w:tcBorders>
              <w:top w:val="nil"/>
              <w:bottom w:val="nil"/>
            </w:tcBorders>
            <w:vAlign w:val="center"/>
          </w:tcPr>
          <w:p w:rsidR="00276B9C" w:rsidRPr="00276B9C" w:rsidRDefault="00276B9C" w:rsidP="00276B9C">
            <w:pPr>
              <w:ind w:right="227"/>
              <w:jc w:val="right"/>
              <w:rPr>
                <w:rFonts w:eastAsia="Times New Roman"/>
                <w:bCs/>
                <w:sz w:val="18"/>
                <w:szCs w:val="18"/>
              </w:rPr>
            </w:pPr>
            <w:r w:rsidRPr="00276B9C">
              <w:rPr>
                <w:rFonts w:eastAsia="Times New Roman"/>
                <w:bCs/>
                <w:sz w:val="18"/>
                <w:szCs w:val="18"/>
              </w:rPr>
              <w:t>74 888</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4</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Brasil</w:t>
            </w:r>
          </w:p>
        </w:tc>
        <w:tc>
          <w:tcPr>
            <w:tcW w:w="1189" w:type="dxa"/>
            <w:tcBorders>
              <w:top w:val="nil"/>
              <w:bottom w:val="nil"/>
            </w:tcBorders>
            <w:vAlign w:val="center"/>
          </w:tcPr>
          <w:p w:rsidR="00276B9C" w:rsidRPr="00276B9C" w:rsidRDefault="00276B9C" w:rsidP="00276B9C">
            <w:pPr>
              <w:ind w:right="227"/>
              <w:jc w:val="right"/>
              <w:rPr>
                <w:rFonts w:eastAsia="Times New Roman"/>
                <w:bCs/>
                <w:sz w:val="18"/>
                <w:szCs w:val="18"/>
              </w:rPr>
            </w:pPr>
            <w:r w:rsidRPr="00276B9C">
              <w:rPr>
                <w:rFonts w:eastAsia="Times New Roman"/>
                <w:bCs/>
                <w:sz w:val="18"/>
                <w:szCs w:val="18"/>
              </w:rPr>
              <w:t>65 272</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5</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Singapur</w:t>
            </w:r>
          </w:p>
        </w:tc>
        <w:tc>
          <w:tcPr>
            <w:tcW w:w="1189" w:type="dxa"/>
            <w:tcBorders>
              <w:top w:val="nil"/>
              <w:bottom w:val="nil"/>
            </w:tcBorders>
            <w:vAlign w:val="center"/>
          </w:tcPr>
          <w:p w:rsidR="00276B9C" w:rsidRPr="00276B9C" w:rsidRDefault="00276B9C" w:rsidP="00276B9C">
            <w:pPr>
              <w:ind w:right="227"/>
              <w:jc w:val="right"/>
              <w:rPr>
                <w:rFonts w:eastAsia="Times New Roman"/>
                <w:bCs/>
                <w:sz w:val="18"/>
                <w:szCs w:val="18"/>
              </w:rPr>
            </w:pPr>
            <w:r w:rsidRPr="00276B9C">
              <w:rPr>
                <w:rFonts w:eastAsia="Times New Roman"/>
                <w:bCs/>
                <w:sz w:val="18"/>
                <w:szCs w:val="18"/>
              </w:rPr>
              <w:t>61 159</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6</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Australia</w:t>
            </w:r>
          </w:p>
        </w:tc>
        <w:tc>
          <w:tcPr>
            <w:tcW w:w="1189" w:type="dxa"/>
            <w:tcBorders>
              <w:top w:val="nil"/>
              <w:bottom w:val="nil"/>
            </w:tcBorders>
            <w:vAlign w:val="center"/>
          </w:tcPr>
          <w:p w:rsidR="00276B9C" w:rsidRPr="00276B9C" w:rsidRDefault="00276B9C" w:rsidP="00276B9C">
            <w:pPr>
              <w:ind w:right="227"/>
              <w:jc w:val="right"/>
              <w:rPr>
                <w:rFonts w:eastAsia="Times New Roman"/>
                <w:bCs/>
                <w:sz w:val="18"/>
                <w:szCs w:val="18"/>
              </w:rPr>
            </w:pPr>
            <w:r w:rsidRPr="00276B9C">
              <w:rPr>
                <w:rFonts w:eastAsia="Times New Roman"/>
                <w:bCs/>
                <w:sz w:val="18"/>
                <w:szCs w:val="18"/>
              </w:rPr>
              <w:t>55 518</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7</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Rusia</w:t>
            </w:r>
          </w:p>
        </w:tc>
        <w:tc>
          <w:tcPr>
            <w:tcW w:w="1189" w:type="dxa"/>
            <w:tcBorders>
              <w:top w:val="nil"/>
              <w:bottom w:val="nil"/>
            </w:tcBorders>
            <w:vAlign w:val="center"/>
          </w:tcPr>
          <w:p w:rsidR="00276B9C" w:rsidRPr="00276B9C" w:rsidRDefault="00276B9C" w:rsidP="00276B9C">
            <w:pPr>
              <w:ind w:right="227"/>
              <w:jc w:val="right"/>
              <w:rPr>
                <w:rFonts w:eastAsia="Times New Roman"/>
                <w:bCs/>
                <w:sz w:val="18"/>
                <w:szCs w:val="18"/>
              </w:rPr>
            </w:pPr>
            <w:r w:rsidRPr="00276B9C">
              <w:rPr>
                <w:rFonts w:eastAsia="Times New Roman"/>
                <w:bCs/>
                <w:sz w:val="18"/>
                <w:szCs w:val="18"/>
              </w:rPr>
              <w:t>50 588</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8</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Reino Unido</w:t>
            </w:r>
          </w:p>
        </w:tc>
        <w:tc>
          <w:tcPr>
            <w:tcW w:w="1189" w:type="dxa"/>
            <w:tcBorders>
              <w:top w:val="nil"/>
              <w:bottom w:val="nil"/>
            </w:tcBorders>
            <w:vAlign w:val="center"/>
          </w:tcPr>
          <w:p w:rsidR="00276B9C" w:rsidRPr="00276B9C" w:rsidRDefault="00276B9C" w:rsidP="00276B9C">
            <w:pPr>
              <w:ind w:right="227"/>
              <w:jc w:val="right"/>
              <w:rPr>
                <w:rFonts w:eastAsia="Times New Roman"/>
                <w:bCs/>
                <w:sz w:val="18"/>
                <w:szCs w:val="18"/>
              </w:rPr>
            </w:pPr>
            <w:r w:rsidRPr="00276B9C">
              <w:rPr>
                <w:rFonts w:eastAsia="Times New Roman"/>
                <w:bCs/>
                <w:sz w:val="18"/>
                <w:szCs w:val="18"/>
              </w:rPr>
              <w:t>45 796</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9</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Canadá</w:t>
            </w:r>
          </w:p>
        </w:tc>
        <w:tc>
          <w:tcPr>
            <w:tcW w:w="1189" w:type="dxa"/>
            <w:tcBorders>
              <w:top w:val="nil"/>
              <w:bottom w:val="nil"/>
            </w:tcBorders>
            <w:vAlign w:val="center"/>
          </w:tcPr>
          <w:p w:rsidR="00276B9C" w:rsidRPr="00276B9C" w:rsidRDefault="00276B9C" w:rsidP="00276B9C">
            <w:pPr>
              <w:ind w:right="227"/>
              <w:jc w:val="right"/>
              <w:rPr>
                <w:rFonts w:eastAsia="Times New Roman"/>
                <w:bCs/>
                <w:sz w:val="18"/>
                <w:szCs w:val="18"/>
              </w:rPr>
            </w:pPr>
            <w:r w:rsidRPr="00276B9C">
              <w:rPr>
                <w:rFonts w:eastAsia="Times New Roman"/>
                <w:bCs/>
                <w:sz w:val="18"/>
                <w:szCs w:val="18"/>
              </w:rPr>
              <w:t>43 025</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10</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Irlanda</w:t>
            </w:r>
          </w:p>
        </w:tc>
        <w:tc>
          <w:tcPr>
            <w:tcW w:w="1189" w:type="dxa"/>
            <w:tcBorders>
              <w:top w:val="nil"/>
              <w:bottom w:val="nil"/>
            </w:tcBorders>
            <w:vAlign w:val="center"/>
          </w:tcPr>
          <w:p w:rsidR="00276B9C" w:rsidRPr="00276B9C" w:rsidRDefault="00276B9C" w:rsidP="00276B9C">
            <w:pPr>
              <w:ind w:right="227"/>
              <w:jc w:val="right"/>
              <w:rPr>
                <w:rFonts w:eastAsia="Times New Roman"/>
                <w:bCs/>
                <w:sz w:val="18"/>
                <w:szCs w:val="18"/>
              </w:rPr>
            </w:pPr>
            <w:r w:rsidRPr="00276B9C">
              <w:rPr>
                <w:rFonts w:eastAsia="Times New Roman"/>
                <w:bCs/>
                <w:sz w:val="18"/>
                <w:szCs w:val="18"/>
              </w:rPr>
              <w:t>38 315</w:t>
            </w:r>
          </w:p>
        </w:tc>
      </w:tr>
      <w:tr w:rsidR="00276B9C" w:rsidRPr="00276B9C" w:rsidTr="0011560C">
        <w:trPr>
          <w:jc w:val="center"/>
        </w:trPr>
        <w:tc>
          <w:tcPr>
            <w:tcW w:w="911" w:type="dxa"/>
            <w:tcBorders>
              <w:top w:val="nil"/>
              <w:bottom w:val="single" w:sz="4" w:space="0" w:color="auto"/>
            </w:tcBorders>
            <w:vAlign w:val="center"/>
          </w:tcPr>
          <w:p w:rsidR="00276B9C" w:rsidRPr="00276B9C" w:rsidRDefault="00276B9C" w:rsidP="00276B9C">
            <w:pPr>
              <w:ind w:right="284"/>
              <w:jc w:val="right"/>
              <w:rPr>
                <w:rFonts w:eastAsia="Times New Roman"/>
                <w:b/>
                <w:bCs/>
                <w:sz w:val="18"/>
                <w:szCs w:val="18"/>
              </w:rPr>
            </w:pPr>
            <w:r w:rsidRPr="00276B9C">
              <w:rPr>
                <w:rFonts w:eastAsia="Times New Roman"/>
                <w:b/>
                <w:bCs/>
                <w:sz w:val="18"/>
                <w:szCs w:val="18"/>
              </w:rPr>
              <w:t>16</w:t>
            </w:r>
          </w:p>
        </w:tc>
        <w:tc>
          <w:tcPr>
            <w:tcW w:w="2780" w:type="dxa"/>
            <w:tcBorders>
              <w:top w:val="nil"/>
              <w:bottom w:val="single" w:sz="4" w:space="0" w:color="auto"/>
            </w:tcBorders>
            <w:vAlign w:val="center"/>
          </w:tcPr>
          <w:p w:rsidR="00276B9C" w:rsidRPr="00276B9C" w:rsidRDefault="00276B9C" w:rsidP="00276B9C">
            <w:pPr>
              <w:ind w:right="113"/>
              <w:jc w:val="both"/>
              <w:rPr>
                <w:rFonts w:eastAsia="Times New Roman"/>
                <w:b/>
                <w:bCs/>
                <w:sz w:val="18"/>
                <w:szCs w:val="18"/>
              </w:rPr>
            </w:pPr>
            <w:r w:rsidRPr="00276B9C">
              <w:rPr>
                <w:rFonts w:eastAsia="Times New Roman"/>
                <w:b/>
                <w:bCs/>
                <w:sz w:val="18"/>
                <w:szCs w:val="18"/>
              </w:rPr>
              <w:t>México</w:t>
            </w:r>
          </w:p>
        </w:tc>
        <w:tc>
          <w:tcPr>
            <w:tcW w:w="1189" w:type="dxa"/>
            <w:tcBorders>
              <w:top w:val="nil"/>
              <w:bottom w:val="single" w:sz="4" w:space="0" w:color="auto"/>
            </w:tcBorders>
            <w:vAlign w:val="center"/>
          </w:tcPr>
          <w:p w:rsidR="00276B9C" w:rsidRPr="00276B9C" w:rsidRDefault="00276B9C" w:rsidP="00276B9C">
            <w:pPr>
              <w:ind w:right="227"/>
              <w:jc w:val="right"/>
              <w:rPr>
                <w:rFonts w:eastAsia="Times New Roman"/>
                <w:b/>
                <w:bCs/>
                <w:sz w:val="18"/>
                <w:szCs w:val="18"/>
              </w:rPr>
            </w:pPr>
            <w:r w:rsidRPr="00276B9C">
              <w:rPr>
                <w:rFonts w:eastAsia="Times New Roman"/>
                <w:b/>
                <w:bCs/>
                <w:sz w:val="18"/>
                <w:szCs w:val="18"/>
              </w:rPr>
              <w:t>17 628</w:t>
            </w:r>
          </w:p>
        </w:tc>
      </w:tr>
      <w:tr w:rsidR="00276B9C" w:rsidRPr="00276B9C" w:rsidTr="001E7D79">
        <w:trPr>
          <w:jc w:val="center"/>
        </w:trPr>
        <w:tc>
          <w:tcPr>
            <w:tcW w:w="4880" w:type="dxa"/>
            <w:gridSpan w:val="3"/>
            <w:tcBorders>
              <w:left w:val="nil"/>
              <w:bottom w:val="nil"/>
              <w:right w:val="nil"/>
            </w:tcBorders>
            <w:vAlign w:val="center"/>
          </w:tcPr>
          <w:p w:rsidR="00276B9C" w:rsidRPr="00276B9C" w:rsidRDefault="00276B9C" w:rsidP="00276B9C">
            <w:pPr>
              <w:ind w:right="284"/>
              <w:rPr>
                <w:rFonts w:eastAsia="Times New Roman"/>
                <w:bCs/>
                <w:sz w:val="18"/>
                <w:szCs w:val="18"/>
              </w:rPr>
            </w:pPr>
            <w:r w:rsidRPr="00276B9C">
              <w:rPr>
                <w:rFonts w:eastAsia="Times New Roman"/>
                <w:bCs/>
                <w:sz w:val="18"/>
                <w:szCs w:val="18"/>
              </w:rPr>
              <w:t>Nota: No incluye Islas Vírgenes Británica.</w:t>
            </w:r>
          </w:p>
          <w:p w:rsidR="00276B9C" w:rsidRPr="00276B9C" w:rsidRDefault="00276B9C" w:rsidP="00276B9C">
            <w:pPr>
              <w:ind w:right="284"/>
              <w:rPr>
                <w:rFonts w:eastAsia="Times New Roman"/>
                <w:bCs/>
                <w:sz w:val="18"/>
                <w:szCs w:val="18"/>
              </w:rPr>
            </w:pPr>
            <w:r w:rsidRPr="00276B9C">
              <w:rPr>
                <w:rFonts w:eastAsia="Times New Roman"/>
                <w:bCs/>
                <w:sz w:val="18"/>
                <w:szCs w:val="18"/>
              </w:rPr>
              <w:t>FUENTE: UNCTAD.</w:t>
            </w:r>
          </w:p>
        </w:tc>
      </w:tr>
    </w:tbl>
    <w:p w:rsidR="00276B9C" w:rsidRPr="00276B9C" w:rsidRDefault="00276B9C" w:rsidP="00276B9C">
      <w:pPr>
        <w:spacing w:after="360" w:line="360" w:lineRule="auto"/>
        <w:ind w:right="-159"/>
        <w:jc w:val="both"/>
        <w:rPr>
          <w:rFonts w:eastAsia="Calibri"/>
          <w:sz w:val="26"/>
          <w:szCs w:val="26"/>
          <w:lang w:eastAsia="en-US"/>
        </w:rPr>
      </w:pPr>
    </w:p>
    <w:tbl>
      <w:tblPr>
        <w:tblW w:w="4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1"/>
        <w:gridCol w:w="2780"/>
        <w:gridCol w:w="1189"/>
      </w:tblGrid>
      <w:tr w:rsidR="00276B9C" w:rsidRPr="00276B9C" w:rsidTr="0011560C">
        <w:trPr>
          <w:trHeight w:val="230"/>
          <w:jc w:val="center"/>
        </w:trPr>
        <w:tc>
          <w:tcPr>
            <w:tcW w:w="4880" w:type="dxa"/>
            <w:gridSpan w:val="3"/>
            <w:tcBorders>
              <w:top w:val="nil"/>
              <w:left w:val="nil"/>
              <w:bottom w:val="single" w:sz="4" w:space="0" w:color="auto"/>
              <w:right w:val="nil"/>
            </w:tcBorders>
            <w:vAlign w:val="center"/>
          </w:tcPr>
          <w:p w:rsidR="00276B9C" w:rsidRPr="00276B9C" w:rsidRDefault="00276B9C" w:rsidP="00276B9C">
            <w:pPr>
              <w:jc w:val="center"/>
              <w:rPr>
                <w:rFonts w:eastAsia="Times New Roman"/>
                <w:b/>
                <w:sz w:val="20"/>
                <w:szCs w:val="20"/>
                <w:lang w:val="es-ES"/>
              </w:rPr>
            </w:pPr>
            <w:r w:rsidRPr="00276B9C">
              <w:rPr>
                <w:rFonts w:eastAsia="Times New Roman"/>
                <w:b/>
                <w:sz w:val="20"/>
                <w:szCs w:val="20"/>
                <w:lang w:val="es-ES"/>
              </w:rPr>
              <w:t xml:space="preserve">PRINCIPALES PAÍSES RECEPTORES DE </w:t>
            </w:r>
          </w:p>
          <w:p w:rsidR="00276B9C" w:rsidRPr="00276B9C" w:rsidRDefault="00276B9C" w:rsidP="00276B9C">
            <w:pPr>
              <w:jc w:val="center"/>
              <w:rPr>
                <w:rFonts w:eastAsia="Times New Roman"/>
                <w:b/>
                <w:sz w:val="20"/>
                <w:szCs w:val="20"/>
                <w:lang w:val="es-ES"/>
              </w:rPr>
            </w:pPr>
            <w:r w:rsidRPr="00276B9C">
              <w:rPr>
                <w:rFonts w:eastAsia="Times New Roman"/>
                <w:b/>
                <w:sz w:val="20"/>
                <w:szCs w:val="20"/>
                <w:lang w:val="es-ES"/>
              </w:rPr>
              <w:t>IED, 2013</w:t>
            </w:r>
          </w:p>
          <w:p w:rsidR="00276B9C" w:rsidRPr="00276B9C" w:rsidRDefault="00276B9C" w:rsidP="00276B9C">
            <w:pPr>
              <w:jc w:val="center"/>
              <w:rPr>
                <w:rFonts w:eastAsia="Times New Roman"/>
                <w:b/>
                <w:sz w:val="20"/>
                <w:szCs w:val="20"/>
                <w:lang w:val="es-ES"/>
              </w:rPr>
            </w:pPr>
            <w:r w:rsidRPr="00276B9C">
              <w:rPr>
                <w:rFonts w:eastAsia="Times New Roman"/>
                <w:b/>
                <w:sz w:val="20"/>
                <w:szCs w:val="20"/>
                <w:lang w:val="es-ES"/>
              </w:rPr>
              <w:t>-Millones de dólares-</w:t>
            </w:r>
          </w:p>
        </w:tc>
      </w:tr>
      <w:tr w:rsidR="00276B9C" w:rsidRPr="00276B9C" w:rsidTr="0011560C">
        <w:trPr>
          <w:trHeight w:val="230"/>
          <w:jc w:val="center"/>
        </w:trPr>
        <w:tc>
          <w:tcPr>
            <w:tcW w:w="911" w:type="dxa"/>
            <w:vMerge w:val="restart"/>
            <w:tcBorders>
              <w:bottom w:val="single" w:sz="4" w:space="0" w:color="auto"/>
            </w:tcBorders>
            <w:vAlign w:val="center"/>
          </w:tcPr>
          <w:p w:rsidR="00276B9C" w:rsidRPr="00276B9C" w:rsidRDefault="00276B9C" w:rsidP="00276B9C">
            <w:pPr>
              <w:jc w:val="center"/>
              <w:rPr>
                <w:rFonts w:eastAsia="Times New Roman"/>
                <w:b/>
                <w:sz w:val="18"/>
                <w:szCs w:val="18"/>
                <w:lang w:val="es-ES"/>
              </w:rPr>
            </w:pPr>
            <w:r w:rsidRPr="00276B9C">
              <w:rPr>
                <w:rFonts w:eastAsia="Times New Roman"/>
                <w:b/>
                <w:sz w:val="18"/>
                <w:szCs w:val="18"/>
                <w:lang w:val="es-ES"/>
              </w:rPr>
              <w:t>Posición</w:t>
            </w:r>
          </w:p>
        </w:tc>
        <w:tc>
          <w:tcPr>
            <w:tcW w:w="2780" w:type="dxa"/>
            <w:vMerge w:val="restart"/>
            <w:tcBorders>
              <w:bottom w:val="single" w:sz="4" w:space="0" w:color="auto"/>
            </w:tcBorders>
            <w:vAlign w:val="center"/>
          </w:tcPr>
          <w:p w:rsidR="00276B9C" w:rsidRPr="00276B9C" w:rsidRDefault="00276B9C" w:rsidP="00276B9C">
            <w:pPr>
              <w:jc w:val="center"/>
              <w:rPr>
                <w:rFonts w:eastAsia="Times New Roman"/>
                <w:b/>
                <w:sz w:val="18"/>
                <w:szCs w:val="18"/>
                <w:lang w:val="es-ES"/>
              </w:rPr>
            </w:pPr>
            <w:r w:rsidRPr="00276B9C">
              <w:rPr>
                <w:rFonts w:eastAsia="Times New Roman"/>
                <w:b/>
                <w:sz w:val="18"/>
                <w:szCs w:val="18"/>
                <w:lang w:val="es-ES"/>
              </w:rPr>
              <w:t>País</w:t>
            </w:r>
          </w:p>
        </w:tc>
        <w:tc>
          <w:tcPr>
            <w:tcW w:w="1189" w:type="dxa"/>
            <w:vMerge w:val="restart"/>
            <w:tcBorders>
              <w:bottom w:val="single" w:sz="4" w:space="0" w:color="auto"/>
            </w:tcBorders>
            <w:vAlign w:val="center"/>
          </w:tcPr>
          <w:p w:rsidR="00276B9C" w:rsidRPr="00276B9C" w:rsidRDefault="00276B9C" w:rsidP="00276B9C">
            <w:pPr>
              <w:jc w:val="center"/>
              <w:rPr>
                <w:rFonts w:eastAsia="Times New Roman"/>
                <w:b/>
                <w:sz w:val="18"/>
                <w:szCs w:val="18"/>
                <w:lang w:val="es-ES"/>
              </w:rPr>
            </w:pPr>
            <w:r w:rsidRPr="00276B9C">
              <w:rPr>
                <w:rFonts w:eastAsia="Times New Roman"/>
                <w:b/>
                <w:sz w:val="18"/>
                <w:szCs w:val="18"/>
                <w:lang w:val="es-ES"/>
              </w:rPr>
              <w:t>IED</w:t>
            </w:r>
          </w:p>
        </w:tc>
      </w:tr>
      <w:tr w:rsidR="00276B9C" w:rsidRPr="00276B9C" w:rsidTr="0011560C">
        <w:trPr>
          <w:trHeight w:val="230"/>
          <w:jc w:val="center"/>
        </w:trPr>
        <w:tc>
          <w:tcPr>
            <w:tcW w:w="911" w:type="dxa"/>
            <w:vMerge/>
            <w:tcBorders>
              <w:top w:val="single" w:sz="4" w:space="0" w:color="auto"/>
              <w:bottom w:val="single" w:sz="4" w:space="0" w:color="auto"/>
            </w:tcBorders>
            <w:vAlign w:val="center"/>
          </w:tcPr>
          <w:p w:rsidR="00276B9C" w:rsidRPr="00276B9C" w:rsidRDefault="00276B9C" w:rsidP="00276B9C">
            <w:pPr>
              <w:jc w:val="center"/>
              <w:rPr>
                <w:rFonts w:eastAsia="Times New Roman"/>
                <w:b/>
                <w:sz w:val="18"/>
                <w:szCs w:val="18"/>
                <w:lang w:val="es-ES"/>
              </w:rPr>
            </w:pPr>
          </w:p>
        </w:tc>
        <w:tc>
          <w:tcPr>
            <w:tcW w:w="2780" w:type="dxa"/>
            <w:vMerge/>
            <w:tcBorders>
              <w:top w:val="single" w:sz="4" w:space="0" w:color="auto"/>
              <w:bottom w:val="single" w:sz="4" w:space="0" w:color="auto"/>
            </w:tcBorders>
            <w:vAlign w:val="center"/>
          </w:tcPr>
          <w:p w:rsidR="00276B9C" w:rsidRPr="00276B9C" w:rsidRDefault="00276B9C" w:rsidP="00276B9C">
            <w:pPr>
              <w:jc w:val="center"/>
              <w:rPr>
                <w:rFonts w:eastAsia="Times New Roman"/>
                <w:b/>
                <w:sz w:val="18"/>
                <w:szCs w:val="18"/>
                <w:lang w:val="es-ES"/>
              </w:rPr>
            </w:pPr>
          </w:p>
        </w:tc>
        <w:tc>
          <w:tcPr>
            <w:tcW w:w="1189" w:type="dxa"/>
            <w:vMerge/>
            <w:tcBorders>
              <w:top w:val="single" w:sz="4" w:space="0" w:color="auto"/>
              <w:bottom w:val="single" w:sz="4" w:space="0" w:color="auto"/>
            </w:tcBorders>
            <w:vAlign w:val="center"/>
          </w:tcPr>
          <w:p w:rsidR="00276B9C" w:rsidRPr="00276B9C" w:rsidRDefault="00276B9C" w:rsidP="00276B9C">
            <w:pPr>
              <w:jc w:val="center"/>
              <w:rPr>
                <w:rFonts w:eastAsia="Times New Roman"/>
                <w:b/>
                <w:sz w:val="18"/>
                <w:szCs w:val="18"/>
                <w:lang w:val="es-ES"/>
              </w:rPr>
            </w:pPr>
          </w:p>
        </w:tc>
      </w:tr>
      <w:tr w:rsidR="00276B9C" w:rsidRPr="00276B9C" w:rsidTr="0011560C">
        <w:trPr>
          <w:trHeight w:val="230"/>
          <w:jc w:val="center"/>
        </w:trPr>
        <w:tc>
          <w:tcPr>
            <w:tcW w:w="911" w:type="dxa"/>
            <w:vMerge/>
            <w:tcBorders>
              <w:top w:val="single" w:sz="4" w:space="0" w:color="auto"/>
              <w:bottom w:val="single" w:sz="4" w:space="0" w:color="auto"/>
            </w:tcBorders>
          </w:tcPr>
          <w:p w:rsidR="00276B9C" w:rsidRPr="00276B9C" w:rsidRDefault="00276B9C" w:rsidP="00276B9C">
            <w:pPr>
              <w:ind w:right="113"/>
              <w:jc w:val="right"/>
              <w:rPr>
                <w:rFonts w:eastAsia="Times New Roman"/>
                <w:sz w:val="18"/>
                <w:szCs w:val="18"/>
                <w:lang w:val="es-ES"/>
              </w:rPr>
            </w:pPr>
          </w:p>
        </w:tc>
        <w:tc>
          <w:tcPr>
            <w:tcW w:w="2780" w:type="dxa"/>
            <w:vMerge/>
            <w:tcBorders>
              <w:top w:val="single" w:sz="4" w:space="0" w:color="auto"/>
              <w:bottom w:val="single" w:sz="4" w:space="0" w:color="auto"/>
            </w:tcBorders>
          </w:tcPr>
          <w:p w:rsidR="00276B9C" w:rsidRPr="00276B9C" w:rsidRDefault="00276B9C" w:rsidP="00276B9C">
            <w:pPr>
              <w:ind w:right="113"/>
              <w:jc w:val="right"/>
              <w:rPr>
                <w:rFonts w:eastAsia="Times New Roman"/>
                <w:sz w:val="18"/>
                <w:szCs w:val="18"/>
                <w:lang w:val="es-ES"/>
              </w:rPr>
            </w:pPr>
          </w:p>
        </w:tc>
        <w:tc>
          <w:tcPr>
            <w:tcW w:w="1189" w:type="dxa"/>
            <w:vMerge/>
            <w:tcBorders>
              <w:top w:val="single" w:sz="4" w:space="0" w:color="auto"/>
              <w:bottom w:val="single" w:sz="4" w:space="0" w:color="auto"/>
            </w:tcBorders>
          </w:tcPr>
          <w:p w:rsidR="00276B9C" w:rsidRPr="00276B9C" w:rsidRDefault="00276B9C" w:rsidP="00276B9C">
            <w:pPr>
              <w:ind w:right="113"/>
              <w:jc w:val="right"/>
              <w:rPr>
                <w:rFonts w:eastAsia="Times New Roman"/>
                <w:sz w:val="18"/>
                <w:szCs w:val="18"/>
                <w:lang w:val="es-ES"/>
              </w:rPr>
            </w:pPr>
          </w:p>
        </w:tc>
      </w:tr>
      <w:tr w:rsidR="00276B9C" w:rsidRPr="00276B9C" w:rsidTr="0011560C">
        <w:trPr>
          <w:jc w:val="center"/>
        </w:trPr>
        <w:tc>
          <w:tcPr>
            <w:tcW w:w="911" w:type="dxa"/>
            <w:tcBorders>
              <w:top w:val="single" w:sz="4" w:space="0" w:color="auto"/>
              <w:bottom w:val="nil"/>
            </w:tcBorders>
            <w:vAlign w:val="center"/>
          </w:tcPr>
          <w:p w:rsidR="00276B9C" w:rsidRPr="00276B9C" w:rsidRDefault="00276B9C" w:rsidP="00276B9C">
            <w:pPr>
              <w:ind w:right="284"/>
              <w:jc w:val="right"/>
              <w:rPr>
                <w:rFonts w:eastAsia="Times New Roman"/>
                <w:sz w:val="18"/>
                <w:szCs w:val="18"/>
                <w:lang w:val="es-ES"/>
              </w:rPr>
            </w:pPr>
            <w:r w:rsidRPr="00276B9C">
              <w:rPr>
                <w:rFonts w:eastAsia="Times New Roman"/>
                <w:sz w:val="18"/>
                <w:szCs w:val="18"/>
                <w:lang w:val="es-ES"/>
              </w:rPr>
              <w:t>1</w:t>
            </w:r>
          </w:p>
        </w:tc>
        <w:tc>
          <w:tcPr>
            <w:tcW w:w="2780" w:type="dxa"/>
            <w:tcBorders>
              <w:top w:val="single" w:sz="4" w:space="0" w:color="auto"/>
              <w:bottom w:val="nil"/>
            </w:tcBorders>
            <w:vAlign w:val="center"/>
          </w:tcPr>
          <w:p w:rsidR="00276B9C" w:rsidRPr="00276B9C" w:rsidRDefault="00276B9C" w:rsidP="00276B9C">
            <w:pPr>
              <w:ind w:right="113"/>
              <w:jc w:val="both"/>
              <w:rPr>
                <w:rFonts w:eastAsia="Times New Roman"/>
                <w:sz w:val="18"/>
                <w:szCs w:val="18"/>
                <w:lang w:val="es-ES"/>
              </w:rPr>
            </w:pPr>
            <w:r w:rsidRPr="00276B9C">
              <w:rPr>
                <w:rFonts w:eastAsia="Times New Roman"/>
                <w:sz w:val="18"/>
                <w:szCs w:val="18"/>
                <w:lang w:val="es-ES"/>
              </w:rPr>
              <w:t>Estados Unidos de Norteamérica</w:t>
            </w:r>
          </w:p>
        </w:tc>
        <w:tc>
          <w:tcPr>
            <w:tcW w:w="1189" w:type="dxa"/>
            <w:tcBorders>
              <w:top w:val="single" w:sz="4" w:space="0" w:color="auto"/>
              <w:bottom w:val="nil"/>
            </w:tcBorders>
            <w:vAlign w:val="center"/>
          </w:tcPr>
          <w:p w:rsidR="00276B9C" w:rsidRPr="00276B9C" w:rsidRDefault="00276B9C" w:rsidP="00276B9C">
            <w:pPr>
              <w:ind w:right="227"/>
              <w:jc w:val="right"/>
              <w:rPr>
                <w:rFonts w:eastAsia="Times New Roman"/>
                <w:sz w:val="18"/>
                <w:szCs w:val="18"/>
                <w:lang w:val="es-ES"/>
              </w:rPr>
            </w:pPr>
            <w:r w:rsidRPr="00276B9C">
              <w:rPr>
                <w:rFonts w:eastAsia="Times New Roman"/>
                <w:sz w:val="18"/>
                <w:szCs w:val="18"/>
                <w:lang w:val="es-ES"/>
              </w:rPr>
              <w:t>187 528</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sz w:val="18"/>
                <w:szCs w:val="18"/>
                <w:lang w:val="es-ES"/>
              </w:rPr>
            </w:pPr>
            <w:r w:rsidRPr="00276B9C">
              <w:rPr>
                <w:rFonts w:eastAsia="Times New Roman"/>
                <w:sz w:val="18"/>
                <w:szCs w:val="18"/>
                <w:lang w:val="es-ES"/>
              </w:rPr>
              <w:t>2</w:t>
            </w:r>
          </w:p>
        </w:tc>
        <w:tc>
          <w:tcPr>
            <w:tcW w:w="2780" w:type="dxa"/>
            <w:tcBorders>
              <w:top w:val="nil"/>
              <w:bottom w:val="nil"/>
            </w:tcBorders>
            <w:vAlign w:val="center"/>
          </w:tcPr>
          <w:p w:rsidR="00276B9C" w:rsidRPr="00276B9C" w:rsidRDefault="00276B9C" w:rsidP="00276B9C">
            <w:pPr>
              <w:ind w:right="113"/>
              <w:jc w:val="both"/>
              <w:rPr>
                <w:rFonts w:eastAsia="Times New Roman"/>
                <w:sz w:val="18"/>
                <w:szCs w:val="18"/>
                <w:lang w:val="es-ES"/>
              </w:rPr>
            </w:pPr>
            <w:r w:rsidRPr="00276B9C">
              <w:rPr>
                <w:rFonts w:eastAsia="Times New Roman"/>
                <w:sz w:val="18"/>
                <w:szCs w:val="18"/>
                <w:lang w:val="es-ES"/>
              </w:rPr>
              <w:t>China</w:t>
            </w:r>
          </w:p>
        </w:tc>
        <w:tc>
          <w:tcPr>
            <w:tcW w:w="1189" w:type="dxa"/>
            <w:tcBorders>
              <w:top w:val="nil"/>
              <w:bottom w:val="nil"/>
            </w:tcBorders>
            <w:vAlign w:val="center"/>
          </w:tcPr>
          <w:p w:rsidR="00276B9C" w:rsidRPr="00276B9C" w:rsidRDefault="00276B9C" w:rsidP="00276B9C">
            <w:pPr>
              <w:ind w:right="227"/>
              <w:jc w:val="right"/>
              <w:rPr>
                <w:rFonts w:eastAsia="Times New Roman"/>
                <w:sz w:val="18"/>
                <w:szCs w:val="18"/>
                <w:lang w:val="es-ES"/>
              </w:rPr>
            </w:pPr>
            <w:r w:rsidRPr="00276B9C">
              <w:rPr>
                <w:rFonts w:eastAsia="Times New Roman"/>
                <w:sz w:val="18"/>
                <w:szCs w:val="18"/>
                <w:lang w:val="es-ES"/>
              </w:rPr>
              <w:t>123 911</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3</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 xml:space="preserve">Rusia </w:t>
            </w:r>
          </w:p>
        </w:tc>
        <w:tc>
          <w:tcPr>
            <w:tcW w:w="1189" w:type="dxa"/>
            <w:tcBorders>
              <w:top w:val="nil"/>
              <w:bottom w:val="nil"/>
            </w:tcBorders>
            <w:vAlign w:val="center"/>
          </w:tcPr>
          <w:p w:rsidR="00276B9C" w:rsidRPr="00276B9C" w:rsidRDefault="00276B9C" w:rsidP="00276B9C">
            <w:pPr>
              <w:ind w:right="227"/>
              <w:jc w:val="right"/>
              <w:rPr>
                <w:rFonts w:eastAsia="Times New Roman"/>
                <w:bCs/>
                <w:sz w:val="18"/>
                <w:szCs w:val="18"/>
              </w:rPr>
            </w:pPr>
            <w:r w:rsidRPr="00276B9C">
              <w:rPr>
                <w:rFonts w:eastAsia="Times New Roman"/>
                <w:bCs/>
                <w:sz w:val="18"/>
                <w:szCs w:val="18"/>
              </w:rPr>
              <w:t>79 262</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4</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Hong Kong</w:t>
            </w:r>
          </w:p>
        </w:tc>
        <w:tc>
          <w:tcPr>
            <w:tcW w:w="1189" w:type="dxa"/>
            <w:tcBorders>
              <w:top w:val="nil"/>
              <w:bottom w:val="nil"/>
            </w:tcBorders>
            <w:vAlign w:val="center"/>
          </w:tcPr>
          <w:p w:rsidR="00276B9C" w:rsidRPr="00276B9C" w:rsidRDefault="00276B9C" w:rsidP="00276B9C">
            <w:pPr>
              <w:ind w:right="227"/>
              <w:jc w:val="right"/>
              <w:rPr>
                <w:rFonts w:eastAsia="Times New Roman"/>
                <w:bCs/>
                <w:sz w:val="18"/>
                <w:szCs w:val="18"/>
              </w:rPr>
            </w:pPr>
            <w:r w:rsidRPr="00276B9C">
              <w:rPr>
                <w:rFonts w:eastAsia="Times New Roman"/>
                <w:bCs/>
                <w:sz w:val="18"/>
                <w:szCs w:val="18"/>
              </w:rPr>
              <w:t>76 633</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5</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Brasil</w:t>
            </w:r>
          </w:p>
        </w:tc>
        <w:tc>
          <w:tcPr>
            <w:tcW w:w="1189" w:type="dxa"/>
            <w:tcBorders>
              <w:top w:val="nil"/>
              <w:bottom w:val="nil"/>
            </w:tcBorders>
            <w:vAlign w:val="center"/>
          </w:tcPr>
          <w:p w:rsidR="00276B9C" w:rsidRPr="00276B9C" w:rsidRDefault="00276B9C" w:rsidP="00276B9C">
            <w:pPr>
              <w:ind w:right="227"/>
              <w:jc w:val="right"/>
              <w:rPr>
                <w:rFonts w:eastAsia="Times New Roman"/>
                <w:bCs/>
                <w:sz w:val="18"/>
                <w:szCs w:val="18"/>
              </w:rPr>
            </w:pPr>
            <w:r w:rsidRPr="00276B9C">
              <w:rPr>
                <w:rFonts w:eastAsia="Times New Roman"/>
                <w:bCs/>
                <w:sz w:val="18"/>
                <w:szCs w:val="18"/>
              </w:rPr>
              <w:t>64 045</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6</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 xml:space="preserve">Singapur </w:t>
            </w:r>
          </w:p>
        </w:tc>
        <w:tc>
          <w:tcPr>
            <w:tcW w:w="1189" w:type="dxa"/>
            <w:tcBorders>
              <w:top w:val="nil"/>
              <w:bottom w:val="nil"/>
            </w:tcBorders>
            <w:vAlign w:val="center"/>
          </w:tcPr>
          <w:p w:rsidR="00276B9C" w:rsidRPr="00276B9C" w:rsidRDefault="00276B9C" w:rsidP="00276B9C">
            <w:pPr>
              <w:ind w:right="227"/>
              <w:jc w:val="right"/>
              <w:rPr>
                <w:rFonts w:eastAsia="Times New Roman"/>
                <w:bCs/>
                <w:sz w:val="18"/>
                <w:szCs w:val="18"/>
              </w:rPr>
            </w:pPr>
            <w:r w:rsidRPr="00276B9C">
              <w:rPr>
                <w:rFonts w:eastAsia="Times New Roman"/>
                <w:bCs/>
                <w:sz w:val="18"/>
                <w:szCs w:val="18"/>
              </w:rPr>
              <w:t>63 772</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7</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 xml:space="preserve">Canadá </w:t>
            </w:r>
          </w:p>
        </w:tc>
        <w:tc>
          <w:tcPr>
            <w:tcW w:w="1189" w:type="dxa"/>
            <w:tcBorders>
              <w:top w:val="nil"/>
              <w:bottom w:val="nil"/>
            </w:tcBorders>
            <w:vAlign w:val="center"/>
          </w:tcPr>
          <w:p w:rsidR="00276B9C" w:rsidRPr="00276B9C" w:rsidRDefault="00276B9C" w:rsidP="00276B9C">
            <w:pPr>
              <w:ind w:right="227"/>
              <w:jc w:val="right"/>
              <w:rPr>
                <w:rFonts w:eastAsia="Times New Roman"/>
                <w:bCs/>
                <w:sz w:val="18"/>
                <w:szCs w:val="18"/>
              </w:rPr>
            </w:pPr>
            <w:r w:rsidRPr="00276B9C">
              <w:rPr>
                <w:rFonts w:eastAsia="Times New Roman"/>
                <w:bCs/>
                <w:sz w:val="18"/>
                <w:szCs w:val="18"/>
              </w:rPr>
              <w:t>62 325</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8</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Australia</w:t>
            </w:r>
          </w:p>
        </w:tc>
        <w:tc>
          <w:tcPr>
            <w:tcW w:w="1189" w:type="dxa"/>
            <w:tcBorders>
              <w:top w:val="nil"/>
              <w:bottom w:val="nil"/>
            </w:tcBorders>
            <w:vAlign w:val="center"/>
          </w:tcPr>
          <w:p w:rsidR="00276B9C" w:rsidRPr="00276B9C" w:rsidRDefault="00276B9C" w:rsidP="00276B9C">
            <w:pPr>
              <w:ind w:right="227"/>
              <w:jc w:val="right"/>
              <w:rPr>
                <w:rFonts w:eastAsia="Times New Roman"/>
                <w:bCs/>
                <w:sz w:val="18"/>
                <w:szCs w:val="18"/>
              </w:rPr>
            </w:pPr>
            <w:r w:rsidRPr="00276B9C">
              <w:rPr>
                <w:rFonts w:eastAsia="Times New Roman"/>
                <w:bCs/>
                <w:sz w:val="18"/>
                <w:szCs w:val="18"/>
              </w:rPr>
              <w:t>49 826</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9</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Cs/>
                <w:sz w:val="18"/>
                <w:szCs w:val="18"/>
              </w:rPr>
              <w:t>España</w:t>
            </w:r>
          </w:p>
        </w:tc>
        <w:tc>
          <w:tcPr>
            <w:tcW w:w="1189" w:type="dxa"/>
            <w:tcBorders>
              <w:top w:val="nil"/>
              <w:bottom w:val="nil"/>
            </w:tcBorders>
            <w:vAlign w:val="center"/>
          </w:tcPr>
          <w:p w:rsidR="00276B9C" w:rsidRPr="00276B9C" w:rsidRDefault="00276B9C" w:rsidP="00276B9C">
            <w:pPr>
              <w:ind w:right="227"/>
              <w:jc w:val="right"/>
              <w:rPr>
                <w:rFonts w:eastAsia="Times New Roman"/>
                <w:bCs/>
                <w:sz w:val="18"/>
                <w:szCs w:val="18"/>
              </w:rPr>
            </w:pPr>
            <w:r w:rsidRPr="00276B9C">
              <w:rPr>
                <w:rFonts w:eastAsia="Times New Roman"/>
                <w:bCs/>
                <w:sz w:val="18"/>
                <w:szCs w:val="18"/>
              </w:rPr>
              <w:t>39 167</w:t>
            </w:r>
          </w:p>
        </w:tc>
      </w:tr>
      <w:tr w:rsidR="00276B9C" w:rsidRPr="00276B9C" w:rsidTr="0011560C">
        <w:trPr>
          <w:jc w:val="center"/>
        </w:trPr>
        <w:tc>
          <w:tcPr>
            <w:tcW w:w="911" w:type="dxa"/>
            <w:tcBorders>
              <w:top w:val="nil"/>
              <w:bottom w:val="nil"/>
            </w:tcBorders>
            <w:vAlign w:val="center"/>
          </w:tcPr>
          <w:p w:rsidR="00276B9C" w:rsidRPr="00276B9C" w:rsidRDefault="00276B9C" w:rsidP="00276B9C">
            <w:pPr>
              <w:ind w:right="284"/>
              <w:jc w:val="right"/>
              <w:rPr>
                <w:rFonts w:eastAsia="Times New Roman"/>
                <w:b/>
                <w:bCs/>
                <w:sz w:val="18"/>
                <w:szCs w:val="18"/>
              </w:rPr>
            </w:pPr>
            <w:r w:rsidRPr="00276B9C">
              <w:rPr>
                <w:rFonts w:eastAsia="Times New Roman"/>
                <w:b/>
                <w:bCs/>
                <w:sz w:val="18"/>
                <w:szCs w:val="18"/>
              </w:rPr>
              <w:t>10</w:t>
            </w:r>
          </w:p>
        </w:tc>
        <w:tc>
          <w:tcPr>
            <w:tcW w:w="2780" w:type="dxa"/>
            <w:tcBorders>
              <w:top w:val="nil"/>
              <w:bottom w:val="nil"/>
            </w:tcBorders>
            <w:vAlign w:val="center"/>
          </w:tcPr>
          <w:p w:rsidR="00276B9C" w:rsidRPr="00276B9C" w:rsidRDefault="00276B9C" w:rsidP="00276B9C">
            <w:pPr>
              <w:ind w:right="113"/>
              <w:jc w:val="both"/>
              <w:rPr>
                <w:rFonts w:eastAsia="Times New Roman"/>
                <w:bCs/>
                <w:sz w:val="18"/>
                <w:szCs w:val="18"/>
              </w:rPr>
            </w:pPr>
            <w:r w:rsidRPr="00276B9C">
              <w:rPr>
                <w:rFonts w:eastAsia="Times New Roman"/>
                <w:b/>
                <w:bCs/>
                <w:sz w:val="18"/>
                <w:szCs w:val="18"/>
              </w:rPr>
              <w:t>México</w:t>
            </w:r>
          </w:p>
        </w:tc>
        <w:tc>
          <w:tcPr>
            <w:tcW w:w="1189" w:type="dxa"/>
            <w:tcBorders>
              <w:top w:val="nil"/>
              <w:bottom w:val="nil"/>
            </w:tcBorders>
            <w:vAlign w:val="center"/>
          </w:tcPr>
          <w:p w:rsidR="00276B9C" w:rsidRPr="00276B9C" w:rsidRDefault="00276B9C" w:rsidP="00276B9C">
            <w:pPr>
              <w:ind w:right="227"/>
              <w:jc w:val="right"/>
              <w:rPr>
                <w:rFonts w:eastAsia="Times New Roman"/>
                <w:b/>
                <w:bCs/>
                <w:sz w:val="18"/>
                <w:szCs w:val="18"/>
              </w:rPr>
            </w:pPr>
            <w:r w:rsidRPr="00276B9C">
              <w:rPr>
                <w:rFonts w:eastAsia="Times New Roman"/>
                <w:b/>
                <w:bCs/>
                <w:sz w:val="18"/>
                <w:szCs w:val="18"/>
              </w:rPr>
              <w:t>38 286</w:t>
            </w:r>
          </w:p>
        </w:tc>
      </w:tr>
      <w:tr w:rsidR="00276B9C" w:rsidRPr="00276B9C" w:rsidTr="0011560C">
        <w:trPr>
          <w:jc w:val="center"/>
        </w:trPr>
        <w:tc>
          <w:tcPr>
            <w:tcW w:w="911" w:type="dxa"/>
            <w:tcBorders>
              <w:top w:val="nil"/>
              <w:bottom w:val="single" w:sz="4" w:space="0" w:color="auto"/>
            </w:tcBorders>
            <w:vAlign w:val="center"/>
          </w:tcPr>
          <w:p w:rsidR="00276B9C" w:rsidRPr="00276B9C" w:rsidRDefault="00276B9C" w:rsidP="00276B9C">
            <w:pPr>
              <w:ind w:right="284"/>
              <w:jc w:val="right"/>
              <w:rPr>
                <w:rFonts w:eastAsia="Times New Roman"/>
                <w:bCs/>
                <w:sz w:val="18"/>
                <w:szCs w:val="18"/>
              </w:rPr>
            </w:pPr>
            <w:r w:rsidRPr="00276B9C">
              <w:rPr>
                <w:rFonts w:eastAsia="Times New Roman"/>
                <w:bCs/>
                <w:sz w:val="18"/>
                <w:szCs w:val="18"/>
              </w:rPr>
              <w:t>11</w:t>
            </w:r>
          </w:p>
        </w:tc>
        <w:tc>
          <w:tcPr>
            <w:tcW w:w="2780" w:type="dxa"/>
            <w:tcBorders>
              <w:top w:val="nil"/>
              <w:bottom w:val="single" w:sz="4" w:space="0" w:color="auto"/>
            </w:tcBorders>
            <w:vAlign w:val="center"/>
          </w:tcPr>
          <w:p w:rsidR="00276B9C" w:rsidRPr="00276B9C" w:rsidRDefault="00276B9C" w:rsidP="00276B9C">
            <w:pPr>
              <w:ind w:right="113"/>
              <w:jc w:val="both"/>
              <w:rPr>
                <w:rFonts w:eastAsia="Times New Roman"/>
                <w:b/>
                <w:bCs/>
                <w:sz w:val="18"/>
                <w:szCs w:val="18"/>
              </w:rPr>
            </w:pPr>
            <w:r w:rsidRPr="00276B9C">
              <w:rPr>
                <w:rFonts w:eastAsia="Times New Roman"/>
                <w:bCs/>
                <w:sz w:val="18"/>
                <w:szCs w:val="18"/>
              </w:rPr>
              <w:t>Reino Unido</w:t>
            </w:r>
          </w:p>
        </w:tc>
        <w:tc>
          <w:tcPr>
            <w:tcW w:w="1189" w:type="dxa"/>
            <w:tcBorders>
              <w:top w:val="nil"/>
              <w:bottom w:val="single" w:sz="4" w:space="0" w:color="auto"/>
            </w:tcBorders>
            <w:vAlign w:val="center"/>
          </w:tcPr>
          <w:p w:rsidR="00276B9C" w:rsidRPr="00276B9C" w:rsidRDefault="00276B9C" w:rsidP="00276B9C">
            <w:pPr>
              <w:ind w:right="227"/>
              <w:jc w:val="right"/>
              <w:rPr>
                <w:rFonts w:eastAsia="Times New Roman"/>
                <w:bCs/>
                <w:sz w:val="18"/>
                <w:szCs w:val="18"/>
              </w:rPr>
            </w:pPr>
            <w:r w:rsidRPr="00276B9C">
              <w:rPr>
                <w:rFonts w:eastAsia="Times New Roman"/>
                <w:bCs/>
                <w:sz w:val="18"/>
                <w:szCs w:val="18"/>
              </w:rPr>
              <w:t>37 101</w:t>
            </w:r>
          </w:p>
        </w:tc>
      </w:tr>
      <w:tr w:rsidR="00276B9C" w:rsidRPr="00276B9C" w:rsidTr="001E7D79">
        <w:trPr>
          <w:jc w:val="center"/>
        </w:trPr>
        <w:tc>
          <w:tcPr>
            <w:tcW w:w="4880" w:type="dxa"/>
            <w:gridSpan w:val="3"/>
            <w:tcBorders>
              <w:left w:val="nil"/>
              <w:bottom w:val="nil"/>
              <w:right w:val="nil"/>
            </w:tcBorders>
            <w:vAlign w:val="center"/>
          </w:tcPr>
          <w:p w:rsidR="00276B9C" w:rsidRPr="00276B9C" w:rsidRDefault="00276B9C" w:rsidP="00276B9C">
            <w:pPr>
              <w:ind w:right="284"/>
              <w:rPr>
                <w:rFonts w:eastAsia="Times New Roman"/>
                <w:bCs/>
                <w:sz w:val="18"/>
                <w:szCs w:val="18"/>
              </w:rPr>
            </w:pPr>
            <w:r w:rsidRPr="00276B9C">
              <w:rPr>
                <w:rFonts w:eastAsia="Times New Roman"/>
                <w:bCs/>
                <w:sz w:val="18"/>
                <w:szCs w:val="18"/>
              </w:rPr>
              <w:t>Nota: No incluye Islas Vírgenes Británica.</w:t>
            </w:r>
          </w:p>
          <w:p w:rsidR="00276B9C" w:rsidRPr="00276B9C" w:rsidRDefault="00276B9C" w:rsidP="00276B9C">
            <w:pPr>
              <w:ind w:right="284"/>
              <w:rPr>
                <w:rFonts w:eastAsia="Times New Roman"/>
                <w:bCs/>
                <w:sz w:val="18"/>
                <w:szCs w:val="18"/>
              </w:rPr>
            </w:pPr>
            <w:r w:rsidRPr="00276B9C">
              <w:rPr>
                <w:rFonts w:eastAsia="Times New Roman"/>
                <w:bCs/>
                <w:sz w:val="18"/>
                <w:szCs w:val="18"/>
              </w:rPr>
              <w:t>FUENTE: UNCTAD.</w:t>
            </w:r>
          </w:p>
        </w:tc>
      </w:tr>
    </w:tbl>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b/>
          <w:sz w:val="26"/>
          <w:szCs w:val="26"/>
          <w:lang w:eastAsia="en-US"/>
        </w:rPr>
      </w:pPr>
      <w:r w:rsidRPr="00276B9C">
        <w:rPr>
          <w:rFonts w:eastAsia="Calibri"/>
          <w:b/>
          <w:sz w:val="26"/>
          <w:szCs w:val="26"/>
          <w:lang w:eastAsia="en-US"/>
        </w:rPr>
        <w:t>4. Apéndice Metodológico</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 xml:space="preserve">La metodología para medir y dar a conocer los flujos de IED hacia México fue elaborada de manera conjunta por la SE y el Banco de México (Banxico), siguiendo las recomendaciones de dos organismos internacionales y sus respectivos documentos: </w:t>
      </w:r>
    </w:p>
    <w:p w:rsidR="00276B9C" w:rsidRPr="00276B9C" w:rsidRDefault="00276B9C" w:rsidP="00276F3E">
      <w:pPr>
        <w:numPr>
          <w:ilvl w:val="0"/>
          <w:numId w:val="43"/>
        </w:numPr>
        <w:spacing w:after="360" w:line="360" w:lineRule="auto"/>
        <w:ind w:left="714" w:right="-159" w:hanging="357"/>
        <w:jc w:val="both"/>
        <w:rPr>
          <w:rFonts w:eastAsia="Calibri"/>
          <w:sz w:val="26"/>
          <w:szCs w:val="26"/>
          <w:lang w:eastAsia="en-US"/>
        </w:rPr>
      </w:pPr>
      <w:r w:rsidRPr="00276B9C">
        <w:rPr>
          <w:rFonts w:eastAsia="Calibri"/>
          <w:b/>
          <w:sz w:val="26"/>
          <w:szCs w:val="26"/>
          <w:lang w:eastAsia="en-US"/>
        </w:rPr>
        <w:lastRenderedPageBreak/>
        <w:t>Organización para la Cooperación y el Desarrollo Económicos (OCDE)</w:t>
      </w:r>
      <w:r w:rsidRPr="00276B9C">
        <w:rPr>
          <w:rFonts w:eastAsia="Calibri"/>
          <w:sz w:val="26"/>
          <w:szCs w:val="26"/>
          <w:lang w:eastAsia="en-US"/>
        </w:rPr>
        <w:t xml:space="preserve">: </w:t>
      </w:r>
      <w:proofErr w:type="spellStart"/>
      <w:r w:rsidRPr="00276B9C">
        <w:rPr>
          <w:rFonts w:eastAsia="Calibri"/>
          <w:i/>
          <w:sz w:val="26"/>
          <w:szCs w:val="26"/>
          <w:lang w:eastAsia="en-US"/>
        </w:rPr>
        <w:t>Benchmark</w:t>
      </w:r>
      <w:proofErr w:type="spellEnd"/>
      <w:r w:rsidRPr="00276B9C">
        <w:rPr>
          <w:rFonts w:eastAsia="Calibri"/>
          <w:i/>
          <w:sz w:val="26"/>
          <w:szCs w:val="26"/>
          <w:lang w:eastAsia="en-US"/>
        </w:rPr>
        <w:t xml:space="preserve"> </w:t>
      </w:r>
      <w:proofErr w:type="spellStart"/>
      <w:r w:rsidRPr="00276B9C">
        <w:rPr>
          <w:rFonts w:eastAsia="Calibri"/>
          <w:i/>
          <w:sz w:val="26"/>
          <w:szCs w:val="26"/>
          <w:lang w:eastAsia="en-US"/>
        </w:rPr>
        <w:t>Definition</w:t>
      </w:r>
      <w:proofErr w:type="spellEnd"/>
      <w:r w:rsidRPr="00276B9C">
        <w:rPr>
          <w:rFonts w:eastAsia="Calibri"/>
          <w:i/>
          <w:sz w:val="26"/>
          <w:szCs w:val="26"/>
          <w:lang w:eastAsia="en-US"/>
        </w:rPr>
        <w:t xml:space="preserve"> of </w:t>
      </w:r>
      <w:proofErr w:type="spellStart"/>
      <w:r w:rsidRPr="00276B9C">
        <w:rPr>
          <w:rFonts w:eastAsia="Calibri"/>
          <w:i/>
          <w:sz w:val="26"/>
          <w:szCs w:val="26"/>
          <w:lang w:eastAsia="en-US"/>
        </w:rPr>
        <w:t>Foreign</w:t>
      </w:r>
      <w:proofErr w:type="spellEnd"/>
      <w:r w:rsidRPr="00276B9C">
        <w:rPr>
          <w:rFonts w:eastAsia="Calibri"/>
          <w:i/>
          <w:sz w:val="26"/>
          <w:szCs w:val="26"/>
          <w:lang w:eastAsia="en-US"/>
        </w:rPr>
        <w:t xml:space="preserve"> </w:t>
      </w:r>
      <w:proofErr w:type="spellStart"/>
      <w:r w:rsidRPr="00276B9C">
        <w:rPr>
          <w:rFonts w:eastAsia="Calibri"/>
          <w:i/>
          <w:sz w:val="26"/>
          <w:szCs w:val="26"/>
          <w:lang w:eastAsia="en-US"/>
        </w:rPr>
        <w:t>Direct</w:t>
      </w:r>
      <w:proofErr w:type="spellEnd"/>
      <w:r w:rsidRPr="00276B9C">
        <w:rPr>
          <w:rFonts w:eastAsia="Calibri"/>
          <w:i/>
          <w:sz w:val="26"/>
          <w:szCs w:val="26"/>
          <w:lang w:eastAsia="en-US"/>
        </w:rPr>
        <w:t xml:space="preserve"> </w:t>
      </w:r>
      <w:proofErr w:type="spellStart"/>
      <w:r w:rsidRPr="00276B9C">
        <w:rPr>
          <w:rFonts w:eastAsia="Calibri"/>
          <w:i/>
          <w:sz w:val="26"/>
          <w:szCs w:val="26"/>
          <w:lang w:eastAsia="en-US"/>
        </w:rPr>
        <w:t>Investment</w:t>
      </w:r>
      <w:proofErr w:type="spellEnd"/>
      <w:r w:rsidRPr="00276B9C">
        <w:rPr>
          <w:rFonts w:eastAsia="Calibri"/>
          <w:sz w:val="26"/>
          <w:szCs w:val="26"/>
          <w:lang w:eastAsia="en-US"/>
        </w:rPr>
        <w:t>. Cuarta edición (BD4), 2008.</w:t>
      </w:r>
    </w:p>
    <w:p w:rsidR="00276B9C" w:rsidRPr="00276B9C" w:rsidRDefault="00276B9C" w:rsidP="00276F3E">
      <w:pPr>
        <w:numPr>
          <w:ilvl w:val="0"/>
          <w:numId w:val="43"/>
        </w:numPr>
        <w:spacing w:after="360" w:line="360" w:lineRule="auto"/>
        <w:ind w:left="714" w:right="-159" w:hanging="357"/>
        <w:jc w:val="both"/>
        <w:rPr>
          <w:rFonts w:eastAsia="Calibri"/>
          <w:sz w:val="26"/>
          <w:szCs w:val="26"/>
          <w:lang w:eastAsia="en-US"/>
        </w:rPr>
      </w:pPr>
      <w:r w:rsidRPr="00276B9C">
        <w:rPr>
          <w:rFonts w:eastAsia="Calibri"/>
          <w:b/>
          <w:sz w:val="26"/>
          <w:szCs w:val="26"/>
          <w:lang w:eastAsia="en-US"/>
        </w:rPr>
        <w:t>Fondo Monetario Internacional (FMI)</w:t>
      </w:r>
      <w:r w:rsidRPr="00276B9C">
        <w:rPr>
          <w:rFonts w:eastAsia="Calibri"/>
          <w:sz w:val="26"/>
          <w:szCs w:val="26"/>
          <w:lang w:eastAsia="en-US"/>
        </w:rPr>
        <w:t>: Manual de Balanza de Pagos, Quinta Edición (MBP5) Capítulo XVIII, 1993.</w:t>
      </w:r>
    </w:p>
    <w:p w:rsidR="00276B9C" w:rsidRPr="00276B9C" w:rsidRDefault="00276B9C" w:rsidP="00276B9C">
      <w:pPr>
        <w:spacing w:after="360" w:line="360" w:lineRule="auto"/>
        <w:ind w:right="-159"/>
        <w:jc w:val="both"/>
        <w:rPr>
          <w:rFonts w:eastAsia="Calibri"/>
          <w:b/>
          <w:sz w:val="26"/>
          <w:szCs w:val="26"/>
          <w:lang w:eastAsia="en-US"/>
        </w:rPr>
      </w:pPr>
      <w:r w:rsidRPr="00276B9C">
        <w:rPr>
          <w:rFonts w:eastAsia="Calibri"/>
          <w:b/>
          <w:sz w:val="26"/>
          <w:szCs w:val="26"/>
          <w:lang w:eastAsia="en-US"/>
        </w:rPr>
        <w:t>4.1 Fuentes de información</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De conformidad con la Ley de Inversión Extranjera (LIE) y el Reglamento de la Ley de Inversión Extranjera y del Registro Nacional de Inversiones Extranjeras, deben inscribirse ante el Registro Nacional de Inversiones Extranjeras (RNIE):</w:t>
      </w:r>
    </w:p>
    <w:p w:rsidR="00276B9C" w:rsidRPr="00276B9C" w:rsidRDefault="00276B9C" w:rsidP="00276F3E">
      <w:pPr>
        <w:numPr>
          <w:ilvl w:val="0"/>
          <w:numId w:val="44"/>
        </w:numPr>
        <w:spacing w:after="360" w:line="360" w:lineRule="auto"/>
        <w:ind w:left="714" w:right="-159" w:hanging="357"/>
        <w:jc w:val="both"/>
        <w:rPr>
          <w:rFonts w:eastAsia="Calibri"/>
          <w:sz w:val="26"/>
          <w:szCs w:val="26"/>
          <w:lang w:eastAsia="en-US"/>
        </w:rPr>
      </w:pPr>
      <w:r w:rsidRPr="00276B9C">
        <w:rPr>
          <w:rFonts w:eastAsia="Calibri"/>
          <w:sz w:val="26"/>
          <w:szCs w:val="26"/>
          <w:lang w:eastAsia="en-US"/>
        </w:rPr>
        <w:t>Las sociedades mexicanas en las que participe la inversión extranjera</w:t>
      </w:r>
      <w:r w:rsidRPr="00276B9C">
        <w:rPr>
          <w:rFonts w:eastAsia="Calibri"/>
          <w:sz w:val="26"/>
          <w:szCs w:val="26"/>
          <w:vertAlign w:val="superscript"/>
          <w:lang w:eastAsia="en-US"/>
        </w:rPr>
        <w:footnoteReference w:id="6"/>
      </w:r>
      <w:r w:rsidRPr="00276B9C">
        <w:rPr>
          <w:rFonts w:eastAsia="Calibri"/>
          <w:sz w:val="26"/>
          <w:szCs w:val="26"/>
          <w:lang w:eastAsia="en-US"/>
        </w:rPr>
        <w:t>;</w:t>
      </w:r>
    </w:p>
    <w:p w:rsidR="00276B9C" w:rsidRPr="00276B9C" w:rsidRDefault="00276B9C" w:rsidP="00276F3E">
      <w:pPr>
        <w:numPr>
          <w:ilvl w:val="0"/>
          <w:numId w:val="44"/>
        </w:numPr>
        <w:spacing w:after="360" w:line="360" w:lineRule="auto"/>
        <w:ind w:left="714" w:right="-159" w:hanging="357"/>
        <w:jc w:val="both"/>
        <w:rPr>
          <w:rFonts w:eastAsia="Calibri"/>
          <w:sz w:val="26"/>
          <w:szCs w:val="26"/>
          <w:lang w:eastAsia="en-US"/>
        </w:rPr>
      </w:pPr>
      <w:r w:rsidRPr="00276B9C">
        <w:rPr>
          <w:rFonts w:eastAsia="Calibri"/>
          <w:sz w:val="26"/>
          <w:szCs w:val="26"/>
          <w:lang w:eastAsia="en-US"/>
        </w:rPr>
        <w:t>Las personas físicas o morales que realicen habitualmente actos de comercio en el país; y</w:t>
      </w:r>
    </w:p>
    <w:p w:rsidR="00276B9C" w:rsidRPr="00276B9C" w:rsidRDefault="00276B9C" w:rsidP="00276F3E">
      <w:pPr>
        <w:numPr>
          <w:ilvl w:val="0"/>
          <w:numId w:val="44"/>
        </w:numPr>
        <w:spacing w:after="360" w:line="360" w:lineRule="auto"/>
        <w:ind w:left="714" w:right="-159" w:hanging="357"/>
        <w:jc w:val="both"/>
        <w:rPr>
          <w:rFonts w:eastAsia="Calibri"/>
          <w:sz w:val="26"/>
          <w:szCs w:val="26"/>
          <w:lang w:eastAsia="en-US"/>
        </w:rPr>
      </w:pPr>
      <w:r w:rsidRPr="00276B9C">
        <w:rPr>
          <w:rFonts w:eastAsia="Calibri"/>
          <w:sz w:val="26"/>
          <w:szCs w:val="26"/>
          <w:lang w:eastAsia="en-US"/>
        </w:rPr>
        <w:t>Los fideicomisos por virtud de los cuales se deriven derechos a favor de la inversión extranjera.</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Los sujetos referidos tienen la obligación de presentar una serie de reportes periódicos ante el RNIE. De esta forma el RNIE capta información y, con base en los criterios metodológicos aplicables, genera la estadística en materia de IED. Es importante señalar que en esta tarea únicamente se consideran los movimientos formalmente notificados ante el RNIE.</w:t>
      </w:r>
    </w:p>
    <w:p w:rsidR="00276B9C" w:rsidRPr="00276B9C" w:rsidRDefault="00276B9C" w:rsidP="00276B9C">
      <w:pPr>
        <w:spacing w:after="360" w:line="360" w:lineRule="auto"/>
        <w:ind w:right="-159"/>
        <w:jc w:val="both"/>
        <w:rPr>
          <w:rFonts w:eastAsia="Calibri"/>
          <w:b/>
          <w:sz w:val="26"/>
          <w:szCs w:val="26"/>
          <w:lang w:eastAsia="en-US"/>
        </w:rPr>
      </w:pPr>
      <w:r w:rsidRPr="00276B9C">
        <w:rPr>
          <w:rFonts w:eastAsia="Calibri"/>
          <w:b/>
          <w:sz w:val="26"/>
          <w:szCs w:val="26"/>
          <w:lang w:eastAsia="en-US"/>
        </w:rPr>
        <w:lastRenderedPageBreak/>
        <w:t>4.2 Movimientos que se consideran IED</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De acuerdo con el BD4 y el MBP5, la IED es una categoría de inversión transfronteriza que realiza un residente en el extranjero (inversionista directo) en una empresa mexicana o en activos ubicados en territorio nacional (empresa de inversión directa), con el objetivo de establecer un interés duradero. Mediante esta inversión, el inversionista directo persigue ejercer un grado significativo de influencia sobre la empresa de inversión directa. Por su propia naturaleza, la IED puede generar relaciones permanentes de financiamiento y transferencia tecnológica, con el objeto de maximizar la producción y utilidades de la empresa de inversión directa.</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La IED se desagrega en tres apartados según el modo de financiamiento: nuevas inversiones, reinversión de utilidades y cuentas entre compañías.</w:t>
      </w:r>
    </w:p>
    <w:p w:rsidR="00276B9C" w:rsidRPr="00276B9C" w:rsidRDefault="00276B9C" w:rsidP="00276F3E">
      <w:pPr>
        <w:numPr>
          <w:ilvl w:val="0"/>
          <w:numId w:val="45"/>
        </w:numPr>
        <w:spacing w:after="360" w:line="360" w:lineRule="auto"/>
        <w:ind w:right="-159"/>
        <w:jc w:val="both"/>
        <w:rPr>
          <w:rFonts w:eastAsia="Calibri"/>
          <w:sz w:val="26"/>
          <w:szCs w:val="26"/>
          <w:lang w:eastAsia="en-US"/>
        </w:rPr>
      </w:pPr>
      <w:r w:rsidRPr="00276B9C">
        <w:rPr>
          <w:rFonts w:eastAsia="Calibri"/>
          <w:sz w:val="26"/>
          <w:szCs w:val="26"/>
          <w:lang w:eastAsia="en-US"/>
        </w:rPr>
        <w:t>Nuevas inversiones: se refiere a los movimientos de IED asociados a:</w:t>
      </w:r>
    </w:p>
    <w:p w:rsidR="00276B9C" w:rsidRPr="00276B9C" w:rsidRDefault="00276B9C" w:rsidP="00276F3E">
      <w:pPr>
        <w:numPr>
          <w:ilvl w:val="0"/>
          <w:numId w:val="45"/>
        </w:numPr>
        <w:spacing w:after="360" w:line="360" w:lineRule="auto"/>
        <w:ind w:left="1094" w:right="-159" w:hanging="357"/>
        <w:jc w:val="both"/>
        <w:rPr>
          <w:rFonts w:eastAsia="Calibri"/>
          <w:sz w:val="26"/>
          <w:szCs w:val="26"/>
          <w:lang w:eastAsia="en-US"/>
        </w:rPr>
      </w:pPr>
      <w:r w:rsidRPr="00276B9C">
        <w:rPr>
          <w:rFonts w:eastAsia="Calibri"/>
          <w:sz w:val="26"/>
          <w:szCs w:val="26"/>
          <w:lang w:eastAsia="en-US"/>
        </w:rPr>
        <w:t>Inversiones iniciales realizadas por personas físicas o morales extranjeras al establecerse en México; dentro de estas inversiones se incluyen aquellas en activo fijo y capital de trabajo para la realización habitual de actos de comercio en México.</w:t>
      </w:r>
    </w:p>
    <w:p w:rsidR="00276B9C" w:rsidRPr="00276B9C" w:rsidRDefault="00276B9C" w:rsidP="00276F3E">
      <w:pPr>
        <w:numPr>
          <w:ilvl w:val="0"/>
          <w:numId w:val="45"/>
        </w:numPr>
        <w:spacing w:after="360" w:line="360" w:lineRule="auto"/>
        <w:ind w:left="1094" w:right="-159" w:hanging="357"/>
        <w:jc w:val="both"/>
        <w:rPr>
          <w:rFonts w:eastAsia="Calibri"/>
          <w:sz w:val="26"/>
          <w:szCs w:val="26"/>
          <w:lang w:eastAsia="en-US"/>
        </w:rPr>
      </w:pPr>
      <w:r w:rsidRPr="00276B9C">
        <w:rPr>
          <w:rFonts w:eastAsia="Calibri"/>
          <w:sz w:val="26"/>
          <w:szCs w:val="26"/>
          <w:lang w:eastAsia="en-US"/>
        </w:rPr>
        <w:t>Aportación al capital de sociedades mexicanas (inicial o aumentos) por parte de la IED.</w:t>
      </w:r>
    </w:p>
    <w:p w:rsidR="00276B9C" w:rsidRPr="00276B9C" w:rsidRDefault="00276B9C" w:rsidP="00276F3E">
      <w:pPr>
        <w:numPr>
          <w:ilvl w:val="0"/>
          <w:numId w:val="45"/>
        </w:numPr>
        <w:spacing w:after="360" w:line="360" w:lineRule="auto"/>
        <w:ind w:left="1094" w:right="-159" w:hanging="357"/>
        <w:jc w:val="both"/>
        <w:rPr>
          <w:rFonts w:eastAsia="Calibri"/>
          <w:sz w:val="26"/>
          <w:szCs w:val="26"/>
          <w:lang w:eastAsia="en-US"/>
        </w:rPr>
      </w:pPr>
      <w:r w:rsidRPr="00276B9C">
        <w:rPr>
          <w:rFonts w:eastAsia="Calibri"/>
          <w:sz w:val="26"/>
          <w:szCs w:val="26"/>
          <w:lang w:eastAsia="en-US"/>
        </w:rPr>
        <w:t>Transmisiones de acciones por parte de inversionistas mexicanos a la IED.</w:t>
      </w:r>
    </w:p>
    <w:p w:rsidR="00276B9C" w:rsidRPr="00276B9C" w:rsidRDefault="00276B9C" w:rsidP="00276F3E">
      <w:pPr>
        <w:numPr>
          <w:ilvl w:val="0"/>
          <w:numId w:val="45"/>
        </w:numPr>
        <w:spacing w:after="360" w:line="360" w:lineRule="auto"/>
        <w:ind w:left="1094" w:right="-159" w:hanging="357"/>
        <w:jc w:val="both"/>
        <w:rPr>
          <w:rFonts w:eastAsia="Calibri"/>
          <w:sz w:val="26"/>
          <w:szCs w:val="26"/>
          <w:lang w:eastAsia="en-US"/>
        </w:rPr>
      </w:pPr>
      <w:r w:rsidRPr="00276B9C">
        <w:rPr>
          <w:rFonts w:eastAsia="Calibri"/>
          <w:sz w:val="26"/>
          <w:szCs w:val="26"/>
          <w:lang w:eastAsia="en-US"/>
        </w:rPr>
        <w:t>Monto inicial de la contraprestación en los fideicomisos que otorguen derechos sobre la IED.</w:t>
      </w:r>
    </w:p>
    <w:p w:rsidR="00276B9C" w:rsidRPr="00276B9C" w:rsidRDefault="00276B9C" w:rsidP="00276F3E">
      <w:pPr>
        <w:numPr>
          <w:ilvl w:val="0"/>
          <w:numId w:val="45"/>
        </w:numPr>
        <w:spacing w:after="360" w:line="360" w:lineRule="auto"/>
        <w:ind w:left="714" w:right="-159" w:hanging="357"/>
        <w:jc w:val="both"/>
        <w:rPr>
          <w:rFonts w:eastAsia="Calibri"/>
          <w:sz w:val="26"/>
          <w:szCs w:val="26"/>
          <w:lang w:eastAsia="en-US"/>
        </w:rPr>
      </w:pPr>
      <w:r w:rsidRPr="00276B9C">
        <w:rPr>
          <w:rFonts w:eastAsia="Calibri"/>
          <w:sz w:val="26"/>
          <w:szCs w:val="26"/>
          <w:lang w:eastAsia="en-US"/>
        </w:rPr>
        <w:lastRenderedPageBreak/>
        <w:t>Reinversión de Utilidades: es la parte de las utilidades que no se distribuye como dividendos y que se considera IED por representar un aumento de los recursos de capital propiedad del inversionista extranjero.</w:t>
      </w:r>
    </w:p>
    <w:p w:rsidR="00276B9C" w:rsidRPr="00276B9C" w:rsidRDefault="00276B9C" w:rsidP="00276F3E">
      <w:pPr>
        <w:numPr>
          <w:ilvl w:val="0"/>
          <w:numId w:val="45"/>
        </w:numPr>
        <w:spacing w:after="360" w:line="360" w:lineRule="auto"/>
        <w:ind w:left="714" w:right="-159" w:hanging="357"/>
        <w:jc w:val="both"/>
        <w:rPr>
          <w:rFonts w:eastAsia="Calibri"/>
          <w:sz w:val="26"/>
          <w:szCs w:val="26"/>
          <w:lang w:eastAsia="en-US"/>
        </w:rPr>
      </w:pPr>
      <w:r w:rsidRPr="00276B9C">
        <w:rPr>
          <w:rFonts w:eastAsia="Calibri"/>
          <w:sz w:val="26"/>
          <w:szCs w:val="26"/>
          <w:lang w:eastAsia="en-US"/>
        </w:rPr>
        <w:t>Cuentas entre compañías: son las transacciones originadas por deudas entre sociedades mexicanas con IED en su capital social y otras empresas relacionadas residentes en el exterior. De acuerdo con el BD4, las empresas relacionadas son aquellas que pertenecen a un mismo grupo corporativo.</w:t>
      </w:r>
    </w:p>
    <w:p w:rsidR="00276B9C" w:rsidRPr="00276B9C" w:rsidRDefault="00276B9C" w:rsidP="00276B9C">
      <w:pPr>
        <w:spacing w:after="360" w:line="360" w:lineRule="auto"/>
        <w:ind w:right="-159"/>
        <w:jc w:val="both"/>
        <w:rPr>
          <w:rFonts w:eastAsia="Calibri"/>
          <w:b/>
          <w:sz w:val="26"/>
          <w:szCs w:val="26"/>
          <w:lang w:eastAsia="en-US"/>
        </w:rPr>
      </w:pPr>
      <w:r w:rsidRPr="00276B9C">
        <w:rPr>
          <w:rFonts w:eastAsia="Calibri"/>
          <w:b/>
          <w:sz w:val="26"/>
          <w:szCs w:val="26"/>
          <w:lang w:eastAsia="en-US"/>
        </w:rPr>
        <w:t>4.3 Otras desagregaciones</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Además, los flujos de IED se desagregan por país de origen, sector económico y la entidad federativa de destino de la IED:</w:t>
      </w:r>
    </w:p>
    <w:p w:rsidR="00276B9C" w:rsidRPr="00276B9C" w:rsidRDefault="00276B9C" w:rsidP="00276F3E">
      <w:pPr>
        <w:numPr>
          <w:ilvl w:val="0"/>
          <w:numId w:val="46"/>
        </w:numPr>
        <w:spacing w:after="360" w:line="360" w:lineRule="auto"/>
        <w:ind w:left="714" w:right="-159" w:hanging="357"/>
        <w:jc w:val="both"/>
        <w:rPr>
          <w:rFonts w:eastAsia="Calibri"/>
          <w:sz w:val="26"/>
          <w:szCs w:val="26"/>
          <w:lang w:eastAsia="en-US"/>
        </w:rPr>
      </w:pPr>
      <w:r w:rsidRPr="00276B9C">
        <w:rPr>
          <w:rFonts w:eastAsia="Calibri"/>
          <w:sz w:val="26"/>
          <w:szCs w:val="26"/>
          <w:lang w:eastAsia="en-US"/>
        </w:rPr>
        <w:t xml:space="preserve">País de origen: la IED </w:t>
      </w:r>
      <w:proofErr w:type="spellStart"/>
      <w:r w:rsidR="00736C45">
        <w:rPr>
          <w:rFonts w:eastAsia="Calibri"/>
          <w:sz w:val="26"/>
          <w:szCs w:val="26"/>
          <w:lang w:eastAsia="en-US"/>
        </w:rPr>
        <w:t>s</w:t>
      </w:r>
      <w:r w:rsidRPr="00276B9C">
        <w:rPr>
          <w:rFonts w:eastAsia="Calibri"/>
          <w:sz w:val="26"/>
          <w:szCs w:val="26"/>
          <w:lang w:eastAsia="en-US"/>
        </w:rPr>
        <w:t>s</w:t>
      </w:r>
      <w:r w:rsidR="00736C45">
        <w:rPr>
          <w:rFonts w:eastAsia="Calibri"/>
          <w:sz w:val="26"/>
          <w:szCs w:val="26"/>
          <w:lang w:eastAsia="en-US"/>
        </w:rPr>
        <w:t>e</w:t>
      </w:r>
      <w:proofErr w:type="spellEnd"/>
      <w:r w:rsidR="00736C45">
        <w:rPr>
          <w:rFonts w:eastAsia="Calibri"/>
          <w:sz w:val="26"/>
          <w:szCs w:val="26"/>
          <w:lang w:eastAsia="en-US"/>
        </w:rPr>
        <w:t xml:space="preserve"> </w:t>
      </w:r>
      <w:r w:rsidRPr="00276B9C">
        <w:rPr>
          <w:rFonts w:eastAsia="Calibri"/>
          <w:sz w:val="26"/>
          <w:szCs w:val="26"/>
          <w:lang w:eastAsia="en-US"/>
        </w:rPr>
        <w:t>clasifica por país en función del origen de los recursos, y no necesariamente de la nacionalidad del inversionista. Para tal efecto, se identifica el país donde reside el accionista que invierte en la empresa de inversión directa.</w:t>
      </w:r>
    </w:p>
    <w:p w:rsidR="00276B9C" w:rsidRPr="00276B9C" w:rsidRDefault="00276B9C" w:rsidP="00276F3E">
      <w:pPr>
        <w:numPr>
          <w:ilvl w:val="0"/>
          <w:numId w:val="46"/>
        </w:numPr>
        <w:spacing w:after="360" w:line="360" w:lineRule="auto"/>
        <w:ind w:left="714" w:right="-159" w:hanging="357"/>
        <w:jc w:val="both"/>
        <w:rPr>
          <w:rFonts w:eastAsia="Calibri"/>
          <w:sz w:val="26"/>
          <w:szCs w:val="26"/>
          <w:lang w:eastAsia="en-US"/>
        </w:rPr>
      </w:pPr>
      <w:r w:rsidRPr="00276B9C">
        <w:rPr>
          <w:rFonts w:eastAsia="Calibri"/>
          <w:sz w:val="26"/>
          <w:szCs w:val="26"/>
          <w:lang w:eastAsia="en-US"/>
        </w:rPr>
        <w:t>Sector económico: para determinar el sector económico de destino de la IED se considera la actividad principal de la empresa de inversión directa. En el caso de los fideicomisos se asigna la actividad que corresponde con su finalidad. Para tal propósito, se utiliza el Sistema de Clasificación Industrial de América del Norte en su versión 2007 (SCIAN 2007).</w:t>
      </w:r>
    </w:p>
    <w:p w:rsidR="00276B9C" w:rsidRPr="00276B9C" w:rsidRDefault="00276B9C" w:rsidP="00276F3E">
      <w:pPr>
        <w:numPr>
          <w:ilvl w:val="0"/>
          <w:numId w:val="46"/>
        </w:numPr>
        <w:spacing w:after="360" w:line="360" w:lineRule="auto"/>
        <w:ind w:right="-159"/>
        <w:jc w:val="both"/>
        <w:rPr>
          <w:rFonts w:eastAsia="Calibri"/>
          <w:sz w:val="26"/>
          <w:szCs w:val="26"/>
          <w:lang w:eastAsia="en-US"/>
        </w:rPr>
      </w:pPr>
      <w:r w:rsidRPr="00276B9C">
        <w:rPr>
          <w:rFonts w:eastAsia="Calibri"/>
          <w:sz w:val="26"/>
          <w:szCs w:val="26"/>
          <w:lang w:eastAsia="en-US"/>
        </w:rPr>
        <w:t xml:space="preserve">Entidad federativa de destino: hasta el tercer trimestre de 2012, la información geográfica de la IED se refería a la entidad federativa donde se ubicaba el domicilio de la planta u oficina principal de cada sociedad y no necesariamente a la entidad federativa donde se aplicaron los recursos. A partir del cuarto trimestre de 2012, las sociedades pueden estimar y reportar los porcentajes de </w:t>
      </w:r>
      <w:r w:rsidRPr="00276B9C">
        <w:rPr>
          <w:rFonts w:eastAsia="Calibri"/>
          <w:sz w:val="26"/>
          <w:szCs w:val="26"/>
          <w:lang w:eastAsia="en-US"/>
        </w:rPr>
        <w:lastRenderedPageBreak/>
        <w:t>aplicación de los flujos de IED en las entidades federativas. Si las empresas no reportan esta distribución geográfica de inversiones, la IED se asigna a la entidad federativa donde se ubica la planta u oficina principal, tal como se efectuaba anteriormente.</w:t>
      </w:r>
    </w:p>
    <w:p w:rsidR="00276B9C" w:rsidRPr="00276B9C" w:rsidRDefault="00276B9C" w:rsidP="00276B9C">
      <w:pPr>
        <w:spacing w:after="360" w:line="360" w:lineRule="auto"/>
        <w:ind w:right="-159"/>
        <w:jc w:val="both"/>
        <w:rPr>
          <w:rFonts w:eastAsia="Calibri"/>
          <w:b/>
          <w:sz w:val="26"/>
          <w:szCs w:val="26"/>
          <w:lang w:eastAsia="en-US"/>
        </w:rPr>
      </w:pPr>
      <w:r w:rsidRPr="00276B9C">
        <w:rPr>
          <w:rFonts w:eastAsia="Calibri"/>
          <w:b/>
          <w:sz w:val="26"/>
          <w:szCs w:val="26"/>
          <w:lang w:eastAsia="en-US"/>
        </w:rPr>
        <w:t xml:space="preserve">4.4 Unidad de medida </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Las fuentes de información reportan sus movimientos al RNIE en pesos corrientes. De acuerdo con la metodología internacional, se debe hacer la conversión a dólares corrientes de los Estados Unidos de Norteamérica al tipo de cambio del país receptor de la IED. Para tal efecto se utiliza el tipo de cambio para solventar obligaciones denominadas en dólares de los Estados Unidos de Norteamérica pagaderas en la República Mexicana publicado por el Banco de México en el Diario Oficial de la Federación el día hábil bancario inmediato siguiente a su determinación</w:t>
      </w:r>
      <w:r w:rsidRPr="00276B9C">
        <w:rPr>
          <w:rFonts w:eastAsia="Calibri"/>
          <w:sz w:val="26"/>
          <w:szCs w:val="26"/>
          <w:vertAlign w:val="superscript"/>
          <w:lang w:eastAsia="en-US"/>
        </w:rPr>
        <w:footnoteReference w:id="7"/>
      </w:r>
      <w:r w:rsidRPr="00276B9C">
        <w:rPr>
          <w:rFonts w:eastAsia="Calibri"/>
          <w:sz w:val="26"/>
          <w:szCs w:val="26"/>
          <w:lang w:eastAsia="en-US"/>
        </w:rPr>
        <w:t xml:space="preserve"> y se aplica de acuerdo con la fecha en que se materializó cada movimiento de IED.</w:t>
      </w:r>
    </w:p>
    <w:p w:rsidR="00276B9C" w:rsidRPr="00276B9C" w:rsidRDefault="00276B9C" w:rsidP="00276B9C">
      <w:pPr>
        <w:spacing w:after="360" w:line="360" w:lineRule="auto"/>
        <w:ind w:right="-159"/>
        <w:jc w:val="both"/>
        <w:rPr>
          <w:rFonts w:eastAsia="Calibri"/>
          <w:b/>
          <w:sz w:val="26"/>
          <w:szCs w:val="26"/>
          <w:lang w:eastAsia="en-US"/>
        </w:rPr>
      </w:pPr>
      <w:r w:rsidRPr="00276B9C">
        <w:rPr>
          <w:rFonts w:eastAsia="Calibri"/>
          <w:b/>
          <w:sz w:val="26"/>
          <w:szCs w:val="26"/>
          <w:lang w:eastAsia="en-US"/>
        </w:rPr>
        <w:t>4.5. Periodicidad</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La información se publica trimestralmente y se da a conocer a más tardar 55 días naturales después del cierre de cada trimestre. La fecha límite para su publicación es el día 25 de los meses de febrero, mayo, agosto y noviembre con la información del trimestre inmediato anterior y las actualizaciones correspondientes para todos los trimestres anteriores desde 1999.</w:t>
      </w: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b/>
          <w:sz w:val="26"/>
          <w:szCs w:val="26"/>
          <w:lang w:eastAsia="en-US"/>
        </w:rPr>
      </w:pPr>
      <w:r w:rsidRPr="00276B9C">
        <w:rPr>
          <w:rFonts w:eastAsia="Calibri"/>
          <w:b/>
          <w:sz w:val="26"/>
          <w:szCs w:val="26"/>
          <w:lang w:eastAsia="en-US"/>
        </w:rPr>
        <w:lastRenderedPageBreak/>
        <w:t>4.6 Disponibilidad</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Las cifras con la metodología descrita anteriormente son comparables y se encuentran disponibles en el sitio electrónico de la SE</w:t>
      </w:r>
      <w:r w:rsidRPr="00276B9C">
        <w:rPr>
          <w:rFonts w:eastAsia="Calibri"/>
          <w:sz w:val="26"/>
          <w:szCs w:val="26"/>
          <w:vertAlign w:val="superscript"/>
          <w:lang w:eastAsia="en-US"/>
        </w:rPr>
        <w:footnoteReference w:id="8"/>
      </w:r>
      <w:r w:rsidRPr="00276B9C">
        <w:rPr>
          <w:rFonts w:eastAsia="Calibri"/>
          <w:sz w:val="26"/>
          <w:szCs w:val="26"/>
          <w:lang w:eastAsia="en-US"/>
        </w:rPr>
        <w:t>.</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Se puede consultar información desde el primer trimestre de 1999 a la fecha.</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También se pueden consultar cifras desde el primer trimestre de 1980 hasta el cuarto trimestre de 1998. Dicha información fue generada bajo otra metodología y no es actualizada, por lo que no es comparable con la información generada a partir del primer trimestre de 1999.</w:t>
      </w:r>
    </w:p>
    <w:p w:rsidR="00276B9C" w:rsidRPr="00276B9C" w:rsidRDefault="00276B9C" w:rsidP="00276B9C">
      <w:pPr>
        <w:spacing w:after="360" w:line="360" w:lineRule="auto"/>
        <w:ind w:right="-159"/>
        <w:jc w:val="both"/>
        <w:rPr>
          <w:rFonts w:eastAsia="Calibri"/>
          <w:b/>
          <w:sz w:val="26"/>
          <w:szCs w:val="26"/>
          <w:lang w:eastAsia="en-US"/>
        </w:rPr>
      </w:pPr>
      <w:r w:rsidRPr="00276B9C">
        <w:rPr>
          <w:rFonts w:eastAsia="Calibri"/>
          <w:b/>
          <w:sz w:val="26"/>
          <w:szCs w:val="26"/>
          <w:lang w:eastAsia="en-US"/>
        </w:rPr>
        <w:t>4.7 Confidencialidad</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La LIE establece que el RNIE no tendrá carácter público. A su vez, la información que recibe el RNIE está clasificada, cuando así resulte aplicable, como reservada o confidencial de conformidad con la Ley Federal de Transparencia y Acceso a la Información Pública Gubernamental. Por lo anterior, no podrá entregarse información sobre empresas individuales, sino únicamente en forma agregada.</w:t>
      </w:r>
    </w:p>
    <w:p w:rsidR="00276B9C" w:rsidRPr="00276B9C" w:rsidRDefault="00276B9C" w:rsidP="00276B9C">
      <w:pPr>
        <w:spacing w:after="360" w:line="360" w:lineRule="auto"/>
        <w:ind w:right="-159"/>
        <w:jc w:val="both"/>
        <w:rPr>
          <w:rFonts w:eastAsia="Calibri"/>
          <w:b/>
          <w:sz w:val="26"/>
          <w:szCs w:val="26"/>
          <w:lang w:eastAsia="en-US"/>
        </w:rPr>
      </w:pPr>
      <w:r w:rsidRPr="00276B9C">
        <w:rPr>
          <w:rFonts w:eastAsia="Calibri"/>
          <w:b/>
          <w:sz w:val="26"/>
          <w:szCs w:val="26"/>
          <w:lang w:eastAsia="en-US"/>
        </w:rPr>
        <w:t>4.8 Actualizaciones</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 xml:space="preserve">Las cifras son preliminares debido a que algunas notificaciones al RNIE tienden a darse con cierto rezago con respecto a las fechas en las que se realizaron las inversiones. Es por ello que las cifras trimestrales de IED son actualizadas en cada informe trimestral y estas actualizaciones pueden afectar todo el período desde 1999. De esta manera, la cifra reportada como IED realizada en un período determinado no es definitiva, ya que ésta se actualiza posteriormente en la medida en que el RNIE recibe las notificaciones </w:t>
      </w:r>
      <w:r w:rsidRPr="00276B9C">
        <w:rPr>
          <w:rFonts w:eastAsia="Calibri"/>
          <w:sz w:val="26"/>
          <w:szCs w:val="26"/>
          <w:lang w:eastAsia="en-US"/>
        </w:rPr>
        <w:lastRenderedPageBreak/>
        <w:t>del resto de las inversiones realizadas en dicho período. El BD4 contempla y recomienda llevar a cabo estas actualizaciones para todos los países que siguen su metodología.</w:t>
      </w:r>
    </w:p>
    <w:p w:rsidR="00276B9C" w:rsidRPr="00276B9C" w:rsidRDefault="00276B9C" w:rsidP="00276B9C">
      <w:pPr>
        <w:spacing w:after="360" w:line="360" w:lineRule="auto"/>
        <w:ind w:right="-159"/>
        <w:jc w:val="both"/>
        <w:rPr>
          <w:rFonts w:eastAsia="Calibri"/>
          <w:sz w:val="26"/>
          <w:szCs w:val="26"/>
          <w:lang w:eastAsia="en-US"/>
        </w:rPr>
      </w:pPr>
      <w:r w:rsidRPr="00276B9C">
        <w:rPr>
          <w:rFonts w:eastAsia="Calibri"/>
          <w:sz w:val="26"/>
          <w:szCs w:val="26"/>
          <w:lang w:eastAsia="en-US"/>
        </w:rPr>
        <w:t>Cabe señalar que las actualizaciones más sustanciales se producen en los trimestres más recientes y tienden a disminuir en los trimestres más antiguos. Para efectos prácticos, las cifras pueden considerarse definitivas después de 12 trimestres de actualización.</w:t>
      </w:r>
    </w:p>
    <w:tbl>
      <w:tblPr>
        <w:tblW w:w="8377" w:type="dxa"/>
        <w:jc w:val="center"/>
        <w:tblLayout w:type="fixed"/>
        <w:tblLook w:val="01E0" w:firstRow="1" w:lastRow="1" w:firstColumn="1" w:lastColumn="1" w:noHBand="0" w:noVBand="0"/>
      </w:tblPr>
      <w:tblGrid>
        <w:gridCol w:w="1521"/>
        <w:gridCol w:w="567"/>
        <w:gridCol w:w="567"/>
        <w:gridCol w:w="567"/>
        <w:gridCol w:w="567"/>
        <w:gridCol w:w="567"/>
        <w:gridCol w:w="567"/>
        <w:gridCol w:w="567"/>
        <w:gridCol w:w="523"/>
        <w:gridCol w:w="567"/>
        <w:gridCol w:w="567"/>
        <w:gridCol w:w="708"/>
        <w:gridCol w:w="522"/>
      </w:tblGrid>
      <w:tr w:rsidR="00276B9C" w:rsidRPr="00276B9C" w:rsidTr="00D46A23">
        <w:trPr>
          <w:jc w:val="center"/>
        </w:trPr>
        <w:tc>
          <w:tcPr>
            <w:tcW w:w="8377" w:type="dxa"/>
            <w:gridSpan w:val="13"/>
            <w:tcBorders>
              <w:top w:val="nil"/>
              <w:left w:val="nil"/>
              <w:bottom w:val="single" w:sz="4" w:space="0" w:color="auto"/>
              <w:right w:val="nil"/>
            </w:tcBorders>
            <w:shd w:val="clear" w:color="auto" w:fill="auto"/>
            <w:vAlign w:val="center"/>
          </w:tcPr>
          <w:p w:rsidR="00276B9C" w:rsidRPr="00276B9C" w:rsidRDefault="00276B9C" w:rsidP="00276B9C">
            <w:pPr>
              <w:jc w:val="center"/>
              <w:rPr>
                <w:rFonts w:eastAsia="Calibri"/>
                <w:b/>
                <w:sz w:val="14"/>
                <w:szCs w:val="14"/>
                <w:lang w:eastAsia="en-US"/>
              </w:rPr>
            </w:pPr>
            <w:r w:rsidRPr="00276B9C">
              <w:rPr>
                <w:rFonts w:eastAsia="Calibri"/>
                <w:b/>
                <w:sz w:val="14"/>
                <w:szCs w:val="14"/>
                <w:lang w:eastAsia="en-US"/>
              </w:rPr>
              <w:t>INVERSIÓN EXTRANJERA DIRECTA EN MÉXICO REALIZADA</w:t>
            </w:r>
          </w:p>
          <w:p w:rsidR="00276B9C" w:rsidRPr="00276B9C" w:rsidRDefault="00276B9C" w:rsidP="00276B9C">
            <w:pPr>
              <w:jc w:val="center"/>
              <w:rPr>
                <w:rFonts w:eastAsia="Calibri"/>
                <w:b/>
                <w:sz w:val="14"/>
                <w:szCs w:val="14"/>
                <w:vertAlign w:val="superscript"/>
                <w:lang w:eastAsia="en-US"/>
              </w:rPr>
            </w:pPr>
            <w:r w:rsidRPr="00276B9C">
              <w:rPr>
                <w:rFonts w:eastAsia="Calibri"/>
                <w:b/>
                <w:sz w:val="14"/>
                <w:szCs w:val="14"/>
                <w:lang w:eastAsia="en-US"/>
              </w:rPr>
              <w:t>POR TIPO DE INVERSIÓN</w:t>
            </w:r>
            <w:r w:rsidRPr="00276B9C">
              <w:rPr>
                <w:rFonts w:eastAsia="Calibri"/>
                <w:b/>
                <w:sz w:val="14"/>
                <w:szCs w:val="14"/>
                <w:u w:val="single"/>
                <w:vertAlign w:val="superscript"/>
                <w:lang w:eastAsia="en-US"/>
              </w:rPr>
              <w:t>1</w:t>
            </w:r>
            <w:r w:rsidRPr="00276B9C">
              <w:rPr>
                <w:rFonts w:eastAsia="Calibri"/>
                <w:b/>
                <w:sz w:val="14"/>
                <w:szCs w:val="14"/>
                <w:vertAlign w:val="superscript"/>
                <w:lang w:eastAsia="en-US"/>
              </w:rPr>
              <w:t>/</w:t>
            </w:r>
          </w:p>
          <w:p w:rsidR="00276B9C" w:rsidRPr="00276B9C" w:rsidRDefault="00276B9C" w:rsidP="00276B9C">
            <w:pPr>
              <w:jc w:val="center"/>
              <w:rPr>
                <w:rFonts w:eastAsia="Calibri"/>
                <w:b/>
                <w:sz w:val="10"/>
                <w:szCs w:val="10"/>
                <w:lang w:eastAsia="en-US"/>
              </w:rPr>
            </w:pPr>
            <w:r w:rsidRPr="00276B9C">
              <w:rPr>
                <w:rFonts w:eastAsia="Calibri"/>
                <w:b/>
                <w:sz w:val="14"/>
                <w:szCs w:val="14"/>
                <w:lang w:eastAsia="en-US"/>
              </w:rPr>
              <w:t>-Millones de dólares-</w:t>
            </w:r>
          </w:p>
        </w:tc>
      </w:tr>
      <w:tr w:rsidR="00276B9C" w:rsidRPr="00276B9C" w:rsidTr="00D46A23">
        <w:trPr>
          <w:jc w:val="center"/>
        </w:trPr>
        <w:tc>
          <w:tcPr>
            <w:tcW w:w="15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TIPO</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2006</w:t>
            </w:r>
          </w:p>
        </w:tc>
        <w:tc>
          <w:tcPr>
            <w:tcW w:w="567"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2007</w:t>
            </w:r>
          </w:p>
        </w:tc>
        <w:tc>
          <w:tcPr>
            <w:tcW w:w="567"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2008</w:t>
            </w:r>
          </w:p>
        </w:tc>
        <w:tc>
          <w:tcPr>
            <w:tcW w:w="567"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2009</w:t>
            </w:r>
          </w:p>
        </w:tc>
        <w:tc>
          <w:tcPr>
            <w:tcW w:w="567"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2010</w:t>
            </w:r>
          </w:p>
        </w:tc>
        <w:tc>
          <w:tcPr>
            <w:tcW w:w="567"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2011</w:t>
            </w:r>
          </w:p>
        </w:tc>
        <w:tc>
          <w:tcPr>
            <w:tcW w:w="567"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2012</w:t>
            </w:r>
          </w:p>
        </w:tc>
        <w:tc>
          <w:tcPr>
            <w:tcW w:w="523"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2013</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2014</w:t>
            </w:r>
          </w:p>
        </w:tc>
        <w:tc>
          <w:tcPr>
            <w:tcW w:w="1230" w:type="dxa"/>
            <w:gridSpan w:val="2"/>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proofErr w:type="spellStart"/>
            <w:r w:rsidRPr="00276B9C">
              <w:rPr>
                <w:rFonts w:eastAsia="Calibri"/>
                <w:b/>
                <w:sz w:val="12"/>
                <w:szCs w:val="12"/>
                <w:lang w:eastAsia="en-US"/>
              </w:rPr>
              <w:t>Acum</w:t>
            </w:r>
            <w:proofErr w:type="spellEnd"/>
            <w:r w:rsidRPr="00276B9C">
              <w:rPr>
                <w:rFonts w:eastAsia="Calibri"/>
                <w:b/>
                <w:sz w:val="12"/>
                <w:szCs w:val="12"/>
                <w:lang w:eastAsia="en-US"/>
              </w:rPr>
              <w:t>. 2000 -2014</w:t>
            </w:r>
            <w:r w:rsidRPr="00276B9C">
              <w:rPr>
                <w:rFonts w:eastAsia="Calibri"/>
                <w:b/>
                <w:sz w:val="12"/>
                <w:szCs w:val="12"/>
                <w:u w:val="single"/>
                <w:vertAlign w:val="superscript"/>
                <w:lang w:eastAsia="en-US"/>
              </w:rPr>
              <w:t>2</w:t>
            </w:r>
            <w:r w:rsidRPr="00276B9C">
              <w:rPr>
                <w:rFonts w:eastAsia="Calibri"/>
                <w:b/>
                <w:sz w:val="12"/>
                <w:szCs w:val="12"/>
                <w:vertAlign w:val="superscript"/>
                <w:lang w:eastAsia="en-US"/>
              </w:rPr>
              <w:t>/</w:t>
            </w:r>
          </w:p>
        </w:tc>
      </w:tr>
      <w:tr w:rsidR="00276B9C" w:rsidRPr="00276B9C" w:rsidTr="00D46A23">
        <w:trPr>
          <w:jc w:val="center"/>
        </w:trPr>
        <w:tc>
          <w:tcPr>
            <w:tcW w:w="1521" w:type="dxa"/>
            <w:vMerge/>
            <w:tcBorders>
              <w:top w:val="single" w:sz="4" w:space="0" w:color="auto"/>
              <w:left w:val="single" w:sz="4" w:space="0" w:color="auto"/>
              <w:bottom w:val="single" w:sz="4" w:space="0" w:color="auto"/>
              <w:right w:val="single" w:sz="4" w:space="0" w:color="auto"/>
            </w:tcBorders>
            <w:shd w:val="clear" w:color="auto" w:fill="auto"/>
          </w:tcPr>
          <w:p w:rsidR="00276B9C" w:rsidRPr="00276B9C" w:rsidRDefault="00276B9C" w:rsidP="00276B9C">
            <w:pPr>
              <w:rPr>
                <w:rFonts w:eastAsia="Calibri"/>
                <w:b/>
                <w:sz w:val="12"/>
                <w:szCs w:val="12"/>
                <w:lang w:eastAsia="en-US"/>
              </w:rPr>
            </w:pP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tcPr>
          <w:p w:rsidR="00276B9C" w:rsidRPr="00276B9C" w:rsidRDefault="00276B9C" w:rsidP="00276B9C">
            <w:pPr>
              <w:jc w:val="center"/>
              <w:rPr>
                <w:rFonts w:eastAsia="Calibri"/>
                <w:b/>
                <w:sz w:val="12"/>
                <w:szCs w:val="12"/>
                <w:lang w:eastAsia="en-US"/>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p>
        </w:tc>
        <w:tc>
          <w:tcPr>
            <w:tcW w:w="567"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jc w:val="center"/>
              <w:rPr>
                <w:rFonts w:eastAsia="Calibri"/>
                <w:b/>
                <w:sz w:val="12"/>
                <w:szCs w:val="12"/>
                <w:lang w:eastAsia="en-US"/>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p>
        </w:tc>
        <w:tc>
          <w:tcPr>
            <w:tcW w:w="523"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Ene-Dic</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Valor</w:t>
            </w:r>
          </w:p>
        </w:tc>
        <w:tc>
          <w:tcPr>
            <w:tcW w:w="522"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736C45">
            <w:pPr>
              <w:ind w:left="-57" w:right="57"/>
              <w:jc w:val="right"/>
              <w:rPr>
                <w:rFonts w:eastAsia="Calibri"/>
                <w:b/>
                <w:sz w:val="12"/>
                <w:szCs w:val="12"/>
                <w:lang w:eastAsia="en-US"/>
              </w:rPr>
            </w:pPr>
            <w:proofErr w:type="spellStart"/>
            <w:r w:rsidRPr="00276B9C">
              <w:rPr>
                <w:rFonts w:eastAsia="Calibri"/>
                <w:b/>
                <w:sz w:val="12"/>
                <w:szCs w:val="12"/>
                <w:lang w:eastAsia="en-US"/>
              </w:rPr>
              <w:t>Part</w:t>
            </w:r>
            <w:proofErr w:type="spellEnd"/>
            <w:r w:rsidR="00736C45">
              <w:rPr>
                <w:rFonts w:eastAsia="Calibri"/>
                <w:b/>
                <w:sz w:val="12"/>
                <w:szCs w:val="12"/>
                <w:lang w:eastAsia="en-US"/>
              </w:rPr>
              <w:t>.</w:t>
            </w:r>
          </w:p>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w:t>
            </w:r>
          </w:p>
        </w:tc>
      </w:tr>
      <w:tr w:rsidR="00276B9C" w:rsidRPr="00276B9C" w:rsidTr="00D46A23">
        <w:trPr>
          <w:jc w:val="center"/>
        </w:trPr>
        <w:tc>
          <w:tcPr>
            <w:tcW w:w="1521"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rPr>
                <w:rFonts w:eastAsia="Calibri"/>
                <w:b/>
                <w:sz w:val="12"/>
                <w:szCs w:val="12"/>
                <w:lang w:eastAsia="en-US"/>
              </w:rPr>
            </w:pPr>
          </w:p>
        </w:tc>
        <w:tc>
          <w:tcPr>
            <w:tcW w:w="567"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57"/>
              <w:jc w:val="right"/>
              <w:rPr>
                <w:rFonts w:eastAsia="Calibri"/>
                <w:sz w:val="12"/>
                <w:szCs w:val="12"/>
                <w:lang w:eastAsia="en-US"/>
              </w:rPr>
            </w:pPr>
          </w:p>
        </w:tc>
        <w:tc>
          <w:tcPr>
            <w:tcW w:w="567"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227"/>
              <w:jc w:val="right"/>
              <w:rPr>
                <w:rFonts w:eastAsia="Calibri"/>
                <w:sz w:val="12"/>
                <w:szCs w:val="12"/>
                <w:lang w:eastAsia="en-US"/>
              </w:rPr>
            </w:pPr>
          </w:p>
        </w:tc>
        <w:tc>
          <w:tcPr>
            <w:tcW w:w="567"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2"/>
                <w:szCs w:val="12"/>
                <w:lang w:eastAsia="en-US"/>
              </w:rPr>
            </w:pPr>
          </w:p>
        </w:tc>
        <w:tc>
          <w:tcPr>
            <w:tcW w:w="567"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2"/>
                <w:szCs w:val="12"/>
                <w:lang w:eastAsia="en-US"/>
              </w:rPr>
            </w:pPr>
          </w:p>
        </w:tc>
        <w:tc>
          <w:tcPr>
            <w:tcW w:w="567"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2"/>
                <w:szCs w:val="12"/>
                <w:lang w:eastAsia="en-US"/>
              </w:rPr>
            </w:pPr>
          </w:p>
        </w:tc>
        <w:tc>
          <w:tcPr>
            <w:tcW w:w="567"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2"/>
                <w:szCs w:val="12"/>
                <w:lang w:eastAsia="en-US"/>
              </w:rPr>
            </w:pPr>
          </w:p>
        </w:tc>
        <w:tc>
          <w:tcPr>
            <w:tcW w:w="567"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2"/>
                <w:szCs w:val="12"/>
                <w:lang w:eastAsia="en-US"/>
              </w:rPr>
            </w:pPr>
          </w:p>
        </w:tc>
        <w:tc>
          <w:tcPr>
            <w:tcW w:w="523"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2"/>
                <w:szCs w:val="12"/>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ind w:right="57"/>
              <w:jc w:val="right"/>
              <w:rPr>
                <w:rFonts w:eastAsia="Calibri"/>
                <w:b/>
                <w:sz w:val="12"/>
                <w:szCs w:val="12"/>
                <w:lang w:eastAsia="en-US"/>
              </w:rPr>
            </w:pPr>
            <w:r w:rsidRPr="00276B9C">
              <w:rPr>
                <w:rFonts w:eastAsia="Calibri"/>
                <w:b/>
                <w:sz w:val="12"/>
                <w:szCs w:val="12"/>
                <w:lang w:eastAsia="en-US"/>
              </w:rPr>
              <w:t>Valor</w:t>
            </w:r>
          </w:p>
        </w:tc>
        <w:tc>
          <w:tcPr>
            <w:tcW w:w="567" w:type="dxa"/>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57"/>
              <w:jc w:val="right"/>
              <w:rPr>
                <w:rFonts w:eastAsia="Calibri"/>
                <w:b/>
                <w:sz w:val="12"/>
                <w:szCs w:val="12"/>
                <w:lang w:eastAsia="en-US"/>
              </w:rPr>
            </w:pPr>
            <w:proofErr w:type="spellStart"/>
            <w:r w:rsidRPr="00276B9C">
              <w:rPr>
                <w:rFonts w:eastAsia="Calibri"/>
                <w:b/>
                <w:sz w:val="12"/>
                <w:szCs w:val="12"/>
                <w:lang w:eastAsia="en-US"/>
              </w:rPr>
              <w:t>Part</w:t>
            </w:r>
            <w:proofErr w:type="spellEnd"/>
            <w:r w:rsidRPr="00276B9C">
              <w:rPr>
                <w:rFonts w:eastAsia="Calibri"/>
                <w:b/>
                <w:sz w:val="12"/>
                <w:szCs w:val="12"/>
                <w:lang w:eastAsia="en-US"/>
              </w:rPr>
              <w:t>.</w:t>
            </w:r>
          </w:p>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w:t>
            </w:r>
          </w:p>
        </w:tc>
        <w:tc>
          <w:tcPr>
            <w:tcW w:w="708"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b/>
                <w:sz w:val="12"/>
                <w:szCs w:val="12"/>
                <w:lang w:eastAsia="en-US"/>
              </w:rPr>
            </w:pPr>
          </w:p>
        </w:tc>
        <w:tc>
          <w:tcPr>
            <w:tcW w:w="522"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b/>
                <w:sz w:val="12"/>
                <w:szCs w:val="12"/>
                <w:lang w:eastAsia="en-US"/>
              </w:rPr>
            </w:pPr>
          </w:p>
        </w:tc>
      </w:tr>
      <w:tr w:rsidR="00276B9C" w:rsidRPr="00276B9C" w:rsidTr="00D46A23">
        <w:trPr>
          <w:jc w:val="center"/>
        </w:trPr>
        <w:tc>
          <w:tcPr>
            <w:tcW w:w="1521" w:type="dxa"/>
            <w:tcBorders>
              <w:top w:val="single" w:sz="4" w:space="0" w:color="auto"/>
              <w:left w:val="single" w:sz="4" w:space="0" w:color="auto"/>
              <w:right w:val="single" w:sz="4" w:space="0" w:color="auto"/>
            </w:tcBorders>
          </w:tcPr>
          <w:p w:rsidR="00276B9C" w:rsidRPr="00276B9C" w:rsidRDefault="00276B9C" w:rsidP="00276B9C">
            <w:pPr>
              <w:spacing w:before="60" w:after="60"/>
              <w:rPr>
                <w:rFonts w:eastAsia="Calibri"/>
                <w:b/>
                <w:sz w:val="12"/>
                <w:szCs w:val="12"/>
                <w:lang w:eastAsia="en-US"/>
              </w:rPr>
            </w:pPr>
            <w:r w:rsidRPr="00276B9C">
              <w:rPr>
                <w:rFonts w:eastAsia="Calibri"/>
                <w:b/>
                <w:sz w:val="12"/>
                <w:szCs w:val="12"/>
                <w:lang w:eastAsia="en-US"/>
              </w:rPr>
              <w:t>TOTAL</w:t>
            </w:r>
          </w:p>
        </w:tc>
        <w:tc>
          <w:tcPr>
            <w:tcW w:w="567"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20 900.6</w:t>
            </w:r>
          </w:p>
        </w:tc>
        <w:tc>
          <w:tcPr>
            <w:tcW w:w="567"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32 213.2</w:t>
            </w:r>
          </w:p>
        </w:tc>
        <w:tc>
          <w:tcPr>
            <w:tcW w:w="567"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28 573.9</w:t>
            </w:r>
          </w:p>
        </w:tc>
        <w:tc>
          <w:tcPr>
            <w:tcW w:w="567"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17 643.7</w:t>
            </w:r>
          </w:p>
        </w:tc>
        <w:tc>
          <w:tcPr>
            <w:tcW w:w="567"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25 961.5</w:t>
            </w:r>
          </w:p>
        </w:tc>
        <w:tc>
          <w:tcPr>
            <w:tcW w:w="567"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23 559.9</w:t>
            </w:r>
          </w:p>
        </w:tc>
        <w:tc>
          <w:tcPr>
            <w:tcW w:w="567"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18 997.9</w:t>
            </w:r>
          </w:p>
        </w:tc>
        <w:tc>
          <w:tcPr>
            <w:tcW w:w="523"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44 198.8</w:t>
            </w:r>
          </w:p>
        </w:tc>
        <w:tc>
          <w:tcPr>
            <w:tcW w:w="567" w:type="dxa"/>
            <w:tcBorders>
              <w:top w:val="single" w:sz="4" w:space="0" w:color="auto"/>
              <w:left w:val="single" w:sz="4" w:space="0" w:color="auto"/>
              <w:right w:val="single" w:sz="4" w:space="0" w:color="auto"/>
            </w:tcBorders>
          </w:tcPr>
          <w:p w:rsidR="00276B9C" w:rsidRPr="00276B9C" w:rsidRDefault="00276B9C" w:rsidP="00276B9C">
            <w:pPr>
              <w:spacing w:before="60" w:after="60"/>
              <w:ind w:left="-113" w:right="-57"/>
              <w:jc w:val="right"/>
              <w:rPr>
                <w:rFonts w:eastAsia="Calibri"/>
                <w:b/>
                <w:sz w:val="12"/>
                <w:szCs w:val="12"/>
                <w:lang w:eastAsia="en-US"/>
              </w:rPr>
            </w:pPr>
            <w:r w:rsidRPr="00276B9C">
              <w:rPr>
                <w:rFonts w:eastAsia="Calibri"/>
                <w:b/>
                <w:sz w:val="12"/>
                <w:szCs w:val="12"/>
                <w:lang w:eastAsia="en-US"/>
              </w:rPr>
              <w:t>22 568.4</w:t>
            </w:r>
          </w:p>
        </w:tc>
        <w:tc>
          <w:tcPr>
            <w:tcW w:w="567"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100.0</w:t>
            </w:r>
          </w:p>
        </w:tc>
        <w:tc>
          <w:tcPr>
            <w:tcW w:w="708"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jc w:val="right"/>
              <w:rPr>
                <w:rFonts w:eastAsia="Calibri"/>
                <w:b/>
                <w:sz w:val="12"/>
                <w:szCs w:val="12"/>
                <w:lang w:eastAsia="en-US"/>
              </w:rPr>
            </w:pPr>
            <w:r w:rsidRPr="00276B9C">
              <w:rPr>
                <w:rFonts w:eastAsia="Calibri"/>
                <w:b/>
                <w:sz w:val="12"/>
                <w:szCs w:val="12"/>
                <w:lang w:eastAsia="en-US"/>
              </w:rPr>
              <w:t>375 700.7</w:t>
            </w:r>
          </w:p>
        </w:tc>
        <w:tc>
          <w:tcPr>
            <w:tcW w:w="522" w:type="dxa"/>
            <w:tcBorders>
              <w:top w:val="single" w:sz="4" w:space="0" w:color="auto"/>
              <w:left w:val="single" w:sz="4" w:space="0" w:color="auto"/>
              <w:right w:val="single" w:sz="4" w:space="0" w:color="auto"/>
            </w:tcBorders>
          </w:tcPr>
          <w:p w:rsidR="00276B9C" w:rsidRPr="00276B9C" w:rsidRDefault="00276B9C" w:rsidP="00276B9C">
            <w:pPr>
              <w:spacing w:before="60" w:after="60"/>
              <w:jc w:val="right"/>
              <w:rPr>
                <w:rFonts w:eastAsia="Calibri"/>
                <w:b/>
                <w:sz w:val="12"/>
                <w:szCs w:val="12"/>
                <w:lang w:eastAsia="en-US"/>
              </w:rPr>
            </w:pPr>
            <w:r w:rsidRPr="00276B9C">
              <w:rPr>
                <w:rFonts w:eastAsia="Calibri"/>
                <w:b/>
                <w:sz w:val="12"/>
                <w:szCs w:val="12"/>
                <w:lang w:eastAsia="en-US"/>
              </w:rPr>
              <w:t>100.0</w:t>
            </w:r>
          </w:p>
        </w:tc>
      </w:tr>
      <w:tr w:rsidR="00276B9C" w:rsidRPr="00276B9C" w:rsidTr="00D46A23">
        <w:trPr>
          <w:jc w:val="center"/>
        </w:trPr>
        <w:tc>
          <w:tcPr>
            <w:tcW w:w="1521" w:type="dxa"/>
            <w:tcBorders>
              <w:left w:val="single" w:sz="4" w:space="0" w:color="auto"/>
              <w:right w:val="single" w:sz="4" w:space="0" w:color="auto"/>
            </w:tcBorders>
          </w:tcPr>
          <w:p w:rsidR="00276B9C" w:rsidRPr="00276B9C" w:rsidRDefault="00276B9C" w:rsidP="00276B9C">
            <w:pPr>
              <w:spacing w:before="60" w:after="60"/>
              <w:rPr>
                <w:rFonts w:eastAsia="Calibri"/>
                <w:sz w:val="12"/>
                <w:szCs w:val="12"/>
                <w:lang w:eastAsia="en-US"/>
              </w:rPr>
            </w:pPr>
            <w:r w:rsidRPr="00276B9C">
              <w:rPr>
                <w:rFonts w:eastAsia="Calibri"/>
                <w:sz w:val="12"/>
                <w:szCs w:val="12"/>
                <w:lang w:eastAsia="en-US"/>
              </w:rPr>
              <w:t>Nuevas inversiones</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6 574.0</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17 760.9</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12 305.2</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11 203.5</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15 159.9</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9 396.1</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4 325.0</w:t>
            </w:r>
          </w:p>
        </w:tc>
        <w:tc>
          <w:tcPr>
            <w:tcW w:w="523"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21 621.9</w:t>
            </w:r>
          </w:p>
        </w:tc>
        <w:tc>
          <w:tcPr>
            <w:tcW w:w="567" w:type="dxa"/>
            <w:tcBorders>
              <w:left w:val="single" w:sz="4" w:space="0" w:color="auto"/>
              <w:right w:val="single" w:sz="4" w:space="0" w:color="auto"/>
            </w:tcBorders>
          </w:tcPr>
          <w:p w:rsidR="00276B9C" w:rsidRPr="00276B9C" w:rsidRDefault="00276B9C" w:rsidP="00276B9C">
            <w:pPr>
              <w:spacing w:before="60" w:after="60"/>
              <w:ind w:left="-113" w:right="-57"/>
              <w:jc w:val="right"/>
              <w:rPr>
                <w:rFonts w:eastAsia="Calibri"/>
                <w:sz w:val="12"/>
                <w:szCs w:val="12"/>
                <w:lang w:eastAsia="en-US"/>
              </w:rPr>
            </w:pPr>
            <w:r w:rsidRPr="00276B9C">
              <w:rPr>
                <w:rFonts w:eastAsia="Calibri"/>
                <w:sz w:val="12"/>
                <w:szCs w:val="12"/>
                <w:lang w:eastAsia="en-US"/>
              </w:rPr>
              <w:t>4 234.6</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18.8</w:t>
            </w:r>
          </w:p>
        </w:tc>
        <w:tc>
          <w:tcPr>
            <w:tcW w:w="70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187 310.2</w:t>
            </w:r>
          </w:p>
        </w:tc>
        <w:tc>
          <w:tcPr>
            <w:tcW w:w="522" w:type="dxa"/>
            <w:tcBorders>
              <w:left w:val="single" w:sz="4" w:space="0" w:color="auto"/>
              <w:right w:val="single" w:sz="4" w:space="0" w:color="auto"/>
            </w:tcBorders>
          </w:tcPr>
          <w:p w:rsidR="00276B9C" w:rsidRPr="00276B9C" w:rsidRDefault="00276B9C" w:rsidP="00276B9C">
            <w:pPr>
              <w:spacing w:before="60" w:after="60"/>
              <w:jc w:val="right"/>
              <w:rPr>
                <w:rFonts w:eastAsia="Calibri"/>
                <w:sz w:val="12"/>
                <w:szCs w:val="12"/>
                <w:lang w:eastAsia="en-US"/>
              </w:rPr>
            </w:pPr>
            <w:r w:rsidRPr="00276B9C">
              <w:rPr>
                <w:rFonts w:eastAsia="Calibri"/>
                <w:sz w:val="12"/>
                <w:szCs w:val="12"/>
                <w:lang w:eastAsia="en-US"/>
              </w:rPr>
              <w:t>49.9</w:t>
            </w:r>
          </w:p>
        </w:tc>
      </w:tr>
      <w:tr w:rsidR="00276B9C" w:rsidRPr="00276B9C" w:rsidTr="00D46A23">
        <w:trPr>
          <w:jc w:val="center"/>
        </w:trPr>
        <w:tc>
          <w:tcPr>
            <w:tcW w:w="1521" w:type="dxa"/>
            <w:tcBorders>
              <w:left w:val="single" w:sz="4" w:space="0" w:color="auto"/>
              <w:right w:val="single" w:sz="4" w:space="0" w:color="auto"/>
            </w:tcBorders>
          </w:tcPr>
          <w:p w:rsidR="00276B9C" w:rsidRPr="00276B9C" w:rsidRDefault="00276B9C" w:rsidP="00276B9C">
            <w:pPr>
              <w:spacing w:before="60" w:after="60"/>
              <w:rPr>
                <w:rFonts w:eastAsia="Calibri"/>
                <w:sz w:val="12"/>
                <w:szCs w:val="12"/>
                <w:lang w:eastAsia="en-US"/>
              </w:rPr>
            </w:pPr>
            <w:r w:rsidRPr="00276B9C">
              <w:rPr>
                <w:rFonts w:eastAsia="Calibri"/>
                <w:sz w:val="12"/>
                <w:szCs w:val="12"/>
                <w:lang w:eastAsia="en-US"/>
              </w:rPr>
              <w:t>Reinversión de utilidades</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8 105.8</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8 459.8</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8 970.5</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4 895.2</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4 921.3</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9 433.5</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8 558.7</w:t>
            </w:r>
          </w:p>
        </w:tc>
        <w:tc>
          <w:tcPr>
            <w:tcW w:w="523"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15 443.2</w:t>
            </w:r>
          </w:p>
        </w:tc>
        <w:tc>
          <w:tcPr>
            <w:tcW w:w="567" w:type="dxa"/>
            <w:tcBorders>
              <w:left w:val="single" w:sz="4" w:space="0" w:color="auto"/>
              <w:right w:val="single" w:sz="4" w:space="0" w:color="auto"/>
            </w:tcBorders>
          </w:tcPr>
          <w:p w:rsidR="00276B9C" w:rsidRPr="00276B9C" w:rsidRDefault="00276B9C" w:rsidP="00276B9C">
            <w:pPr>
              <w:spacing w:before="60" w:after="60"/>
              <w:ind w:left="-113" w:right="-57"/>
              <w:jc w:val="right"/>
              <w:rPr>
                <w:rFonts w:eastAsia="Calibri"/>
                <w:sz w:val="12"/>
                <w:szCs w:val="12"/>
                <w:lang w:eastAsia="en-US"/>
              </w:rPr>
            </w:pPr>
            <w:r w:rsidRPr="00276B9C">
              <w:rPr>
                <w:rFonts w:eastAsia="Calibri"/>
                <w:sz w:val="12"/>
                <w:szCs w:val="12"/>
                <w:lang w:eastAsia="en-US"/>
              </w:rPr>
              <w:t>12 768.6</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56.6</w:t>
            </w:r>
          </w:p>
        </w:tc>
        <w:tc>
          <w:tcPr>
            <w:tcW w:w="70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101 110.6</w:t>
            </w:r>
          </w:p>
        </w:tc>
        <w:tc>
          <w:tcPr>
            <w:tcW w:w="522" w:type="dxa"/>
            <w:tcBorders>
              <w:left w:val="single" w:sz="4" w:space="0" w:color="auto"/>
              <w:right w:val="single" w:sz="4" w:space="0" w:color="auto"/>
            </w:tcBorders>
          </w:tcPr>
          <w:p w:rsidR="00276B9C" w:rsidRPr="00276B9C" w:rsidRDefault="00276B9C" w:rsidP="00276B9C">
            <w:pPr>
              <w:spacing w:before="60" w:after="60"/>
              <w:jc w:val="right"/>
              <w:rPr>
                <w:rFonts w:eastAsia="Calibri"/>
                <w:sz w:val="12"/>
                <w:szCs w:val="12"/>
                <w:lang w:eastAsia="en-US"/>
              </w:rPr>
            </w:pPr>
            <w:r w:rsidRPr="00276B9C">
              <w:rPr>
                <w:rFonts w:eastAsia="Calibri"/>
                <w:sz w:val="12"/>
                <w:szCs w:val="12"/>
                <w:lang w:eastAsia="en-US"/>
              </w:rPr>
              <w:t>26.9</w:t>
            </w:r>
          </w:p>
        </w:tc>
      </w:tr>
      <w:tr w:rsidR="00276B9C" w:rsidRPr="00276B9C" w:rsidTr="00D46A23">
        <w:trPr>
          <w:jc w:val="center"/>
        </w:trPr>
        <w:tc>
          <w:tcPr>
            <w:tcW w:w="1521" w:type="dxa"/>
            <w:tcBorders>
              <w:left w:val="single" w:sz="4" w:space="0" w:color="auto"/>
              <w:bottom w:val="single" w:sz="4" w:space="0" w:color="auto"/>
              <w:right w:val="single" w:sz="4" w:space="0" w:color="auto"/>
            </w:tcBorders>
          </w:tcPr>
          <w:p w:rsidR="00276B9C" w:rsidRPr="00276B9C" w:rsidRDefault="00276B9C" w:rsidP="00276B9C">
            <w:pPr>
              <w:spacing w:before="60" w:after="60"/>
              <w:rPr>
                <w:rFonts w:eastAsia="Calibri"/>
                <w:sz w:val="12"/>
                <w:szCs w:val="12"/>
                <w:lang w:eastAsia="en-US"/>
              </w:rPr>
            </w:pPr>
            <w:r w:rsidRPr="00276B9C">
              <w:rPr>
                <w:rFonts w:eastAsia="Calibri"/>
                <w:sz w:val="12"/>
                <w:szCs w:val="12"/>
                <w:lang w:eastAsia="en-US"/>
              </w:rPr>
              <w:t>Cuentas entre compañías</w:t>
            </w:r>
            <w:r w:rsidRPr="00276B9C">
              <w:rPr>
                <w:rFonts w:eastAsia="Calibri"/>
                <w:sz w:val="12"/>
                <w:szCs w:val="12"/>
                <w:u w:val="single"/>
                <w:vertAlign w:val="superscript"/>
                <w:lang w:eastAsia="en-US"/>
              </w:rPr>
              <w:t>3</w:t>
            </w:r>
            <w:r w:rsidRPr="00276B9C">
              <w:rPr>
                <w:rFonts w:eastAsia="Calibri"/>
                <w:sz w:val="12"/>
                <w:szCs w:val="12"/>
                <w:vertAlign w:val="superscript"/>
                <w:lang w:eastAsia="en-US"/>
              </w:rPr>
              <w:t>/</w:t>
            </w:r>
          </w:p>
        </w:tc>
        <w:tc>
          <w:tcPr>
            <w:tcW w:w="567" w:type="dxa"/>
            <w:tcBorders>
              <w:left w:val="single" w:sz="4" w:space="0" w:color="auto"/>
              <w:bottom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6 220.7</w:t>
            </w:r>
          </w:p>
        </w:tc>
        <w:tc>
          <w:tcPr>
            <w:tcW w:w="567" w:type="dxa"/>
            <w:tcBorders>
              <w:left w:val="single" w:sz="4" w:space="0" w:color="auto"/>
              <w:bottom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5 992.4</w:t>
            </w:r>
          </w:p>
        </w:tc>
        <w:tc>
          <w:tcPr>
            <w:tcW w:w="567" w:type="dxa"/>
            <w:tcBorders>
              <w:left w:val="single" w:sz="4" w:space="0" w:color="auto"/>
              <w:bottom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7 298.2</w:t>
            </w:r>
          </w:p>
        </w:tc>
        <w:tc>
          <w:tcPr>
            <w:tcW w:w="567" w:type="dxa"/>
            <w:tcBorders>
              <w:left w:val="single" w:sz="4" w:space="0" w:color="auto"/>
              <w:bottom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1 545.0</w:t>
            </w:r>
          </w:p>
        </w:tc>
        <w:tc>
          <w:tcPr>
            <w:tcW w:w="567" w:type="dxa"/>
            <w:tcBorders>
              <w:left w:val="single" w:sz="4" w:space="0" w:color="auto"/>
              <w:bottom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5 880.3</w:t>
            </w:r>
          </w:p>
        </w:tc>
        <w:tc>
          <w:tcPr>
            <w:tcW w:w="567" w:type="dxa"/>
            <w:tcBorders>
              <w:left w:val="single" w:sz="4" w:space="0" w:color="auto"/>
              <w:bottom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4 730.3</w:t>
            </w:r>
          </w:p>
        </w:tc>
        <w:tc>
          <w:tcPr>
            <w:tcW w:w="567" w:type="dxa"/>
            <w:tcBorders>
              <w:left w:val="single" w:sz="4" w:space="0" w:color="auto"/>
              <w:bottom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6 114.2</w:t>
            </w:r>
          </w:p>
        </w:tc>
        <w:tc>
          <w:tcPr>
            <w:tcW w:w="523" w:type="dxa"/>
            <w:tcBorders>
              <w:left w:val="single" w:sz="4" w:space="0" w:color="auto"/>
              <w:bottom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7 133.7</w:t>
            </w:r>
          </w:p>
        </w:tc>
        <w:tc>
          <w:tcPr>
            <w:tcW w:w="567" w:type="dxa"/>
            <w:tcBorders>
              <w:left w:val="single" w:sz="4" w:space="0" w:color="auto"/>
              <w:bottom w:val="single" w:sz="4" w:space="0" w:color="auto"/>
              <w:right w:val="single" w:sz="4" w:space="0" w:color="auto"/>
            </w:tcBorders>
          </w:tcPr>
          <w:p w:rsidR="00276B9C" w:rsidRPr="00276B9C" w:rsidRDefault="00276B9C" w:rsidP="00276B9C">
            <w:pPr>
              <w:spacing w:before="60" w:after="60"/>
              <w:ind w:left="-113" w:right="-57"/>
              <w:jc w:val="right"/>
              <w:rPr>
                <w:rFonts w:eastAsia="Calibri"/>
                <w:sz w:val="12"/>
                <w:szCs w:val="12"/>
                <w:lang w:eastAsia="en-US"/>
              </w:rPr>
            </w:pPr>
            <w:r w:rsidRPr="00276B9C">
              <w:rPr>
                <w:rFonts w:eastAsia="Calibri"/>
                <w:sz w:val="12"/>
                <w:szCs w:val="12"/>
                <w:lang w:eastAsia="en-US"/>
              </w:rPr>
              <w:t>5 565.2</w:t>
            </w:r>
          </w:p>
        </w:tc>
        <w:tc>
          <w:tcPr>
            <w:tcW w:w="567" w:type="dxa"/>
            <w:tcBorders>
              <w:left w:val="single" w:sz="4" w:space="0" w:color="auto"/>
              <w:bottom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24.7</w:t>
            </w:r>
          </w:p>
        </w:tc>
        <w:tc>
          <w:tcPr>
            <w:tcW w:w="708" w:type="dxa"/>
            <w:tcBorders>
              <w:left w:val="single" w:sz="4" w:space="0" w:color="auto"/>
              <w:bottom w:val="single" w:sz="4" w:space="0" w:color="auto"/>
              <w:right w:val="single" w:sz="4" w:space="0" w:color="auto"/>
            </w:tcBorders>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87 279.9</w:t>
            </w:r>
          </w:p>
        </w:tc>
        <w:tc>
          <w:tcPr>
            <w:tcW w:w="522" w:type="dxa"/>
            <w:tcBorders>
              <w:left w:val="single" w:sz="4" w:space="0" w:color="auto"/>
              <w:bottom w:val="single" w:sz="4" w:space="0" w:color="auto"/>
              <w:right w:val="single" w:sz="4" w:space="0" w:color="auto"/>
            </w:tcBorders>
          </w:tcPr>
          <w:p w:rsidR="00276B9C" w:rsidRPr="00276B9C" w:rsidRDefault="00276B9C" w:rsidP="00276B9C">
            <w:pPr>
              <w:spacing w:before="60" w:after="60"/>
              <w:jc w:val="right"/>
              <w:rPr>
                <w:rFonts w:eastAsia="Calibri"/>
                <w:sz w:val="12"/>
                <w:szCs w:val="12"/>
                <w:lang w:eastAsia="en-US"/>
              </w:rPr>
            </w:pPr>
            <w:r w:rsidRPr="00276B9C">
              <w:rPr>
                <w:rFonts w:eastAsia="Calibri"/>
                <w:sz w:val="12"/>
                <w:szCs w:val="12"/>
                <w:lang w:eastAsia="en-US"/>
              </w:rPr>
              <w:t>23.2</w:t>
            </w:r>
          </w:p>
        </w:tc>
      </w:tr>
      <w:tr w:rsidR="00276B9C" w:rsidRPr="00276B9C" w:rsidTr="001E7D79">
        <w:trPr>
          <w:jc w:val="center"/>
        </w:trPr>
        <w:tc>
          <w:tcPr>
            <w:tcW w:w="8377" w:type="dxa"/>
            <w:gridSpan w:val="13"/>
            <w:tcBorders>
              <w:left w:val="nil"/>
              <w:bottom w:val="nil"/>
              <w:right w:val="nil"/>
            </w:tcBorders>
          </w:tcPr>
          <w:p w:rsidR="00276B9C" w:rsidRPr="00276B9C" w:rsidRDefault="00276B9C" w:rsidP="00276B9C">
            <w:pPr>
              <w:ind w:left="255" w:hanging="312"/>
              <w:jc w:val="both"/>
              <w:rPr>
                <w:rFonts w:eastAsia="Calibri"/>
                <w:sz w:val="12"/>
                <w:szCs w:val="12"/>
                <w:lang w:eastAsia="en-US"/>
              </w:rPr>
            </w:pPr>
            <w:r w:rsidRPr="00276B9C">
              <w:rPr>
                <w:rFonts w:eastAsia="Calibri"/>
                <w:sz w:val="12"/>
                <w:szCs w:val="12"/>
                <w:lang w:eastAsia="en-US"/>
              </w:rPr>
              <w:t>Nota: Las cifras sobre IED se integran con los montos realizados y notificados al RNIE. La suma de los parciales puede diferir de los totales debido al redondeo que efectúa la hoja de cálculo.</w:t>
            </w:r>
          </w:p>
          <w:p w:rsidR="00276B9C" w:rsidRPr="00276B9C" w:rsidRDefault="00276B9C" w:rsidP="00276B9C">
            <w:pPr>
              <w:ind w:left="113" w:hanging="170"/>
              <w:jc w:val="both"/>
              <w:rPr>
                <w:rFonts w:eastAsia="Calibri"/>
                <w:sz w:val="12"/>
                <w:szCs w:val="12"/>
                <w:lang w:eastAsia="en-US"/>
              </w:rPr>
            </w:pPr>
            <w:r w:rsidRPr="00276B9C">
              <w:rPr>
                <w:rFonts w:eastAsia="Calibri"/>
                <w:sz w:val="12"/>
                <w:szCs w:val="12"/>
                <w:u w:val="single"/>
                <w:lang w:eastAsia="en-US"/>
              </w:rPr>
              <w:t>1</w:t>
            </w:r>
            <w:r w:rsidRPr="00276B9C">
              <w:rPr>
                <w:rFonts w:eastAsia="Calibri"/>
                <w:sz w:val="12"/>
                <w:szCs w:val="12"/>
                <w:lang w:eastAsia="en-US"/>
              </w:rPr>
              <w:t>/ Cifras notificadas y actualizadas al 31de diciembre de 2014. Por tanto las cifras de cada año presentan distintos períodos de actualización.</w:t>
            </w:r>
          </w:p>
          <w:p w:rsidR="00276B9C" w:rsidRPr="00276B9C" w:rsidRDefault="00276B9C" w:rsidP="00276B9C">
            <w:pPr>
              <w:ind w:left="-57"/>
              <w:jc w:val="both"/>
              <w:rPr>
                <w:rFonts w:eastAsia="Calibri"/>
                <w:sz w:val="12"/>
                <w:szCs w:val="12"/>
                <w:lang w:eastAsia="en-US"/>
              </w:rPr>
            </w:pPr>
            <w:r w:rsidRPr="00276B9C">
              <w:rPr>
                <w:rFonts w:eastAsia="Calibri"/>
                <w:sz w:val="12"/>
                <w:szCs w:val="12"/>
                <w:u w:val="single"/>
                <w:lang w:eastAsia="en-US"/>
              </w:rPr>
              <w:t>2</w:t>
            </w:r>
            <w:r w:rsidRPr="00276B9C">
              <w:rPr>
                <w:rFonts w:eastAsia="Calibri"/>
                <w:sz w:val="12"/>
                <w:szCs w:val="12"/>
                <w:lang w:eastAsia="en-US"/>
              </w:rPr>
              <w:t>/ Del 1° de enero de 2000 al 31 de diciembre de 2014.</w:t>
            </w:r>
          </w:p>
          <w:p w:rsidR="00276B9C" w:rsidRPr="00276B9C" w:rsidRDefault="00276B9C" w:rsidP="00276B9C">
            <w:pPr>
              <w:ind w:left="56" w:hanging="113"/>
              <w:jc w:val="both"/>
              <w:rPr>
                <w:rFonts w:eastAsia="Calibri"/>
                <w:sz w:val="12"/>
                <w:szCs w:val="12"/>
                <w:lang w:eastAsia="en-US"/>
              </w:rPr>
            </w:pPr>
            <w:r w:rsidRPr="00276B9C">
              <w:rPr>
                <w:rFonts w:eastAsia="Calibri"/>
                <w:sz w:val="12"/>
                <w:szCs w:val="12"/>
                <w:u w:val="single"/>
                <w:lang w:eastAsia="en-US"/>
              </w:rPr>
              <w:t>3</w:t>
            </w:r>
            <w:r w:rsidRPr="00276B9C">
              <w:rPr>
                <w:rFonts w:eastAsia="Calibri"/>
                <w:sz w:val="12"/>
                <w:szCs w:val="12"/>
                <w:lang w:eastAsia="en-US"/>
              </w:rPr>
              <w:t>/ El 1° de noviembre de 2006 se publicó el Decreto para el Fomento de la Industria Manufacturera, Maquiladora y de Servicios de Exportación (IMMEX), con el cual se integraron en un solo Programa los correspondientes al Fomento y Operación de la Industria Maquiladora de Exportación y el de Importación Temporal para producir Artículos de Exportación, denominado PITEX. Como resultado de lo anterior, en la estadística de inversión extranjera ya no se distingue a las empresas maquiladoras del resto de las empresas, por lo que, para fines comparativos, la IED reportada en el rubro importaciones de activo fijo realizadas por empresas maquiladoras con inversión extranjera se ha integrado en el rubro cuentas entre compañías.</w:t>
            </w:r>
          </w:p>
          <w:p w:rsidR="00276B9C" w:rsidRPr="00276B9C" w:rsidRDefault="00276B9C" w:rsidP="00276B9C">
            <w:pPr>
              <w:jc w:val="both"/>
              <w:rPr>
                <w:rFonts w:eastAsia="Calibri"/>
                <w:sz w:val="12"/>
                <w:szCs w:val="12"/>
                <w:lang w:eastAsia="en-US"/>
              </w:rPr>
            </w:pPr>
            <w:r w:rsidRPr="00276B9C">
              <w:rPr>
                <w:rFonts w:eastAsia="Calibri"/>
                <w:sz w:val="12"/>
                <w:szCs w:val="12"/>
                <w:lang w:eastAsia="en-US"/>
              </w:rPr>
              <w:t>FUENTE: Secretaría de Economía.</w:t>
            </w:r>
          </w:p>
        </w:tc>
      </w:tr>
    </w:tbl>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tbl>
      <w:tblPr>
        <w:tblW w:w="8981" w:type="dxa"/>
        <w:jc w:val="center"/>
        <w:tblLayout w:type="fixed"/>
        <w:tblLook w:val="01E0" w:firstRow="1" w:lastRow="1" w:firstColumn="1" w:lastColumn="1" w:noHBand="0" w:noVBand="0"/>
      </w:tblPr>
      <w:tblGrid>
        <w:gridCol w:w="2131"/>
        <w:gridCol w:w="540"/>
        <w:gridCol w:w="540"/>
        <w:gridCol w:w="540"/>
        <w:gridCol w:w="540"/>
        <w:gridCol w:w="540"/>
        <w:gridCol w:w="540"/>
        <w:gridCol w:w="540"/>
        <w:gridCol w:w="540"/>
        <w:gridCol w:w="643"/>
        <w:gridCol w:w="567"/>
        <w:gridCol w:w="709"/>
        <w:gridCol w:w="611"/>
      </w:tblGrid>
      <w:tr w:rsidR="00276B9C" w:rsidRPr="00276B9C" w:rsidTr="0011560C">
        <w:trPr>
          <w:jc w:val="center"/>
        </w:trPr>
        <w:tc>
          <w:tcPr>
            <w:tcW w:w="8981" w:type="dxa"/>
            <w:gridSpan w:val="13"/>
            <w:tcBorders>
              <w:top w:val="nil"/>
              <w:left w:val="nil"/>
              <w:bottom w:val="single" w:sz="4" w:space="0" w:color="auto"/>
              <w:right w:val="nil"/>
            </w:tcBorders>
          </w:tcPr>
          <w:p w:rsidR="00276B9C" w:rsidRPr="00276B9C" w:rsidRDefault="00276B9C" w:rsidP="00276B9C">
            <w:pPr>
              <w:jc w:val="center"/>
              <w:rPr>
                <w:rFonts w:eastAsia="Calibri"/>
                <w:b/>
                <w:sz w:val="14"/>
                <w:szCs w:val="14"/>
                <w:lang w:eastAsia="en-US"/>
              </w:rPr>
            </w:pPr>
            <w:r w:rsidRPr="00276B9C">
              <w:rPr>
                <w:rFonts w:eastAsia="Calibri"/>
                <w:b/>
                <w:sz w:val="14"/>
                <w:szCs w:val="14"/>
                <w:lang w:eastAsia="en-US"/>
              </w:rPr>
              <w:lastRenderedPageBreak/>
              <w:t>INVERSIÓN EXTRANJERA DIRECTA EN MÉXICO REALIZADA</w:t>
            </w:r>
          </w:p>
          <w:p w:rsidR="00276B9C" w:rsidRPr="00276B9C" w:rsidRDefault="00276B9C" w:rsidP="00276B9C">
            <w:pPr>
              <w:jc w:val="center"/>
              <w:rPr>
                <w:rFonts w:eastAsia="Calibri"/>
                <w:b/>
                <w:sz w:val="14"/>
                <w:szCs w:val="14"/>
                <w:lang w:eastAsia="en-US"/>
              </w:rPr>
            </w:pPr>
            <w:r w:rsidRPr="00276B9C">
              <w:rPr>
                <w:rFonts w:eastAsia="Calibri"/>
                <w:b/>
                <w:sz w:val="14"/>
                <w:szCs w:val="14"/>
                <w:lang w:eastAsia="en-US"/>
              </w:rPr>
              <w:t>POR SECTOR ECONÓMICO</w:t>
            </w:r>
            <w:r w:rsidRPr="00276B9C">
              <w:rPr>
                <w:rFonts w:eastAsia="Calibri"/>
                <w:b/>
                <w:sz w:val="14"/>
                <w:szCs w:val="14"/>
                <w:u w:val="single"/>
                <w:vertAlign w:val="superscript"/>
                <w:lang w:eastAsia="en-US"/>
              </w:rPr>
              <w:t>1</w:t>
            </w:r>
            <w:r w:rsidRPr="00276B9C">
              <w:rPr>
                <w:rFonts w:eastAsia="Calibri"/>
                <w:b/>
                <w:sz w:val="14"/>
                <w:szCs w:val="14"/>
                <w:vertAlign w:val="superscript"/>
                <w:lang w:eastAsia="en-US"/>
              </w:rPr>
              <w:t>/</w:t>
            </w:r>
          </w:p>
          <w:p w:rsidR="00276B9C" w:rsidRPr="00276B9C" w:rsidRDefault="00276B9C" w:rsidP="00276B9C">
            <w:pPr>
              <w:jc w:val="center"/>
              <w:rPr>
                <w:rFonts w:eastAsia="Calibri"/>
                <w:b/>
                <w:sz w:val="14"/>
                <w:szCs w:val="14"/>
                <w:lang w:eastAsia="en-US"/>
              </w:rPr>
            </w:pPr>
            <w:r w:rsidRPr="00276B9C">
              <w:rPr>
                <w:rFonts w:eastAsia="Calibri"/>
                <w:b/>
                <w:sz w:val="14"/>
                <w:szCs w:val="14"/>
                <w:lang w:eastAsia="en-US"/>
              </w:rPr>
              <w:t>-Millones de dólares-</w:t>
            </w:r>
          </w:p>
        </w:tc>
      </w:tr>
      <w:tr w:rsidR="00276B9C" w:rsidRPr="00276B9C" w:rsidTr="0011560C">
        <w:trPr>
          <w:jc w:val="center"/>
        </w:trPr>
        <w:tc>
          <w:tcPr>
            <w:tcW w:w="213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SECTORES</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2006</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2007</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2008</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2009</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2010</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2011</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2012</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2013</w:t>
            </w:r>
          </w:p>
        </w:tc>
        <w:tc>
          <w:tcPr>
            <w:tcW w:w="1210" w:type="dxa"/>
            <w:gridSpan w:val="2"/>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2014</w:t>
            </w:r>
          </w:p>
        </w:tc>
        <w:tc>
          <w:tcPr>
            <w:tcW w:w="1320" w:type="dxa"/>
            <w:gridSpan w:val="2"/>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proofErr w:type="spellStart"/>
            <w:r w:rsidRPr="00276B9C">
              <w:rPr>
                <w:rFonts w:eastAsia="Calibri"/>
                <w:b/>
                <w:sz w:val="12"/>
                <w:szCs w:val="12"/>
                <w:lang w:eastAsia="en-US"/>
              </w:rPr>
              <w:t>Acum</w:t>
            </w:r>
            <w:proofErr w:type="spellEnd"/>
            <w:r w:rsidRPr="00276B9C">
              <w:rPr>
                <w:rFonts w:eastAsia="Calibri"/>
                <w:b/>
                <w:sz w:val="12"/>
                <w:szCs w:val="12"/>
                <w:lang w:eastAsia="en-US"/>
              </w:rPr>
              <w:t>. 2000 -2014</w:t>
            </w:r>
            <w:r w:rsidRPr="00276B9C">
              <w:rPr>
                <w:rFonts w:eastAsia="Calibri"/>
                <w:b/>
                <w:sz w:val="12"/>
                <w:szCs w:val="12"/>
                <w:u w:val="single"/>
                <w:vertAlign w:val="superscript"/>
                <w:lang w:eastAsia="en-US"/>
              </w:rPr>
              <w:t>2</w:t>
            </w:r>
            <w:r w:rsidRPr="00276B9C">
              <w:rPr>
                <w:rFonts w:eastAsia="Calibri"/>
                <w:b/>
                <w:sz w:val="12"/>
                <w:szCs w:val="12"/>
                <w:vertAlign w:val="superscript"/>
                <w:lang w:eastAsia="en-US"/>
              </w:rPr>
              <w:t>/</w:t>
            </w:r>
          </w:p>
        </w:tc>
      </w:tr>
      <w:tr w:rsidR="00276B9C" w:rsidRPr="00276B9C" w:rsidTr="0011560C">
        <w:trPr>
          <w:jc w:val="center"/>
        </w:trPr>
        <w:tc>
          <w:tcPr>
            <w:tcW w:w="2131" w:type="dxa"/>
            <w:vMerge/>
            <w:tcBorders>
              <w:top w:val="single" w:sz="4" w:space="0" w:color="auto"/>
              <w:left w:val="single" w:sz="4" w:space="0" w:color="auto"/>
              <w:bottom w:val="single" w:sz="4" w:space="0" w:color="auto"/>
              <w:right w:val="single" w:sz="4" w:space="0" w:color="auto"/>
            </w:tcBorders>
            <w:shd w:val="clear" w:color="auto" w:fill="auto"/>
          </w:tcPr>
          <w:p w:rsidR="00276B9C" w:rsidRPr="00276B9C" w:rsidRDefault="00276B9C" w:rsidP="00276B9C">
            <w:pPr>
              <w:rPr>
                <w:rFonts w:eastAsia="Calibri"/>
                <w:b/>
                <w:sz w:val="12"/>
                <w:szCs w:val="12"/>
                <w:lang w:eastAsia="en-US"/>
              </w:rPr>
            </w:pPr>
          </w:p>
        </w:tc>
        <w:tc>
          <w:tcPr>
            <w:tcW w:w="540"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p>
        </w:tc>
        <w:tc>
          <w:tcPr>
            <w:tcW w:w="540"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p>
        </w:tc>
        <w:tc>
          <w:tcPr>
            <w:tcW w:w="540"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p>
        </w:tc>
        <w:tc>
          <w:tcPr>
            <w:tcW w:w="540"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jc w:val="center"/>
              <w:rPr>
                <w:rFonts w:eastAsia="Calibri"/>
                <w:b/>
                <w:sz w:val="12"/>
                <w:szCs w:val="12"/>
                <w:lang w:eastAsia="en-US"/>
              </w:rPr>
            </w:pPr>
          </w:p>
        </w:tc>
        <w:tc>
          <w:tcPr>
            <w:tcW w:w="540"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p>
        </w:tc>
        <w:tc>
          <w:tcPr>
            <w:tcW w:w="540"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p>
        </w:tc>
        <w:tc>
          <w:tcPr>
            <w:tcW w:w="540"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p>
        </w:tc>
        <w:tc>
          <w:tcPr>
            <w:tcW w:w="1210" w:type="dxa"/>
            <w:gridSpan w:val="2"/>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Ene-Dic</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Valor</w:t>
            </w:r>
          </w:p>
        </w:tc>
        <w:tc>
          <w:tcPr>
            <w:tcW w:w="611"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ind w:right="57"/>
              <w:jc w:val="right"/>
              <w:rPr>
                <w:rFonts w:eastAsia="Calibri"/>
                <w:b/>
                <w:sz w:val="12"/>
                <w:szCs w:val="12"/>
                <w:lang w:eastAsia="en-US"/>
              </w:rPr>
            </w:pPr>
            <w:proofErr w:type="spellStart"/>
            <w:r w:rsidRPr="00276B9C">
              <w:rPr>
                <w:rFonts w:eastAsia="Calibri"/>
                <w:b/>
                <w:sz w:val="12"/>
                <w:szCs w:val="12"/>
                <w:lang w:eastAsia="en-US"/>
              </w:rPr>
              <w:t>Part</w:t>
            </w:r>
            <w:proofErr w:type="spellEnd"/>
            <w:r w:rsidRPr="00276B9C">
              <w:rPr>
                <w:rFonts w:eastAsia="Calibri"/>
                <w:b/>
                <w:sz w:val="12"/>
                <w:szCs w:val="12"/>
                <w:lang w:eastAsia="en-US"/>
              </w:rPr>
              <w:t>.</w:t>
            </w:r>
          </w:p>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w:t>
            </w:r>
          </w:p>
        </w:tc>
      </w:tr>
      <w:tr w:rsidR="00276B9C" w:rsidRPr="00276B9C" w:rsidTr="0011560C">
        <w:trPr>
          <w:jc w:val="center"/>
        </w:trPr>
        <w:tc>
          <w:tcPr>
            <w:tcW w:w="2131"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rPr>
                <w:rFonts w:eastAsia="Calibri"/>
                <w:b/>
                <w:sz w:val="12"/>
                <w:szCs w:val="12"/>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227"/>
              <w:jc w:val="right"/>
              <w:rPr>
                <w:rFonts w:eastAsia="Calibri"/>
                <w:sz w:val="12"/>
                <w:szCs w:val="12"/>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2"/>
                <w:szCs w:val="12"/>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2"/>
                <w:szCs w:val="12"/>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2"/>
                <w:szCs w:val="12"/>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2"/>
                <w:szCs w:val="12"/>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2"/>
                <w:szCs w:val="12"/>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2"/>
                <w:szCs w:val="12"/>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2"/>
                <w:szCs w:val="12"/>
                <w:lang w:eastAsia="en-US"/>
              </w:rPr>
            </w:pPr>
          </w:p>
        </w:tc>
        <w:tc>
          <w:tcPr>
            <w:tcW w:w="643" w:type="dxa"/>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ind w:right="57"/>
              <w:jc w:val="right"/>
              <w:rPr>
                <w:rFonts w:eastAsia="Calibri"/>
                <w:b/>
                <w:sz w:val="12"/>
                <w:szCs w:val="12"/>
                <w:lang w:eastAsia="en-US"/>
              </w:rPr>
            </w:pPr>
            <w:r w:rsidRPr="00276B9C">
              <w:rPr>
                <w:rFonts w:eastAsia="Calibri"/>
                <w:b/>
                <w:sz w:val="12"/>
                <w:szCs w:val="12"/>
                <w:lang w:eastAsia="en-US"/>
              </w:rPr>
              <w:t>Valor</w:t>
            </w:r>
          </w:p>
        </w:tc>
        <w:tc>
          <w:tcPr>
            <w:tcW w:w="567" w:type="dxa"/>
            <w:tcBorders>
              <w:top w:val="single" w:sz="4" w:space="0" w:color="auto"/>
              <w:left w:val="single" w:sz="4" w:space="0" w:color="auto"/>
              <w:bottom w:val="single" w:sz="4" w:space="0" w:color="auto"/>
              <w:right w:val="single" w:sz="4" w:space="0" w:color="auto"/>
            </w:tcBorders>
          </w:tcPr>
          <w:p w:rsidR="00276B9C" w:rsidRPr="00276B9C" w:rsidRDefault="00276B9C" w:rsidP="00276B9C">
            <w:pPr>
              <w:ind w:left="-57" w:right="57"/>
              <w:jc w:val="right"/>
              <w:rPr>
                <w:rFonts w:eastAsia="Calibri"/>
                <w:b/>
                <w:sz w:val="12"/>
                <w:szCs w:val="12"/>
                <w:lang w:eastAsia="en-US"/>
              </w:rPr>
            </w:pPr>
            <w:proofErr w:type="spellStart"/>
            <w:r w:rsidRPr="00276B9C">
              <w:rPr>
                <w:rFonts w:eastAsia="Calibri"/>
                <w:b/>
                <w:sz w:val="12"/>
                <w:szCs w:val="12"/>
                <w:lang w:eastAsia="en-US"/>
              </w:rPr>
              <w:t>Part</w:t>
            </w:r>
            <w:proofErr w:type="spellEnd"/>
            <w:r w:rsidRPr="00276B9C">
              <w:rPr>
                <w:rFonts w:eastAsia="Calibri"/>
                <w:b/>
                <w:sz w:val="12"/>
                <w:szCs w:val="12"/>
                <w:lang w:eastAsia="en-US"/>
              </w:rPr>
              <w:t>.</w:t>
            </w:r>
          </w:p>
          <w:p w:rsidR="00276B9C" w:rsidRPr="00276B9C" w:rsidRDefault="00276B9C" w:rsidP="00276B9C">
            <w:pPr>
              <w:ind w:left="-57"/>
              <w:jc w:val="center"/>
              <w:rPr>
                <w:rFonts w:eastAsia="Calibri"/>
                <w:b/>
                <w:sz w:val="12"/>
                <w:szCs w:val="12"/>
                <w:lang w:eastAsia="en-US"/>
              </w:rPr>
            </w:pPr>
            <w:r w:rsidRPr="00276B9C">
              <w:rPr>
                <w:rFonts w:eastAsia="Calibri"/>
                <w:b/>
                <w:sz w:val="12"/>
                <w:szCs w:val="12"/>
                <w:lang w:eastAsia="en-US"/>
              </w:rPr>
              <w:t>%</w:t>
            </w:r>
          </w:p>
        </w:tc>
        <w:tc>
          <w:tcPr>
            <w:tcW w:w="709"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b/>
                <w:sz w:val="12"/>
                <w:szCs w:val="12"/>
                <w:lang w:eastAsia="en-US"/>
              </w:rPr>
            </w:pPr>
          </w:p>
        </w:tc>
        <w:tc>
          <w:tcPr>
            <w:tcW w:w="611"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b/>
                <w:sz w:val="12"/>
                <w:szCs w:val="12"/>
                <w:lang w:eastAsia="en-US"/>
              </w:rPr>
            </w:pPr>
          </w:p>
        </w:tc>
      </w:tr>
      <w:tr w:rsidR="00276B9C" w:rsidRPr="00276B9C" w:rsidTr="0011560C">
        <w:trPr>
          <w:jc w:val="center"/>
        </w:trPr>
        <w:tc>
          <w:tcPr>
            <w:tcW w:w="2131" w:type="dxa"/>
            <w:tcBorders>
              <w:top w:val="single" w:sz="4" w:space="0" w:color="auto"/>
              <w:left w:val="single" w:sz="4" w:space="0" w:color="auto"/>
              <w:right w:val="single" w:sz="4" w:space="0" w:color="auto"/>
            </w:tcBorders>
          </w:tcPr>
          <w:p w:rsidR="00276B9C" w:rsidRPr="00276B9C" w:rsidRDefault="00276B9C" w:rsidP="00276B9C">
            <w:pPr>
              <w:spacing w:before="60" w:after="60"/>
              <w:rPr>
                <w:rFonts w:eastAsia="Calibri"/>
                <w:b/>
                <w:sz w:val="12"/>
                <w:szCs w:val="12"/>
                <w:lang w:eastAsia="en-US"/>
              </w:rPr>
            </w:pPr>
            <w:r w:rsidRPr="00276B9C">
              <w:rPr>
                <w:rFonts w:eastAsia="Calibri"/>
                <w:b/>
                <w:sz w:val="12"/>
                <w:szCs w:val="12"/>
                <w:lang w:eastAsia="en-US"/>
              </w:rPr>
              <w:t>TOTAL</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20 900.6</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32 213.2</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28 573.9</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17 643.7</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25 961.5</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23 559.9</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18 997.9</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44 198.8</w:t>
            </w:r>
          </w:p>
        </w:tc>
        <w:tc>
          <w:tcPr>
            <w:tcW w:w="643"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jc w:val="right"/>
              <w:rPr>
                <w:rFonts w:eastAsia="Calibri"/>
                <w:b/>
                <w:sz w:val="12"/>
                <w:szCs w:val="12"/>
                <w:lang w:eastAsia="en-US"/>
              </w:rPr>
            </w:pPr>
            <w:r w:rsidRPr="00276B9C">
              <w:rPr>
                <w:rFonts w:eastAsia="Calibri"/>
                <w:b/>
                <w:sz w:val="12"/>
                <w:szCs w:val="12"/>
                <w:lang w:eastAsia="en-US"/>
              </w:rPr>
              <w:t>22 568.4</w:t>
            </w:r>
          </w:p>
        </w:tc>
        <w:tc>
          <w:tcPr>
            <w:tcW w:w="567"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100.0</w:t>
            </w:r>
          </w:p>
        </w:tc>
        <w:tc>
          <w:tcPr>
            <w:tcW w:w="709" w:type="dxa"/>
            <w:tcBorders>
              <w:top w:val="single" w:sz="4" w:space="0" w:color="auto"/>
              <w:left w:val="single" w:sz="4" w:space="0" w:color="auto"/>
              <w:right w:val="single" w:sz="4" w:space="0" w:color="auto"/>
            </w:tcBorders>
          </w:tcPr>
          <w:p w:rsidR="00276B9C" w:rsidRPr="00276B9C" w:rsidRDefault="00276B9C" w:rsidP="00276B9C">
            <w:pPr>
              <w:spacing w:before="60" w:after="60"/>
              <w:ind w:left="-113"/>
              <w:jc w:val="right"/>
              <w:rPr>
                <w:rFonts w:eastAsia="Calibri"/>
                <w:b/>
                <w:sz w:val="12"/>
                <w:szCs w:val="12"/>
                <w:lang w:eastAsia="en-US"/>
              </w:rPr>
            </w:pPr>
            <w:r w:rsidRPr="00276B9C">
              <w:rPr>
                <w:rFonts w:eastAsia="Calibri"/>
                <w:b/>
                <w:sz w:val="12"/>
                <w:szCs w:val="12"/>
                <w:lang w:eastAsia="en-US"/>
              </w:rPr>
              <w:t>375 700.7</w:t>
            </w:r>
          </w:p>
        </w:tc>
        <w:tc>
          <w:tcPr>
            <w:tcW w:w="611"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113"/>
              <w:jc w:val="right"/>
              <w:rPr>
                <w:rFonts w:eastAsia="Calibri"/>
                <w:b/>
                <w:sz w:val="12"/>
                <w:szCs w:val="12"/>
                <w:lang w:eastAsia="en-US"/>
              </w:rPr>
            </w:pPr>
            <w:r w:rsidRPr="00276B9C">
              <w:rPr>
                <w:rFonts w:eastAsia="Calibri"/>
                <w:b/>
                <w:sz w:val="12"/>
                <w:szCs w:val="12"/>
                <w:lang w:eastAsia="en-US"/>
              </w:rPr>
              <w:t>100.0</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rPr>
                <w:rFonts w:eastAsia="Calibri"/>
                <w:b/>
                <w:sz w:val="12"/>
                <w:szCs w:val="12"/>
                <w:lang w:eastAsia="en-US"/>
              </w:rPr>
            </w:pPr>
            <w:r w:rsidRPr="00276B9C">
              <w:rPr>
                <w:rFonts w:eastAsia="Calibri"/>
                <w:b/>
                <w:sz w:val="12"/>
                <w:szCs w:val="12"/>
                <w:lang w:eastAsia="en-US"/>
              </w:rPr>
              <w:t>Agropecuario</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3.0</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73.4</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57.9</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19.6</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91.0</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40.2</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108.3</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168.8</w:t>
            </w:r>
          </w:p>
        </w:tc>
        <w:tc>
          <w:tcPr>
            <w:tcW w:w="643"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2"/>
                <w:szCs w:val="12"/>
                <w:lang w:eastAsia="en-US"/>
              </w:rPr>
            </w:pPr>
            <w:r w:rsidRPr="00276B9C">
              <w:rPr>
                <w:rFonts w:eastAsia="Calibri"/>
                <w:b/>
                <w:sz w:val="12"/>
                <w:szCs w:val="12"/>
                <w:lang w:eastAsia="en-US"/>
              </w:rPr>
              <w:t>84.3</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0.4</w:t>
            </w:r>
          </w:p>
        </w:tc>
        <w:tc>
          <w:tcPr>
            <w:tcW w:w="709" w:type="dxa"/>
            <w:tcBorders>
              <w:left w:val="single" w:sz="4" w:space="0" w:color="auto"/>
              <w:right w:val="single" w:sz="4" w:space="0" w:color="auto"/>
            </w:tcBorders>
          </w:tcPr>
          <w:p w:rsidR="00276B9C" w:rsidRPr="00276B9C" w:rsidRDefault="00276B9C" w:rsidP="00276B9C">
            <w:pPr>
              <w:spacing w:before="60" w:after="60"/>
              <w:ind w:left="-113"/>
              <w:jc w:val="right"/>
              <w:rPr>
                <w:rFonts w:eastAsia="Calibri"/>
                <w:b/>
                <w:sz w:val="12"/>
                <w:szCs w:val="12"/>
                <w:lang w:eastAsia="en-US"/>
              </w:rPr>
            </w:pPr>
            <w:r w:rsidRPr="00276B9C">
              <w:rPr>
                <w:rFonts w:eastAsia="Calibri"/>
                <w:b/>
                <w:sz w:val="12"/>
                <w:szCs w:val="12"/>
                <w:lang w:eastAsia="en-US"/>
              </w:rPr>
              <w:t>1 025.6</w:t>
            </w:r>
          </w:p>
        </w:tc>
        <w:tc>
          <w:tcPr>
            <w:tcW w:w="611" w:type="dxa"/>
            <w:tcBorders>
              <w:left w:val="single" w:sz="4" w:space="0" w:color="auto"/>
              <w:right w:val="single" w:sz="4" w:space="0" w:color="auto"/>
            </w:tcBorders>
          </w:tcPr>
          <w:p w:rsidR="00276B9C" w:rsidRPr="00276B9C" w:rsidRDefault="00276B9C" w:rsidP="00276B9C">
            <w:pPr>
              <w:spacing w:before="60" w:after="60"/>
              <w:ind w:left="-57" w:right="113"/>
              <w:jc w:val="right"/>
              <w:rPr>
                <w:rFonts w:eastAsia="Calibri"/>
                <w:b/>
                <w:sz w:val="12"/>
                <w:szCs w:val="12"/>
                <w:lang w:eastAsia="en-US"/>
              </w:rPr>
            </w:pPr>
            <w:r w:rsidRPr="00276B9C">
              <w:rPr>
                <w:rFonts w:eastAsia="Calibri"/>
                <w:b/>
                <w:sz w:val="12"/>
                <w:szCs w:val="12"/>
                <w:lang w:eastAsia="en-US"/>
              </w:rPr>
              <w:t>0.3</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rPr>
                <w:rFonts w:eastAsia="Calibri"/>
                <w:b/>
                <w:sz w:val="12"/>
                <w:szCs w:val="12"/>
                <w:lang w:eastAsia="en-US"/>
              </w:rPr>
            </w:pPr>
            <w:r w:rsidRPr="00276B9C">
              <w:rPr>
                <w:rFonts w:eastAsia="Calibri"/>
                <w:b/>
                <w:sz w:val="12"/>
                <w:szCs w:val="12"/>
                <w:lang w:eastAsia="en-US"/>
              </w:rPr>
              <w:t>Industrial</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11 239.8</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17 668.9</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14 697.6</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8 698.3</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15 778.5</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12 734.8</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12 803.3</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36 260.3</w:t>
            </w:r>
          </w:p>
        </w:tc>
        <w:tc>
          <w:tcPr>
            <w:tcW w:w="643"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2"/>
                <w:szCs w:val="12"/>
                <w:lang w:eastAsia="en-US"/>
              </w:rPr>
            </w:pPr>
            <w:r w:rsidRPr="00276B9C">
              <w:rPr>
                <w:rFonts w:eastAsia="Calibri"/>
                <w:b/>
                <w:sz w:val="12"/>
                <w:szCs w:val="12"/>
                <w:lang w:eastAsia="en-US"/>
              </w:rPr>
              <w:t>16 558.7</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73.4</w:t>
            </w:r>
          </w:p>
        </w:tc>
        <w:tc>
          <w:tcPr>
            <w:tcW w:w="709" w:type="dxa"/>
            <w:tcBorders>
              <w:left w:val="single" w:sz="4" w:space="0" w:color="auto"/>
              <w:right w:val="single" w:sz="4" w:space="0" w:color="auto"/>
            </w:tcBorders>
          </w:tcPr>
          <w:p w:rsidR="00276B9C" w:rsidRPr="00276B9C" w:rsidRDefault="00276B9C" w:rsidP="00276B9C">
            <w:pPr>
              <w:spacing w:before="60" w:after="60"/>
              <w:ind w:left="-113"/>
              <w:jc w:val="right"/>
              <w:rPr>
                <w:rFonts w:eastAsia="Calibri"/>
                <w:b/>
                <w:sz w:val="12"/>
                <w:szCs w:val="12"/>
                <w:lang w:eastAsia="en-US"/>
              </w:rPr>
            </w:pPr>
            <w:r w:rsidRPr="00276B9C">
              <w:rPr>
                <w:rFonts w:eastAsia="Calibri"/>
                <w:b/>
                <w:sz w:val="12"/>
                <w:szCs w:val="12"/>
                <w:lang w:eastAsia="en-US"/>
              </w:rPr>
              <w:t>212 446.8</w:t>
            </w:r>
          </w:p>
        </w:tc>
        <w:tc>
          <w:tcPr>
            <w:tcW w:w="611" w:type="dxa"/>
            <w:tcBorders>
              <w:left w:val="single" w:sz="4" w:space="0" w:color="auto"/>
              <w:right w:val="single" w:sz="4" w:space="0" w:color="auto"/>
            </w:tcBorders>
          </w:tcPr>
          <w:p w:rsidR="00276B9C" w:rsidRPr="00276B9C" w:rsidRDefault="00276B9C" w:rsidP="00276B9C">
            <w:pPr>
              <w:spacing w:before="60" w:after="60"/>
              <w:ind w:left="-57" w:right="113"/>
              <w:jc w:val="right"/>
              <w:rPr>
                <w:rFonts w:eastAsia="Calibri"/>
                <w:b/>
                <w:sz w:val="12"/>
                <w:szCs w:val="12"/>
                <w:lang w:eastAsia="en-US"/>
              </w:rPr>
            </w:pPr>
            <w:r w:rsidRPr="00276B9C">
              <w:rPr>
                <w:rFonts w:eastAsia="Calibri"/>
                <w:b/>
                <w:sz w:val="12"/>
                <w:szCs w:val="12"/>
                <w:lang w:eastAsia="en-US"/>
              </w:rPr>
              <w:t>56.5</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ind w:left="57"/>
              <w:rPr>
                <w:rFonts w:eastAsia="Calibri"/>
                <w:sz w:val="12"/>
                <w:szCs w:val="12"/>
                <w:lang w:eastAsia="en-US"/>
              </w:rPr>
            </w:pPr>
            <w:r w:rsidRPr="00276B9C">
              <w:rPr>
                <w:rFonts w:eastAsia="Calibri"/>
                <w:sz w:val="12"/>
                <w:szCs w:val="12"/>
                <w:lang w:eastAsia="en-US"/>
              </w:rPr>
              <w:t>Minería</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481.9</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1 817.7</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4 491.5</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1 330.7</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1 362.1</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806.1</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2 897.2</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5 274.4</w:t>
            </w:r>
          </w:p>
        </w:tc>
        <w:tc>
          <w:tcPr>
            <w:tcW w:w="643"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2 215.2</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9.8</w:t>
            </w:r>
          </w:p>
        </w:tc>
        <w:tc>
          <w:tcPr>
            <w:tcW w:w="709" w:type="dxa"/>
            <w:tcBorders>
              <w:left w:val="single" w:sz="4" w:space="0" w:color="auto"/>
              <w:right w:val="single" w:sz="4" w:space="0" w:color="auto"/>
            </w:tcBorders>
          </w:tcPr>
          <w:p w:rsidR="00276B9C" w:rsidRPr="00276B9C" w:rsidRDefault="00276B9C" w:rsidP="00276B9C">
            <w:pPr>
              <w:spacing w:before="60" w:after="60"/>
              <w:ind w:left="-113"/>
              <w:jc w:val="right"/>
              <w:rPr>
                <w:rFonts w:eastAsia="Calibri"/>
                <w:sz w:val="12"/>
                <w:szCs w:val="12"/>
                <w:lang w:eastAsia="en-US"/>
              </w:rPr>
            </w:pPr>
            <w:r w:rsidRPr="00276B9C">
              <w:rPr>
                <w:rFonts w:eastAsia="Calibri"/>
                <w:sz w:val="12"/>
                <w:szCs w:val="12"/>
                <w:lang w:eastAsia="en-US"/>
              </w:rPr>
              <w:t>22 015.2</w:t>
            </w:r>
          </w:p>
        </w:tc>
        <w:tc>
          <w:tcPr>
            <w:tcW w:w="611" w:type="dxa"/>
            <w:tcBorders>
              <w:left w:val="single" w:sz="4" w:space="0" w:color="auto"/>
              <w:right w:val="single" w:sz="4" w:space="0" w:color="auto"/>
            </w:tcBorders>
          </w:tcPr>
          <w:p w:rsidR="00276B9C" w:rsidRPr="00276B9C" w:rsidRDefault="00276B9C" w:rsidP="00276B9C">
            <w:pPr>
              <w:spacing w:before="60" w:after="60"/>
              <w:ind w:left="-57" w:right="113"/>
              <w:jc w:val="right"/>
              <w:rPr>
                <w:rFonts w:eastAsia="Calibri"/>
                <w:sz w:val="12"/>
                <w:szCs w:val="12"/>
                <w:lang w:eastAsia="en-US"/>
              </w:rPr>
            </w:pPr>
            <w:r w:rsidRPr="00276B9C">
              <w:rPr>
                <w:rFonts w:eastAsia="Calibri"/>
                <w:sz w:val="12"/>
                <w:szCs w:val="12"/>
                <w:lang w:eastAsia="en-US"/>
              </w:rPr>
              <w:t>5.9</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ind w:left="57"/>
              <w:rPr>
                <w:rFonts w:eastAsia="Calibri"/>
                <w:sz w:val="12"/>
                <w:szCs w:val="12"/>
                <w:lang w:eastAsia="en-US"/>
              </w:rPr>
            </w:pPr>
            <w:r w:rsidRPr="00276B9C">
              <w:rPr>
                <w:rFonts w:eastAsia="Calibri"/>
                <w:sz w:val="12"/>
                <w:szCs w:val="12"/>
                <w:lang w:eastAsia="en-US"/>
              </w:rPr>
              <w:t>Electricidad y agua</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-62.1</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205.7</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507.6</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46.2</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117.4</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222.4</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639.5</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341.5</w:t>
            </w:r>
          </w:p>
        </w:tc>
        <w:tc>
          <w:tcPr>
            <w:tcW w:w="643"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601.1</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2.7</w:t>
            </w:r>
          </w:p>
        </w:tc>
        <w:tc>
          <w:tcPr>
            <w:tcW w:w="709" w:type="dxa"/>
            <w:tcBorders>
              <w:left w:val="single" w:sz="4" w:space="0" w:color="auto"/>
              <w:right w:val="single" w:sz="4" w:space="0" w:color="auto"/>
            </w:tcBorders>
          </w:tcPr>
          <w:p w:rsidR="00276B9C" w:rsidRPr="00276B9C" w:rsidRDefault="00276B9C" w:rsidP="00276B9C">
            <w:pPr>
              <w:spacing w:before="60" w:after="60"/>
              <w:ind w:left="-113"/>
              <w:jc w:val="right"/>
              <w:rPr>
                <w:rFonts w:eastAsia="Calibri"/>
                <w:sz w:val="12"/>
                <w:szCs w:val="12"/>
                <w:lang w:eastAsia="en-US"/>
              </w:rPr>
            </w:pPr>
            <w:r w:rsidRPr="00276B9C">
              <w:rPr>
                <w:rFonts w:eastAsia="Calibri"/>
                <w:sz w:val="12"/>
                <w:szCs w:val="12"/>
                <w:lang w:eastAsia="en-US"/>
              </w:rPr>
              <w:t>4 649.6</w:t>
            </w:r>
          </w:p>
        </w:tc>
        <w:tc>
          <w:tcPr>
            <w:tcW w:w="611" w:type="dxa"/>
            <w:tcBorders>
              <w:left w:val="single" w:sz="4" w:space="0" w:color="auto"/>
              <w:right w:val="single" w:sz="4" w:space="0" w:color="auto"/>
            </w:tcBorders>
          </w:tcPr>
          <w:p w:rsidR="00276B9C" w:rsidRPr="00276B9C" w:rsidRDefault="00276B9C" w:rsidP="00276B9C">
            <w:pPr>
              <w:spacing w:before="60" w:after="60"/>
              <w:ind w:left="-57" w:right="113"/>
              <w:jc w:val="right"/>
              <w:rPr>
                <w:rFonts w:eastAsia="Calibri"/>
                <w:sz w:val="12"/>
                <w:szCs w:val="12"/>
                <w:lang w:eastAsia="en-US"/>
              </w:rPr>
            </w:pPr>
            <w:r w:rsidRPr="00276B9C">
              <w:rPr>
                <w:rFonts w:eastAsia="Calibri"/>
                <w:sz w:val="12"/>
                <w:szCs w:val="12"/>
                <w:lang w:eastAsia="en-US"/>
              </w:rPr>
              <w:t>1.2</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ind w:left="57"/>
              <w:rPr>
                <w:rFonts w:eastAsia="Calibri"/>
                <w:sz w:val="12"/>
                <w:szCs w:val="12"/>
                <w:lang w:eastAsia="en-US"/>
              </w:rPr>
            </w:pPr>
            <w:r w:rsidRPr="00276B9C">
              <w:rPr>
                <w:rFonts w:eastAsia="Calibri"/>
                <w:sz w:val="12"/>
                <w:szCs w:val="12"/>
                <w:lang w:eastAsia="en-US"/>
              </w:rPr>
              <w:t>Construcción</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587.5</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2 744.3</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1 036.5</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708.5</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381.4</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1 607.8</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1 436.8</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1 049.9</w:t>
            </w:r>
          </w:p>
        </w:tc>
        <w:tc>
          <w:tcPr>
            <w:tcW w:w="643"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872.6</w:t>
            </w:r>
          </w:p>
        </w:tc>
        <w:tc>
          <w:tcPr>
            <w:tcW w:w="567"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3.9</w:t>
            </w:r>
          </w:p>
        </w:tc>
        <w:tc>
          <w:tcPr>
            <w:tcW w:w="709" w:type="dxa"/>
            <w:tcBorders>
              <w:left w:val="single" w:sz="4" w:space="0" w:color="auto"/>
              <w:right w:val="single" w:sz="4" w:space="0" w:color="auto"/>
            </w:tcBorders>
          </w:tcPr>
          <w:p w:rsidR="00276B9C" w:rsidRPr="00276B9C" w:rsidRDefault="00276B9C" w:rsidP="00276B9C">
            <w:pPr>
              <w:spacing w:before="60" w:after="60"/>
              <w:ind w:left="-113"/>
              <w:jc w:val="right"/>
              <w:rPr>
                <w:rFonts w:eastAsia="Calibri"/>
                <w:sz w:val="12"/>
                <w:szCs w:val="12"/>
                <w:lang w:eastAsia="en-US"/>
              </w:rPr>
            </w:pPr>
            <w:r w:rsidRPr="00276B9C">
              <w:rPr>
                <w:rFonts w:eastAsia="Calibri"/>
                <w:sz w:val="12"/>
                <w:szCs w:val="12"/>
                <w:lang w:eastAsia="en-US"/>
              </w:rPr>
              <w:t>12 495.8</w:t>
            </w:r>
          </w:p>
        </w:tc>
        <w:tc>
          <w:tcPr>
            <w:tcW w:w="611" w:type="dxa"/>
            <w:tcBorders>
              <w:left w:val="single" w:sz="4" w:space="0" w:color="auto"/>
              <w:right w:val="single" w:sz="4" w:space="0" w:color="auto"/>
            </w:tcBorders>
          </w:tcPr>
          <w:p w:rsidR="00276B9C" w:rsidRPr="00276B9C" w:rsidRDefault="00276B9C" w:rsidP="00276B9C">
            <w:pPr>
              <w:spacing w:before="60" w:after="60"/>
              <w:ind w:left="-57" w:right="113"/>
              <w:jc w:val="right"/>
              <w:rPr>
                <w:rFonts w:eastAsia="Calibri"/>
                <w:sz w:val="12"/>
                <w:szCs w:val="12"/>
                <w:lang w:eastAsia="en-US"/>
              </w:rPr>
            </w:pPr>
            <w:r w:rsidRPr="00276B9C">
              <w:rPr>
                <w:rFonts w:eastAsia="Calibri"/>
                <w:sz w:val="12"/>
                <w:szCs w:val="12"/>
                <w:lang w:eastAsia="en-US"/>
              </w:rPr>
              <w:t>3.3</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ind w:left="57"/>
              <w:rPr>
                <w:rFonts w:eastAsia="Calibri"/>
                <w:sz w:val="12"/>
                <w:szCs w:val="12"/>
                <w:lang w:eastAsia="en-US"/>
              </w:rPr>
            </w:pPr>
            <w:r w:rsidRPr="00276B9C">
              <w:rPr>
                <w:rFonts w:eastAsia="Calibri"/>
                <w:sz w:val="12"/>
                <w:szCs w:val="12"/>
                <w:lang w:eastAsia="en-US"/>
              </w:rPr>
              <w:t>Manufacturas</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10 232.5</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12 901.1</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8 662.1</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6 612.9</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13 917.7</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10 098.5</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7 829.9</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29 594.5</w:t>
            </w:r>
          </w:p>
        </w:tc>
        <w:tc>
          <w:tcPr>
            <w:tcW w:w="643"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12 869.9</w:t>
            </w:r>
          </w:p>
        </w:tc>
        <w:tc>
          <w:tcPr>
            <w:tcW w:w="567"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57.0</w:t>
            </w:r>
          </w:p>
        </w:tc>
        <w:tc>
          <w:tcPr>
            <w:tcW w:w="709" w:type="dxa"/>
            <w:tcBorders>
              <w:left w:val="single" w:sz="4" w:space="0" w:color="auto"/>
              <w:right w:val="single" w:sz="4" w:space="0" w:color="auto"/>
            </w:tcBorders>
            <w:vAlign w:val="bottom"/>
          </w:tcPr>
          <w:p w:rsidR="00276B9C" w:rsidRPr="00276B9C" w:rsidRDefault="00276B9C" w:rsidP="00276B9C">
            <w:pPr>
              <w:spacing w:before="60" w:after="60"/>
              <w:ind w:left="-113"/>
              <w:jc w:val="right"/>
              <w:rPr>
                <w:rFonts w:eastAsia="Calibri"/>
                <w:sz w:val="12"/>
                <w:szCs w:val="12"/>
                <w:lang w:eastAsia="en-US"/>
              </w:rPr>
            </w:pPr>
            <w:r w:rsidRPr="00276B9C">
              <w:rPr>
                <w:rFonts w:eastAsia="Calibri"/>
                <w:sz w:val="12"/>
                <w:szCs w:val="12"/>
                <w:lang w:eastAsia="en-US"/>
              </w:rPr>
              <w:t>173 286.2</w:t>
            </w:r>
          </w:p>
        </w:tc>
        <w:tc>
          <w:tcPr>
            <w:tcW w:w="611" w:type="dxa"/>
            <w:tcBorders>
              <w:left w:val="single" w:sz="4" w:space="0" w:color="auto"/>
              <w:right w:val="single" w:sz="4" w:space="0" w:color="auto"/>
            </w:tcBorders>
            <w:vAlign w:val="bottom"/>
          </w:tcPr>
          <w:p w:rsidR="00276B9C" w:rsidRPr="00276B9C" w:rsidRDefault="00276B9C" w:rsidP="00276B9C">
            <w:pPr>
              <w:spacing w:before="60" w:after="60"/>
              <w:ind w:left="-57" w:right="113"/>
              <w:jc w:val="right"/>
              <w:rPr>
                <w:rFonts w:eastAsia="Calibri"/>
                <w:sz w:val="12"/>
                <w:szCs w:val="12"/>
                <w:lang w:eastAsia="en-US"/>
              </w:rPr>
            </w:pPr>
            <w:r w:rsidRPr="00276B9C">
              <w:rPr>
                <w:rFonts w:eastAsia="Calibri"/>
                <w:sz w:val="12"/>
                <w:szCs w:val="12"/>
                <w:lang w:eastAsia="en-US"/>
              </w:rPr>
              <w:t>46.1</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rPr>
                <w:rFonts w:eastAsia="Calibri"/>
                <w:b/>
                <w:sz w:val="12"/>
                <w:szCs w:val="12"/>
                <w:lang w:eastAsia="en-US"/>
              </w:rPr>
            </w:pPr>
            <w:r w:rsidRPr="00276B9C">
              <w:rPr>
                <w:rFonts w:eastAsia="Calibri"/>
                <w:b/>
                <w:sz w:val="12"/>
                <w:szCs w:val="12"/>
                <w:lang w:eastAsia="en-US"/>
              </w:rPr>
              <w:t>Servicios</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9 657.8</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14 470.9</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13 818.3</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8 925.8</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10 092.0</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10 784.8</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6 086.3</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7 769.7</w:t>
            </w:r>
          </w:p>
        </w:tc>
        <w:tc>
          <w:tcPr>
            <w:tcW w:w="643"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2"/>
                <w:szCs w:val="12"/>
                <w:lang w:eastAsia="en-US"/>
              </w:rPr>
            </w:pPr>
            <w:r w:rsidRPr="00276B9C">
              <w:rPr>
                <w:rFonts w:eastAsia="Calibri"/>
                <w:b/>
                <w:sz w:val="12"/>
                <w:szCs w:val="12"/>
                <w:lang w:eastAsia="en-US"/>
              </w:rPr>
              <w:t>5 925.3</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2"/>
                <w:szCs w:val="12"/>
                <w:lang w:eastAsia="en-US"/>
              </w:rPr>
            </w:pPr>
            <w:r w:rsidRPr="00276B9C">
              <w:rPr>
                <w:rFonts w:eastAsia="Calibri"/>
                <w:b/>
                <w:sz w:val="12"/>
                <w:szCs w:val="12"/>
                <w:lang w:eastAsia="en-US"/>
              </w:rPr>
              <w:t>26.3</w:t>
            </w:r>
          </w:p>
        </w:tc>
        <w:tc>
          <w:tcPr>
            <w:tcW w:w="709" w:type="dxa"/>
            <w:tcBorders>
              <w:left w:val="single" w:sz="4" w:space="0" w:color="auto"/>
              <w:right w:val="single" w:sz="4" w:space="0" w:color="auto"/>
            </w:tcBorders>
          </w:tcPr>
          <w:p w:rsidR="00276B9C" w:rsidRPr="00276B9C" w:rsidRDefault="00276B9C" w:rsidP="00276B9C">
            <w:pPr>
              <w:spacing w:before="60" w:after="60"/>
              <w:ind w:left="-113"/>
              <w:jc w:val="right"/>
              <w:rPr>
                <w:rFonts w:eastAsia="Calibri"/>
                <w:b/>
                <w:sz w:val="12"/>
                <w:szCs w:val="12"/>
                <w:lang w:eastAsia="en-US"/>
              </w:rPr>
            </w:pPr>
            <w:r w:rsidRPr="00276B9C">
              <w:rPr>
                <w:rFonts w:eastAsia="Calibri"/>
                <w:b/>
                <w:sz w:val="12"/>
                <w:szCs w:val="12"/>
                <w:lang w:eastAsia="en-US"/>
              </w:rPr>
              <w:t>162 228.3</w:t>
            </w:r>
          </w:p>
        </w:tc>
        <w:tc>
          <w:tcPr>
            <w:tcW w:w="611" w:type="dxa"/>
            <w:tcBorders>
              <w:left w:val="single" w:sz="4" w:space="0" w:color="auto"/>
              <w:right w:val="single" w:sz="4" w:space="0" w:color="auto"/>
            </w:tcBorders>
          </w:tcPr>
          <w:p w:rsidR="00276B9C" w:rsidRPr="00276B9C" w:rsidRDefault="00276B9C" w:rsidP="00276B9C">
            <w:pPr>
              <w:spacing w:before="60" w:after="60"/>
              <w:ind w:left="-57" w:right="113"/>
              <w:jc w:val="right"/>
              <w:rPr>
                <w:rFonts w:eastAsia="Calibri"/>
                <w:b/>
                <w:sz w:val="12"/>
                <w:szCs w:val="12"/>
                <w:lang w:eastAsia="en-US"/>
              </w:rPr>
            </w:pPr>
            <w:r w:rsidRPr="00276B9C">
              <w:rPr>
                <w:rFonts w:eastAsia="Calibri"/>
                <w:b/>
                <w:sz w:val="12"/>
                <w:szCs w:val="12"/>
                <w:lang w:eastAsia="en-US"/>
              </w:rPr>
              <w:t>43.2</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ind w:left="57"/>
              <w:rPr>
                <w:rFonts w:eastAsia="Calibri"/>
                <w:sz w:val="12"/>
                <w:szCs w:val="12"/>
                <w:lang w:eastAsia="en-US"/>
              </w:rPr>
            </w:pPr>
            <w:r w:rsidRPr="00276B9C">
              <w:rPr>
                <w:rFonts w:eastAsia="Calibri"/>
                <w:sz w:val="12"/>
                <w:szCs w:val="12"/>
                <w:lang w:eastAsia="en-US"/>
              </w:rPr>
              <w:t>Comercio</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578.4</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2 134.0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2 333.7</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1 638.9</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2 951.4</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2 832.1</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3 468.0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941.9</w:t>
            </w:r>
          </w:p>
        </w:tc>
        <w:tc>
          <w:tcPr>
            <w:tcW w:w="643"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1 954.3</w:t>
            </w:r>
          </w:p>
        </w:tc>
        <w:tc>
          <w:tcPr>
            <w:tcW w:w="567"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8.7</w:t>
            </w:r>
          </w:p>
        </w:tc>
        <w:tc>
          <w:tcPr>
            <w:tcW w:w="709" w:type="dxa"/>
            <w:tcBorders>
              <w:left w:val="single" w:sz="4" w:space="0" w:color="auto"/>
              <w:right w:val="single" w:sz="4" w:space="0" w:color="auto"/>
            </w:tcBorders>
            <w:vAlign w:val="bottom"/>
          </w:tcPr>
          <w:p w:rsidR="00276B9C" w:rsidRPr="00276B9C" w:rsidRDefault="00276B9C" w:rsidP="00276B9C">
            <w:pPr>
              <w:spacing w:before="60" w:after="60"/>
              <w:ind w:left="-113"/>
              <w:jc w:val="right"/>
              <w:rPr>
                <w:rFonts w:eastAsia="Calibri"/>
                <w:sz w:val="12"/>
                <w:szCs w:val="12"/>
                <w:lang w:eastAsia="en-US"/>
              </w:rPr>
            </w:pPr>
            <w:r w:rsidRPr="00276B9C">
              <w:rPr>
                <w:rFonts w:eastAsia="Calibri"/>
                <w:sz w:val="12"/>
                <w:szCs w:val="12"/>
                <w:lang w:eastAsia="en-US"/>
              </w:rPr>
              <w:t>31 003.6</w:t>
            </w:r>
          </w:p>
        </w:tc>
        <w:tc>
          <w:tcPr>
            <w:tcW w:w="611" w:type="dxa"/>
            <w:tcBorders>
              <w:left w:val="single" w:sz="4" w:space="0" w:color="auto"/>
              <w:right w:val="single" w:sz="4" w:space="0" w:color="auto"/>
            </w:tcBorders>
            <w:vAlign w:val="bottom"/>
          </w:tcPr>
          <w:p w:rsidR="00276B9C" w:rsidRPr="00276B9C" w:rsidRDefault="00276B9C" w:rsidP="00276B9C">
            <w:pPr>
              <w:spacing w:before="60" w:after="60"/>
              <w:ind w:left="-57" w:right="113"/>
              <w:jc w:val="right"/>
              <w:rPr>
                <w:rFonts w:eastAsia="Calibri"/>
                <w:sz w:val="12"/>
                <w:szCs w:val="12"/>
                <w:lang w:eastAsia="en-US"/>
              </w:rPr>
            </w:pPr>
            <w:r w:rsidRPr="00276B9C">
              <w:rPr>
                <w:rFonts w:eastAsia="Calibri"/>
                <w:sz w:val="12"/>
                <w:szCs w:val="12"/>
                <w:lang w:eastAsia="en-US"/>
              </w:rPr>
              <w:t>8.3</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ind w:left="57"/>
              <w:rPr>
                <w:rFonts w:eastAsia="Calibri"/>
                <w:sz w:val="12"/>
                <w:szCs w:val="12"/>
                <w:lang w:eastAsia="en-US"/>
              </w:rPr>
            </w:pPr>
            <w:r w:rsidRPr="00276B9C">
              <w:rPr>
                <w:rFonts w:eastAsia="Calibri"/>
                <w:sz w:val="12"/>
                <w:szCs w:val="12"/>
                <w:lang w:eastAsia="en-US"/>
              </w:rPr>
              <w:t>Transportes</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157.1</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49.3</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585.0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228.9</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554.0</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112.8</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654.0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1 016.5</w:t>
            </w:r>
          </w:p>
        </w:tc>
        <w:tc>
          <w:tcPr>
            <w:tcW w:w="643"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399.5</w:t>
            </w:r>
          </w:p>
        </w:tc>
        <w:tc>
          <w:tcPr>
            <w:tcW w:w="567"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1.8</w:t>
            </w:r>
          </w:p>
        </w:tc>
        <w:tc>
          <w:tcPr>
            <w:tcW w:w="709" w:type="dxa"/>
            <w:tcBorders>
              <w:left w:val="single" w:sz="4" w:space="0" w:color="auto"/>
              <w:right w:val="single" w:sz="4" w:space="0" w:color="auto"/>
            </w:tcBorders>
          </w:tcPr>
          <w:p w:rsidR="00276B9C" w:rsidRPr="00276B9C" w:rsidRDefault="00276B9C" w:rsidP="00276B9C">
            <w:pPr>
              <w:spacing w:before="60" w:after="60"/>
              <w:ind w:left="-113"/>
              <w:jc w:val="right"/>
              <w:rPr>
                <w:rFonts w:eastAsia="Calibri"/>
                <w:sz w:val="12"/>
                <w:szCs w:val="12"/>
                <w:lang w:eastAsia="en-US"/>
              </w:rPr>
            </w:pPr>
            <w:r w:rsidRPr="00276B9C">
              <w:rPr>
                <w:rFonts w:eastAsia="Calibri"/>
                <w:sz w:val="12"/>
                <w:szCs w:val="12"/>
                <w:lang w:eastAsia="en-US"/>
              </w:rPr>
              <w:t>5 891.4</w:t>
            </w:r>
          </w:p>
        </w:tc>
        <w:tc>
          <w:tcPr>
            <w:tcW w:w="611" w:type="dxa"/>
            <w:tcBorders>
              <w:left w:val="single" w:sz="4" w:space="0" w:color="auto"/>
              <w:right w:val="single" w:sz="4" w:space="0" w:color="auto"/>
            </w:tcBorders>
          </w:tcPr>
          <w:p w:rsidR="00276B9C" w:rsidRPr="00276B9C" w:rsidRDefault="00276B9C" w:rsidP="00276B9C">
            <w:pPr>
              <w:spacing w:before="60" w:after="60"/>
              <w:ind w:left="-57" w:right="113"/>
              <w:jc w:val="right"/>
              <w:rPr>
                <w:rFonts w:eastAsia="Calibri"/>
                <w:sz w:val="12"/>
                <w:szCs w:val="12"/>
                <w:lang w:eastAsia="en-US"/>
              </w:rPr>
            </w:pPr>
            <w:r w:rsidRPr="00276B9C">
              <w:rPr>
                <w:rFonts w:eastAsia="Calibri"/>
                <w:sz w:val="12"/>
                <w:szCs w:val="12"/>
                <w:lang w:eastAsia="en-US"/>
              </w:rPr>
              <w:t>1.6</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ind w:left="57"/>
              <w:rPr>
                <w:rFonts w:eastAsia="Calibri"/>
                <w:sz w:val="12"/>
                <w:szCs w:val="12"/>
                <w:lang w:eastAsia="en-US"/>
              </w:rPr>
            </w:pPr>
            <w:r w:rsidRPr="00276B9C">
              <w:rPr>
                <w:rFonts w:eastAsia="Calibri"/>
                <w:sz w:val="12"/>
                <w:szCs w:val="12"/>
                <w:lang w:eastAsia="en-US"/>
              </w:rPr>
              <w:t>Inform. en medios masivos</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612.1</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231.2</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1 259.6</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535.9</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2 286.7</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1 168.0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745.9</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2 142.9</w:t>
            </w:r>
          </w:p>
        </w:tc>
        <w:tc>
          <w:tcPr>
            <w:tcW w:w="643"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-4 152.5</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-18.4</w:t>
            </w:r>
          </w:p>
        </w:tc>
        <w:tc>
          <w:tcPr>
            <w:tcW w:w="709" w:type="dxa"/>
            <w:tcBorders>
              <w:left w:val="single" w:sz="4" w:space="0" w:color="auto"/>
              <w:right w:val="single" w:sz="4" w:space="0" w:color="auto"/>
            </w:tcBorders>
          </w:tcPr>
          <w:p w:rsidR="00276B9C" w:rsidRPr="00276B9C" w:rsidRDefault="00276B9C" w:rsidP="00276B9C">
            <w:pPr>
              <w:spacing w:before="60" w:after="60"/>
              <w:ind w:left="-113"/>
              <w:jc w:val="right"/>
              <w:rPr>
                <w:rFonts w:eastAsia="Calibri"/>
                <w:sz w:val="12"/>
                <w:szCs w:val="12"/>
                <w:lang w:eastAsia="en-US"/>
              </w:rPr>
            </w:pPr>
            <w:r w:rsidRPr="00276B9C">
              <w:rPr>
                <w:rFonts w:eastAsia="Calibri"/>
                <w:sz w:val="12"/>
                <w:szCs w:val="12"/>
                <w:lang w:eastAsia="en-US"/>
              </w:rPr>
              <w:t>15 527.8</w:t>
            </w:r>
          </w:p>
        </w:tc>
        <w:tc>
          <w:tcPr>
            <w:tcW w:w="611" w:type="dxa"/>
            <w:tcBorders>
              <w:left w:val="single" w:sz="4" w:space="0" w:color="auto"/>
              <w:right w:val="single" w:sz="4" w:space="0" w:color="auto"/>
            </w:tcBorders>
          </w:tcPr>
          <w:p w:rsidR="00276B9C" w:rsidRPr="00276B9C" w:rsidRDefault="00276B9C" w:rsidP="00276B9C">
            <w:pPr>
              <w:spacing w:before="60" w:after="60"/>
              <w:ind w:left="-57" w:right="113"/>
              <w:jc w:val="right"/>
              <w:rPr>
                <w:rFonts w:eastAsia="Calibri"/>
                <w:sz w:val="12"/>
                <w:szCs w:val="12"/>
                <w:lang w:eastAsia="en-US"/>
              </w:rPr>
            </w:pPr>
            <w:r w:rsidRPr="00276B9C">
              <w:rPr>
                <w:rFonts w:eastAsia="Calibri"/>
                <w:sz w:val="12"/>
                <w:szCs w:val="12"/>
                <w:lang w:eastAsia="en-US"/>
              </w:rPr>
              <w:t>4.1</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ind w:left="57"/>
              <w:rPr>
                <w:rFonts w:eastAsia="Calibri"/>
                <w:sz w:val="12"/>
                <w:szCs w:val="12"/>
                <w:lang w:eastAsia="en-US"/>
              </w:rPr>
            </w:pPr>
            <w:r w:rsidRPr="00276B9C">
              <w:rPr>
                <w:rFonts w:eastAsia="Calibri"/>
                <w:sz w:val="12"/>
                <w:szCs w:val="12"/>
                <w:lang w:eastAsia="en-US"/>
              </w:rPr>
              <w:t>Servicios financieros</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4 254.2</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6 174.2</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7 040.6</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3 020.8</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2 506.6</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2 768.5</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-2 599.3</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260.9</w:t>
            </w:r>
          </w:p>
        </w:tc>
        <w:tc>
          <w:tcPr>
            <w:tcW w:w="643"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5 556.6</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24.6</w:t>
            </w:r>
          </w:p>
        </w:tc>
        <w:tc>
          <w:tcPr>
            <w:tcW w:w="709" w:type="dxa"/>
            <w:tcBorders>
              <w:left w:val="single" w:sz="4" w:space="0" w:color="auto"/>
              <w:right w:val="single" w:sz="4" w:space="0" w:color="auto"/>
            </w:tcBorders>
          </w:tcPr>
          <w:p w:rsidR="00276B9C" w:rsidRPr="00276B9C" w:rsidRDefault="00276B9C" w:rsidP="00276B9C">
            <w:pPr>
              <w:spacing w:before="60" w:after="60"/>
              <w:ind w:left="-113"/>
              <w:jc w:val="right"/>
              <w:rPr>
                <w:rFonts w:eastAsia="Calibri"/>
                <w:sz w:val="12"/>
                <w:szCs w:val="12"/>
                <w:lang w:eastAsia="en-US"/>
              </w:rPr>
            </w:pPr>
            <w:r w:rsidRPr="00276B9C">
              <w:rPr>
                <w:rFonts w:eastAsia="Calibri"/>
                <w:sz w:val="12"/>
                <w:szCs w:val="12"/>
                <w:lang w:eastAsia="en-US"/>
              </w:rPr>
              <w:t>66 247.4</w:t>
            </w:r>
          </w:p>
        </w:tc>
        <w:tc>
          <w:tcPr>
            <w:tcW w:w="611" w:type="dxa"/>
            <w:tcBorders>
              <w:left w:val="single" w:sz="4" w:space="0" w:color="auto"/>
              <w:right w:val="single" w:sz="4" w:space="0" w:color="auto"/>
            </w:tcBorders>
          </w:tcPr>
          <w:p w:rsidR="00276B9C" w:rsidRPr="00276B9C" w:rsidRDefault="00276B9C" w:rsidP="00276B9C">
            <w:pPr>
              <w:spacing w:before="60" w:after="60"/>
              <w:ind w:left="-57" w:right="113"/>
              <w:jc w:val="right"/>
              <w:rPr>
                <w:rFonts w:eastAsia="Calibri"/>
                <w:sz w:val="12"/>
                <w:szCs w:val="12"/>
                <w:lang w:eastAsia="en-US"/>
              </w:rPr>
            </w:pPr>
            <w:r w:rsidRPr="00276B9C">
              <w:rPr>
                <w:rFonts w:eastAsia="Calibri"/>
                <w:sz w:val="12"/>
                <w:szCs w:val="12"/>
                <w:lang w:eastAsia="en-US"/>
              </w:rPr>
              <w:t>17.6</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ind w:left="57"/>
              <w:rPr>
                <w:rFonts w:eastAsia="Calibri"/>
                <w:sz w:val="12"/>
                <w:szCs w:val="12"/>
                <w:lang w:eastAsia="en-US"/>
              </w:rPr>
            </w:pPr>
            <w:r w:rsidRPr="00276B9C">
              <w:rPr>
                <w:rFonts w:eastAsia="Calibri"/>
                <w:sz w:val="12"/>
                <w:szCs w:val="12"/>
                <w:lang w:eastAsia="en-US"/>
              </w:rPr>
              <w:t>Servicios inmobiliarios y de alquiler</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1 327.9</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2 282.3</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1 693.8</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1 530.9</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664.3</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852.1</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758.2</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515.1</w:t>
            </w:r>
          </w:p>
        </w:tc>
        <w:tc>
          <w:tcPr>
            <w:tcW w:w="643"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180.0</w:t>
            </w:r>
          </w:p>
        </w:tc>
        <w:tc>
          <w:tcPr>
            <w:tcW w:w="567"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0.8</w:t>
            </w:r>
          </w:p>
        </w:tc>
        <w:tc>
          <w:tcPr>
            <w:tcW w:w="709" w:type="dxa"/>
            <w:tcBorders>
              <w:left w:val="single" w:sz="4" w:space="0" w:color="auto"/>
              <w:right w:val="single" w:sz="4" w:space="0" w:color="auto"/>
            </w:tcBorders>
            <w:vAlign w:val="bottom"/>
          </w:tcPr>
          <w:p w:rsidR="00276B9C" w:rsidRPr="00276B9C" w:rsidRDefault="00276B9C" w:rsidP="00276B9C">
            <w:pPr>
              <w:spacing w:before="60" w:after="60"/>
              <w:ind w:left="-113"/>
              <w:jc w:val="right"/>
              <w:rPr>
                <w:rFonts w:eastAsia="Calibri"/>
                <w:sz w:val="12"/>
                <w:szCs w:val="12"/>
                <w:lang w:eastAsia="en-US"/>
              </w:rPr>
            </w:pPr>
            <w:r w:rsidRPr="00276B9C">
              <w:rPr>
                <w:rFonts w:eastAsia="Calibri"/>
                <w:sz w:val="12"/>
                <w:szCs w:val="12"/>
                <w:lang w:eastAsia="en-US"/>
              </w:rPr>
              <w:t>13 972.5</w:t>
            </w:r>
          </w:p>
        </w:tc>
        <w:tc>
          <w:tcPr>
            <w:tcW w:w="611" w:type="dxa"/>
            <w:tcBorders>
              <w:left w:val="single" w:sz="4" w:space="0" w:color="auto"/>
              <w:right w:val="single" w:sz="4" w:space="0" w:color="auto"/>
            </w:tcBorders>
            <w:vAlign w:val="bottom"/>
          </w:tcPr>
          <w:p w:rsidR="00276B9C" w:rsidRPr="00276B9C" w:rsidRDefault="00276B9C" w:rsidP="00276B9C">
            <w:pPr>
              <w:spacing w:before="60" w:after="60"/>
              <w:ind w:left="-57" w:right="113"/>
              <w:jc w:val="right"/>
              <w:rPr>
                <w:rFonts w:eastAsia="Calibri"/>
                <w:sz w:val="12"/>
                <w:szCs w:val="12"/>
                <w:lang w:eastAsia="en-US"/>
              </w:rPr>
            </w:pPr>
            <w:r w:rsidRPr="00276B9C">
              <w:rPr>
                <w:rFonts w:eastAsia="Calibri"/>
                <w:sz w:val="12"/>
                <w:szCs w:val="12"/>
                <w:lang w:eastAsia="en-US"/>
              </w:rPr>
              <w:t>3.7</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ind w:left="57"/>
              <w:rPr>
                <w:rFonts w:eastAsia="Calibri"/>
                <w:sz w:val="12"/>
                <w:szCs w:val="12"/>
                <w:lang w:eastAsia="en-US"/>
              </w:rPr>
            </w:pPr>
            <w:r w:rsidRPr="00276B9C">
              <w:rPr>
                <w:rFonts w:eastAsia="Calibri"/>
                <w:sz w:val="12"/>
                <w:szCs w:val="12"/>
                <w:lang w:eastAsia="en-US"/>
              </w:rPr>
              <w:t>Servicios profesionales</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1 000.5</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719.1</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629.7</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654.4</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28.2</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1 143.7</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1 243.6</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1 069.2</w:t>
            </w:r>
          </w:p>
        </w:tc>
        <w:tc>
          <w:tcPr>
            <w:tcW w:w="643"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675.3</w:t>
            </w:r>
          </w:p>
        </w:tc>
        <w:tc>
          <w:tcPr>
            <w:tcW w:w="567"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3.0</w:t>
            </w:r>
          </w:p>
        </w:tc>
        <w:tc>
          <w:tcPr>
            <w:tcW w:w="709" w:type="dxa"/>
            <w:tcBorders>
              <w:left w:val="single" w:sz="4" w:space="0" w:color="auto"/>
              <w:right w:val="single" w:sz="4" w:space="0" w:color="auto"/>
            </w:tcBorders>
            <w:vAlign w:val="bottom"/>
          </w:tcPr>
          <w:p w:rsidR="00276B9C" w:rsidRPr="00276B9C" w:rsidRDefault="00276B9C" w:rsidP="00276B9C">
            <w:pPr>
              <w:spacing w:before="60" w:after="60"/>
              <w:ind w:left="-113"/>
              <w:jc w:val="right"/>
              <w:rPr>
                <w:rFonts w:eastAsia="Calibri"/>
                <w:sz w:val="12"/>
                <w:szCs w:val="12"/>
                <w:lang w:eastAsia="en-US"/>
              </w:rPr>
            </w:pPr>
            <w:r w:rsidRPr="00276B9C">
              <w:rPr>
                <w:rFonts w:eastAsia="Calibri"/>
                <w:sz w:val="12"/>
                <w:szCs w:val="12"/>
                <w:lang w:eastAsia="en-US"/>
              </w:rPr>
              <w:t>7 908.3</w:t>
            </w:r>
          </w:p>
        </w:tc>
        <w:tc>
          <w:tcPr>
            <w:tcW w:w="611" w:type="dxa"/>
            <w:tcBorders>
              <w:left w:val="single" w:sz="4" w:space="0" w:color="auto"/>
              <w:right w:val="single" w:sz="4" w:space="0" w:color="auto"/>
            </w:tcBorders>
            <w:vAlign w:val="bottom"/>
          </w:tcPr>
          <w:p w:rsidR="00276B9C" w:rsidRPr="00276B9C" w:rsidRDefault="00276B9C" w:rsidP="00276B9C">
            <w:pPr>
              <w:spacing w:before="60" w:after="60"/>
              <w:ind w:left="-57" w:right="113"/>
              <w:jc w:val="right"/>
              <w:rPr>
                <w:rFonts w:eastAsia="Calibri"/>
                <w:sz w:val="12"/>
                <w:szCs w:val="12"/>
                <w:lang w:eastAsia="en-US"/>
              </w:rPr>
            </w:pPr>
            <w:r w:rsidRPr="00276B9C">
              <w:rPr>
                <w:rFonts w:eastAsia="Calibri"/>
                <w:sz w:val="12"/>
                <w:szCs w:val="12"/>
                <w:lang w:eastAsia="en-US"/>
              </w:rPr>
              <w:t>2.1</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ind w:left="57"/>
              <w:rPr>
                <w:rFonts w:eastAsia="Calibri"/>
                <w:sz w:val="12"/>
                <w:szCs w:val="12"/>
                <w:lang w:eastAsia="en-US"/>
              </w:rPr>
            </w:pPr>
            <w:r w:rsidRPr="00276B9C">
              <w:rPr>
                <w:rFonts w:eastAsia="Calibri"/>
                <w:sz w:val="12"/>
                <w:szCs w:val="12"/>
                <w:lang w:eastAsia="en-US"/>
              </w:rPr>
              <w:t>Servicios de apoyo a los negocios</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373.4</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594.9</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-140.7</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788.2</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169.2</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745.2</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507.1</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575.0</w:t>
            </w:r>
          </w:p>
        </w:tc>
        <w:tc>
          <w:tcPr>
            <w:tcW w:w="643"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309.3</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1.4</w:t>
            </w:r>
          </w:p>
        </w:tc>
        <w:tc>
          <w:tcPr>
            <w:tcW w:w="709" w:type="dxa"/>
            <w:tcBorders>
              <w:left w:val="single" w:sz="4" w:space="0" w:color="auto"/>
              <w:right w:val="single" w:sz="4" w:space="0" w:color="auto"/>
            </w:tcBorders>
          </w:tcPr>
          <w:p w:rsidR="00276B9C" w:rsidRPr="00276B9C" w:rsidRDefault="00276B9C" w:rsidP="00276B9C">
            <w:pPr>
              <w:spacing w:before="60" w:after="60"/>
              <w:ind w:left="-113"/>
              <w:jc w:val="right"/>
              <w:rPr>
                <w:rFonts w:eastAsia="Calibri"/>
                <w:sz w:val="12"/>
                <w:szCs w:val="12"/>
                <w:lang w:eastAsia="en-US"/>
              </w:rPr>
            </w:pPr>
            <w:r w:rsidRPr="00276B9C">
              <w:rPr>
                <w:rFonts w:eastAsia="Calibri"/>
                <w:sz w:val="12"/>
                <w:szCs w:val="12"/>
                <w:lang w:eastAsia="en-US"/>
              </w:rPr>
              <w:t>6 384.5</w:t>
            </w:r>
          </w:p>
        </w:tc>
        <w:tc>
          <w:tcPr>
            <w:tcW w:w="611" w:type="dxa"/>
            <w:tcBorders>
              <w:left w:val="single" w:sz="4" w:space="0" w:color="auto"/>
              <w:right w:val="single" w:sz="4" w:space="0" w:color="auto"/>
            </w:tcBorders>
          </w:tcPr>
          <w:p w:rsidR="00276B9C" w:rsidRPr="00276B9C" w:rsidRDefault="00276B9C" w:rsidP="00276B9C">
            <w:pPr>
              <w:spacing w:before="60" w:after="60"/>
              <w:ind w:left="-57" w:right="113"/>
              <w:jc w:val="right"/>
              <w:rPr>
                <w:rFonts w:eastAsia="Calibri"/>
                <w:sz w:val="12"/>
                <w:szCs w:val="12"/>
                <w:lang w:eastAsia="en-US"/>
              </w:rPr>
            </w:pPr>
            <w:r w:rsidRPr="00276B9C">
              <w:rPr>
                <w:rFonts w:eastAsia="Calibri"/>
                <w:sz w:val="12"/>
                <w:szCs w:val="12"/>
                <w:lang w:eastAsia="en-US"/>
              </w:rPr>
              <w:t>1.7</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ind w:left="57"/>
              <w:rPr>
                <w:rFonts w:eastAsia="Calibri"/>
                <w:sz w:val="12"/>
                <w:szCs w:val="12"/>
                <w:lang w:eastAsia="en-US"/>
              </w:rPr>
            </w:pPr>
            <w:r w:rsidRPr="00276B9C">
              <w:rPr>
                <w:rFonts w:eastAsia="Calibri"/>
                <w:sz w:val="12"/>
                <w:szCs w:val="12"/>
                <w:lang w:eastAsia="en-US"/>
              </w:rPr>
              <w:t>Servicios educativos</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1.4</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39.8</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172.2</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5.1</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8.5</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12.1</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8.6</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14.6</w:t>
            </w:r>
          </w:p>
        </w:tc>
        <w:tc>
          <w:tcPr>
            <w:tcW w:w="643"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4.1</w:t>
            </w:r>
          </w:p>
        </w:tc>
        <w:tc>
          <w:tcPr>
            <w:tcW w:w="567"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0.0</w:t>
            </w:r>
          </w:p>
        </w:tc>
        <w:tc>
          <w:tcPr>
            <w:tcW w:w="709" w:type="dxa"/>
            <w:tcBorders>
              <w:left w:val="single" w:sz="4" w:space="0" w:color="auto"/>
              <w:right w:val="single" w:sz="4" w:space="0" w:color="auto"/>
            </w:tcBorders>
          </w:tcPr>
          <w:p w:rsidR="00276B9C" w:rsidRPr="00276B9C" w:rsidRDefault="00276B9C" w:rsidP="00276B9C">
            <w:pPr>
              <w:spacing w:before="60" w:after="60"/>
              <w:ind w:left="-113"/>
              <w:jc w:val="right"/>
              <w:rPr>
                <w:rFonts w:eastAsia="Calibri"/>
                <w:sz w:val="12"/>
                <w:szCs w:val="12"/>
                <w:lang w:eastAsia="en-US"/>
              </w:rPr>
            </w:pPr>
            <w:r w:rsidRPr="00276B9C">
              <w:rPr>
                <w:rFonts w:eastAsia="Calibri"/>
                <w:sz w:val="12"/>
                <w:szCs w:val="12"/>
                <w:lang w:eastAsia="en-US"/>
              </w:rPr>
              <w:t>332.3</w:t>
            </w:r>
          </w:p>
        </w:tc>
        <w:tc>
          <w:tcPr>
            <w:tcW w:w="611" w:type="dxa"/>
            <w:tcBorders>
              <w:left w:val="single" w:sz="4" w:space="0" w:color="auto"/>
              <w:right w:val="single" w:sz="4" w:space="0" w:color="auto"/>
            </w:tcBorders>
          </w:tcPr>
          <w:p w:rsidR="00276B9C" w:rsidRPr="00276B9C" w:rsidRDefault="00276B9C" w:rsidP="00276B9C">
            <w:pPr>
              <w:spacing w:before="60" w:after="60"/>
              <w:ind w:left="-57" w:right="113"/>
              <w:jc w:val="right"/>
              <w:rPr>
                <w:rFonts w:eastAsia="Calibri"/>
                <w:sz w:val="12"/>
                <w:szCs w:val="12"/>
                <w:lang w:eastAsia="en-US"/>
              </w:rPr>
            </w:pPr>
            <w:r w:rsidRPr="00276B9C">
              <w:rPr>
                <w:rFonts w:eastAsia="Calibri"/>
                <w:sz w:val="12"/>
                <w:szCs w:val="12"/>
                <w:lang w:eastAsia="en-US"/>
              </w:rPr>
              <w:t>0.1</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ind w:left="57"/>
              <w:rPr>
                <w:rFonts w:eastAsia="Calibri"/>
                <w:sz w:val="12"/>
                <w:szCs w:val="12"/>
                <w:lang w:eastAsia="en-US"/>
              </w:rPr>
            </w:pPr>
            <w:r w:rsidRPr="00276B9C">
              <w:rPr>
                <w:rFonts w:eastAsia="Calibri"/>
                <w:sz w:val="12"/>
                <w:szCs w:val="12"/>
                <w:lang w:eastAsia="en-US"/>
              </w:rPr>
              <w:t>Servicios de salud</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4.9</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22.4</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21.2</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3.7</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5.5</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23.5</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42.8</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49.9</w:t>
            </w:r>
          </w:p>
        </w:tc>
        <w:tc>
          <w:tcPr>
            <w:tcW w:w="643"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-13.8</w:t>
            </w:r>
          </w:p>
        </w:tc>
        <w:tc>
          <w:tcPr>
            <w:tcW w:w="567"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-0.1</w:t>
            </w:r>
          </w:p>
        </w:tc>
        <w:tc>
          <w:tcPr>
            <w:tcW w:w="709" w:type="dxa"/>
            <w:tcBorders>
              <w:left w:val="single" w:sz="4" w:space="0" w:color="auto"/>
              <w:right w:val="single" w:sz="4" w:space="0" w:color="auto"/>
            </w:tcBorders>
            <w:vAlign w:val="bottom"/>
          </w:tcPr>
          <w:p w:rsidR="00276B9C" w:rsidRPr="00276B9C" w:rsidRDefault="00276B9C" w:rsidP="00276B9C">
            <w:pPr>
              <w:spacing w:before="60" w:after="60"/>
              <w:ind w:left="-113"/>
              <w:jc w:val="right"/>
              <w:rPr>
                <w:rFonts w:eastAsia="Calibri"/>
                <w:sz w:val="12"/>
                <w:szCs w:val="12"/>
                <w:lang w:eastAsia="en-US"/>
              </w:rPr>
            </w:pPr>
            <w:r w:rsidRPr="00276B9C">
              <w:rPr>
                <w:rFonts w:eastAsia="Calibri"/>
                <w:sz w:val="12"/>
                <w:szCs w:val="12"/>
                <w:lang w:eastAsia="en-US"/>
              </w:rPr>
              <w:t>187.9</w:t>
            </w:r>
          </w:p>
        </w:tc>
        <w:tc>
          <w:tcPr>
            <w:tcW w:w="611" w:type="dxa"/>
            <w:tcBorders>
              <w:left w:val="single" w:sz="4" w:space="0" w:color="auto"/>
              <w:right w:val="single" w:sz="4" w:space="0" w:color="auto"/>
            </w:tcBorders>
            <w:vAlign w:val="bottom"/>
          </w:tcPr>
          <w:p w:rsidR="00276B9C" w:rsidRPr="00276B9C" w:rsidRDefault="00276B9C" w:rsidP="00276B9C">
            <w:pPr>
              <w:spacing w:before="60" w:after="60"/>
              <w:ind w:left="-57" w:right="113"/>
              <w:jc w:val="right"/>
              <w:rPr>
                <w:rFonts w:eastAsia="Calibri"/>
                <w:sz w:val="12"/>
                <w:szCs w:val="12"/>
                <w:lang w:eastAsia="en-US"/>
              </w:rPr>
            </w:pPr>
            <w:r w:rsidRPr="00276B9C">
              <w:rPr>
                <w:rFonts w:eastAsia="Calibri"/>
                <w:sz w:val="12"/>
                <w:szCs w:val="12"/>
                <w:lang w:eastAsia="en-US"/>
              </w:rPr>
              <w:t>0.1</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ind w:left="57"/>
              <w:rPr>
                <w:rFonts w:eastAsia="Calibri"/>
                <w:sz w:val="12"/>
                <w:szCs w:val="12"/>
                <w:lang w:eastAsia="en-US"/>
              </w:rPr>
            </w:pPr>
            <w:r w:rsidRPr="00276B9C">
              <w:rPr>
                <w:rFonts w:eastAsia="Calibri"/>
                <w:sz w:val="12"/>
                <w:szCs w:val="12"/>
                <w:lang w:eastAsia="en-US"/>
              </w:rPr>
              <w:t>Servicios de esparcimiento</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54.6</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269.1</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-9.7</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69.2</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38.9</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108.7</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4.9</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28.8</w:t>
            </w:r>
          </w:p>
        </w:tc>
        <w:tc>
          <w:tcPr>
            <w:tcW w:w="643"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85.5</w:t>
            </w:r>
          </w:p>
        </w:tc>
        <w:tc>
          <w:tcPr>
            <w:tcW w:w="567"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0.4</w:t>
            </w:r>
          </w:p>
        </w:tc>
        <w:tc>
          <w:tcPr>
            <w:tcW w:w="709" w:type="dxa"/>
            <w:tcBorders>
              <w:left w:val="single" w:sz="4" w:space="0" w:color="auto"/>
              <w:right w:val="single" w:sz="4" w:space="0" w:color="auto"/>
            </w:tcBorders>
            <w:vAlign w:val="bottom"/>
          </w:tcPr>
          <w:p w:rsidR="00276B9C" w:rsidRPr="00276B9C" w:rsidRDefault="00276B9C" w:rsidP="00276B9C">
            <w:pPr>
              <w:spacing w:before="60" w:after="60"/>
              <w:ind w:left="-113"/>
              <w:jc w:val="right"/>
              <w:rPr>
                <w:rFonts w:eastAsia="Calibri"/>
                <w:sz w:val="12"/>
                <w:szCs w:val="12"/>
                <w:lang w:eastAsia="en-US"/>
              </w:rPr>
            </w:pPr>
            <w:r w:rsidRPr="00276B9C">
              <w:rPr>
                <w:rFonts w:eastAsia="Calibri"/>
                <w:sz w:val="12"/>
                <w:szCs w:val="12"/>
                <w:lang w:eastAsia="en-US"/>
              </w:rPr>
              <w:t>745.7</w:t>
            </w:r>
          </w:p>
        </w:tc>
        <w:tc>
          <w:tcPr>
            <w:tcW w:w="611" w:type="dxa"/>
            <w:tcBorders>
              <w:left w:val="single" w:sz="4" w:space="0" w:color="auto"/>
              <w:right w:val="single" w:sz="4" w:space="0" w:color="auto"/>
            </w:tcBorders>
            <w:vAlign w:val="bottom"/>
          </w:tcPr>
          <w:p w:rsidR="00276B9C" w:rsidRPr="00276B9C" w:rsidRDefault="00276B9C" w:rsidP="00276B9C">
            <w:pPr>
              <w:spacing w:before="60" w:after="60"/>
              <w:ind w:left="-57" w:right="113"/>
              <w:jc w:val="right"/>
              <w:rPr>
                <w:rFonts w:eastAsia="Calibri"/>
                <w:sz w:val="12"/>
                <w:szCs w:val="12"/>
                <w:lang w:eastAsia="en-US"/>
              </w:rPr>
            </w:pPr>
            <w:r w:rsidRPr="00276B9C">
              <w:rPr>
                <w:rFonts w:eastAsia="Calibri"/>
                <w:sz w:val="12"/>
                <w:szCs w:val="12"/>
                <w:lang w:eastAsia="en-US"/>
              </w:rPr>
              <w:t>0.2</w:t>
            </w:r>
          </w:p>
        </w:tc>
      </w:tr>
      <w:tr w:rsidR="00276B9C" w:rsidRPr="00276B9C" w:rsidTr="0011560C">
        <w:trPr>
          <w:jc w:val="center"/>
        </w:trPr>
        <w:tc>
          <w:tcPr>
            <w:tcW w:w="2131" w:type="dxa"/>
            <w:tcBorders>
              <w:left w:val="single" w:sz="4" w:space="0" w:color="auto"/>
              <w:right w:val="single" w:sz="4" w:space="0" w:color="auto"/>
            </w:tcBorders>
          </w:tcPr>
          <w:p w:rsidR="00276B9C" w:rsidRPr="00276B9C" w:rsidRDefault="00276B9C" w:rsidP="00276B9C">
            <w:pPr>
              <w:spacing w:before="60" w:after="60"/>
              <w:ind w:left="57"/>
              <w:rPr>
                <w:rFonts w:eastAsia="Calibri"/>
                <w:sz w:val="12"/>
                <w:szCs w:val="12"/>
                <w:lang w:eastAsia="en-US"/>
              </w:rPr>
            </w:pPr>
            <w:r w:rsidRPr="00276B9C">
              <w:rPr>
                <w:rFonts w:eastAsia="Calibri"/>
                <w:sz w:val="12"/>
                <w:szCs w:val="12"/>
                <w:lang w:eastAsia="en-US"/>
              </w:rPr>
              <w:t>Servicios de alojamiento temporal</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1 281.4</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1 875.8</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156.6</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373.3</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844.0</w:t>
            </w:r>
          </w:p>
        </w:tc>
        <w:tc>
          <w:tcPr>
            <w:tcW w:w="540"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956.5</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1 214.1</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1 078.5</w:t>
            </w:r>
          </w:p>
        </w:tc>
        <w:tc>
          <w:tcPr>
            <w:tcW w:w="643"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825.4</w:t>
            </w:r>
          </w:p>
        </w:tc>
        <w:tc>
          <w:tcPr>
            <w:tcW w:w="567"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3.7</w:t>
            </w:r>
          </w:p>
        </w:tc>
        <w:tc>
          <w:tcPr>
            <w:tcW w:w="709" w:type="dxa"/>
            <w:tcBorders>
              <w:left w:val="single" w:sz="4" w:space="0" w:color="auto"/>
              <w:right w:val="single" w:sz="4" w:space="0" w:color="auto"/>
            </w:tcBorders>
            <w:vAlign w:val="bottom"/>
          </w:tcPr>
          <w:p w:rsidR="00276B9C" w:rsidRPr="00276B9C" w:rsidRDefault="00276B9C" w:rsidP="00276B9C">
            <w:pPr>
              <w:spacing w:before="60" w:after="60"/>
              <w:ind w:left="-113"/>
              <w:jc w:val="right"/>
              <w:rPr>
                <w:rFonts w:eastAsia="Calibri"/>
                <w:sz w:val="12"/>
                <w:szCs w:val="12"/>
                <w:lang w:eastAsia="en-US"/>
              </w:rPr>
            </w:pPr>
            <w:r w:rsidRPr="00276B9C">
              <w:rPr>
                <w:rFonts w:eastAsia="Calibri"/>
                <w:sz w:val="12"/>
                <w:szCs w:val="12"/>
                <w:lang w:eastAsia="en-US"/>
              </w:rPr>
              <w:t>13 103.5</w:t>
            </w:r>
          </w:p>
        </w:tc>
        <w:tc>
          <w:tcPr>
            <w:tcW w:w="611" w:type="dxa"/>
            <w:tcBorders>
              <w:left w:val="single" w:sz="4" w:space="0" w:color="auto"/>
              <w:right w:val="single" w:sz="4" w:space="0" w:color="auto"/>
            </w:tcBorders>
            <w:vAlign w:val="bottom"/>
          </w:tcPr>
          <w:p w:rsidR="00276B9C" w:rsidRPr="00276B9C" w:rsidRDefault="00276B9C" w:rsidP="00276B9C">
            <w:pPr>
              <w:spacing w:before="60" w:after="60"/>
              <w:ind w:left="-57" w:right="113"/>
              <w:jc w:val="right"/>
              <w:rPr>
                <w:rFonts w:eastAsia="Calibri"/>
                <w:sz w:val="12"/>
                <w:szCs w:val="12"/>
                <w:lang w:eastAsia="en-US"/>
              </w:rPr>
            </w:pPr>
            <w:r w:rsidRPr="00276B9C">
              <w:rPr>
                <w:rFonts w:eastAsia="Calibri"/>
                <w:sz w:val="12"/>
                <w:szCs w:val="12"/>
                <w:lang w:eastAsia="en-US"/>
              </w:rPr>
              <w:t>3.5</w:t>
            </w:r>
          </w:p>
        </w:tc>
      </w:tr>
      <w:tr w:rsidR="00276B9C" w:rsidRPr="00276B9C" w:rsidTr="0011560C">
        <w:trPr>
          <w:jc w:val="center"/>
        </w:trPr>
        <w:tc>
          <w:tcPr>
            <w:tcW w:w="2131" w:type="dxa"/>
            <w:tcBorders>
              <w:left w:val="single" w:sz="4" w:space="0" w:color="auto"/>
              <w:bottom w:val="single" w:sz="4" w:space="0" w:color="auto"/>
              <w:right w:val="single" w:sz="4" w:space="0" w:color="auto"/>
            </w:tcBorders>
          </w:tcPr>
          <w:p w:rsidR="00276B9C" w:rsidRPr="00276B9C" w:rsidRDefault="00276B9C" w:rsidP="00276B9C">
            <w:pPr>
              <w:spacing w:before="60" w:after="60"/>
              <w:ind w:left="57"/>
              <w:rPr>
                <w:rFonts w:eastAsia="Calibri"/>
                <w:sz w:val="12"/>
                <w:szCs w:val="12"/>
                <w:lang w:eastAsia="en-US"/>
              </w:rPr>
            </w:pPr>
            <w:r w:rsidRPr="00276B9C">
              <w:rPr>
                <w:rFonts w:eastAsia="Calibri"/>
                <w:sz w:val="12"/>
                <w:szCs w:val="12"/>
                <w:lang w:eastAsia="en-US"/>
              </w:rPr>
              <w:t>Otros servicios</w:t>
            </w:r>
          </w:p>
        </w:tc>
        <w:tc>
          <w:tcPr>
            <w:tcW w:w="540" w:type="dxa"/>
            <w:tcBorders>
              <w:left w:val="single" w:sz="4" w:space="0" w:color="auto"/>
              <w:bottom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11.8</w:t>
            </w:r>
          </w:p>
        </w:tc>
        <w:tc>
          <w:tcPr>
            <w:tcW w:w="540" w:type="dxa"/>
            <w:tcBorders>
              <w:left w:val="single" w:sz="4" w:space="0" w:color="auto"/>
              <w:bottom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78.8</w:t>
            </w:r>
          </w:p>
        </w:tc>
        <w:tc>
          <w:tcPr>
            <w:tcW w:w="540" w:type="dxa"/>
            <w:tcBorders>
              <w:left w:val="single" w:sz="4" w:space="0" w:color="auto"/>
              <w:bottom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76.3</w:t>
            </w:r>
          </w:p>
        </w:tc>
        <w:tc>
          <w:tcPr>
            <w:tcW w:w="540" w:type="dxa"/>
            <w:tcBorders>
              <w:left w:val="single" w:sz="4" w:space="0" w:color="auto"/>
              <w:bottom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76.6</w:t>
            </w:r>
          </w:p>
        </w:tc>
        <w:tc>
          <w:tcPr>
            <w:tcW w:w="540" w:type="dxa"/>
            <w:tcBorders>
              <w:left w:val="single" w:sz="4" w:space="0" w:color="auto"/>
              <w:bottom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34.7</w:t>
            </w:r>
          </w:p>
        </w:tc>
        <w:tc>
          <w:tcPr>
            <w:tcW w:w="540" w:type="dxa"/>
            <w:tcBorders>
              <w:left w:val="single" w:sz="4" w:space="0" w:color="auto"/>
              <w:bottom w:val="single" w:sz="4" w:space="0" w:color="auto"/>
              <w:right w:val="single" w:sz="4" w:space="0" w:color="auto"/>
            </w:tcBorders>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61.6</w:t>
            </w:r>
          </w:p>
        </w:tc>
        <w:tc>
          <w:tcPr>
            <w:tcW w:w="540" w:type="dxa"/>
            <w:tcBorders>
              <w:left w:val="single" w:sz="4" w:space="0" w:color="auto"/>
              <w:bottom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38.5</w:t>
            </w:r>
          </w:p>
        </w:tc>
        <w:tc>
          <w:tcPr>
            <w:tcW w:w="540" w:type="dxa"/>
            <w:tcBorders>
              <w:left w:val="single" w:sz="4" w:space="0" w:color="auto"/>
              <w:bottom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76.3</w:t>
            </w:r>
          </w:p>
        </w:tc>
        <w:tc>
          <w:tcPr>
            <w:tcW w:w="643" w:type="dxa"/>
            <w:tcBorders>
              <w:left w:val="single" w:sz="4" w:space="0" w:color="auto"/>
              <w:bottom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2"/>
                <w:szCs w:val="12"/>
                <w:lang w:eastAsia="en-US"/>
              </w:rPr>
            </w:pPr>
            <w:r w:rsidRPr="00276B9C">
              <w:rPr>
                <w:rFonts w:eastAsia="Calibri"/>
                <w:sz w:val="12"/>
                <w:szCs w:val="12"/>
                <w:lang w:eastAsia="en-US"/>
              </w:rPr>
              <w:t>101.6</w:t>
            </w:r>
          </w:p>
        </w:tc>
        <w:tc>
          <w:tcPr>
            <w:tcW w:w="567" w:type="dxa"/>
            <w:tcBorders>
              <w:left w:val="single" w:sz="4" w:space="0" w:color="auto"/>
              <w:bottom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2"/>
                <w:szCs w:val="12"/>
                <w:lang w:eastAsia="en-US"/>
              </w:rPr>
            </w:pPr>
            <w:r w:rsidRPr="00276B9C">
              <w:rPr>
                <w:rFonts w:eastAsia="Calibri"/>
                <w:sz w:val="12"/>
                <w:szCs w:val="12"/>
                <w:lang w:eastAsia="en-US"/>
              </w:rPr>
              <w:t>0.4</w:t>
            </w:r>
          </w:p>
        </w:tc>
        <w:tc>
          <w:tcPr>
            <w:tcW w:w="709" w:type="dxa"/>
            <w:tcBorders>
              <w:left w:val="single" w:sz="4" w:space="0" w:color="auto"/>
              <w:bottom w:val="single" w:sz="4" w:space="0" w:color="auto"/>
              <w:right w:val="single" w:sz="4" w:space="0" w:color="auto"/>
            </w:tcBorders>
            <w:vAlign w:val="bottom"/>
          </w:tcPr>
          <w:p w:rsidR="00276B9C" w:rsidRPr="00276B9C" w:rsidRDefault="00276B9C" w:rsidP="00276B9C">
            <w:pPr>
              <w:spacing w:before="60" w:after="60"/>
              <w:ind w:left="-113"/>
              <w:jc w:val="right"/>
              <w:rPr>
                <w:rFonts w:eastAsia="Calibri"/>
                <w:sz w:val="12"/>
                <w:szCs w:val="12"/>
                <w:lang w:eastAsia="en-US"/>
              </w:rPr>
            </w:pPr>
            <w:r w:rsidRPr="00276B9C">
              <w:rPr>
                <w:rFonts w:eastAsia="Calibri"/>
                <w:sz w:val="12"/>
                <w:szCs w:val="12"/>
                <w:lang w:eastAsia="en-US"/>
              </w:rPr>
              <w:t>923.2</w:t>
            </w:r>
          </w:p>
        </w:tc>
        <w:tc>
          <w:tcPr>
            <w:tcW w:w="611" w:type="dxa"/>
            <w:tcBorders>
              <w:left w:val="single" w:sz="4" w:space="0" w:color="auto"/>
              <w:bottom w:val="single" w:sz="4" w:space="0" w:color="auto"/>
              <w:right w:val="single" w:sz="4" w:space="0" w:color="auto"/>
            </w:tcBorders>
            <w:vAlign w:val="bottom"/>
          </w:tcPr>
          <w:p w:rsidR="00276B9C" w:rsidRPr="00276B9C" w:rsidRDefault="00276B9C" w:rsidP="00276B9C">
            <w:pPr>
              <w:spacing w:before="60" w:after="60"/>
              <w:ind w:left="-57" w:right="113"/>
              <w:jc w:val="right"/>
              <w:rPr>
                <w:rFonts w:eastAsia="Calibri"/>
                <w:sz w:val="12"/>
                <w:szCs w:val="12"/>
                <w:lang w:eastAsia="en-US"/>
              </w:rPr>
            </w:pPr>
            <w:r w:rsidRPr="00276B9C">
              <w:rPr>
                <w:rFonts w:eastAsia="Calibri"/>
                <w:sz w:val="12"/>
                <w:szCs w:val="12"/>
                <w:lang w:eastAsia="en-US"/>
              </w:rPr>
              <w:t>0.2</w:t>
            </w:r>
          </w:p>
        </w:tc>
      </w:tr>
      <w:tr w:rsidR="00276B9C" w:rsidRPr="00276B9C" w:rsidTr="001E7D79">
        <w:trPr>
          <w:jc w:val="center"/>
        </w:trPr>
        <w:tc>
          <w:tcPr>
            <w:tcW w:w="8981" w:type="dxa"/>
            <w:gridSpan w:val="13"/>
            <w:tcBorders>
              <w:left w:val="nil"/>
              <w:bottom w:val="nil"/>
              <w:right w:val="nil"/>
            </w:tcBorders>
          </w:tcPr>
          <w:p w:rsidR="00276B9C" w:rsidRPr="00276B9C" w:rsidRDefault="00276B9C" w:rsidP="00276B9C">
            <w:pPr>
              <w:ind w:left="283" w:right="57" w:hanging="340"/>
              <w:rPr>
                <w:rFonts w:eastAsia="Calibri"/>
                <w:sz w:val="12"/>
                <w:szCs w:val="12"/>
                <w:lang w:eastAsia="en-US"/>
              </w:rPr>
            </w:pPr>
            <w:r w:rsidRPr="00276B9C">
              <w:rPr>
                <w:rFonts w:eastAsia="Calibri"/>
                <w:sz w:val="12"/>
                <w:szCs w:val="12"/>
                <w:lang w:eastAsia="en-US"/>
              </w:rPr>
              <w:t>Nota: Los sectores corresponden con el Sistema de Clasificación Industrial de América del Norte (SCIAN). La suma de los parciales puede diferir de los totales debido al redondeo que efectúa la hoja de cálculo.</w:t>
            </w:r>
          </w:p>
          <w:p w:rsidR="00276B9C" w:rsidRPr="00276B9C" w:rsidRDefault="00276B9C" w:rsidP="00276B9C">
            <w:pPr>
              <w:ind w:left="-57" w:right="57"/>
              <w:rPr>
                <w:rFonts w:eastAsia="Calibri"/>
                <w:sz w:val="12"/>
                <w:szCs w:val="12"/>
                <w:lang w:eastAsia="en-US"/>
              </w:rPr>
            </w:pPr>
            <w:r w:rsidRPr="00276B9C">
              <w:rPr>
                <w:rFonts w:eastAsia="Calibri"/>
                <w:sz w:val="12"/>
                <w:szCs w:val="12"/>
                <w:u w:val="single"/>
                <w:lang w:eastAsia="en-US"/>
              </w:rPr>
              <w:t>1</w:t>
            </w:r>
            <w:r w:rsidRPr="00276B9C">
              <w:rPr>
                <w:rFonts w:eastAsia="Calibri"/>
                <w:sz w:val="12"/>
                <w:szCs w:val="12"/>
                <w:lang w:eastAsia="en-US"/>
              </w:rPr>
              <w:t>/ Cifras modificadas y actualizadas al 31 de diciembre de 2014. Por tanto las cifras de cada año presentan distintos períodos de actualización.</w:t>
            </w:r>
          </w:p>
          <w:p w:rsidR="00276B9C" w:rsidRPr="00276B9C" w:rsidRDefault="00276B9C" w:rsidP="00276B9C">
            <w:pPr>
              <w:ind w:left="-57" w:right="57"/>
              <w:rPr>
                <w:rFonts w:eastAsia="Calibri"/>
                <w:sz w:val="12"/>
                <w:szCs w:val="12"/>
                <w:lang w:eastAsia="en-US"/>
              </w:rPr>
            </w:pPr>
            <w:r w:rsidRPr="00276B9C">
              <w:rPr>
                <w:rFonts w:eastAsia="Calibri"/>
                <w:sz w:val="12"/>
                <w:szCs w:val="12"/>
                <w:u w:val="single"/>
                <w:lang w:eastAsia="en-US"/>
              </w:rPr>
              <w:t>2</w:t>
            </w:r>
            <w:r w:rsidRPr="00276B9C">
              <w:rPr>
                <w:rFonts w:eastAsia="Calibri"/>
                <w:sz w:val="12"/>
                <w:szCs w:val="12"/>
                <w:lang w:eastAsia="en-US"/>
              </w:rPr>
              <w:t>/ Del 1° de enero de 2000 al 31 de diciembre de 2014.</w:t>
            </w:r>
          </w:p>
          <w:p w:rsidR="00276B9C" w:rsidRPr="00276B9C" w:rsidRDefault="00276B9C" w:rsidP="00276B9C">
            <w:pPr>
              <w:ind w:left="-57" w:right="57"/>
              <w:rPr>
                <w:rFonts w:eastAsia="Calibri"/>
                <w:sz w:val="12"/>
                <w:szCs w:val="12"/>
                <w:lang w:eastAsia="en-US"/>
              </w:rPr>
            </w:pPr>
            <w:r w:rsidRPr="00276B9C">
              <w:rPr>
                <w:rFonts w:eastAsia="Calibri"/>
                <w:sz w:val="12"/>
                <w:szCs w:val="12"/>
                <w:lang w:eastAsia="en-US"/>
              </w:rPr>
              <w:t>FUENTE: Secretaría de Economía.</w:t>
            </w:r>
          </w:p>
        </w:tc>
      </w:tr>
    </w:tbl>
    <w:p w:rsidR="00276B9C" w:rsidRPr="00276B9C" w:rsidRDefault="00276B9C" w:rsidP="00276B9C">
      <w:pPr>
        <w:spacing w:after="360" w:line="360" w:lineRule="auto"/>
        <w:ind w:right="-159"/>
        <w:jc w:val="both"/>
        <w:rPr>
          <w:rFonts w:eastAsia="Calibri"/>
          <w:sz w:val="26"/>
          <w:szCs w:val="26"/>
          <w:lang w:eastAsia="en-US"/>
        </w:rPr>
      </w:pPr>
    </w:p>
    <w:tbl>
      <w:tblPr>
        <w:tblW w:w="8491" w:type="dxa"/>
        <w:jc w:val="center"/>
        <w:tblLayout w:type="fixed"/>
        <w:tblLook w:val="01E0" w:firstRow="1" w:lastRow="1" w:firstColumn="1" w:lastColumn="1" w:noHBand="0" w:noVBand="0"/>
      </w:tblPr>
      <w:tblGrid>
        <w:gridCol w:w="2063"/>
        <w:gridCol w:w="540"/>
        <w:gridCol w:w="540"/>
        <w:gridCol w:w="540"/>
        <w:gridCol w:w="540"/>
        <w:gridCol w:w="540"/>
        <w:gridCol w:w="540"/>
        <w:gridCol w:w="540"/>
        <w:gridCol w:w="540"/>
        <w:gridCol w:w="540"/>
        <w:gridCol w:w="512"/>
        <w:gridCol w:w="568"/>
        <w:gridCol w:w="488"/>
      </w:tblGrid>
      <w:tr w:rsidR="00276B9C" w:rsidRPr="00276B9C" w:rsidTr="0011560C">
        <w:trPr>
          <w:jc w:val="center"/>
        </w:trPr>
        <w:tc>
          <w:tcPr>
            <w:tcW w:w="8491" w:type="dxa"/>
            <w:gridSpan w:val="13"/>
            <w:tcBorders>
              <w:top w:val="nil"/>
              <w:left w:val="nil"/>
              <w:bottom w:val="single" w:sz="4" w:space="0" w:color="auto"/>
              <w:right w:val="nil"/>
            </w:tcBorders>
            <w:shd w:val="clear" w:color="auto" w:fill="auto"/>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INVERSIÓN EXTRANJERA DIRECTA EN MÉXICO REALIZADA</w:t>
            </w:r>
          </w:p>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POR SUBSECTOR ECONÓMICO</w:t>
            </w:r>
            <w:r w:rsidRPr="00276B9C">
              <w:rPr>
                <w:rFonts w:eastAsia="Calibri"/>
                <w:b/>
                <w:sz w:val="12"/>
                <w:szCs w:val="12"/>
                <w:u w:val="single"/>
                <w:vertAlign w:val="superscript"/>
                <w:lang w:eastAsia="en-US"/>
              </w:rPr>
              <w:t>1</w:t>
            </w:r>
            <w:r w:rsidRPr="00276B9C">
              <w:rPr>
                <w:rFonts w:eastAsia="Calibri"/>
                <w:b/>
                <w:sz w:val="12"/>
                <w:szCs w:val="12"/>
                <w:vertAlign w:val="superscript"/>
                <w:lang w:eastAsia="en-US"/>
              </w:rPr>
              <w:t>/</w:t>
            </w:r>
          </w:p>
          <w:p w:rsidR="00276B9C" w:rsidRPr="00276B9C" w:rsidRDefault="00276B9C" w:rsidP="00276B9C">
            <w:pPr>
              <w:ind w:right="-57"/>
              <w:jc w:val="center"/>
              <w:rPr>
                <w:rFonts w:eastAsia="Calibri"/>
                <w:b/>
                <w:sz w:val="10"/>
                <w:szCs w:val="10"/>
                <w:lang w:eastAsia="en-US"/>
              </w:rPr>
            </w:pPr>
            <w:r w:rsidRPr="00276B9C">
              <w:rPr>
                <w:rFonts w:eastAsia="Calibri"/>
                <w:b/>
                <w:sz w:val="12"/>
                <w:szCs w:val="12"/>
                <w:lang w:eastAsia="en-US"/>
              </w:rPr>
              <w:t>-Millones de dólares-</w:t>
            </w:r>
          </w:p>
        </w:tc>
      </w:tr>
      <w:tr w:rsidR="00276B9C" w:rsidRPr="00276B9C" w:rsidTr="0011560C">
        <w:trPr>
          <w:jc w:val="center"/>
        </w:trPr>
        <w:tc>
          <w:tcPr>
            <w:tcW w:w="2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76B9C" w:rsidRPr="00276B9C" w:rsidRDefault="00276B9C" w:rsidP="00276B9C">
            <w:pPr>
              <w:jc w:val="center"/>
              <w:rPr>
                <w:rFonts w:eastAsia="Calibri"/>
                <w:b/>
                <w:sz w:val="10"/>
                <w:szCs w:val="10"/>
                <w:lang w:eastAsia="en-US"/>
              </w:rPr>
            </w:pPr>
            <w:r w:rsidRPr="00276B9C">
              <w:rPr>
                <w:rFonts w:eastAsia="Calibri"/>
                <w:b/>
                <w:sz w:val="10"/>
                <w:szCs w:val="10"/>
                <w:lang w:eastAsia="en-US"/>
              </w:rPr>
              <w:t>SUBSECTORES</w:t>
            </w:r>
          </w:p>
        </w:tc>
        <w:tc>
          <w:tcPr>
            <w:tcW w:w="5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76B9C" w:rsidRPr="00276B9C" w:rsidRDefault="00276B9C" w:rsidP="00276B9C">
            <w:pPr>
              <w:jc w:val="center"/>
              <w:rPr>
                <w:rFonts w:eastAsia="Calibri"/>
                <w:b/>
                <w:sz w:val="10"/>
                <w:szCs w:val="10"/>
                <w:lang w:eastAsia="en-US"/>
              </w:rPr>
            </w:pPr>
            <w:r w:rsidRPr="00276B9C">
              <w:rPr>
                <w:rFonts w:eastAsia="Calibri"/>
                <w:b/>
                <w:sz w:val="10"/>
                <w:szCs w:val="10"/>
                <w:lang w:eastAsia="en-US"/>
              </w:rPr>
              <w:t>2006</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0"/>
                <w:szCs w:val="10"/>
                <w:lang w:eastAsia="en-US"/>
              </w:rPr>
            </w:pPr>
            <w:r w:rsidRPr="00276B9C">
              <w:rPr>
                <w:rFonts w:eastAsia="Calibri"/>
                <w:b/>
                <w:sz w:val="10"/>
                <w:szCs w:val="10"/>
                <w:lang w:eastAsia="en-US"/>
              </w:rPr>
              <w:t>2007</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0"/>
                <w:szCs w:val="10"/>
                <w:lang w:eastAsia="en-US"/>
              </w:rPr>
            </w:pPr>
            <w:r w:rsidRPr="00276B9C">
              <w:rPr>
                <w:rFonts w:eastAsia="Calibri"/>
                <w:b/>
                <w:sz w:val="10"/>
                <w:szCs w:val="10"/>
                <w:lang w:eastAsia="en-US"/>
              </w:rPr>
              <w:t>2008</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0"/>
                <w:szCs w:val="10"/>
                <w:lang w:eastAsia="en-US"/>
              </w:rPr>
            </w:pPr>
            <w:r w:rsidRPr="00276B9C">
              <w:rPr>
                <w:rFonts w:eastAsia="Calibri"/>
                <w:b/>
                <w:sz w:val="10"/>
                <w:szCs w:val="10"/>
                <w:lang w:eastAsia="en-US"/>
              </w:rPr>
              <w:t>2009</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0"/>
                <w:szCs w:val="10"/>
                <w:lang w:eastAsia="en-US"/>
              </w:rPr>
            </w:pPr>
            <w:r w:rsidRPr="00276B9C">
              <w:rPr>
                <w:rFonts w:eastAsia="Calibri"/>
                <w:b/>
                <w:sz w:val="10"/>
                <w:szCs w:val="10"/>
                <w:lang w:eastAsia="en-US"/>
              </w:rPr>
              <w:t>2010</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0"/>
                <w:szCs w:val="10"/>
                <w:lang w:eastAsia="en-US"/>
              </w:rPr>
            </w:pPr>
            <w:r w:rsidRPr="00276B9C">
              <w:rPr>
                <w:rFonts w:eastAsia="Calibri"/>
                <w:b/>
                <w:sz w:val="10"/>
                <w:szCs w:val="10"/>
                <w:lang w:eastAsia="en-US"/>
              </w:rPr>
              <w:t>2011</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0"/>
                <w:szCs w:val="10"/>
                <w:lang w:eastAsia="en-US"/>
              </w:rPr>
            </w:pPr>
            <w:r w:rsidRPr="00276B9C">
              <w:rPr>
                <w:rFonts w:eastAsia="Calibri"/>
                <w:b/>
                <w:sz w:val="10"/>
                <w:szCs w:val="10"/>
                <w:lang w:eastAsia="en-US"/>
              </w:rPr>
              <w:t>2012</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0"/>
                <w:szCs w:val="10"/>
                <w:lang w:eastAsia="en-US"/>
              </w:rPr>
            </w:pPr>
            <w:r w:rsidRPr="00276B9C">
              <w:rPr>
                <w:rFonts w:eastAsia="Calibri"/>
                <w:b/>
                <w:sz w:val="10"/>
                <w:szCs w:val="10"/>
                <w:lang w:eastAsia="en-US"/>
              </w:rPr>
              <w:t>2013</w:t>
            </w:r>
          </w:p>
        </w:tc>
        <w:tc>
          <w:tcPr>
            <w:tcW w:w="1052" w:type="dxa"/>
            <w:gridSpan w:val="2"/>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0"/>
                <w:szCs w:val="10"/>
                <w:lang w:eastAsia="en-US"/>
              </w:rPr>
            </w:pPr>
            <w:r w:rsidRPr="00276B9C">
              <w:rPr>
                <w:rFonts w:eastAsia="Calibri"/>
                <w:b/>
                <w:sz w:val="10"/>
                <w:szCs w:val="10"/>
                <w:lang w:eastAsia="en-US"/>
              </w:rPr>
              <w:t>2014</w:t>
            </w:r>
          </w:p>
        </w:tc>
        <w:tc>
          <w:tcPr>
            <w:tcW w:w="1056" w:type="dxa"/>
            <w:gridSpan w:val="2"/>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ind w:right="-57"/>
              <w:jc w:val="center"/>
              <w:rPr>
                <w:rFonts w:eastAsia="Calibri"/>
                <w:b/>
                <w:sz w:val="10"/>
                <w:szCs w:val="10"/>
                <w:lang w:eastAsia="en-US"/>
              </w:rPr>
            </w:pPr>
            <w:proofErr w:type="spellStart"/>
            <w:r w:rsidRPr="00276B9C">
              <w:rPr>
                <w:rFonts w:eastAsia="Calibri"/>
                <w:b/>
                <w:sz w:val="10"/>
                <w:szCs w:val="10"/>
                <w:lang w:eastAsia="en-US"/>
              </w:rPr>
              <w:t>Acum</w:t>
            </w:r>
            <w:proofErr w:type="spellEnd"/>
            <w:r w:rsidRPr="00276B9C">
              <w:rPr>
                <w:rFonts w:eastAsia="Calibri"/>
                <w:b/>
                <w:sz w:val="10"/>
                <w:szCs w:val="10"/>
                <w:lang w:eastAsia="en-US"/>
              </w:rPr>
              <w:t>. 2000 -2014</w:t>
            </w:r>
            <w:r w:rsidRPr="00276B9C">
              <w:rPr>
                <w:rFonts w:eastAsia="Calibri"/>
                <w:b/>
                <w:sz w:val="10"/>
                <w:szCs w:val="10"/>
                <w:u w:val="single"/>
                <w:vertAlign w:val="superscript"/>
                <w:lang w:eastAsia="en-US"/>
              </w:rPr>
              <w:t>2</w:t>
            </w:r>
            <w:r w:rsidRPr="00276B9C">
              <w:rPr>
                <w:rFonts w:eastAsia="Calibri"/>
                <w:b/>
                <w:sz w:val="10"/>
                <w:szCs w:val="10"/>
                <w:vertAlign w:val="superscript"/>
                <w:lang w:eastAsia="en-US"/>
              </w:rPr>
              <w:t>/</w:t>
            </w:r>
          </w:p>
        </w:tc>
      </w:tr>
      <w:tr w:rsidR="00276B9C" w:rsidRPr="00276B9C" w:rsidTr="0011560C">
        <w:trPr>
          <w:jc w:val="center"/>
        </w:trPr>
        <w:tc>
          <w:tcPr>
            <w:tcW w:w="2063" w:type="dxa"/>
            <w:vMerge/>
            <w:tcBorders>
              <w:top w:val="single" w:sz="4" w:space="0" w:color="auto"/>
              <w:left w:val="single" w:sz="4" w:space="0" w:color="auto"/>
              <w:bottom w:val="single" w:sz="4" w:space="0" w:color="auto"/>
              <w:right w:val="single" w:sz="4" w:space="0" w:color="auto"/>
            </w:tcBorders>
            <w:shd w:val="clear" w:color="auto" w:fill="auto"/>
          </w:tcPr>
          <w:p w:rsidR="00276B9C" w:rsidRPr="00276B9C" w:rsidRDefault="00276B9C" w:rsidP="00276B9C">
            <w:pPr>
              <w:rPr>
                <w:rFonts w:eastAsia="Calibri"/>
                <w:b/>
                <w:sz w:val="10"/>
                <w:szCs w:val="10"/>
                <w:lang w:eastAsia="en-US"/>
              </w:rPr>
            </w:pPr>
          </w:p>
        </w:tc>
        <w:tc>
          <w:tcPr>
            <w:tcW w:w="54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76B9C" w:rsidRPr="00276B9C" w:rsidRDefault="00276B9C" w:rsidP="00276B9C">
            <w:pPr>
              <w:jc w:val="center"/>
              <w:rPr>
                <w:rFonts w:eastAsia="Calibri"/>
                <w:b/>
                <w:sz w:val="10"/>
                <w:szCs w:val="10"/>
                <w:lang w:eastAsia="en-US"/>
              </w:rPr>
            </w:pPr>
          </w:p>
        </w:tc>
        <w:tc>
          <w:tcPr>
            <w:tcW w:w="540"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0"/>
                <w:szCs w:val="10"/>
                <w:lang w:eastAsia="en-US"/>
              </w:rPr>
            </w:pPr>
          </w:p>
        </w:tc>
        <w:tc>
          <w:tcPr>
            <w:tcW w:w="540"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0"/>
                <w:szCs w:val="10"/>
                <w:lang w:eastAsia="en-US"/>
              </w:rPr>
            </w:pPr>
          </w:p>
        </w:tc>
        <w:tc>
          <w:tcPr>
            <w:tcW w:w="540"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0"/>
                <w:szCs w:val="10"/>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jc w:val="center"/>
              <w:rPr>
                <w:rFonts w:eastAsia="Calibri"/>
                <w:b/>
                <w:sz w:val="10"/>
                <w:szCs w:val="10"/>
                <w:lang w:eastAsia="en-US"/>
              </w:rPr>
            </w:pPr>
          </w:p>
        </w:tc>
        <w:tc>
          <w:tcPr>
            <w:tcW w:w="540"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0"/>
                <w:szCs w:val="10"/>
                <w:lang w:eastAsia="en-US"/>
              </w:rPr>
            </w:pPr>
          </w:p>
        </w:tc>
        <w:tc>
          <w:tcPr>
            <w:tcW w:w="540"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0"/>
                <w:szCs w:val="10"/>
                <w:lang w:eastAsia="en-US"/>
              </w:rPr>
            </w:pPr>
          </w:p>
        </w:tc>
        <w:tc>
          <w:tcPr>
            <w:tcW w:w="540" w:type="dxa"/>
            <w:vMerge/>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0"/>
                <w:szCs w:val="10"/>
                <w:lang w:eastAsia="en-US"/>
              </w:rPr>
            </w:pPr>
          </w:p>
        </w:tc>
        <w:tc>
          <w:tcPr>
            <w:tcW w:w="1052" w:type="dxa"/>
            <w:gridSpan w:val="2"/>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0"/>
                <w:szCs w:val="10"/>
                <w:lang w:eastAsia="en-US"/>
              </w:rPr>
            </w:pPr>
            <w:r w:rsidRPr="00276B9C">
              <w:rPr>
                <w:rFonts w:eastAsia="Calibri"/>
                <w:b/>
                <w:sz w:val="10"/>
                <w:szCs w:val="10"/>
                <w:lang w:eastAsia="en-US"/>
              </w:rPr>
              <w:t>Ene-Dic</w:t>
            </w:r>
          </w:p>
        </w:tc>
        <w:tc>
          <w:tcPr>
            <w:tcW w:w="568"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276B9C">
            <w:pPr>
              <w:jc w:val="center"/>
              <w:rPr>
                <w:rFonts w:eastAsia="Calibri"/>
                <w:b/>
                <w:sz w:val="10"/>
                <w:szCs w:val="10"/>
                <w:lang w:eastAsia="en-US"/>
              </w:rPr>
            </w:pPr>
            <w:r w:rsidRPr="00276B9C">
              <w:rPr>
                <w:rFonts w:eastAsia="Calibri"/>
                <w:b/>
                <w:sz w:val="10"/>
                <w:szCs w:val="10"/>
                <w:lang w:eastAsia="en-US"/>
              </w:rPr>
              <w:t>Valor</w:t>
            </w:r>
          </w:p>
        </w:tc>
        <w:tc>
          <w:tcPr>
            <w:tcW w:w="488" w:type="dxa"/>
            <w:vMerge w:val="restart"/>
            <w:tcBorders>
              <w:top w:val="single" w:sz="4" w:space="0" w:color="auto"/>
              <w:left w:val="single" w:sz="4" w:space="0" w:color="auto"/>
              <w:bottom w:val="single" w:sz="4" w:space="0" w:color="auto"/>
              <w:right w:val="single" w:sz="4" w:space="0" w:color="auto"/>
            </w:tcBorders>
            <w:vAlign w:val="center"/>
          </w:tcPr>
          <w:p w:rsidR="00276B9C" w:rsidRPr="00276B9C" w:rsidRDefault="00276B9C" w:rsidP="00736C45">
            <w:pPr>
              <w:ind w:left="-57" w:right="57"/>
              <w:jc w:val="right"/>
              <w:rPr>
                <w:rFonts w:eastAsia="Calibri"/>
                <w:b/>
                <w:sz w:val="10"/>
                <w:szCs w:val="10"/>
                <w:lang w:eastAsia="en-US"/>
              </w:rPr>
            </w:pPr>
            <w:proofErr w:type="spellStart"/>
            <w:r w:rsidRPr="00276B9C">
              <w:rPr>
                <w:rFonts w:eastAsia="Calibri"/>
                <w:b/>
                <w:sz w:val="10"/>
                <w:szCs w:val="10"/>
                <w:lang w:eastAsia="en-US"/>
              </w:rPr>
              <w:t>Part</w:t>
            </w:r>
            <w:proofErr w:type="spellEnd"/>
            <w:r w:rsidR="00736C45">
              <w:rPr>
                <w:rFonts w:eastAsia="Calibri"/>
                <w:b/>
                <w:sz w:val="10"/>
                <w:szCs w:val="10"/>
                <w:lang w:eastAsia="en-US"/>
              </w:rPr>
              <w:t>.</w:t>
            </w:r>
          </w:p>
          <w:p w:rsidR="00276B9C" w:rsidRPr="00276B9C" w:rsidRDefault="00276B9C" w:rsidP="00276B9C">
            <w:pPr>
              <w:jc w:val="center"/>
              <w:rPr>
                <w:rFonts w:eastAsia="Calibri"/>
                <w:sz w:val="10"/>
                <w:szCs w:val="10"/>
                <w:lang w:eastAsia="en-US"/>
              </w:rPr>
            </w:pPr>
            <w:r w:rsidRPr="00276B9C">
              <w:rPr>
                <w:rFonts w:eastAsia="Calibri"/>
                <w:b/>
                <w:sz w:val="10"/>
                <w:szCs w:val="10"/>
                <w:lang w:eastAsia="en-US"/>
              </w:rPr>
              <w:t>%</w:t>
            </w:r>
          </w:p>
        </w:tc>
      </w:tr>
      <w:tr w:rsidR="00276B9C" w:rsidRPr="00276B9C" w:rsidTr="0011560C">
        <w:trPr>
          <w:jc w:val="center"/>
        </w:trPr>
        <w:tc>
          <w:tcPr>
            <w:tcW w:w="2063"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rPr>
                <w:rFonts w:eastAsia="Calibri"/>
                <w:b/>
                <w:sz w:val="10"/>
                <w:szCs w:val="10"/>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57"/>
              <w:jc w:val="right"/>
              <w:rPr>
                <w:rFonts w:eastAsia="Calibri"/>
                <w:sz w:val="10"/>
                <w:szCs w:val="10"/>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227"/>
              <w:jc w:val="right"/>
              <w:rPr>
                <w:rFonts w:eastAsia="Calibri"/>
                <w:sz w:val="10"/>
                <w:szCs w:val="10"/>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0"/>
                <w:szCs w:val="10"/>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0"/>
                <w:szCs w:val="10"/>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0"/>
                <w:szCs w:val="10"/>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0"/>
                <w:szCs w:val="10"/>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0"/>
                <w:szCs w:val="10"/>
                <w:lang w:eastAsia="en-US"/>
              </w:rPr>
            </w:pPr>
          </w:p>
        </w:tc>
        <w:tc>
          <w:tcPr>
            <w:tcW w:w="540"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0"/>
                <w:szCs w:val="10"/>
                <w:lang w:eastAsia="en-US"/>
              </w:rPr>
            </w:pPr>
          </w:p>
        </w:tc>
        <w:tc>
          <w:tcPr>
            <w:tcW w:w="540" w:type="dxa"/>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57"/>
              <w:jc w:val="right"/>
              <w:rPr>
                <w:rFonts w:eastAsia="Calibri"/>
                <w:b/>
                <w:sz w:val="10"/>
                <w:szCs w:val="10"/>
                <w:lang w:eastAsia="en-US"/>
              </w:rPr>
            </w:pPr>
            <w:r w:rsidRPr="00276B9C">
              <w:rPr>
                <w:rFonts w:eastAsia="Calibri"/>
                <w:b/>
                <w:sz w:val="10"/>
                <w:szCs w:val="10"/>
                <w:lang w:eastAsia="en-US"/>
              </w:rPr>
              <w:t>Valor</w:t>
            </w:r>
          </w:p>
        </w:tc>
        <w:tc>
          <w:tcPr>
            <w:tcW w:w="512" w:type="dxa"/>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57"/>
              <w:jc w:val="right"/>
              <w:rPr>
                <w:rFonts w:eastAsia="Calibri"/>
                <w:b/>
                <w:sz w:val="10"/>
                <w:szCs w:val="10"/>
                <w:lang w:eastAsia="en-US"/>
              </w:rPr>
            </w:pPr>
            <w:proofErr w:type="spellStart"/>
            <w:r w:rsidRPr="00276B9C">
              <w:rPr>
                <w:rFonts w:eastAsia="Calibri"/>
                <w:b/>
                <w:sz w:val="10"/>
                <w:szCs w:val="10"/>
                <w:lang w:eastAsia="en-US"/>
              </w:rPr>
              <w:t>Part</w:t>
            </w:r>
            <w:proofErr w:type="spellEnd"/>
            <w:r w:rsidRPr="00276B9C">
              <w:rPr>
                <w:rFonts w:eastAsia="Calibri"/>
                <w:b/>
                <w:sz w:val="10"/>
                <w:szCs w:val="10"/>
                <w:lang w:eastAsia="en-US"/>
              </w:rPr>
              <w:t>.</w:t>
            </w:r>
          </w:p>
          <w:p w:rsidR="00276B9C" w:rsidRPr="00276B9C" w:rsidRDefault="00276B9C" w:rsidP="00276B9C">
            <w:pPr>
              <w:jc w:val="center"/>
              <w:rPr>
                <w:rFonts w:eastAsia="Calibri"/>
                <w:b/>
                <w:sz w:val="10"/>
                <w:szCs w:val="10"/>
                <w:lang w:eastAsia="en-US"/>
              </w:rPr>
            </w:pPr>
            <w:r w:rsidRPr="00276B9C">
              <w:rPr>
                <w:rFonts w:eastAsia="Calibri"/>
                <w:b/>
                <w:sz w:val="10"/>
                <w:szCs w:val="10"/>
                <w:lang w:eastAsia="en-US"/>
              </w:rPr>
              <w:t>%</w:t>
            </w:r>
          </w:p>
        </w:tc>
        <w:tc>
          <w:tcPr>
            <w:tcW w:w="568"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0"/>
                <w:szCs w:val="10"/>
                <w:lang w:eastAsia="en-US"/>
              </w:rPr>
            </w:pPr>
          </w:p>
        </w:tc>
        <w:tc>
          <w:tcPr>
            <w:tcW w:w="488" w:type="dxa"/>
            <w:vMerge/>
            <w:tcBorders>
              <w:top w:val="single" w:sz="4" w:space="0" w:color="auto"/>
              <w:left w:val="single" w:sz="4" w:space="0" w:color="auto"/>
              <w:bottom w:val="single" w:sz="4" w:space="0" w:color="auto"/>
              <w:right w:val="single" w:sz="4" w:space="0" w:color="auto"/>
            </w:tcBorders>
          </w:tcPr>
          <w:p w:rsidR="00276B9C" w:rsidRPr="00276B9C" w:rsidRDefault="00276B9C" w:rsidP="00276B9C">
            <w:pPr>
              <w:ind w:right="113"/>
              <w:jc w:val="right"/>
              <w:rPr>
                <w:rFonts w:eastAsia="Calibri"/>
                <w:sz w:val="10"/>
                <w:szCs w:val="10"/>
                <w:lang w:eastAsia="en-US"/>
              </w:rPr>
            </w:pPr>
          </w:p>
        </w:tc>
      </w:tr>
      <w:tr w:rsidR="00276B9C" w:rsidRPr="00276B9C" w:rsidTr="0011560C">
        <w:trPr>
          <w:jc w:val="center"/>
        </w:trPr>
        <w:tc>
          <w:tcPr>
            <w:tcW w:w="2063" w:type="dxa"/>
            <w:tcBorders>
              <w:top w:val="single" w:sz="4" w:space="0" w:color="auto"/>
              <w:left w:val="single" w:sz="4" w:space="0" w:color="auto"/>
              <w:right w:val="single" w:sz="4" w:space="0" w:color="auto"/>
            </w:tcBorders>
          </w:tcPr>
          <w:p w:rsidR="00276B9C" w:rsidRPr="00276B9C" w:rsidRDefault="00276B9C" w:rsidP="00276B9C">
            <w:pPr>
              <w:spacing w:before="60" w:after="60"/>
              <w:rPr>
                <w:rFonts w:eastAsia="Calibri"/>
                <w:b/>
                <w:sz w:val="10"/>
                <w:szCs w:val="10"/>
                <w:lang w:eastAsia="en-US"/>
              </w:rPr>
            </w:pPr>
            <w:r w:rsidRPr="00276B9C">
              <w:rPr>
                <w:rFonts w:eastAsia="Calibri"/>
                <w:b/>
                <w:sz w:val="10"/>
                <w:szCs w:val="10"/>
                <w:lang w:eastAsia="en-US"/>
              </w:rPr>
              <w:t>TOTAL</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20 900.6</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32 213.2</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28 573.9</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17 643.7</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25 961.5</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23 559.9</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18 997.9</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44 198.8</w:t>
            </w:r>
          </w:p>
        </w:tc>
        <w:tc>
          <w:tcPr>
            <w:tcW w:w="540"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22 568.4</w:t>
            </w:r>
          </w:p>
        </w:tc>
        <w:tc>
          <w:tcPr>
            <w:tcW w:w="512" w:type="dxa"/>
            <w:tcBorders>
              <w:top w:val="single" w:sz="4" w:space="0" w:color="auto"/>
              <w:left w:val="single" w:sz="4" w:space="0" w:color="auto"/>
              <w:right w:val="single" w:sz="4" w:space="0" w:color="auto"/>
            </w:tcBorders>
          </w:tcPr>
          <w:p w:rsidR="00276B9C" w:rsidRPr="00276B9C" w:rsidRDefault="00276B9C" w:rsidP="00276B9C">
            <w:pPr>
              <w:spacing w:before="60" w:after="60"/>
              <w:ind w:right="57"/>
              <w:jc w:val="right"/>
              <w:rPr>
                <w:rFonts w:eastAsia="Calibri"/>
                <w:b/>
                <w:sz w:val="10"/>
                <w:szCs w:val="10"/>
                <w:lang w:eastAsia="en-US"/>
              </w:rPr>
            </w:pPr>
            <w:r w:rsidRPr="00276B9C">
              <w:rPr>
                <w:rFonts w:eastAsia="Calibri"/>
                <w:b/>
                <w:sz w:val="10"/>
                <w:szCs w:val="10"/>
                <w:lang w:eastAsia="en-US"/>
              </w:rPr>
              <w:t>100.0</w:t>
            </w:r>
          </w:p>
        </w:tc>
        <w:tc>
          <w:tcPr>
            <w:tcW w:w="568"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375 700.7</w:t>
            </w:r>
          </w:p>
        </w:tc>
        <w:tc>
          <w:tcPr>
            <w:tcW w:w="488" w:type="dxa"/>
            <w:tcBorders>
              <w:top w:val="single" w:sz="4" w:space="0" w:color="auto"/>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0"/>
                <w:szCs w:val="10"/>
                <w:lang w:eastAsia="en-US"/>
              </w:rPr>
            </w:pPr>
            <w:r w:rsidRPr="00276B9C">
              <w:rPr>
                <w:rFonts w:eastAsia="Calibri"/>
                <w:b/>
                <w:sz w:val="10"/>
                <w:szCs w:val="10"/>
                <w:lang w:eastAsia="en-US"/>
              </w:rPr>
              <w:t>100.0</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rPr>
                <w:rFonts w:eastAsia="Calibri"/>
                <w:b/>
                <w:sz w:val="10"/>
                <w:szCs w:val="10"/>
                <w:lang w:eastAsia="en-US"/>
              </w:rPr>
            </w:pPr>
            <w:r w:rsidRPr="00276B9C">
              <w:rPr>
                <w:rFonts w:eastAsia="Calibri"/>
                <w:b/>
                <w:sz w:val="10"/>
                <w:szCs w:val="10"/>
                <w:lang w:eastAsia="en-US"/>
              </w:rPr>
              <w:t>Agropecuario</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3.0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73.4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57.9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19.6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91.0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40.2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108.3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168.8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84.3</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b/>
                <w:sz w:val="10"/>
                <w:szCs w:val="10"/>
                <w:lang w:eastAsia="en-US"/>
              </w:rPr>
            </w:pPr>
            <w:r w:rsidRPr="00276B9C">
              <w:rPr>
                <w:rFonts w:eastAsia="Calibri"/>
                <w:b/>
                <w:sz w:val="10"/>
                <w:szCs w:val="10"/>
                <w:lang w:eastAsia="en-US"/>
              </w:rPr>
              <w:t>0.4</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1 025.6</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0"/>
                <w:szCs w:val="10"/>
                <w:lang w:eastAsia="en-US"/>
              </w:rPr>
            </w:pPr>
            <w:r w:rsidRPr="00276B9C">
              <w:rPr>
                <w:rFonts w:eastAsia="Calibri"/>
                <w:b/>
                <w:sz w:val="10"/>
                <w:szCs w:val="10"/>
                <w:lang w:eastAsia="en-US"/>
              </w:rPr>
              <w:t>0.3</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Agricultura</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75.1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34.4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19.3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17.2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30.3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129.2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57.1</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0.3</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435.2</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0.1</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Cría y explotación de animales</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9.2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19.7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31.3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-14.3</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-0.1</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317.1</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0.1</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proofErr w:type="spellStart"/>
            <w:r w:rsidRPr="00276B9C">
              <w:rPr>
                <w:rFonts w:eastAsia="Calibri"/>
                <w:sz w:val="10"/>
                <w:szCs w:val="10"/>
                <w:lang w:eastAsia="en-US"/>
              </w:rPr>
              <w:t>Aprov</w:t>
            </w:r>
            <w:proofErr w:type="spellEnd"/>
            <w:r w:rsidRPr="00276B9C">
              <w:rPr>
                <w:rFonts w:eastAsia="Calibri"/>
                <w:sz w:val="10"/>
                <w:szCs w:val="10"/>
                <w:lang w:eastAsia="en-US"/>
              </w:rPr>
              <w:t>. Forestal</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12"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0.0</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0.9</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0.0</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Pesca, caza y captura</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0.6</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12"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0.0</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0.0</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proofErr w:type="spellStart"/>
            <w:r w:rsidRPr="00276B9C">
              <w:rPr>
                <w:rFonts w:eastAsia="Calibri"/>
                <w:sz w:val="10"/>
                <w:szCs w:val="10"/>
                <w:lang w:eastAsia="en-US"/>
              </w:rPr>
              <w:t>Serv</w:t>
            </w:r>
            <w:proofErr w:type="spellEnd"/>
            <w:r w:rsidRPr="00276B9C">
              <w:rPr>
                <w:rFonts w:eastAsia="Calibri"/>
                <w:sz w:val="10"/>
                <w:szCs w:val="10"/>
                <w:lang w:eastAsia="en-US"/>
              </w:rPr>
              <w:t xml:space="preserve">. </w:t>
            </w:r>
            <w:proofErr w:type="spellStart"/>
            <w:r w:rsidRPr="00276B9C">
              <w:rPr>
                <w:rFonts w:eastAsia="Calibri"/>
                <w:sz w:val="10"/>
                <w:szCs w:val="10"/>
                <w:lang w:eastAsia="en-US"/>
              </w:rPr>
              <w:t>rel.</w:t>
            </w:r>
            <w:proofErr w:type="spellEnd"/>
            <w:r w:rsidRPr="00276B9C">
              <w:rPr>
                <w:rFonts w:eastAsia="Calibri"/>
                <w:sz w:val="10"/>
                <w:szCs w:val="10"/>
                <w:lang w:eastAsia="en-US"/>
              </w:rPr>
              <w:t xml:space="preserve"> con las actividades agropecuarias y forestales</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-3.5</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-2.2</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14.4</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13.1</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64.1</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20.8</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58.2</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8.3</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41.5</w:t>
            </w:r>
          </w:p>
        </w:tc>
        <w:tc>
          <w:tcPr>
            <w:tcW w:w="512" w:type="dxa"/>
            <w:tcBorders>
              <w:left w:val="single" w:sz="4" w:space="0" w:color="auto"/>
              <w:right w:val="single" w:sz="4" w:space="0" w:color="auto"/>
            </w:tcBorders>
            <w:vAlign w:val="center"/>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0.2</w:t>
            </w:r>
          </w:p>
        </w:tc>
        <w:tc>
          <w:tcPr>
            <w:tcW w:w="568"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270.8</w:t>
            </w:r>
          </w:p>
        </w:tc>
        <w:tc>
          <w:tcPr>
            <w:tcW w:w="488" w:type="dxa"/>
            <w:tcBorders>
              <w:left w:val="single" w:sz="4" w:space="0" w:color="auto"/>
              <w:right w:val="single" w:sz="4" w:space="0" w:color="auto"/>
            </w:tcBorders>
            <w:vAlign w:val="center"/>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0.1</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rPr>
                <w:rFonts w:eastAsia="Calibri"/>
                <w:b/>
                <w:sz w:val="10"/>
                <w:szCs w:val="10"/>
                <w:lang w:eastAsia="en-US"/>
              </w:rPr>
            </w:pPr>
            <w:r w:rsidRPr="00276B9C">
              <w:rPr>
                <w:rFonts w:eastAsia="Calibri"/>
                <w:b/>
                <w:sz w:val="10"/>
                <w:szCs w:val="10"/>
                <w:lang w:eastAsia="en-US"/>
              </w:rPr>
              <w:t>Minería</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481.9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1 817.7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4 491.5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1 330.7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1 362.1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806.1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2 897.2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5 274.4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2 215.2</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b/>
                <w:sz w:val="10"/>
                <w:szCs w:val="10"/>
                <w:lang w:eastAsia="en-US"/>
              </w:rPr>
            </w:pPr>
            <w:r w:rsidRPr="00276B9C">
              <w:rPr>
                <w:rFonts w:eastAsia="Calibri"/>
                <w:b/>
                <w:sz w:val="10"/>
                <w:szCs w:val="10"/>
                <w:lang w:eastAsia="en-US"/>
              </w:rPr>
              <w:t>9.8</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22 015.2</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0"/>
                <w:szCs w:val="10"/>
                <w:lang w:eastAsia="en-US"/>
              </w:rPr>
            </w:pPr>
            <w:r w:rsidRPr="00276B9C">
              <w:rPr>
                <w:rFonts w:eastAsia="Calibri"/>
                <w:b/>
                <w:sz w:val="10"/>
                <w:szCs w:val="10"/>
                <w:lang w:eastAsia="en-US"/>
              </w:rPr>
              <w:t>5.9</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Extracción de petróleo y gas</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0.1</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12"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0.0</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4.0</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0.0</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Minería de minerales metálicos</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476.5</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1 870.0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4 476.5</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1 355.7</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1 447.8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983.4</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2 600.2</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5 161.7</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2 116.9</w:t>
            </w:r>
          </w:p>
        </w:tc>
        <w:tc>
          <w:tcPr>
            <w:tcW w:w="512" w:type="dxa"/>
            <w:tcBorders>
              <w:left w:val="single" w:sz="4" w:space="0" w:color="auto"/>
              <w:right w:val="single" w:sz="4" w:space="0" w:color="auto"/>
            </w:tcBorders>
            <w:vAlign w:val="bottom"/>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9.4</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21 765.5</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5.8</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Servicios relacionados con la minería</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5.3</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-52.3</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14.9</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-25.0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-85.7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-177.3</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297.0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112.5</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98.2</w:t>
            </w:r>
          </w:p>
        </w:tc>
        <w:tc>
          <w:tcPr>
            <w:tcW w:w="512" w:type="dxa"/>
            <w:tcBorders>
              <w:left w:val="single" w:sz="4" w:space="0" w:color="auto"/>
              <w:right w:val="single" w:sz="4" w:space="0" w:color="auto"/>
            </w:tcBorders>
            <w:vAlign w:val="bottom"/>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0.4</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245.7</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0.1</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rPr>
                <w:rFonts w:eastAsia="Calibri"/>
                <w:b/>
                <w:sz w:val="10"/>
                <w:szCs w:val="10"/>
                <w:lang w:eastAsia="en-US"/>
              </w:rPr>
            </w:pPr>
            <w:r w:rsidRPr="00276B9C">
              <w:rPr>
                <w:rFonts w:eastAsia="Calibri"/>
                <w:b/>
                <w:sz w:val="10"/>
                <w:szCs w:val="10"/>
                <w:lang w:eastAsia="en-US"/>
              </w:rPr>
              <w:t>Electricidad, agua y suministro de gas</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-62.1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205.7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507.6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46.2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117.4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222.4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639.5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341.5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601.1</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b/>
                <w:sz w:val="10"/>
                <w:szCs w:val="10"/>
                <w:lang w:eastAsia="en-US"/>
              </w:rPr>
            </w:pPr>
            <w:r w:rsidRPr="00276B9C">
              <w:rPr>
                <w:rFonts w:eastAsia="Calibri"/>
                <w:b/>
                <w:sz w:val="10"/>
                <w:szCs w:val="10"/>
                <w:lang w:eastAsia="en-US"/>
              </w:rPr>
              <w:t>2.7</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4 649.6</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0"/>
                <w:szCs w:val="10"/>
                <w:lang w:eastAsia="en-US"/>
              </w:rPr>
            </w:pPr>
            <w:r w:rsidRPr="00276B9C">
              <w:rPr>
                <w:rFonts w:eastAsia="Calibri"/>
                <w:b/>
                <w:sz w:val="10"/>
                <w:szCs w:val="10"/>
                <w:lang w:eastAsia="en-US"/>
              </w:rPr>
              <w:t>1.2</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Energía eléctrica</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-53.2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209.3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493.9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41.1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117.7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164.4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627.5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316.5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580.6</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2.6</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4 481.8</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1.2</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Agua y suministro de gas por ductos</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-8.9</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-3.6</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13.7</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5.1</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58.1</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12.0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25.0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20.4</w:t>
            </w:r>
          </w:p>
        </w:tc>
        <w:tc>
          <w:tcPr>
            <w:tcW w:w="512" w:type="dxa"/>
            <w:tcBorders>
              <w:left w:val="single" w:sz="4" w:space="0" w:color="auto"/>
              <w:right w:val="single" w:sz="4" w:space="0" w:color="auto"/>
            </w:tcBorders>
            <w:vAlign w:val="bottom"/>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0.1</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167.8</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0.0</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rPr>
                <w:rFonts w:eastAsia="Calibri"/>
                <w:b/>
                <w:sz w:val="10"/>
                <w:szCs w:val="10"/>
                <w:lang w:eastAsia="en-US"/>
              </w:rPr>
            </w:pPr>
            <w:r w:rsidRPr="00276B9C">
              <w:rPr>
                <w:rFonts w:eastAsia="Calibri"/>
                <w:b/>
                <w:sz w:val="10"/>
                <w:szCs w:val="10"/>
                <w:lang w:eastAsia="en-US"/>
              </w:rPr>
              <w:t>Construcción</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587.5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2 744.3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1 036.5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708.5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381.4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1 607.8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1 436.8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1 049.9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872.6</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b/>
                <w:sz w:val="10"/>
                <w:szCs w:val="10"/>
                <w:lang w:eastAsia="en-US"/>
              </w:rPr>
            </w:pPr>
            <w:r w:rsidRPr="00276B9C">
              <w:rPr>
                <w:rFonts w:eastAsia="Calibri"/>
                <w:b/>
                <w:sz w:val="10"/>
                <w:szCs w:val="10"/>
                <w:lang w:eastAsia="en-US"/>
              </w:rPr>
              <w:t>3.9</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12 495.8</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0"/>
                <w:szCs w:val="10"/>
                <w:lang w:eastAsia="en-US"/>
              </w:rPr>
            </w:pPr>
            <w:r w:rsidRPr="00276B9C">
              <w:rPr>
                <w:rFonts w:eastAsia="Calibri"/>
                <w:b/>
                <w:sz w:val="10"/>
                <w:szCs w:val="10"/>
                <w:lang w:eastAsia="en-US"/>
              </w:rPr>
              <w:t>3.3</w:t>
            </w:r>
          </w:p>
        </w:tc>
      </w:tr>
      <w:tr w:rsidR="00276B9C" w:rsidRPr="00276B9C" w:rsidTr="002753B3">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Edificación</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241.5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378.1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293.5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331.6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79.5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136.7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168.5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16.1</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0.1</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2 079.3</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0.6</w:t>
            </w:r>
          </w:p>
        </w:tc>
      </w:tr>
      <w:tr w:rsidR="00276B9C" w:rsidRPr="00276B9C" w:rsidTr="002753B3">
        <w:trPr>
          <w:jc w:val="center"/>
        </w:trPr>
        <w:tc>
          <w:tcPr>
            <w:tcW w:w="2063" w:type="dxa"/>
            <w:tcBorders>
              <w:left w:val="single" w:sz="4" w:space="0" w:color="auto"/>
              <w:bottom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Construcción de obras de ingeniería civil</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267.6</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2 343.7</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710.8</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389.4</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336.6</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1 458.9</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1 194.4</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891.2</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842.8</w:t>
            </w:r>
          </w:p>
        </w:tc>
        <w:tc>
          <w:tcPr>
            <w:tcW w:w="512"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3.7</w:t>
            </w:r>
          </w:p>
        </w:tc>
        <w:tc>
          <w:tcPr>
            <w:tcW w:w="568"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9 298.6</w:t>
            </w:r>
          </w:p>
        </w:tc>
        <w:tc>
          <w:tcPr>
            <w:tcW w:w="488"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2.5</w:t>
            </w:r>
          </w:p>
        </w:tc>
      </w:tr>
      <w:tr w:rsidR="00276B9C" w:rsidRPr="00276B9C" w:rsidTr="002753B3">
        <w:trPr>
          <w:jc w:val="center"/>
        </w:trPr>
        <w:tc>
          <w:tcPr>
            <w:tcW w:w="2063" w:type="dxa"/>
            <w:tcBorders>
              <w:top w:val="single" w:sz="4" w:space="0" w:color="auto"/>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lastRenderedPageBreak/>
              <w:t>Trabajos especializados para la construcción</w:t>
            </w:r>
          </w:p>
        </w:tc>
        <w:tc>
          <w:tcPr>
            <w:tcW w:w="540" w:type="dxa"/>
            <w:tcBorders>
              <w:top w:val="single" w:sz="4" w:space="0" w:color="auto"/>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78.5</w:t>
            </w:r>
          </w:p>
        </w:tc>
        <w:tc>
          <w:tcPr>
            <w:tcW w:w="540" w:type="dxa"/>
            <w:tcBorders>
              <w:top w:val="single" w:sz="4" w:space="0" w:color="auto"/>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22.5</w:t>
            </w:r>
          </w:p>
        </w:tc>
        <w:tc>
          <w:tcPr>
            <w:tcW w:w="540" w:type="dxa"/>
            <w:tcBorders>
              <w:top w:val="single" w:sz="4" w:space="0" w:color="auto"/>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32.2</w:t>
            </w:r>
          </w:p>
        </w:tc>
        <w:tc>
          <w:tcPr>
            <w:tcW w:w="540" w:type="dxa"/>
            <w:tcBorders>
              <w:top w:val="single" w:sz="4" w:space="0" w:color="auto"/>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-12.5</w:t>
            </w:r>
          </w:p>
        </w:tc>
        <w:tc>
          <w:tcPr>
            <w:tcW w:w="540" w:type="dxa"/>
            <w:tcBorders>
              <w:top w:val="single" w:sz="4" w:space="0" w:color="auto"/>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-34.7</w:t>
            </w:r>
          </w:p>
        </w:tc>
        <w:tc>
          <w:tcPr>
            <w:tcW w:w="540" w:type="dxa"/>
            <w:tcBorders>
              <w:top w:val="single" w:sz="4" w:space="0" w:color="auto"/>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12.2</w:t>
            </w:r>
          </w:p>
        </w:tc>
        <w:tc>
          <w:tcPr>
            <w:tcW w:w="540" w:type="dxa"/>
            <w:tcBorders>
              <w:top w:val="single" w:sz="4" w:space="0" w:color="auto"/>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73.9</w:t>
            </w:r>
          </w:p>
        </w:tc>
        <w:tc>
          <w:tcPr>
            <w:tcW w:w="540" w:type="dxa"/>
            <w:tcBorders>
              <w:top w:val="single" w:sz="4" w:space="0" w:color="auto"/>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161.2</w:t>
            </w:r>
          </w:p>
        </w:tc>
        <w:tc>
          <w:tcPr>
            <w:tcW w:w="540" w:type="dxa"/>
            <w:tcBorders>
              <w:top w:val="single" w:sz="4" w:space="0" w:color="auto"/>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13.7</w:t>
            </w:r>
          </w:p>
        </w:tc>
        <w:tc>
          <w:tcPr>
            <w:tcW w:w="512" w:type="dxa"/>
            <w:tcBorders>
              <w:top w:val="single" w:sz="4" w:space="0" w:color="auto"/>
              <w:left w:val="single" w:sz="4" w:space="0" w:color="auto"/>
              <w:right w:val="single" w:sz="4" w:space="0" w:color="auto"/>
            </w:tcBorders>
            <w:vAlign w:val="center"/>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0.1</w:t>
            </w:r>
          </w:p>
        </w:tc>
        <w:tc>
          <w:tcPr>
            <w:tcW w:w="568" w:type="dxa"/>
            <w:tcBorders>
              <w:top w:val="single" w:sz="4" w:space="0" w:color="auto"/>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1 117.9</w:t>
            </w:r>
          </w:p>
        </w:tc>
        <w:tc>
          <w:tcPr>
            <w:tcW w:w="488" w:type="dxa"/>
            <w:tcBorders>
              <w:top w:val="single" w:sz="4" w:space="0" w:color="auto"/>
              <w:left w:val="single" w:sz="4" w:space="0" w:color="auto"/>
              <w:right w:val="single" w:sz="4" w:space="0" w:color="auto"/>
            </w:tcBorders>
            <w:vAlign w:val="center"/>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0.3</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rPr>
                <w:rFonts w:eastAsia="Calibri"/>
                <w:b/>
                <w:sz w:val="10"/>
                <w:szCs w:val="10"/>
                <w:lang w:eastAsia="en-US"/>
              </w:rPr>
            </w:pPr>
            <w:r w:rsidRPr="00276B9C">
              <w:rPr>
                <w:rFonts w:eastAsia="Calibri"/>
                <w:b/>
                <w:sz w:val="10"/>
                <w:szCs w:val="10"/>
                <w:lang w:eastAsia="en-US"/>
              </w:rPr>
              <w:t>Manufacturas</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10 232.5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12 901.1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8 662.1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6 612.9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13 917.7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10 098.5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7 829.9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29 594.5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12 869.9</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b/>
                <w:sz w:val="10"/>
                <w:szCs w:val="10"/>
                <w:lang w:eastAsia="en-US"/>
              </w:rPr>
            </w:pPr>
            <w:r w:rsidRPr="00276B9C">
              <w:rPr>
                <w:rFonts w:eastAsia="Calibri"/>
                <w:b/>
                <w:sz w:val="10"/>
                <w:szCs w:val="10"/>
                <w:lang w:eastAsia="en-US"/>
              </w:rPr>
              <w:t>57.0</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173 286.2</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0"/>
                <w:szCs w:val="10"/>
                <w:lang w:eastAsia="en-US"/>
              </w:rPr>
            </w:pPr>
            <w:r w:rsidRPr="00276B9C">
              <w:rPr>
                <w:rFonts w:eastAsia="Calibri"/>
                <w:b/>
                <w:sz w:val="10"/>
                <w:szCs w:val="10"/>
                <w:lang w:eastAsia="en-US"/>
              </w:rPr>
              <w:t>46.1</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Industria alimentaria</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1 051.0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602.4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332.7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150.7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6 141.9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1 548.4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-168.1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975.5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433.3</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1.9</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20 121.7</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5.4</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70"/>
              <w:rPr>
                <w:rFonts w:eastAsia="Calibri"/>
                <w:sz w:val="10"/>
                <w:szCs w:val="10"/>
                <w:lang w:eastAsia="en-US"/>
              </w:rPr>
            </w:pPr>
            <w:r w:rsidRPr="00276B9C">
              <w:rPr>
                <w:rFonts w:eastAsia="Calibri"/>
                <w:sz w:val="10"/>
                <w:szCs w:val="10"/>
                <w:lang w:eastAsia="en-US"/>
              </w:rPr>
              <w:t xml:space="preserve">Industria de las bebidas y del tabaco </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889.7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853.0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1 116.3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760.5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1 087.3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1 340.2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180.8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15 494.6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2 148.2</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9.5</w:t>
            </w:r>
          </w:p>
        </w:tc>
        <w:tc>
          <w:tcPr>
            <w:tcW w:w="568" w:type="dxa"/>
            <w:tcBorders>
              <w:left w:val="single" w:sz="4" w:space="0" w:color="auto"/>
              <w:right w:val="single" w:sz="4" w:space="0" w:color="auto"/>
            </w:tcBorders>
          </w:tcPr>
          <w:p w:rsidR="00276B9C" w:rsidRPr="00276B9C" w:rsidRDefault="00276B9C" w:rsidP="00276B9C">
            <w:pPr>
              <w:spacing w:before="60" w:after="60"/>
              <w:jc w:val="right"/>
              <w:rPr>
                <w:rFonts w:eastAsia="Calibri"/>
                <w:sz w:val="10"/>
                <w:szCs w:val="10"/>
                <w:lang w:eastAsia="en-US"/>
              </w:rPr>
            </w:pPr>
            <w:r w:rsidRPr="00276B9C">
              <w:rPr>
                <w:rFonts w:eastAsia="Calibri"/>
                <w:sz w:val="10"/>
                <w:szCs w:val="10"/>
                <w:lang w:eastAsia="en-US"/>
              </w:rPr>
              <w:t>30 034.6</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8.0</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Fabricación de insumos textiles</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66.6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98.4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32.9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35.4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9.0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28.0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39.3</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0.2</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966.6</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0.3</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Confección de productos textiles, excepto prendas de vestir</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166.2</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71.8</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-10.0</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13.9</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107.3</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-25.1</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28.1</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47.9</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84.6</w:t>
            </w:r>
          </w:p>
        </w:tc>
        <w:tc>
          <w:tcPr>
            <w:tcW w:w="512" w:type="dxa"/>
            <w:tcBorders>
              <w:left w:val="single" w:sz="4" w:space="0" w:color="auto"/>
              <w:right w:val="single" w:sz="4" w:space="0" w:color="auto"/>
            </w:tcBorders>
            <w:vAlign w:val="center"/>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0.4</w:t>
            </w:r>
          </w:p>
        </w:tc>
        <w:tc>
          <w:tcPr>
            <w:tcW w:w="568"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1 356.5</w:t>
            </w:r>
          </w:p>
        </w:tc>
        <w:tc>
          <w:tcPr>
            <w:tcW w:w="488" w:type="dxa"/>
            <w:tcBorders>
              <w:left w:val="single" w:sz="4" w:space="0" w:color="auto"/>
              <w:right w:val="single" w:sz="4" w:space="0" w:color="auto"/>
            </w:tcBorders>
            <w:vAlign w:val="center"/>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0.4</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Fabricación de prendas de vestir</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180.5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135.9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201.7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163.5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98.5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84.1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94.7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80.7</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0.4</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1 858.9</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0.5</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Cuero, piel y materiales sucedáneos</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19.4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50.6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33.4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15.1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41.8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11.1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218.7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0.0</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504.1</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0.1</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Industria de la madera</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-17.8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-14.0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-17.1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-28.5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129.9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31.7</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0.1</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100.9</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0.0</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Industria del papel</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41.6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138.4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125.1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268.5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232.5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78.8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192.7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473.7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348.3</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1.5</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3 027.8</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0.8</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Impresión e industrias conexas</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38.6</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51.0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39.1</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19.2</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1.5</w:t>
            </w:r>
          </w:p>
        </w:tc>
        <w:tc>
          <w:tcPr>
            <w:tcW w:w="512" w:type="dxa"/>
            <w:tcBorders>
              <w:left w:val="single" w:sz="4" w:space="0" w:color="auto"/>
              <w:right w:val="single" w:sz="4" w:space="0" w:color="auto"/>
            </w:tcBorders>
            <w:vAlign w:val="bottom"/>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0.0</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625.6</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0.2</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Productos derivados del Petróleo y Carbón</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52.3</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127.9</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47.0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-100.8</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10.3</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102.6</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4.8</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21.3</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16.8</w:t>
            </w:r>
          </w:p>
        </w:tc>
        <w:tc>
          <w:tcPr>
            <w:tcW w:w="512" w:type="dxa"/>
            <w:tcBorders>
              <w:left w:val="single" w:sz="4" w:space="0" w:color="auto"/>
              <w:right w:val="single" w:sz="4" w:space="0" w:color="auto"/>
            </w:tcBorders>
            <w:vAlign w:val="bottom"/>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0.1</w:t>
            </w:r>
          </w:p>
        </w:tc>
        <w:tc>
          <w:tcPr>
            <w:tcW w:w="568"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515.1</w:t>
            </w:r>
          </w:p>
        </w:tc>
        <w:tc>
          <w:tcPr>
            <w:tcW w:w="488"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0.1</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Industria química</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1 979.9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2 591.6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1 269.0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298.9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173.8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2 204.6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1 558.3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1 536.0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2 620.3</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11.6</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19 271.6</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5.1</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Industria del plástico y hule</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464.6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399.9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481.9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622.6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383.4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750.9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705.8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799.1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636.2</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2.8</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7 008.7</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1.9</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Productos a base de minerales no metálicos</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324.4</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45.9</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202.8</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-21.4</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-3.4</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33.8</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88.1</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391.2</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247.9</w:t>
            </w:r>
          </w:p>
        </w:tc>
        <w:tc>
          <w:tcPr>
            <w:tcW w:w="512" w:type="dxa"/>
            <w:tcBorders>
              <w:left w:val="single" w:sz="4" w:space="0" w:color="auto"/>
              <w:right w:val="single" w:sz="4" w:space="0" w:color="auto"/>
            </w:tcBorders>
            <w:vAlign w:val="center"/>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1.1</w:t>
            </w:r>
          </w:p>
        </w:tc>
        <w:tc>
          <w:tcPr>
            <w:tcW w:w="568"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3 211.9</w:t>
            </w:r>
          </w:p>
        </w:tc>
        <w:tc>
          <w:tcPr>
            <w:tcW w:w="488" w:type="dxa"/>
            <w:tcBorders>
              <w:left w:val="single" w:sz="4" w:space="0" w:color="auto"/>
              <w:right w:val="single" w:sz="4" w:space="0" w:color="auto"/>
            </w:tcBorders>
            <w:vAlign w:val="center"/>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0.9</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Industrias metálicas básicas</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333.2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3 547.8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402.6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23.4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133.7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82.7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199.2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1 519.2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294.5</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1.3</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10 406.0</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2.8</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Fabricación de productos metálicos</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225.5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311.9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346.6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213.0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168.9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398.5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277.0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465.5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182.6</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0.8</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3 748.9</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1.0</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Fabricación de maquinaria y equipo</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572.6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291.5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276.1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26.8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252.1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134.8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302.0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562.5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417.9</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1.9</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5 411.3</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1.4</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 xml:space="preserve">Equipo de computación, comunicación, medición </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1 317.2</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995.5</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1 054.9</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1 527.1</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1 885.0</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586.0</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1 035.2</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1 183.6</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311.9</w:t>
            </w:r>
          </w:p>
        </w:tc>
        <w:tc>
          <w:tcPr>
            <w:tcW w:w="512" w:type="dxa"/>
            <w:tcBorders>
              <w:left w:val="single" w:sz="4" w:space="0" w:color="auto"/>
              <w:right w:val="single" w:sz="4" w:space="0" w:color="auto"/>
            </w:tcBorders>
            <w:vAlign w:val="center"/>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1.4</w:t>
            </w:r>
          </w:p>
        </w:tc>
        <w:tc>
          <w:tcPr>
            <w:tcW w:w="568"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16 569.7</w:t>
            </w:r>
          </w:p>
        </w:tc>
        <w:tc>
          <w:tcPr>
            <w:tcW w:w="488" w:type="dxa"/>
            <w:tcBorders>
              <w:left w:val="single" w:sz="4" w:space="0" w:color="auto"/>
              <w:right w:val="single" w:sz="4" w:space="0" w:color="auto"/>
            </w:tcBorders>
            <w:vAlign w:val="center"/>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4.4</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Fabricación de equipo de generación eléctrica</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518.0</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597.0</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725.2</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409.2</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281.5</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467.3</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339.4</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1 798.4</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310.9</w:t>
            </w:r>
          </w:p>
        </w:tc>
        <w:tc>
          <w:tcPr>
            <w:tcW w:w="512" w:type="dxa"/>
            <w:tcBorders>
              <w:left w:val="single" w:sz="4" w:space="0" w:color="auto"/>
              <w:right w:val="single" w:sz="4" w:space="0" w:color="auto"/>
            </w:tcBorders>
            <w:vAlign w:val="center"/>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1.4</w:t>
            </w:r>
          </w:p>
        </w:tc>
        <w:tc>
          <w:tcPr>
            <w:tcW w:w="568"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9 576.8</w:t>
            </w:r>
          </w:p>
        </w:tc>
        <w:tc>
          <w:tcPr>
            <w:tcW w:w="488" w:type="dxa"/>
            <w:tcBorders>
              <w:left w:val="single" w:sz="4" w:space="0" w:color="auto"/>
              <w:right w:val="single" w:sz="4" w:space="0" w:color="auto"/>
            </w:tcBorders>
            <w:vAlign w:val="center"/>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2.5</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Fabricación de equipo de transporte</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1 719.7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1 988.3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1 868.1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1 814.9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2 530.5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2 104.1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2 905.7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3 555.1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4 308.1</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19.1</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34 653.1</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9.2</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 xml:space="preserve">Fabricación de muebles y productos relacionados </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28.0</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26.5</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-4.7</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0.8</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-38.4</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-1.4</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5.1</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23.9</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27.0</w:t>
            </w:r>
          </w:p>
        </w:tc>
        <w:tc>
          <w:tcPr>
            <w:tcW w:w="512" w:type="dxa"/>
            <w:tcBorders>
              <w:left w:val="single" w:sz="4" w:space="0" w:color="auto"/>
              <w:right w:val="single" w:sz="4" w:space="0" w:color="auto"/>
            </w:tcBorders>
            <w:vAlign w:val="center"/>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0.1</w:t>
            </w:r>
          </w:p>
        </w:tc>
        <w:tc>
          <w:tcPr>
            <w:tcW w:w="568"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315.1</w:t>
            </w:r>
          </w:p>
        </w:tc>
        <w:tc>
          <w:tcPr>
            <w:tcW w:w="488" w:type="dxa"/>
            <w:tcBorders>
              <w:left w:val="single" w:sz="4" w:space="0" w:color="auto"/>
              <w:right w:val="single" w:sz="4" w:space="0" w:color="auto"/>
            </w:tcBorders>
            <w:vAlign w:val="center"/>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0.1</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Otras industrias manufactureras</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236.5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230.5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135.6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342.8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383.8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185.2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63.3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272.5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329.1</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1.5</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4 001.3</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1.1</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rPr>
                <w:rFonts w:eastAsia="Calibri"/>
                <w:b/>
                <w:sz w:val="10"/>
                <w:szCs w:val="10"/>
                <w:lang w:eastAsia="en-US"/>
              </w:rPr>
            </w:pPr>
            <w:r w:rsidRPr="00276B9C">
              <w:rPr>
                <w:rFonts w:eastAsia="Calibri"/>
                <w:b/>
                <w:sz w:val="10"/>
                <w:szCs w:val="10"/>
                <w:lang w:eastAsia="en-US"/>
              </w:rPr>
              <w:t>Comercio al por mayor</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657.8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1 279.9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680.1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510.8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647.7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1 459.2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625.1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1 166.8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1 109.7</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b/>
                <w:sz w:val="10"/>
                <w:szCs w:val="10"/>
                <w:lang w:eastAsia="en-US"/>
              </w:rPr>
            </w:pPr>
            <w:r w:rsidRPr="00276B9C">
              <w:rPr>
                <w:rFonts w:eastAsia="Calibri"/>
                <w:b/>
                <w:sz w:val="10"/>
                <w:szCs w:val="10"/>
                <w:lang w:eastAsia="en-US"/>
              </w:rPr>
              <w:t>4.9</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13 626.8</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0"/>
                <w:szCs w:val="10"/>
                <w:lang w:eastAsia="en-US"/>
              </w:rPr>
            </w:pPr>
            <w:r w:rsidRPr="00276B9C">
              <w:rPr>
                <w:rFonts w:eastAsia="Calibri"/>
                <w:b/>
                <w:sz w:val="10"/>
                <w:szCs w:val="10"/>
                <w:lang w:eastAsia="en-US"/>
              </w:rPr>
              <w:t>3.6</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Alimentos, bebidas y tabaco</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83.3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62.9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83.4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77.2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57.3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-14.0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72.7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52.6</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0.2</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946.8</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0.3</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Productos textiles, accesorios de vestir y calzado</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6.4</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-10.3</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-27.1</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260.6</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8.0</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9.1</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7.5</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7.3</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49.7</w:t>
            </w:r>
          </w:p>
        </w:tc>
        <w:tc>
          <w:tcPr>
            <w:tcW w:w="512" w:type="dxa"/>
            <w:tcBorders>
              <w:left w:val="single" w:sz="4" w:space="0" w:color="auto"/>
              <w:right w:val="single" w:sz="4" w:space="0" w:color="auto"/>
            </w:tcBorders>
            <w:vAlign w:val="center"/>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0.2</w:t>
            </w:r>
          </w:p>
        </w:tc>
        <w:tc>
          <w:tcPr>
            <w:tcW w:w="568"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599.9</w:t>
            </w:r>
          </w:p>
        </w:tc>
        <w:tc>
          <w:tcPr>
            <w:tcW w:w="488" w:type="dxa"/>
            <w:tcBorders>
              <w:left w:val="single" w:sz="4" w:space="0" w:color="auto"/>
              <w:right w:val="single" w:sz="4" w:space="0" w:color="auto"/>
            </w:tcBorders>
            <w:vAlign w:val="center"/>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0.2</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Productos farmacéuticos</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269.9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487.7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273.1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-59.3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312.8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553.7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152.3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59.7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74.2</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0.3</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3 539.2</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0.9</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Materias primas agropecuarias</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102.2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-64.6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49.5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197.0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108.0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342.9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352.0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322.8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588.2</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2.6</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3 452.6</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0.9</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Maquinaria, mobiliario y equipo</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181.7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650.4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117.9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71.1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116.9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300.9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90.0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543.8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307.3</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1.4</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3 723.9</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1.0</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Camiones, partes y refacciones</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12.7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157.6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187.3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56.2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24.4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192.4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33.3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53.7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28.5</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0.1</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1 223.4</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0.3</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Intermediación de comercio al por mayor</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1.7</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-3.7</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-4.1</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-7.2</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0.4</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2.8</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3.9</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106.8</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9.2</w:t>
            </w:r>
          </w:p>
        </w:tc>
        <w:tc>
          <w:tcPr>
            <w:tcW w:w="512" w:type="dxa"/>
            <w:tcBorders>
              <w:left w:val="single" w:sz="4" w:space="0" w:color="auto"/>
              <w:right w:val="single" w:sz="4" w:space="0" w:color="auto"/>
            </w:tcBorders>
            <w:vAlign w:val="center"/>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0.0</w:t>
            </w:r>
          </w:p>
        </w:tc>
        <w:tc>
          <w:tcPr>
            <w:tcW w:w="568"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140.9</w:t>
            </w:r>
          </w:p>
        </w:tc>
        <w:tc>
          <w:tcPr>
            <w:tcW w:w="488" w:type="dxa"/>
            <w:tcBorders>
              <w:left w:val="single" w:sz="4" w:space="0" w:color="auto"/>
              <w:right w:val="single" w:sz="4" w:space="0" w:color="auto"/>
            </w:tcBorders>
            <w:vAlign w:val="center"/>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0.0</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rPr>
                <w:rFonts w:eastAsia="Calibri"/>
                <w:b/>
                <w:sz w:val="10"/>
                <w:szCs w:val="10"/>
                <w:lang w:eastAsia="en-US"/>
              </w:rPr>
            </w:pPr>
            <w:r w:rsidRPr="00276B9C">
              <w:rPr>
                <w:rFonts w:eastAsia="Calibri"/>
                <w:b/>
                <w:sz w:val="10"/>
                <w:szCs w:val="10"/>
                <w:lang w:eastAsia="en-US"/>
              </w:rPr>
              <w:t>Comercio al por menor</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-79.4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854.1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1 653.7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1 128.1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2 303.7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1 372.9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2 842.9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-225.0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844.7</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b/>
                <w:sz w:val="10"/>
                <w:szCs w:val="10"/>
                <w:lang w:eastAsia="en-US"/>
              </w:rPr>
            </w:pPr>
            <w:r w:rsidRPr="00276B9C">
              <w:rPr>
                <w:rFonts w:eastAsia="Calibri"/>
                <w:b/>
                <w:sz w:val="10"/>
                <w:szCs w:val="10"/>
                <w:lang w:eastAsia="en-US"/>
              </w:rPr>
              <w:t>3.7</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b/>
                <w:sz w:val="10"/>
                <w:szCs w:val="10"/>
                <w:lang w:eastAsia="en-US"/>
              </w:rPr>
            </w:pPr>
            <w:r w:rsidRPr="00276B9C">
              <w:rPr>
                <w:rFonts w:eastAsia="Calibri"/>
                <w:b/>
                <w:sz w:val="10"/>
                <w:szCs w:val="10"/>
                <w:lang w:eastAsia="en-US"/>
              </w:rPr>
              <w:t>17 376.9</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b/>
                <w:sz w:val="10"/>
                <w:szCs w:val="10"/>
                <w:lang w:eastAsia="en-US"/>
              </w:rPr>
            </w:pPr>
            <w:r w:rsidRPr="00276B9C">
              <w:rPr>
                <w:rFonts w:eastAsia="Calibri"/>
                <w:b/>
                <w:sz w:val="10"/>
                <w:szCs w:val="10"/>
                <w:lang w:eastAsia="en-US"/>
              </w:rPr>
              <w:t>4.6</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Alimentos, bebidas y tabaco</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15.7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20.8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73.1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14.5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57.7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10.5</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2.5</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0.0</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246.9</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0.1</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Tiendas y autoservicios departamentales</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-303.2</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630.3</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798.0</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776.1</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2 182.6</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1 420.4</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1 493.8</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1 019.9</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606.3</w:t>
            </w:r>
          </w:p>
        </w:tc>
        <w:tc>
          <w:tcPr>
            <w:tcW w:w="512" w:type="dxa"/>
            <w:tcBorders>
              <w:left w:val="single" w:sz="4" w:space="0" w:color="auto"/>
              <w:right w:val="single" w:sz="4" w:space="0" w:color="auto"/>
            </w:tcBorders>
            <w:vAlign w:val="bottom"/>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2.7</w:t>
            </w:r>
          </w:p>
        </w:tc>
        <w:tc>
          <w:tcPr>
            <w:tcW w:w="568"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13 531.3</w:t>
            </w:r>
          </w:p>
        </w:tc>
        <w:tc>
          <w:tcPr>
            <w:tcW w:w="488"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3.6</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Productos textiles, accesorios de vestir y calzado</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0.6</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0.1</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3.7</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16.2</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0.7</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37.5</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29.2</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45.2</w:t>
            </w:r>
          </w:p>
        </w:tc>
        <w:tc>
          <w:tcPr>
            <w:tcW w:w="512" w:type="dxa"/>
            <w:tcBorders>
              <w:left w:val="single" w:sz="4" w:space="0" w:color="auto"/>
              <w:right w:val="single" w:sz="4" w:space="0" w:color="auto"/>
            </w:tcBorders>
            <w:vAlign w:val="center"/>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0.2</w:t>
            </w:r>
          </w:p>
        </w:tc>
        <w:tc>
          <w:tcPr>
            <w:tcW w:w="568"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133.6</w:t>
            </w:r>
          </w:p>
        </w:tc>
        <w:tc>
          <w:tcPr>
            <w:tcW w:w="488" w:type="dxa"/>
            <w:tcBorders>
              <w:left w:val="single" w:sz="4" w:space="0" w:color="auto"/>
              <w:right w:val="single" w:sz="4" w:space="0" w:color="auto"/>
            </w:tcBorders>
            <w:vAlign w:val="center"/>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0.0</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Artículos para el cuidado de la salud</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1.1</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11.6</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7.6</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0.0</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83.0</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0.0</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Artículos de papelería y de esparcimiento</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4.6</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-0.7</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2.4</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-51.3</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-117.1</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-104.1</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-10.1</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-627.1</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132.1</w:t>
            </w:r>
          </w:p>
        </w:tc>
        <w:tc>
          <w:tcPr>
            <w:tcW w:w="512" w:type="dxa"/>
            <w:tcBorders>
              <w:left w:val="single" w:sz="4" w:space="0" w:color="auto"/>
              <w:right w:val="single" w:sz="4" w:space="0" w:color="auto"/>
            </w:tcBorders>
            <w:vAlign w:val="center"/>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0.6</w:t>
            </w:r>
          </w:p>
        </w:tc>
        <w:tc>
          <w:tcPr>
            <w:tcW w:w="568"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-756.6</w:t>
            </w:r>
          </w:p>
        </w:tc>
        <w:tc>
          <w:tcPr>
            <w:tcW w:w="488" w:type="dxa"/>
            <w:tcBorders>
              <w:left w:val="single" w:sz="4" w:space="0" w:color="auto"/>
              <w:right w:val="single" w:sz="4" w:space="0" w:color="auto"/>
            </w:tcBorders>
            <w:vAlign w:val="center"/>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-0.2</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Enseres domésticos y computadoras</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1.4</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35.0</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14.7</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68.9</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61.3</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50.8</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61.2</w:t>
            </w:r>
          </w:p>
        </w:tc>
        <w:tc>
          <w:tcPr>
            <w:tcW w:w="540"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16.2</w:t>
            </w:r>
          </w:p>
        </w:tc>
        <w:tc>
          <w:tcPr>
            <w:tcW w:w="512" w:type="dxa"/>
            <w:tcBorders>
              <w:left w:val="single" w:sz="4" w:space="0" w:color="auto"/>
              <w:right w:val="single" w:sz="4" w:space="0" w:color="auto"/>
            </w:tcBorders>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0.1</w:t>
            </w:r>
          </w:p>
        </w:tc>
        <w:tc>
          <w:tcPr>
            <w:tcW w:w="568" w:type="dxa"/>
            <w:tcBorders>
              <w:left w:val="single" w:sz="4" w:space="0" w:color="auto"/>
              <w:right w:val="single" w:sz="4" w:space="0" w:color="auto"/>
            </w:tcBorders>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388.7</w:t>
            </w:r>
          </w:p>
        </w:tc>
        <w:tc>
          <w:tcPr>
            <w:tcW w:w="488" w:type="dxa"/>
            <w:tcBorders>
              <w:left w:val="single" w:sz="4" w:space="0" w:color="auto"/>
              <w:right w:val="single" w:sz="4" w:space="0" w:color="auto"/>
            </w:tcBorders>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0.1</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Artículos de ferretería, tlapalería y vidrios</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2.2</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0.1</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0.1</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-4.4</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27.2</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14.2</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82.9</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-0.8</w:t>
            </w:r>
          </w:p>
        </w:tc>
        <w:tc>
          <w:tcPr>
            <w:tcW w:w="540"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16.4</w:t>
            </w:r>
          </w:p>
        </w:tc>
        <w:tc>
          <w:tcPr>
            <w:tcW w:w="512" w:type="dxa"/>
            <w:tcBorders>
              <w:left w:val="single" w:sz="4" w:space="0" w:color="auto"/>
              <w:right w:val="single" w:sz="4" w:space="0" w:color="auto"/>
            </w:tcBorders>
            <w:vAlign w:val="bottom"/>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0.1</w:t>
            </w:r>
          </w:p>
        </w:tc>
        <w:tc>
          <w:tcPr>
            <w:tcW w:w="568" w:type="dxa"/>
            <w:tcBorders>
              <w:left w:val="single" w:sz="4" w:space="0" w:color="auto"/>
              <w:right w:val="single" w:sz="4" w:space="0" w:color="auto"/>
            </w:tcBorders>
            <w:vAlign w:val="bottom"/>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161.3</w:t>
            </w:r>
          </w:p>
        </w:tc>
        <w:tc>
          <w:tcPr>
            <w:tcW w:w="488" w:type="dxa"/>
            <w:tcBorders>
              <w:left w:val="single" w:sz="4" w:space="0" w:color="auto"/>
              <w:right w:val="single" w:sz="4" w:space="0" w:color="auto"/>
            </w:tcBorders>
            <w:vAlign w:val="bottom"/>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0.0</w:t>
            </w:r>
          </w:p>
        </w:tc>
      </w:tr>
      <w:tr w:rsidR="00276B9C" w:rsidRPr="00276B9C" w:rsidTr="0011560C">
        <w:trPr>
          <w:jc w:val="center"/>
        </w:trPr>
        <w:tc>
          <w:tcPr>
            <w:tcW w:w="2063" w:type="dxa"/>
            <w:tcBorders>
              <w:left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Vehículos de motor, refacciones, combustibles y lubricantes</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220.0</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213.0</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791.4</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309.8</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109.8</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-81.9</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1 176.4</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-728.6</w:t>
            </w:r>
          </w:p>
        </w:tc>
        <w:tc>
          <w:tcPr>
            <w:tcW w:w="540"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4.8</w:t>
            </w:r>
          </w:p>
        </w:tc>
        <w:tc>
          <w:tcPr>
            <w:tcW w:w="512" w:type="dxa"/>
            <w:tcBorders>
              <w:left w:val="single" w:sz="4" w:space="0" w:color="auto"/>
              <w:right w:val="single" w:sz="4" w:space="0" w:color="auto"/>
            </w:tcBorders>
            <w:vAlign w:val="center"/>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0.0</w:t>
            </w:r>
          </w:p>
        </w:tc>
        <w:tc>
          <w:tcPr>
            <w:tcW w:w="568" w:type="dxa"/>
            <w:tcBorders>
              <w:left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3 566.6</w:t>
            </w:r>
          </w:p>
        </w:tc>
        <w:tc>
          <w:tcPr>
            <w:tcW w:w="488" w:type="dxa"/>
            <w:tcBorders>
              <w:left w:val="single" w:sz="4" w:space="0" w:color="auto"/>
              <w:right w:val="single" w:sz="4" w:space="0" w:color="auto"/>
            </w:tcBorders>
            <w:vAlign w:val="center"/>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0.9</w:t>
            </w:r>
          </w:p>
        </w:tc>
      </w:tr>
      <w:tr w:rsidR="00276B9C" w:rsidRPr="00276B9C" w:rsidTr="0011560C">
        <w:trPr>
          <w:jc w:val="center"/>
        </w:trPr>
        <w:tc>
          <w:tcPr>
            <w:tcW w:w="2063" w:type="dxa"/>
            <w:tcBorders>
              <w:left w:val="single" w:sz="4" w:space="0" w:color="auto"/>
              <w:bottom w:val="single" w:sz="4" w:space="0" w:color="auto"/>
              <w:right w:val="single" w:sz="4" w:space="0" w:color="auto"/>
            </w:tcBorders>
          </w:tcPr>
          <w:p w:rsidR="00276B9C" w:rsidRPr="00276B9C" w:rsidRDefault="00276B9C" w:rsidP="00276B9C">
            <w:pPr>
              <w:spacing w:before="60" w:after="60"/>
              <w:ind w:left="113"/>
              <w:rPr>
                <w:rFonts w:eastAsia="Calibri"/>
                <w:sz w:val="10"/>
                <w:szCs w:val="10"/>
                <w:lang w:eastAsia="en-US"/>
              </w:rPr>
            </w:pPr>
            <w:r w:rsidRPr="00276B9C">
              <w:rPr>
                <w:rFonts w:eastAsia="Calibri"/>
                <w:sz w:val="10"/>
                <w:szCs w:val="10"/>
                <w:lang w:eastAsia="en-US"/>
              </w:rPr>
              <w:t>Comercio al por menor a través de Internet y catálogos impresos y televisión</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0.5</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-5.9</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0.5</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0.8</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0.0</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0.9</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0.1</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-1.0</w:t>
            </w:r>
          </w:p>
        </w:tc>
        <w:tc>
          <w:tcPr>
            <w:tcW w:w="540"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13.6</w:t>
            </w:r>
          </w:p>
        </w:tc>
        <w:tc>
          <w:tcPr>
            <w:tcW w:w="512"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right="57"/>
              <w:jc w:val="right"/>
              <w:rPr>
                <w:rFonts w:eastAsia="Calibri"/>
                <w:sz w:val="10"/>
                <w:szCs w:val="10"/>
                <w:lang w:eastAsia="en-US"/>
              </w:rPr>
            </w:pPr>
            <w:r w:rsidRPr="00276B9C">
              <w:rPr>
                <w:rFonts w:eastAsia="Calibri"/>
                <w:sz w:val="10"/>
                <w:szCs w:val="10"/>
                <w:lang w:eastAsia="en-US"/>
              </w:rPr>
              <w:t>0.1</w:t>
            </w:r>
          </w:p>
        </w:tc>
        <w:tc>
          <w:tcPr>
            <w:tcW w:w="568"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jc w:val="right"/>
              <w:rPr>
                <w:rFonts w:eastAsia="Calibri"/>
                <w:sz w:val="10"/>
                <w:szCs w:val="10"/>
                <w:lang w:eastAsia="en-US"/>
              </w:rPr>
            </w:pPr>
            <w:r w:rsidRPr="00276B9C">
              <w:rPr>
                <w:rFonts w:eastAsia="Calibri"/>
                <w:sz w:val="10"/>
                <w:szCs w:val="10"/>
                <w:lang w:eastAsia="en-US"/>
              </w:rPr>
              <w:t>22.1</w:t>
            </w:r>
          </w:p>
        </w:tc>
        <w:tc>
          <w:tcPr>
            <w:tcW w:w="488" w:type="dxa"/>
            <w:tcBorders>
              <w:left w:val="single" w:sz="4" w:space="0" w:color="auto"/>
              <w:bottom w:val="single" w:sz="4" w:space="0" w:color="auto"/>
              <w:right w:val="single" w:sz="4" w:space="0" w:color="auto"/>
            </w:tcBorders>
            <w:vAlign w:val="center"/>
          </w:tcPr>
          <w:p w:rsidR="00276B9C" w:rsidRPr="00276B9C" w:rsidRDefault="00276B9C" w:rsidP="00276B9C">
            <w:pPr>
              <w:spacing w:before="60" w:after="60"/>
              <w:ind w:left="-57" w:right="57"/>
              <w:jc w:val="right"/>
              <w:rPr>
                <w:rFonts w:eastAsia="Calibri"/>
                <w:sz w:val="10"/>
                <w:szCs w:val="10"/>
                <w:lang w:eastAsia="en-US"/>
              </w:rPr>
            </w:pPr>
            <w:r w:rsidRPr="00276B9C">
              <w:rPr>
                <w:rFonts w:eastAsia="Calibri"/>
                <w:sz w:val="10"/>
                <w:szCs w:val="10"/>
                <w:lang w:eastAsia="en-US"/>
              </w:rPr>
              <w:t>0.0</w:t>
            </w:r>
          </w:p>
        </w:tc>
      </w:tr>
      <w:tr w:rsidR="00276B9C" w:rsidRPr="00276B9C" w:rsidTr="001E7D79">
        <w:trPr>
          <w:jc w:val="center"/>
        </w:trPr>
        <w:tc>
          <w:tcPr>
            <w:tcW w:w="8491" w:type="dxa"/>
            <w:gridSpan w:val="13"/>
            <w:tcBorders>
              <w:left w:val="nil"/>
              <w:bottom w:val="nil"/>
              <w:right w:val="nil"/>
            </w:tcBorders>
          </w:tcPr>
          <w:p w:rsidR="00276B9C" w:rsidRPr="00276B9C" w:rsidRDefault="00276B9C" w:rsidP="00276B9C">
            <w:pPr>
              <w:ind w:left="227" w:hanging="284"/>
              <w:jc w:val="both"/>
              <w:rPr>
                <w:rFonts w:eastAsia="Calibri"/>
                <w:sz w:val="10"/>
                <w:szCs w:val="10"/>
                <w:lang w:eastAsia="en-US"/>
              </w:rPr>
            </w:pPr>
            <w:r w:rsidRPr="00276B9C">
              <w:rPr>
                <w:rFonts w:eastAsia="Calibri"/>
                <w:sz w:val="10"/>
                <w:szCs w:val="10"/>
                <w:lang w:eastAsia="en-US"/>
              </w:rPr>
              <w:t>Nota: Los sectores corresponden con el Sistema de Clasificación Industrial de América del Norte (SCIAN). La suma de los parciales puede diferir de los totales debido al redondeo que efectúa la hoja de cálculo.</w:t>
            </w:r>
          </w:p>
          <w:p w:rsidR="00276B9C" w:rsidRPr="00276B9C" w:rsidRDefault="00276B9C" w:rsidP="00276B9C">
            <w:pPr>
              <w:ind w:left="-57"/>
              <w:jc w:val="both"/>
              <w:rPr>
                <w:rFonts w:eastAsia="Calibri"/>
                <w:sz w:val="10"/>
                <w:szCs w:val="10"/>
                <w:lang w:eastAsia="en-US"/>
              </w:rPr>
            </w:pPr>
            <w:r w:rsidRPr="00276B9C">
              <w:rPr>
                <w:rFonts w:eastAsia="Calibri"/>
                <w:sz w:val="10"/>
                <w:szCs w:val="10"/>
                <w:u w:val="single"/>
                <w:lang w:eastAsia="en-US"/>
              </w:rPr>
              <w:t>1</w:t>
            </w:r>
            <w:r w:rsidRPr="00276B9C">
              <w:rPr>
                <w:rFonts w:eastAsia="Calibri"/>
                <w:sz w:val="10"/>
                <w:szCs w:val="10"/>
                <w:lang w:eastAsia="en-US"/>
              </w:rPr>
              <w:t>/ Cifras modificadas al 31 de diciembre de 2014. Por tanto las cifras de cada año presentan distintos períodos de actualización.</w:t>
            </w:r>
            <w:r w:rsidRPr="00276B9C">
              <w:rPr>
                <w:rFonts w:eastAsia="Calibri"/>
                <w:sz w:val="10"/>
                <w:szCs w:val="10"/>
                <w:lang w:eastAsia="en-US"/>
              </w:rPr>
              <w:tab/>
            </w:r>
          </w:p>
          <w:p w:rsidR="00276B9C" w:rsidRPr="00276B9C" w:rsidRDefault="00276B9C" w:rsidP="00276B9C">
            <w:pPr>
              <w:ind w:left="-57"/>
              <w:jc w:val="both"/>
              <w:rPr>
                <w:rFonts w:eastAsia="Calibri"/>
                <w:sz w:val="10"/>
                <w:szCs w:val="10"/>
                <w:lang w:eastAsia="en-US"/>
              </w:rPr>
            </w:pPr>
            <w:r w:rsidRPr="00276B9C">
              <w:rPr>
                <w:rFonts w:eastAsia="Calibri"/>
                <w:sz w:val="10"/>
                <w:szCs w:val="10"/>
                <w:u w:val="single"/>
                <w:lang w:eastAsia="en-US"/>
              </w:rPr>
              <w:t>2</w:t>
            </w:r>
            <w:r w:rsidRPr="00276B9C">
              <w:rPr>
                <w:rFonts w:eastAsia="Calibri"/>
                <w:sz w:val="10"/>
                <w:szCs w:val="10"/>
                <w:lang w:eastAsia="en-US"/>
              </w:rPr>
              <w:t>/ Del 1° de enero de 2000 al 31 de diciembre de 2014.</w:t>
            </w:r>
          </w:p>
          <w:p w:rsidR="00276B9C" w:rsidRPr="00276B9C" w:rsidRDefault="00276B9C" w:rsidP="00276B9C">
            <w:pPr>
              <w:ind w:left="-57"/>
              <w:jc w:val="both"/>
              <w:rPr>
                <w:rFonts w:eastAsia="Calibri"/>
                <w:sz w:val="10"/>
                <w:szCs w:val="10"/>
                <w:lang w:eastAsia="en-US"/>
              </w:rPr>
            </w:pPr>
            <w:r w:rsidRPr="00276B9C">
              <w:rPr>
                <w:rFonts w:eastAsia="Calibri"/>
                <w:sz w:val="10"/>
                <w:szCs w:val="10"/>
                <w:lang w:eastAsia="en-US"/>
              </w:rPr>
              <w:t xml:space="preserve">FUENTE: Secretaría de Economía. </w:t>
            </w:r>
          </w:p>
        </w:tc>
      </w:tr>
    </w:tbl>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tbl>
      <w:tblPr>
        <w:tblW w:w="10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1589"/>
        <w:gridCol w:w="660"/>
        <w:gridCol w:w="698"/>
        <w:gridCol w:w="698"/>
        <w:gridCol w:w="698"/>
        <w:gridCol w:w="659"/>
        <w:gridCol w:w="631"/>
        <w:gridCol w:w="698"/>
        <w:gridCol w:w="694"/>
        <w:gridCol w:w="717"/>
        <w:gridCol w:w="630"/>
        <w:gridCol w:w="703"/>
        <w:gridCol w:w="649"/>
      </w:tblGrid>
      <w:tr w:rsidR="00276B9C" w:rsidRPr="00276B9C" w:rsidTr="0011560C">
        <w:trPr>
          <w:jc w:val="center"/>
        </w:trPr>
        <w:tc>
          <w:tcPr>
            <w:tcW w:w="546" w:type="dxa"/>
            <w:tcBorders>
              <w:top w:val="nil"/>
              <w:left w:val="nil"/>
              <w:bottom w:val="single" w:sz="4" w:space="0" w:color="auto"/>
              <w:right w:val="nil"/>
            </w:tcBorders>
          </w:tcPr>
          <w:p w:rsidR="00276B9C" w:rsidRPr="00276B9C" w:rsidRDefault="00276B9C" w:rsidP="00276B9C">
            <w:pPr>
              <w:jc w:val="center"/>
              <w:rPr>
                <w:b/>
                <w:sz w:val="14"/>
                <w:szCs w:val="14"/>
              </w:rPr>
            </w:pPr>
          </w:p>
        </w:tc>
        <w:tc>
          <w:tcPr>
            <w:tcW w:w="9724" w:type="dxa"/>
            <w:gridSpan w:val="13"/>
            <w:tcBorders>
              <w:top w:val="nil"/>
              <w:left w:val="nil"/>
              <w:bottom w:val="single" w:sz="4" w:space="0" w:color="auto"/>
              <w:right w:val="nil"/>
            </w:tcBorders>
            <w:vAlign w:val="center"/>
          </w:tcPr>
          <w:p w:rsidR="00276B9C" w:rsidRPr="00276B9C" w:rsidRDefault="00276B9C" w:rsidP="00276B9C">
            <w:pPr>
              <w:jc w:val="center"/>
              <w:rPr>
                <w:b/>
                <w:sz w:val="14"/>
                <w:szCs w:val="14"/>
              </w:rPr>
            </w:pPr>
            <w:r w:rsidRPr="00276B9C">
              <w:rPr>
                <w:b/>
                <w:sz w:val="14"/>
                <w:szCs w:val="14"/>
              </w:rPr>
              <w:t>INVERSIÓN EXTRANJERA DIRECTA EN MÉXICO REALIZADA</w:t>
            </w:r>
          </w:p>
          <w:p w:rsidR="00276B9C" w:rsidRPr="00276B9C" w:rsidRDefault="00276B9C" w:rsidP="00276B9C">
            <w:pPr>
              <w:jc w:val="center"/>
              <w:rPr>
                <w:rFonts w:eastAsia="Times New Roman"/>
                <w:b/>
                <w:sz w:val="14"/>
                <w:szCs w:val="14"/>
                <w:vertAlign w:val="superscript"/>
                <w:lang w:val="es-ES"/>
              </w:rPr>
            </w:pPr>
            <w:r w:rsidRPr="00276B9C">
              <w:rPr>
                <w:b/>
                <w:sz w:val="14"/>
                <w:szCs w:val="14"/>
              </w:rPr>
              <w:t>POR SUBSECTOR ECONÓMICO (CONTINUACIÓN)</w:t>
            </w:r>
            <w:r w:rsidRPr="00276B9C">
              <w:rPr>
                <w:rFonts w:eastAsia="Times New Roman"/>
                <w:b/>
                <w:sz w:val="14"/>
                <w:szCs w:val="14"/>
                <w:u w:val="single"/>
                <w:vertAlign w:val="superscript"/>
                <w:lang w:val="es-ES"/>
              </w:rPr>
              <w:t>1</w:t>
            </w:r>
            <w:r w:rsidRPr="00276B9C">
              <w:rPr>
                <w:rFonts w:eastAsia="Times New Roman"/>
                <w:b/>
                <w:sz w:val="14"/>
                <w:szCs w:val="14"/>
                <w:vertAlign w:val="superscript"/>
                <w:lang w:val="es-ES"/>
              </w:rPr>
              <w:t>/</w:t>
            </w:r>
          </w:p>
          <w:p w:rsidR="00276B9C" w:rsidRPr="00276B9C" w:rsidRDefault="00276B9C" w:rsidP="00276B9C">
            <w:pPr>
              <w:jc w:val="center"/>
              <w:rPr>
                <w:b/>
                <w:sz w:val="12"/>
                <w:szCs w:val="12"/>
              </w:rPr>
            </w:pPr>
            <w:r w:rsidRPr="00276B9C">
              <w:rPr>
                <w:rFonts w:eastAsia="Times New Roman"/>
                <w:b/>
                <w:sz w:val="14"/>
                <w:szCs w:val="14"/>
                <w:lang w:val="es-ES"/>
              </w:rPr>
              <w:t>-Millones de dólares-</w:t>
            </w:r>
          </w:p>
        </w:tc>
      </w:tr>
      <w:tr w:rsidR="00276B9C" w:rsidRPr="00276B9C" w:rsidTr="0011560C">
        <w:trPr>
          <w:jc w:val="center"/>
        </w:trPr>
        <w:tc>
          <w:tcPr>
            <w:tcW w:w="2135" w:type="dxa"/>
            <w:gridSpan w:val="2"/>
            <w:vMerge w:val="restart"/>
            <w:tcBorders>
              <w:bottom w:val="single" w:sz="4" w:space="0" w:color="auto"/>
            </w:tcBorders>
            <w:vAlign w:val="center"/>
          </w:tcPr>
          <w:p w:rsidR="00276B9C" w:rsidRPr="00276B9C" w:rsidRDefault="00276B9C" w:rsidP="00276B9C">
            <w:pPr>
              <w:jc w:val="center"/>
              <w:rPr>
                <w:sz w:val="12"/>
                <w:szCs w:val="12"/>
              </w:rPr>
            </w:pPr>
            <w:r w:rsidRPr="00276B9C">
              <w:rPr>
                <w:b/>
                <w:sz w:val="12"/>
                <w:szCs w:val="12"/>
              </w:rPr>
              <w:t>Subsectores</w:t>
            </w:r>
          </w:p>
        </w:tc>
        <w:tc>
          <w:tcPr>
            <w:tcW w:w="660" w:type="dxa"/>
            <w:vMerge w:val="restart"/>
            <w:tcBorders>
              <w:bottom w:val="single" w:sz="4" w:space="0" w:color="auto"/>
            </w:tcBorders>
            <w:vAlign w:val="center"/>
          </w:tcPr>
          <w:p w:rsidR="00276B9C" w:rsidRPr="00276B9C" w:rsidRDefault="00276B9C" w:rsidP="00276B9C">
            <w:pPr>
              <w:jc w:val="center"/>
              <w:rPr>
                <w:sz w:val="12"/>
                <w:szCs w:val="12"/>
              </w:rPr>
            </w:pPr>
            <w:r w:rsidRPr="00276B9C">
              <w:rPr>
                <w:b/>
                <w:sz w:val="12"/>
                <w:szCs w:val="12"/>
              </w:rPr>
              <w:t>2006</w:t>
            </w:r>
          </w:p>
        </w:tc>
        <w:tc>
          <w:tcPr>
            <w:tcW w:w="698" w:type="dxa"/>
            <w:vMerge w:val="restart"/>
            <w:tcBorders>
              <w:bottom w:val="single" w:sz="4" w:space="0" w:color="auto"/>
            </w:tcBorders>
            <w:vAlign w:val="center"/>
          </w:tcPr>
          <w:p w:rsidR="00276B9C" w:rsidRPr="00276B9C" w:rsidRDefault="00276B9C" w:rsidP="00276B9C">
            <w:pPr>
              <w:jc w:val="center"/>
              <w:rPr>
                <w:sz w:val="12"/>
                <w:szCs w:val="12"/>
              </w:rPr>
            </w:pPr>
            <w:r w:rsidRPr="00276B9C">
              <w:rPr>
                <w:b/>
                <w:sz w:val="12"/>
                <w:szCs w:val="12"/>
              </w:rPr>
              <w:t>2007</w:t>
            </w:r>
          </w:p>
        </w:tc>
        <w:tc>
          <w:tcPr>
            <w:tcW w:w="698" w:type="dxa"/>
            <w:vMerge w:val="restart"/>
            <w:tcBorders>
              <w:bottom w:val="single" w:sz="4" w:space="0" w:color="auto"/>
            </w:tcBorders>
            <w:vAlign w:val="center"/>
          </w:tcPr>
          <w:p w:rsidR="00276B9C" w:rsidRPr="00276B9C" w:rsidRDefault="00276B9C" w:rsidP="00276B9C">
            <w:pPr>
              <w:jc w:val="center"/>
              <w:rPr>
                <w:sz w:val="12"/>
                <w:szCs w:val="12"/>
              </w:rPr>
            </w:pPr>
            <w:r w:rsidRPr="00276B9C">
              <w:rPr>
                <w:b/>
                <w:sz w:val="12"/>
                <w:szCs w:val="12"/>
              </w:rPr>
              <w:t>2008</w:t>
            </w:r>
          </w:p>
        </w:tc>
        <w:tc>
          <w:tcPr>
            <w:tcW w:w="698" w:type="dxa"/>
            <w:vMerge w:val="restart"/>
            <w:tcBorders>
              <w:bottom w:val="single" w:sz="4" w:space="0" w:color="auto"/>
            </w:tcBorders>
            <w:vAlign w:val="center"/>
          </w:tcPr>
          <w:p w:rsidR="00276B9C" w:rsidRPr="00276B9C" w:rsidRDefault="00276B9C" w:rsidP="00276B9C">
            <w:pPr>
              <w:jc w:val="center"/>
              <w:rPr>
                <w:sz w:val="12"/>
                <w:szCs w:val="12"/>
              </w:rPr>
            </w:pPr>
            <w:r w:rsidRPr="00276B9C">
              <w:rPr>
                <w:b/>
                <w:sz w:val="12"/>
                <w:szCs w:val="12"/>
              </w:rPr>
              <w:t>2009</w:t>
            </w:r>
          </w:p>
        </w:tc>
        <w:tc>
          <w:tcPr>
            <w:tcW w:w="659" w:type="dxa"/>
            <w:vMerge w:val="restart"/>
            <w:tcBorders>
              <w:bottom w:val="single" w:sz="4" w:space="0" w:color="auto"/>
            </w:tcBorders>
            <w:vAlign w:val="center"/>
          </w:tcPr>
          <w:p w:rsidR="00276B9C" w:rsidRPr="00276B9C" w:rsidRDefault="00276B9C" w:rsidP="00276B9C">
            <w:pPr>
              <w:jc w:val="center"/>
              <w:rPr>
                <w:sz w:val="12"/>
                <w:szCs w:val="12"/>
              </w:rPr>
            </w:pPr>
            <w:r w:rsidRPr="00276B9C">
              <w:rPr>
                <w:b/>
                <w:sz w:val="12"/>
                <w:szCs w:val="12"/>
              </w:rPr>
              <w:t>2010</w:t>
            </w:r>
          </w:p>
        </w:tc>
        <w:tc>
          <w:tcPr>
            <w:tcW w:w="631" w:type="dxa"/>
            <w:vMerge w:val="restart"/>
            <w:tcBorders>
              <w:bottom w:val="single" w:sz="4" w:space="0" w:color="auto"/>
            </w:tcBorders>
            <w:vAlign w:val="center"/>
          </w:tcPr>
          <w:p w:rsidR="00276B9C" w:rsidRPr="00276B9C" w:rsidRDefault="00276B9C" w:rsidP="00276B9C">
            <w:pPr>
              <w:jc w:val="center"/>
              <w:rPr>
                <w:b/>
                <w:sz w:val="12"/>
                <w:szCs w:val="12"/>
              </w:rPr>
            </w:pPr>
            <w:r w:rsidRPr="00276B9C">
              <w:rPr>
                <w:b/>
                <w:sz w:val="12"/>
                <w:szCs w:val="12"/>
              </w:rPr>
              <w:t>2011</w:t>
            </w:r>
          </w:p>
        </w:tc>
        <w:tc>
          <w:tcPr>
            <w:tcW w:w="698" w:type="dxa"/>
            <w:vMerge w:val="restart"/>
            <w:tcBorders>
              <w:bottom w:val="single" w:sz="4" w:space="0" w:color="auto"/>
            </w:tcBorders>
            <w:vAlign w:val="center"/>
          </w:tcPr>
          <w:p w:rsidR="00276B9C" w:rsidRPr="00276B9C" w:rsidRDefault="00276B9C" w:rsidP="00276B9C">
            <w:pPr>
              <w:jc w:val="center"/>
              <w:rPr>
                <w:b/>
                <w:sz w:val="12"/>
                <w:szCs w:val="12"/>
              </w:rPr>
            </w:pPr>
            <w:r w:rsidRPr="00276B9C">
              <w:rPr>
                <w:b/>
                <w:sz w:val="12"/>
                <w:szCs w:val="12"/>
              </w:rPr>
              <w:t>2012</w:t>
            </w:r>
          </w:p>
        </w:tc>
        <w:tc>
          <w:tcPr>
            <w:tcW w:w="694" w:type="dxa"/>
            <w:vMerge w:val="restart"/>
            <w:tcBorders>
              <w:bottom w:val="single" w:sz="4" w:space="0" w:color="auto"/>
            </w:tcBorders>
            <w:vAlign w:val="center"/>
          </w:tcPr>
          <w:p w:rsidR="00276B9C" w:rsidRPr="00276B9C" w:rsidRDefault="00276B9C" w:rsidP="00276B9C">
            <w:pPr>
              <w:jc w:val="center"/>
              <w:rPr>
                <w:b/>
                <w:sz w:val="12"/>
                <w:szCs w:val="12"/>
              </w:rPr>
            </w:pPr>
            <w:r w:rsidRPr="00276B9C">
              <w:rPr>
                <w:b/>
                <w:sz w:val="12"/>
                <w:szCs w:val="12"/>
              </w:rPr>
              <w:t>2013</w:t>
            </w:r>
          </w:p>
        </w:tc>
        <w:tc>
          <w:tcPr>
            <w:tcW w:w="1347" w:type="dxa"/>
            <w:gridSpan w:val="2"/>
            <w:tcBorders>
              <w:bottom w:val="single" w:sz="4" w:space="0" w:color="auto"/>
            </w:tcBorders>
            <w:vAlign w:val="center"/>
          </w:tcPr>
          <w:p w:rsidR="00276B9C" w:rsidRPr="00276B9C" w:rsidRDefault="00276B9C" w:rsidP="00276B9C">
            <w:pPr>
              <w:jc w:val="center"/>
              <w:rPr>
                <w:b/>
                <w:sz w:val="12"/>
                <w:szCs w:val="12"/>
              </w:rPr>
            </w:pPr>
            <w:r w:rsidRPr="00276B9C">
              <w:rPr>
                <w:b/>
                <w:sz w:val="12"/>
                <w:szCs w:val="12"/>
              </w:rPr>
              <w:t>2014</w:t>
            </w:r>
          </w:p>
        </w:tc>
        <w:tc>
          <w:tcPr>
            <w:tcW w:w="1352" w:type="dxa"/>
            <w:gridSpan w:val="2"/>
            <w:vMerge w:val="restart"/>
            <w:tcBorders>
              <w:bottom w:val="single" w:sz="4" w:space="0" w:color="auto"/>
            </w:tcBorders>
            <w:vAlign w:val="center"/>
          </w:tcPr>
          <w:p w:rsidR="00276B9C" w:rsidRPr="00276B9C" w:rsidRDefault="00276B9C" w:rsidP="00276B9C">
            <w:pPr>
              <w:jc w:val="center"/>
              <w:rPr>
                <w:rFonts w:eastAsia="Times New Roman"/>
                <w:b/>
                <w:sz w:val="12"/>
                <w:szCs w:val="12"/>
                <w:vertAlign w:val="superscript"/>
                <w:lang w:val="es-ES"/>
              </w:rPr>
            </w:pPr>
            <w:proofErr w:type="spellStart"/>
            <w:r w:rsidRPr="00276B9C">
              <w:rPr>
                <w:b/>
                <w:sz w:val="12"/>
                <w:szCs w:val="12"/>
              </w:rPr>
              <w:t>Acum</w:t>
            </w:r>
            <w:proofErr w:type="spellEnd"/>
            <w:r w:rsidRPr="00276B9C">
              <w:rPr>
                <w:b/>
                <w:sz w:val="12"/>
                <w:szCs w:val="12"/>
              </w:rPr>
              <w:t>. 2000-2014</w:t>
            </w:r>
            <w:r w:rsidRPr="00276B9C">
              <w:rPr>
                <w:rFonts w:eastAsia="Times New Roman"/>
                <w:b/>
                <w:sz w:val="12"/>
                <w:szCs w:val="12"/>
                <w:u w:val="single"/>
                <w:vertAlign w:val="superscript"/>
                <w:lang w:val="es-ES"/>
              </w:rPr>
              <w:t>2</w:t>
            </w:r>
            <w:r w:rsidRPr="00276B9C">
              <w:rPr>
                <w:rFonts w:eastAsia="Times New Roman"/>
                <w:b/>
                <w:sz w:val="12"/>
                <w:szCs w:val="12"/>
                <w:vertAlign w:val="superscript"/>
                <w:lang w:val="es-ES"/>
              </w:rPr>
              <w:t>/</w:t>
            </w:r>
          </w:p>
        </w:tc>
      </w:tr>
      <w:tr w:rsidR="00276B9C" w:rsidRPr="00276B9C" w:rsidTr="0011560C">
        <w:trPr>
          <w:jc w:val="center"/>
        </w:trPr>
        <w:tc>
          <w:tcPr>
            <w:tcW w:w="2135" w:type="dxa"/>
            <w:gridSpan w:val="2"/>
            <w:vMerge/>
            <w:tcBorders>
              <w:top w:val="single" w:sz="4" w:space="0" w:color="auto"/>
              <w:bottom w:val="single" w:sz="4" w:space="0" w:color="auto"/>
            </w:tcBorders>
          </w:tcPr>
          <w:p w:rsidR="00276B9C" w:rsidRPr="00276B9C" w:rsidRDefault="00276B9C" w:rsidP="00276B9C">
            <w:pPr>
              <w:jc w:val="center"/>
              <w:rPr>
                <w:sz w:val="12"/>
                <w:szCs w:val="12"/>
              </w:rPr>
            </w:pPr>
          </w:p>
        </w:tc>
        <w:tc>
          <w:tcPr>
            <w:tcW w:w="660" w:type="dxa"/>
            <w:vMerge/>
            <w:tcBorders>
              <w:top w:val="single" w:sz="4" w:space="0" w:color="auto"/>
              <w:bottom w:val="single" w:sz="4" w:space="0" w:color="auto"/>
            </w:tcBorders>
          </w:tcPr>
          <w:p w:rsidR="00276B9C" w:rsidRPr="00276B9C" w:rsidRDefault="00276B9C" w:rsidP="00276B9C">
            <w:pPr>
              <w:jc w:val="center"/>
              <w:rPr>
                <w:sz w:val="12"/>
                <w:szCs w:val="12"/>
              </w:rPr>
            </w:pPr>
          </w:p>
        </w:tc>
        <w:tc>
          <w:tcPr>
            <w:tcW w:w="698" w:type="dxa"/>
            <w:vMerge/>
            <w:tcBorders>
              <w:top w:val="single" w:sz="4" w:space="0" w:color="auto"/>
              <w:bottom w:val="single" w:sz="4" w:space="0" w:color="auto"/>
            </w:tcBorders>
          </w:tcPr>
          <w:p w:rsidR="00276B9C" w:rsidRPr="00276B9C" w:rsidRDefault="00276B9C" w:rsidP="00276B9C">
            <w:pPr>
              <w:jc w:val="center"/>
              <w:rPr>
                <w:sz w:val="12"/>
                <w:szCs w:val="12"/>
              </w:rPr>
            </w:pPr>
          </w:p>
        </w:tc>
        <w:tc>
          <w:tcPr>
            <w:tcW w:w="698" w:type="dxa"/>
            <w:vMerge/>
            <w:tcBorders>
              <w:top w:val="single" w:sz="4" w:space="0" w:color="auto"/>
              <w:bottom w:val="single" w:sz="4" w:space="0" w:color="auto"/>
            </w:tcBorders>
          </w:tcPr>
          <w:p w:rsidR="00276B9C" w:rsidRPr="00276B9C" w:rsidRDefault="00276B9C" w:rsidP="00276B9C">
            <w:pPr>
              <w:jc w:val="center"/>
              <w:rPr>
                <w:sz w:val="12"/>
                <w:szCs w:val="12"/>
              </w:rPr>
            </w:pPr>
          </w:p>
        </w:tc>
        <w:tc>
          <w:tcPr>
            <w:tcW w:w="698" w:type="dxa"/>
            <w:vMerge/>
            <w:tcBorders>
              <w:top w:val="single" w:sz="4" w:space="0" w:color="auto"/>
              <w:bottom w:val="single" w:sz="4" w:space="0" w:color="auto"/>
            </w:tcBorders>
          </w:tcPr>
          <w:p w:rsidR="00276B9C" w:rsidRPr="00276B9C" w:rsidRDefault="00276B9C" w:rsidP="00276B9C">
            <w:pPr>
              <w:jc w:val="center"/>
              <w:rPr>
                <w:sz w:val="12"/>
                <w:szCs w:val="12"/>
              </w:rPr>
            </w:pPr>
          </w:p>
        </w:tc>
        <w:tc>
          <w:tcPr>
            <w:tcW w:w="659" w:type="dxa"/>
            <w:vMerge/>
            <w:tcBorders>
              <w:top w:val="single" w:sz="4" w:space="0" w:color="auto"/>
              <w:bottom w:val="single" w:sz="4" w:space="0" w:color="auto"/>
            </w:tcBorders>
          </w:tcPr>
          <w:p w:rsidR="00276B9C" w:rsidRPr="00276B9C" w:rsidRDefault="00276B9C" w:rsidP="00276B9C">
            <w:pPr>
              <w:jc w:val="center"/>
              <w:rPr>
                <w:sz w:val="12"/>
                <w:szCs w:val="12"/>
              </w:rPr>
            </w:pPr>
          </w:p>
        </w:tc>
        <w:tc>
          <w:tcPr>
            <w:tcW w:w="631" w:type="dxa"/>
            <w:vMerge/>
            <w:tcBorders>
              <w:top w:val="single" w:sz="4" w:space="0" w:color="auto"/>
              <w:bottom w:val="single" w:sz="4" w:space="0" w:color="auto"/>
            </w:tcBorders>
          </w:tcPr>
          <w:p w:rsidR="00276B9C" w:rsidRPr="00276B9C" w:rsidRDefault="00276B9C" w:rsidP="00276B9C">
            <w:pPr>
              <w:jc w:val="center"/>
              <w:rPr>
                <w:sz w:val="12"/>
                <w:szCs w:val="12"/>
              </w:rPr>
            </w:pPr>
          </w:p>
        </w:tc>
        <w:tc>
          <w:tcPr>
            <w:tcW w:w="698" w:type="dxa"/>
            <w:vMerge/>
            <w:tcBorders>
              <w:top w:val="single" w:sz="4" w:space="0" w:color="auto"/>
              <w:bottom w:val="single" w:sz="4" w:space="0" w:color="auto"/>
            </w:tcBorders>
          </w:tcPr>
          <w:p w:rsidR="00276B9C" w:rsidRPr="00276B9C" w:rsidRDefault="00276B9C" w:rsidP="00276B9C">
            <w:pPr>
              <w:jc w:val="center"/>
              <w:rPr>
                <w:sz w:val="12"/>
                <w:szCs w:val="12"/>
              </w:rPr>
            </w:pPr>
          </w:p>
        </w:tc>
        <w:tc>
          <w:tcPr>
            <w:tcW w:w="694" w:type="dxa"/>
            <w:vMerge/>
            <w:tcBorders>
              <w:top w:val="single" w:sz="4" w:space="0" w:color="auto"/>
              <w:bottom w:val="single" w:sz="4" w:space="0" w:color="auto"/>
            </w:tcBorders>
          </w:tcPr>
          <w:p w:rsidR="00276B9C" w:rsidRPr="00276B9C" w:rsidRDefault="00276B9C" w:rsidP="00276B9C">
            <w:pPr>
              <w:jc w:val="center"/>
              <w:rPr>
                <w:b/>
                <w:sz w:val="12"/>
                <w:szCs w:val="12"/>
              </w:rPr>
            </w:pPr>
          </w:p>
        </w:tc>
        <w:tc>
          <w:tcPr>
            <w:tcW w:w="1347" w:type="dxa"/>
            <w:gridSpan w:val="2"/>
            <w:tcBorders>
              <w:top w:val="single" w:sz="4" w:space="0" w:color="auto"/>
              <w:bottom w:val="single" w:sz="4" w:space="0" w:color="auto"/>
            </w:tcBorders>
            <w:vAlign w:val="center"/>
          </w:tcPr>
          <w:p w:rsidR="00276B9C" w:rsidRPr="00276B9C" w:rsidRDefault="00276B9C" w:rsidP="00276B9C">
            <w:pPr>
              <w:jc w:val="center"/>
              <w:rPr>
                <w:b/>
                <w:sz w:val="12"/>
                <w:szCs w:val="12"/>
              </w:rPr>
            </w:pPr>
            <w:r w:rsidRPr="00276B9C">
              <w:rPr>
                <w:b/>
                <w:sz w:val="12"/>
                <w:szCs w:val="12"/>
              </w:rPr>
              <w:t>Ene-Dic</w:t>
            </w:r>
          </w:p>
        </w:tc>
        <w:tc>
          <w:tcPr>
            <w:tcW w:w="1352" w:type="dxa"/>
            <w:gridSpan w:val="2"/>
            <w:vMerge/>
            <w:tcBorders>
              <w:top w:val="single" w:sz="4" w:space="0" w:color="auto"/>
              <w:bottom w:val="single" w:sz="4" w:space="0" w:color="auto"/>
            </w:tcBorders>
          </w:tcPr>
          <w:p w:rsidR="00276B9C" w:rsidRPr="00276B9C" w:rsidRDefault="00276B9C" w:rsidP="00276B9C">
            <w:pPr>
              <w:rPr>
                <w:sz w:val="12"/>
                <w:szCs w:val="12"/>
              </w:rPr>
            </w:pPr>
          </w:p>
        </w:tc>
      </w:tr>
      <w:tr w:rsidR="00276B9C" w:rsidRPr="00276B9C" w:rsidTr="0011560C">
        <w:trPr>
          <w:jc w:val="center"/>
        </w:trPr>
        <w:tc>
          <w:tcPr>
            <w:tcW w:w="2135" w:type="dxa"/>
            <w:gridSpan w:val="2"/>
            <w:vMerge/>
            <w:tcBorders>
              <w:top w:val="single" w:sz="4" w:space="0" w:color="auto"/>
              <w:bottom w:val="single" w:sz="4" w:space="0" w:color="auto"/>
            </w:tcBorders>
            <w:vAlign w:val="center"/>
          </w:tcPr>
          <w:p w:rsidR="00276B9C" w:rsidRPr="00276B9C" w:rsidRDefault="00276B9C" w:rsidP="00276B9C">
            <w:pPr>
              <w:jc w:val="center"/>
              <w:rPr>
                <w:b/>
                <w:sz w:val="12"/>
                <w:szCs w:val="12"/>
              </w:rPr>
            </w:pPr>
          </w:p>
        </w:tc>
        <w:tc>
          <w:tcPr>
            <w:tcW w:w="660" w:type="dxa"/>
            <w:vMerge/>
            <w:tcBorders>
              <w:top w:val="single" w:sz="4" w:space="0" w:color="auto"/>
              <w:bottom w:val="single" w:sz="4" w:space="0" w:color="auto"/>
            </w:tcBorders>
            <w:vAlign w:val="center"/>
          </w:tcPr>
          <w:p w:rsidR="00276B9C" w:rsidRPr="00276B9C" w:rsidRDefault="00276B9C" w:rsidP="00276B9C">
            <w:pPr>
              <w:jc w:val="center"/>
              <w:rPr>
                <w:b/>
                <w:sz w:val="12"/>
                <w:szCs w:val="12"/>
              </w:rPr>
            </w:pPr>
          </w:p>
        </w:tc>
        <w:tc>
          <w:tcPr>
            <w:tcW w:w="698" w:type="dxa"/>
            <w:vMerge/>
            <w:tcBorders>
              <w:top w:val="single" w:sz="4" w:space="0" w:color="auto"/>
              <w:bottom w:val="single" w:sz="4" w:space="0" w:color="auto"/>
            </w:tcBorders>
            <w:vAlign w:val="center"/>
          </w:tcPr>
          <w:p w:rsidR="00276B9C" w:rsidRPr="00276B9C" w:rsidRDefault="00276B9C" w:rsidP="00276B9C">
            <w:pPr>
              <w:jc w:val="center"/>
              <w:rPr>
                <w:b/>
                <w:sz w:val="12"/>
                <w:szCs w:val="12"/>
              </w:rPr>
            </w:pPr>
          </w:p>
        </w:tc>
        <w:tc>
          <w:tcPr>
            <w:tcW w:w="698" w:type="dxa"/>
            <w:vMerge/>
            <w:tcBorders>
              <w:top w:val="single" w:sz="4" w:space="0" w:color="auto"/>
              <w:bottom w:val="single" w:sz="4" w:space="0" w:color="auto"/>
            </w:tcBorders>
            <w:vAlign w:val="center"/>
          </w:tcPr>
          <w:p w:rsidR="00276B9C" w:rsidRPr="00276B9C" w:rsidRDefault="00276B9C" w:rsidP="00276B9C">
            <w:pPr>
              <w:jc w:val="center"/>
              <w:rPr>
                <w:b/>
                <w:sz w:val="12"/>
                <w:szCs w:val="12"/>
              </w:rPr>
            </w:pPr>
          </w:p>
        </w:tc>
        <w:tc>
          <w:tcPr>
            <w:tcW w:w="698" w:type="dxa"/>
            <w:vMerge/>
            <w:tcBorders>
              <w:top w:val="single" w:sz="4" w:space="0" w:color="auto"/>
              <w:bottom w:val="single" w:sz="4" w:space="0" w:color="auto"/>
            </w:tcBorders>
            <w:vAlign w:val="center"/>
          </w:tcPr>
          <w:p w:rsidR="00276B9C" w:rsidRPr="00276B9C" w:rsidRDefault="00276B9C" w:rsidP="00276B9C">
            <w:pPr>
              <w:jc w:val="center"/>
              <w:rPr>
                <w:b/>
                <w:sz w:val="12"/>
                <w:szCs w:val="12"/>
              </w:rPr>
            </w:pPr>
          </w:p>
        </w:tc>
        <w:tc>
          <w:tcPr>
            <w:tcW w:w="659" w:type="dxa"/>
            <w:vMerge/>
            <w:tcBorders>
              <w:top w:val="single" w:sz="4" w:space="0" w:color="auto"/>
              <w:bottom w:val="single" w:sz="4" w:space="0" w:color="auto"/>
            </w:tcBorders>
          </w:tcPr>
          <w:p w:rsidR="00276B9C" w:rsidRPr="00276B9C" w:rsidRDefault="00276B9C" w:rsidP="00276B9C">
            <w:pPr>
              <w:jc w:val="center"/>
              <w:rPr>
                <w:b/>
                <w:sz w:val="12"/>
                <w:szCs w:val="12"/>
              </w:rPr>
            </w:pPr>
          </w:p>
        </w:tc>
        <w:tc>
          <w:tcPr>
            <w:tcW w:w="631" w:type="dxa"/>
            <w:vMerge/>
            <w:tcBorders>
              <w:top w:val="single" w:sz="4" w:space="0" w:color="auto"/>
              <w:bottom w:val="single" w:sz="4" w:space="0" w:color="auto"/>
            </w:tcBorders>
            <w:vAlign w:val="center"/>
          </w:tcPr>
          <w:p w:rsidR="00276B9C" w:rsidRPr="00276B9C" w:rsidRDefault="00276B9C" w:rsidP="00276B9C">
            <w:pPr>
              <w:jc w:val="center"/>
              <w:rPr>
                <w:b/>
                <w:sz w:val="12"/>
                <w:szCs w:val="12"/>
              </w:rPr>
            </w:pPr>
          </w:p>
        </w:tc>
        <w:tc>
          <w:tcPr>
            <w:tcW w:w="698" w:type="dxa"/>
            <w:vMerge/>
            <w:tcBorders>
              <w:top w:val="single" w:sz="4" w:space="0" w:color="auto"/>
              <w:bottom w:val="single" w:sz="4" w:space="0" w:color="auto"/>
            </w:tcBorders>
          </w:tcPr>
          <w:p w:rsidR="00276B9C" w:rsidRPr="00276B9C" w:rsidRDefault="00276B9C" w:rsidP="00276B9C">
            <w:pPr>
              <w:jc w:val="center"/>
              <w:rPr>
                <w:b/>
                <w:sz w:val="12"/>
                <w:szCs w:val="12"/>
              </w:rPr>
            </w:pPr>
          </w:p>
        </w:tc>
        <w:tc>
          <w:tcPr>
            <w:tcW w:w="694" w:type="dxa"/>
            <w:vMerge/>
            <w:tcBorders>
              <w:top w:val="single" w:sz="4" w:space="0" w:color="auto"/>
              <w:bottom w:val="single" w:sz="4" w:space="0" w:color="auto"/>
            </w:tcBorders>
          </w:tcPr>
          <w:p w:rsidR="00276B9C" w:rsidRPr="00276B9C" w:rsidRDefault="00276B9C" w:rsidP="00276B9C">
            <w:pPr>
              <w:jc w:val="center"/>
              <w:rPr>
                <w:b/>
                <w:sz w:val="12"/>
                <w:szCs w:val="12"/>
              </w:rPr>
            </w:pPr>
          </w:p>
        </w:tc>
        <w:tc>
          <w:tcPr>
            <w:tcW w:w="717" w:type="dxa"/>
            <w:tcBorders>
              <w:top w:val="single" w:sz="4" w:space="0" w:color="auto"/>
              <w:bottom w:val="single" w:sz="4" w:space="0" w:color="auto"/>
            </w:tcBorders>
            <w:vAlign w:val="center"/>
          </w:tcPr>
          <w:p w:rsidR="00276B9C" w:rsidRPr="00276B9C" w:rsidRDefault="00276B9C" w:rsidP="00276B9C">
            <w:pPr>
              <w:jc w:val="center"/>
              <w:rPr>
                <w:b/>
                <w:sz w:val="12"/>
                <w:szCs w:val="12"/>
              </w:rPr>
            </w:pPr>
            <w:r w:rsidRPr="00276B9C">
              <w:rPr>
                <w:b/>
                <w:sz w:val="12"/>
                <w:szCs w:val="12"/>
              </w:rPr>
              <w:t>Valor</w:t>
            </w:r>
          </w:p>
        </w:tc>
        <w:tc>
          <w:tcPr>
            <w:tcW w:w="630" w:type="dxa"/>
            <w:tcBorders>
              <w:top w:val="single" w:sz="4" w:space="0" w:color="auto"/>
              <w:bottom w:val="single" w:sz="4" w:space="0" w:color="auto"/>
            </w:tcBorders>
            <w:vAlign w:val="center"/>
          </w:tcPr>
          <w:p w:rsidR="00276B9C" w:rsidRPr="00276B9C" w:rsidRDefault="00276B9C" w:rsidP="00276B9C">
            <w:pPr>
              <w:jc w:val="center"/>
              <w:rPr>
                <w:b/>
                <w:sz w:val="12"/>
                <w:szCs w:val="12"/>
              </w:rPr>
            </w:pPr>
            <w:proofErr w:type="spellStart"/>
            <w:r w:rsidRPr="00276B9C">
              <w:rPr>
                <w:b/>
                <w:sz w:val="12"/>
                <w:szCs w:val="12"/>
              </w:rPr>
              <w:t>Part</w:t>
            </w:r>
            <w:proofErr w:type="spellEnd"/>
            <w:r w:rsidRPr="00276B9C">
              <w:rPr>
                <w:b/>
                <w:sz w:val="12"/>
                <w:szCs w:val="12"/>
              </w:rPr>
              <w:t>. (%)</w:t>
            </w:r>
          </w:p>
        </w:tc>
        <w:tc>
          <w:tcPr>
            <w:tcW w:w="703" w:type="dxa"/>
            <w:tcBorders>
              <w:top w:val="single" w:sz="4" w:space="0" w:color="auto"/>
              <w:bottom w:val="single" w:sz="4" w:space="0" w:color="auto"/>
            </w:tcBorders>
            <w:vAlign w:val="center"/>
          </w:tcPr>
          <w:p w:rsidR="00276B9C" w:rsidRPr="00276B9C" w:rsidRDefault="00276B9C" w:rsidP="00276B9C">
            <w:pPr>
              <w:jc w:val="center"/>
              <w:rPr>
                <w:b/>
                <w:sz w:val="12"/>
                <w:szCs w:val="12"/>
              </w:rPr>
            </w:pPr>
            <w:r w:rsidRPr="00276B9C">
              <w:rPr>
                <w:b/>
                <w:sz w:val="12"/>
                <w:szCs w:val="12"/>
              </w:rPr>
              <w:t>Valor</w:t>
            </w:r>
          </w:p>
        </w:tc>
        <w:tc>
          <w:tcPr>
            <w:tcW w:w="649" w:type="dxa"/>
            <w:tcBorders>
              <w:top w:val="single" w:sz="4" w:space="0" w:color="auto"/>
              <w:bottom w:val="single" w:sz="4" w:space="0" w:color="auto"/>
            </w:tcBorders>
            <w:vAlign w:val="center"/>
          </w:tcPr>
          <w:p w:rsidR="00276B9C" w:rsidRPr="00276B9C" w:rsidRDefault="00276B9C" w:rsidP="00276B9C">
            <w:pPr>
              <w:jc w:val="center"/>
              <w:rPr>
                <w:b/>
                <w:sz w:val="12"/>
                <w:szCs w:val="12"/>
              </w:rPr>
            </w:pPr>
            <w:proofErr w:type="spellStart"/>
            <w:r w:rsidRPr="00276B9C">
              <w:rPr>
                <w:b/>
                <w:sz w:val="12"/>
                <w:szCs w:val="12"/>
              </w:rPr>
              <w:t>Part</w:t>
            </w:r>
            <w:proofErr w:type="spellEnd"/>
            <w:r w:rsidRPr="00276B9C">
              <w:rPr>
                <w:b/>
                <w:sz w:val="12"/>
                <w:szCs w:val="12"/>
              </w:rPr>
              <w:t>. (%)</w:t>
            </w:r>
          </w:p>
        </w:tc>
      </w:tr>
      <w:tr w:rsidR="00276B9C" w:rsidRPr="00276B9C" w:rsidTr="0011560C">
        <w:trPr>
          <w:jc w:val="center"/>
        </w:trPr>
        <w:tc>
          <w:tcPr>
            <w:tcW w:w="2135" w:type="dxa"/>
            <w:gridSpan w:val="2"/>
            <w:tcBorders>
              <w:top w:val="single" w:sz="4" w:space="0" w:color="auto"/>
              <w:bottom w:val="nil"/>
            </w:tcBorders>
          </w:tcPr>
          <w:p w:rsidR="00276B9C" w:rsidRPr="00276B9C" w:rsidRDefault="00276B9C" w:rsidP="00276B9C">
            <w:pPr>
              <w:rPr>
                <w:rFonts w:eastAsia="Times New Roman"/>
                <w:b/>
                <w:sz w:val="12"/>
                <w:szCs w:val="12"/>
                <w:lang w:val="es-ES"/>
              </w:rPr>
            </w:pPr>
            <w:r w:rsidRPr="00276B9C">
              <w:rPr>
                <w:rFonts w:eastAsia="Times New Roman"/>
                <w:b/>
                <w:sz w:val="12"/>
                <w:szCs w:val="12"/>
                <w:lang w:val="es-ES"/>
              </w:rPr>
              <w:t>Transportes, correos y almacenamiento</w:t>
            </w:r>
          </w:p>
        </w:tc>
        <w:tc>
          <w:tcPr>
            <w:tcW w:w="660" w:type="dxa"/>
            <w:tcBorders>
              <w:top w:val="single" w:sz="4" w:space="0" w:color="auto"/>
              <w:bottom w:val="nil"/>
            </w:tcBorders>
            <w:vAlign w:val="bottom"/>
          </w:tcPr>
          <w:p w:rsidR="00276B9C" w:rsidRPr="00276B9C" w:rsidRDefault="00276B9C" w:rsidP="00276B9C">
            <w:pPr>
              <w:ind w:right="57"/>
              <w:jc w:val="right"/>
              <w:rPr>
                <w:b/>
                <w:sz w:val="12"/>
                <w:szCs w:val="12"/>
              </w:rPr>
            </w:pPr>
            <w:r w:rsidRPr="00276B9C">
              <w:rPr>
                <w:b/>
                <w:sz w:val="12"/>
                <w:szCs w:val="12"/>
              </w:rPr>
              <w:t>157.1</w:t>
            </w:r>
          </w:p>
        </w:tc>
        <w:tc>
          <w:tcPr>
            <w:tcW w:w="698" w:type="dxa"/>
            <w:tcBorders>
              <w:top w:val="single" w:sz="4" w:space="0" w:color="auto"/>
              <w:bottom w:val="nil"/>
            </w:tcBorders>
            <w:vAlign w:val="bottom"/>
          </w:tcPr>
          <w:p w:rsidR="00276B9C" w:rsidRPr="00276B9C" w:rsidRDefault="00276B9C" w:rsidP="00276B9C">
            <w:pPr>
              <w:ind w:right="57"/>
              <w:jc w:val="right"/>
              <w:rPr>
                <w:b/>
                <w:bCs/>
                <w:sz w:val="12"/>
                <w:szCs w:val="12"/>
              </w:rPr>
            </w:pPr>
            <w:r w:rsidRPr="00276B9C">
              <w:rPr>
                <w:b/>
                <w:bCs/>
                <w:sz w:val="12"/>
                <w:szCs w:val="12"/>
              </w:rPr>
              <w:t>49.3</w:t>
            </w:r>
          </w:p>
        </w:tc>
        <w:tc>
          <w:tcPr>
            <w:tcW w:w="698" w:type="dxa"/>
            <w:tcBorders>
              <w:top w:val="single" w:sz="4" w:space="0" w:color="auto"/>
              <w:bottom w:val="nil"/>
            </w:tcBorders>
            <w:vAlign w:val="bottom"/>
          </w:tcPr>
          <w:p w:rsidR="00276B9C" w:rsidRPr="00276B9C" w:rsidRDefault="00276B9C" w:rsidP="00276B9C">
            <w:pPr>
              <w:ind w:right="57"/>
              <w:jc w:val="right"/>
              <w:rPr>
                <w:b/>
                <w:bCs/>
                <w:sz w:val="12"/>
                <w:szCs w:val="12"/>
              </w:rPr>
            </w:pPr>
            <w:r w:rsidRPr="00276B9C">
              <w:rPr>
                <w:b/>
                <w:bCs/>
                <w:sz w:val="12"/>
                <w:szCs w:val="12"/>
              </w:rPr>
              <w:t>585.0</w:t>
            </w:r>
          </w:p>
        </w:tc>
        <w:tc>
          <w:tcPr>
            <w:tcW w:w="698" w:type="dxa"/>
            <w:tcBorders>
              <w:top w:val="single" w:sz="4" w:space="0" w:color="auto"/>
              <w:bottom w:val="nil"/>
            </w:tcBorders>
            <w:vAlign w:val="bottom"/>
          </w:tcPr>
          <w:p w:rsidR="00276B9C" w:rsidRPr="00276B9C" w:rsidRDefault="00276B9C" w:rsidP="00276B9C">
            <w:pPr>
              <w:ind w:right="57"/>
              <w:jc w:val="right"/>
              <w:rPr>
                <w:b/>
                <w:bCs/>
                <w:sz w:val="12"/>
                <w:szCs w:val="12"/>
              </w:rPr>
            </w:pPr>
            <w:r w:rsidRPr="00276B9C">
              <w:rPr>
                <w:b/>
                <w:bCs/>
                <w:sz w:val="12"/>
                <w:szCs w:val="12"/>
              </w:rPr>
              <w:t>228.9</w:t>
            </w:r>
          </w:p>
        </w:tc>
        <w:tc>
          <w:tcPr>
            <w:tcW w:w="659" w:type="dxa"/>
            <w:tcBorders>
              <w:top w:val="single" w:sz="4" w:space="0" w:color="auto"/>
              <w:bottom w:val="nil"/>
            </w:tcBorders>
            <w:vAlign w:val="bottom"/>
          </w:tcPr>
          <w:p w:rsidR="00276B9C" w:rsidRPr="00276B9C" w:rsidRDefault="00276B9C" w:rsidP="00276B9C">
            <w:pPr>
              <w:ind w:right="57"/>
              <w:jc w:val="right"/>
              <w:rPr>
                <w:b/>
                <w:bCs/>
                <w:sz w:val="12"/>
                <w:szCs w:val="12"/>
              </w:rPr>
            </w:pPr>
            <w:r w:rsidRPr="00276B9C">
              <w:rPr>
                <w:b/>
                <w:bCs/>
                <w:sz w:val="12"/>
                <w:szCs w:val="12"/>
              </w:rPr>
              <w:t>554.0</w:t>
            </w:r>
          </w:p>
        </w:tc>
        <w:tc>
          <w:tcPr>
            <w:tcW w:w="631" w:type="dxa"/>
            <w:tcBorders>
              <w:top w:val="single" w:sz="4" w:space="0" w:color="auto"/>
              <w:bottom w:val="nil"/>
            </w:tcBorders>
            <w:vAlign w:val="bottom"/>
          </w:tcPr>
          <w:p w:rsidR="00276B9C" w:rsidRPr="00276B9C" w:rsidRDefault="00276B9C" w:rsidP="00276B9C">
            <w:pPr>
              <w:jc w:val="right"/>
              <w:rPr>
                <w:b/>
                <w:bCs/>
                <w:sz w:val="12"/>
                <w:szCs w:val="12"/>
              </w:rPr>
            </w:pPr>
            <w:r w:rsidRPr="00276B9C">
              <w:rPr>
                <w:b/>
                <w:bCs/>
                <w:sz w:val="12"/>
                <w:szCs w:val="12"/>
              </w:rPr>
              <w:t>112.8</w:t>
            </w:r>
          </w:p>
        </w:tc>
        <w:tc>
          <w:tcPr>
            <w:tcW w:w="698" w:type="dxa"/>
            <w:tcBorders>
              <w:top w:val="single" w:sz="4" w:space="0" w:color="auto"/>
              <w:bottom w:val="nil"/>
            </w:tcBorders>
            <w:vAlign w:val="bottom"/>
          </w:tcPr>
          <w:p w:rsidR="00276B9C" w:rsidRPr="00276B9C" w:rsidRDefault="00276B9C" w:rsidP="00276B9C">
            <w:pPr>
              <w:ind w:right="57"/>
              <w:jc w:val="right"/>
              <w:rPr>
                <w:b/>
                <w:bCs/>
                <w:sz w:val="12"/>
                <w:szCs w:val="12"/>
              </w:rPr>
            </w:pPr>
            <w:r w:rsidRPr="00276B9C">
              <w:rPr>
                <w:b/>
                <w:bCs/>
                <w:sz w:val="12"/>
                <w:szCs w:val="12"/>
              </w:rPr>
              <w:t>654.0</w:t>
            </w:r>
          </w:p>
        </w:tc>
        <w:tc>
          <w:tcPr>
            <w:tcW w:w="694" w:type="dxa"/>
            <w:tcBorders>
              <w:top w:val="single" w:sz="4" w:space="0" w:color="auto"/>
              <w:bottom w:val="nil"/>
            </w:tcBorders>
            <w:vAlign w:val="bottom"/>
          </w:tcPr>
          <w:p w:rsidR="00276B9C" w:rsidRPr="00276B9C" w:rsidRDefault="00276B9C" w:rsidP="00276B9C">
            <w:pPr>
              <w:ind w:right="57"/>
              <w:jc w:val="right"/>
              <w:rPr>
                <w:b/>
                <w:bCs/>
                <w:sz w:val="12"/>
                <w:szCs w:val="12"/>
              </w:rPr>
            </w:pPr>
            <w:r w:rsidRPr="00276B9C">
              <w:rPr>
                <w:b/>
                <w:bCs/>
                <w:sz w:val="12"/>
                <w:szCs w:val="12"/>
              </w:rPr>
              <w:t>1 016.5</w:t>
            </w:r>
          </w:p>
        </w:tc>
        <w:tc>
          <w:tcPr>
            <w:tcW w:w="717" w:type="dxa"/>
            <w:tcBorders>
              <w:top w:val="single" w:sz="4" w:space="0" w:color="auto"/>
              <w:bottom w:val="nil"/>
            </w:tcBorders>
            <w:vAlign w:val="bottom"/>
          </w:tcPr>
          <w:p w:rsidR="00276B9C" w:rsidRPr="00276B9C" w:rsidRDefault="00276B9C" w:rsidP="00276B9C">
            <w:pPr>
              <w:jc w:val="right"/>
              <w:rPr>
                <w:b/>
                <w:bCs/>
                <w:sz w:val="12"/>
                <w:szCs w:val="12"/>
              </w:rPr>
            </w:pPr>
            <w:r w:rsidRPr="00276B9C">
              <w:rPr>
                <w:b/>
                <w:bCs/>
                <w:sz w:val="12"/>
                <w:szCs w:val="12"/>
              </w:rPr>
              <w:t>399.5</w:t>
            </w:r>
          </w:p>
        </w:tc>
        <w:tc>
          <w:tcPr>
            <w:tcW w:w="630" w:type="dxa"/>
            <w:tcBorders>
              <w:top w:val="single" w:sz="4" w:space="0" w:color="auto"/>
              <w:bottom w:val="nil"/>
            </w:tcBorders>
            <w:vAlign w:val="bottom"/>
          </w:tcPr>
          <w:p w:rsidR="00276B9C" w:rsidRPr="00276B9C" w:rsidRDefault="00276B9C" w:rsidP="00276B9C">
            <w:pPr>
              <w:ind w:right="57"/>
              <w:jc w:val="right"/>
              <w:rPr>
                <w:b/>
                <w:sz w:val="12"/>
                <w:szCs w:val="12"/>
              </w:rPr>
            </w:pPr>
            <w:r w:rsidRPr="00276B9C">
              <w:rPr>
                <w:b/>
                <w:sz w:val="12"/>
                <w:szCs w:val="12"/>
              </w:rPr>
              <w:t>1.8</w:t>
            </w:r>
          </w:p>
        </w:tc>
        <w:tc>
          <w:tcPr>
            <w:tcW w:w="703" w:type="dxa"/>
            <w:tcBorders>
              <w:top w:val="single" w:sz="4" w:space="0" w:color="auto"/>
              <w:bottom w:val="nil"/>
            </w:tcBorders>
            <w:vAlign w:val="bottom"/>
          </w:tcPr>
          <w:p w:rsidR="00276B9C" w:rsidRPr="00276B9C" w:rsidRDefault="00276B9C" w:rsidP="00276B9C">
            <w:pPr>
              <w:ind w:right="57"/>
              <w:jc w:val="right"/>
              <w:rPr>
                <w:b/>
                <w:sz w:val="12"/>
                <w:szCs w:val="12"/>
              </w:rPr>
            </w:pPr>
            <w:r w:rsidRPr="00276B9C">
              <w:rPr>
                <w:b/>
                <w:sz w:val="12"/>
                <w:szCs w:val="12"/>
              </w:rPr>
              <w:t>5 891.4</w:t>
            </w:r>
          </w:p>
        </w:tc>
        <w:tc>
          <w:tcPr>
            <w:tcW w:w="649" w:type="dxa"/>
            <w:tcBorders>
              <w:top w:val="single" w:sz="4" w:space="0" w:color="auto"/>
              <w:bottom w:val="nil"/>
            </w:tcBorders>
            <w:vAlign w:val="bottom"/>
          </w:tcPr>
          <w:p w:rsidR="00276B9C" w:rsidRPr="00276B9C" w:rsidRDefault="00276B9C" w:rsidP="00276B9C">
            <w:pPr>
              <w:ind w:right="113"/>
              <w:jc w:val="right"/>
              <w:rPr>
                <w:b/>
                <w:sz w:val="12"/>
                <w:szCs w:val="12"/>
              </w:rPr>
            </w:pPr>
            <w:r w:rsidRPr="00276B9C">
              <w:rPr>
                <w:b/>
                <w:sz w:val="12"/>
                <w:szCs w:val="12"/>
              </w:rPr>
              <w:t>1.6</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Transporte aéreo</w:t>
            </w:r>
          </w:p>
        </w:tc>
        <w:tc>
          <w:tcPr>
            <w:tcW w:w="66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50.1</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95.4</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213.8</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79.1</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2.8</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-0.8</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10.3</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12.6</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135.2</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0.6</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670.5</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0.2</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Transporte por ferrocarril</w:t>
            </w:r>
          </w:p>
        </w:tc>
        <w:tc>
          <w:tcPr>
            <w:tcW w:w="66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30.7</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-528.0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43.8</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-81.5</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189.9</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-145.1</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-102.7</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255.7</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124.8</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0.6</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1 218.3</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0.3</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Transporte por agua</w:t>
            </w:r>
          </w:p>
        </w:tc>
        <w:tc>
          <w:tcPr>
            <w:tcW w:w="66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9.6</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0.2</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-3.7</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-0.1</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-12.8</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2.0</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-1.3</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25.4</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0.0</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Autotransporte de carga</w:t>
            </w:r>
          </w:p>
        </w:tc>
        <w:tc>
          <w:tcPr>
            <w:tcW w:w="66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0.6</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2.5</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3.9</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8.6</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1.7</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-3.9</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-1.1</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1.3</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4.2</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24.2</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0.0</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Transporte terrestre de pasajeros</w:t>
            </w:r>
          </w:p>
        </w:tc>
        <w:tc>
          <w:tcPr>
            <w:tcW w:w="66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0.0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-0.3</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0.0</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-0.2</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0.0</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Transporte por ductos</w:t>
            </w:r>
          </w:p>
        </w:tc>
        <w:tc>
          <w:tcPr>
            <w:tcW w:w="66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-1.9</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249.3</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156.9</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93.1</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310.6</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-10.6</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267.1</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590.4</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-22.0</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-0.1</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1 880.0</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0.5</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Transporte turístico</w:t>
            </w:r>
          </w:p>
        </w:tc>
        <w:tc>
          <w:tcPr>
            <w:tcW w:w="66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2.9</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0.0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0.2</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0.0</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6.7</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0.0</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 xml:space="preserve">Servicios relacionados con el transporte </w:t>
            </w:r>
          </w:p>
        </w:tc>
        <w:tc>
          <w:tcPr>
            <w:tcW w:w="66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33.9</w:t>
            </w:r>
          </w:p>
        </w:tc>
        <w:tc>
          <w:tcPr>
            <w:tcW w:w="698" w:type="dxa"/>
            <w:tcBorders>
              <w:top w:val="nil"/>
              <w:bottom w:val="nil"/>
            </w:tcBorders>
            <w:vAlign w:val="bottom"/>
          </w:tcPr>
          <w:p w:rsidR="00276B9C" w:rsidRPr="00276B9C" w:rsidRDefault="00276B9C" w:rsidP="00276B9C">
            <w:pPr>
              <w:ind w:right="57"/>
              <w:jc w:val="right"/>
              <w:rPr>
                <w:sz w:val="12"/>
                <w:szCs w:val="12"/>
                <w:lang w:val="es-ES"/>
              </w:rPr>
            </w:pPr>
            <w:r w:rsidRPr="00276B9C">
              <w:rPr>
                <w:sz w:val="12"/>
                <w:szCs w:val="12"/>
                <w:lang w:val="es-ES"/>
              </w:rPr>
              <w:t>94.1</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129.5</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109.0</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44.3</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228.0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327.8</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102.5</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82.2</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0.4</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1 343.7</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0.4</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Servicios de mensajería y paquetería</w:t>
            </w:r>
          </w:p>
        </w:tc>
        <w:tc>
          <w:tcPr>
            <w:tcW w:w="66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-10.6</w:t>
            </w:r>
          </w:p>
        </w:tc>
        <w:tc>
          <w:tcPr>
            <w:tcW w:w="698" w:type="dxa"/>
            <w:tcBorders>
              <w:top w:val="nil"/>
              <w:bottom w:val="nil"/>
            </w:tcBorders>
            <w:vAlign w:val="bottom"/>
          </w:tcPr>
          <w:p w:rsidR="00276B9C" w:rsidRPr="00276B9C" w:rsidRDefault="00276B9C" w:rsidP="00276B9C">
            <w:pPr>
              <w:ind w:right="57"/>
              <w:jc w:val="right"/>
              <w:rPr>
                <w:sz w:val="12"/>
                <w:szCs w:val="12"/>
                <w:lang w:val="es-ES"/>
              </w:rPr>
            </w:pPr>
            <w:r w:rsidRPr="00276B9C">
              <w:rPr>
                <w:sz w:val="12"/>
                <w:szCs w:val="12"/>
                <w:lang w:val="es-ES"/>
              </w:rPr>
              <w:t>8.0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-5.2</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-4.4</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9.3</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152.9</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49.4</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65.9</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0.3</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315.4</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0.1</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Servicios de almacenamiento</w:t>
            </w:r>
          </w:p>
        </w:tc>
        <w:tc>
          <w:tcPr>
            <w:tcW w:w="66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41.7</w:t>
            </w:r>
          </w:p>
        </w:tc>
        <w:tc>
          <w:tcPr>
            <w:tcW w:w="698" w:type="dxa"/>
            <w:tcBorders>
              <w:top w:val="nil"/>
              <w:bottom w:val="nil"/>
            </w:tcBorders>
            <w:vAlign w:val="bottom"/>
          </w:tcPr>
          <w:p w:rsidR="00276B9C" w:rsidRPr="00276B9C" w:rsidRDefault="00276B9C" w:rsidP="00276B9C">
            <w:pPr>
              <w:ind w:right="57"/>
              <w:jc w:val="right"/>
              <w:rPr>
                <w:sz w:val="12"/>
                <w:szCs w:val="12"/>
                <w:lang w:val="es-ES"/>
              </w:rPr>
            </w:pPr>
            <w:r w:rsidRPr="00276B9C">
              <w:rPr>
                <w:sz w:val="12"/>
                <w:szCs w:val="12"/>
                <w:lang w:val="es-ES"/>
              </w:rPr>
              <w:t>128.0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37.0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25.6</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12.7</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36.0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12.8</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2.4</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10.6</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407.4</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0.1</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b/>
                <w:sz w:val="12"/>
                <w:szCs w:val="12"/>
                <w:lang w:val="es-ES"/>
              </w:rPr>
            </w:pPr>
            <w:r w:rsidRPr="00276B9C">
              <w:rPr>
                <w:rFonts w:eastAsia="Times New Roman"/>
                <w:b/>
                <w:sz w:val="12"/>
                <w:szCs w:val="12"/>
                <w:lang w:val="es-ES"/>
              </w:rPr>
              <w:t>Información en medios masivos</w:t>
            </w:r>
          </w:p>
        </w:tc>
        <w:tc>
          <w:tcPr>
            <w:tcW w:w="660"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612.1</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231.2</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1 259.6</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535.9</w:t>
            </w:r>
          </w:p>
        </w:tc>
        <w:tc>
          <w:tcPr>
            <w:tcW w:w="659"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2 286.7</w:t>
            </w:r>
          </w:p>
        </w:tc>
        <w:tc>
          <w:tcPr>
            <w:tcW w:w="631" w:type="dxa"/>
            <w:tcBorders>
              <w:top w:val="nil"/>
              <w:bottom w:val="nil"/>
            </w:tcBorders>
            <w:vAlign w:val="bottom"/>
          </w:tcPr>
          <w:p w:rsidR="00276B9C" w:rsidRPr="00276B9C" w:rsidRDefault="00276B9C" w:rsidP="00276B9C">
            <w:pPr>
              <w:jc w:val="right"/>
              <w:rPr>
                <w:b/>
                <w:sz w:val="12"/>
                <w:szCs w:val="12"/>
              </w:rPr>
            </w:pPr>
            <w:r w:rsidRPr="00276B9C">
              <w:rPr>
                <w:b/>
                <w:sz w:val="12"/>
                <w:szCs w:val="12"/>
              </w:rPr>
              <w:t>1 168.0</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745.9</w:t>
            </w:r>
          </w:p>
        </w:tc>
        <w:tc>
          <w:tcPr>
            <w:tcW w:w="694"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2 142.9</w:t>
            </w:r>
          </w:p>
        </w:tc>
        <w:tc>
          <w:tcPr>
            <w:tcW w:w="717" w:type="dxa"/>
            <w:tcBorders>
              <w:top w:val="nil"/>
              <w:bottom w:val="nil"/>
            </w:tcBorders>
            <w:vAlign w:val="bottom"/>
          </w:tcPr>
          <w:p w:rsidR="00276B9C" w:rsidRPr="00276B9C" w:rsidRDefault="00276B9C" w:rsidP="00276B9C">
            <w:pPr>
              <w:jc w:val="right"/>
              <w:rPr>
                <w:b/>
                <w:sz w:val="12"/>
                <w:szCs w:val="12"/>
              </w:rPr>
            </w:pPr>
            <w:r w:rsidRPr="00276B9C">
              <w:rPr>
                <w:b/>
                <w:sz w:val="12"/>
                <w:szCs w:val="12"/>
              </w:rPr>
              <w:t>-4 152.5</w:t>
            </w:r>
          </w:p>
        </w:tc>
        <w:tc>
          <w:tcPr>
            <w:tcW w:w="630"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-18.4</w:t>
            </w:r>
          </w:p>
        </w:tc>
        <w:tc>
          <w:tcPr>
            <w:tcW w:w="703"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15 527.8</w:t>
            </w:r>
          </w:p>
        </w:tc>
        <w:tc>
          <w:tcPr>
            <w:tcW w:w="649" w:type="dxa"/>
            <w:tcBorders>
              <w:top w:val="nil"/>
              <w:bottom w:val="nil"/>
            </w:tcBorders>
            <w:vAlign w:val="bottom"/>
          </w:tcPr>
          <w:p w:rsidR="00276B9C" w:rsidRPr="00276B9C" w:rsidRDefault="00276B9C" w:rsidP="00276B9C">
            <w:pPr>
              <w:ind w:right="113"/>
              <w:jc w:val="right"/>
              <w:rPr>
                <w:b/>
                <w:sz w:val="12"/>
                <w:szCs w:val="12"/>
              </w:rPr>
            </w:pPr>
            <w:r w:rsidRPr="00276B9C">
              <w:rPr>
                <w:b/>
                <w:sz w:val="12"/>
                <w:szCs w:val="12"/>
              </w:rPr>
              <w:t>4.1</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Edición de publicaciones y software</w:t>
            </w:r>
          </w:p>
        </w:tc>
        <w:tc>
          <w:tcPr>
            <w:tcW w:w="66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6.2</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10.8</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1.9</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25.0</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11.3</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136.6</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7.1</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44.4</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36.2</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0.2</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311.5</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0.1</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Industria fílmica, del video y del sonido</w:t>
            </w:r>
          </w:p>
        </w:tc>
        <w:tc>
          <w:tcPr>
            <w:tcW w:w="66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-4.5</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5.1</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1.4</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62.4</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-1.8</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790.7</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-25.7</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15.5</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-14.2</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-0.1</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1 259.9</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0.3</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Radio y televisión</w:t>
            </w:r>
          </w:p>
        </w:tc>
        <w:tc>
          <w:tcPr>
            <w:tcW w:w="66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15.2</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-409.4</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34.4</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-0.1</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-5.0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136.7</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0.0</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263.9</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0.1</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Otras telecomunicaciones</w:t>
            </w:r>
          </w:p>
        </w:tc>
        <w:tc>
          <w:tcPr>
            <w:tcW w:w="66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583.7</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617.3</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1 200.6</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438.9</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2 164.5</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192.4</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628.2</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2 047.3</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-4 174.5</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-18.5</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13 289.2</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3.5</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Hospedaje y procesamiento electrónico de información y servicios relacionados</w:t>
            </w:r>
          </w:p>
        </w:tc>
        <w:tc>
          <w:tcPr>
            <w:tcW w:w="660" w:type="dxa"/>
            <w:tcBorders>
              <w:top w:val="nil"/>
              <w:bottom w:val="nil"/>
            </w:tcBorders>
            <w:vAlign w:val="center"/>
          </w:tcPr>
          <w:p w:rsidR="00276B9C" w:rsidRPr="00276B9C" w:rsidRDefault="00276B9C" w:rsidP="00276B9C">
            <w:pPr>
              <w:ind w:right="57"/>
              <w:jc w:val="right"/>
              <w:rPr>
                <w:sz w:val="12"/>
                <w:szCs w:val="12"/>
                <w:lang w:val="es-ES"/>
              </w:rPr>
            </w:pPr>
            <w:r w:rsidRPr="00276B9C">
              <w:rPr>
                <w:sz w:val="12"/>
                <w:szCs w:val="12"/>
                <w:lang w:val="es-ES"/>
              </w:rPr>
              <w:t>1.0</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1.1</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14.0</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0.2</w:t>
            </w:r>
          </w:p>
        </w:tc>
        <w:tc>
          <w:tcPr>
            <w:tcW w:w="659"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0.2</w:t>
            </w:r>
          </w:p>
        </w:tc>
        <w:tc>
          <w:tcPr>
            <w:tcW w:w="631" w:type="dxa"/>
            <w:tcBorders>
              <w:top w:val="nil"/>
              <w:bottom w:val="nil"/>
            </w:tcBorders>
            <w:vAlign w:val="center"/>
          </w:tcPr>
          <w:p w:rsidR="00276B9C" w:rsidRPr="00276B9C" w:rsidRDefault="00276B9C" w:rsidP="00276B9C">
            <w:pPr>
              <w:jc w:val="right"/>
              <w:rPr>
                <w:sz w:val="12"/>
                <w:szCs w:val="12"/>
              </w:rPr>
            </w:pPr>
            <w:r w:rsidRPr="00276B9C">
              <w:rPr>
                <w:sz w:val="12"/>
                <w:szCs w:val="12"/>
              </w:rPr>
              <w:t>20.2</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0.5</w:t>
            </w:r>
          </w:p>
        </w:tc>
        <w:tc>
          <w:tcPr>
            <w:tcW w:w="694"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1.5</w:t>
            </w:r>
          </w:p>
        </w:tc>
        <w:tc>
          <w:tcPr>
            <w:tcW w:w="717" w:type="dxa"/>
            <w:tcBorders>
              <w:top w:val="nil"/>
              <w:bottom w:val="nil"/>
            </w:tcBorders>
            <w:vAlign w:val="center"/>
          </w:tcPr>
          <w:p w:rsidR="00276B9C" w:rsidRPr="00276B9C" w:rsidRDefault="00276B9C" w:rsidP="00276B9C">
            <w:pPr>
              <w:jc w:val="right"/>
              <w:rPr>
                <w:sz w:val="12"/>
                <w:szCs w:val="12"/>
              </w:rPr>
            </w:pPr>
            <w:r w:rsidRPr="00276B9C">
              <w:rPr>
                <w:sz w:val="12"/>
                <w:szCs w:val="12"/>
              </w:rPr>
              <w:t>0.3</w:t>
            </w:r>
          </w:p>
        </w:tc>
        <w:tc>
          <w:tcPr>
            <w:tcW w:w="630"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0.0</w:t>
            </w:r>
          </w:p>
        </w:tc>
        <w:tc>
          <w:tcPr>
            <w:tcW w:w="703"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39.1</w:t>
            </w:r>
          </w:p>
        </w:tc>
        <w:tc>
          <w:tcPr>
            <w:tcW w:w="649" w:type="dxa"/>
            <w:tcBorders>
              <w:top w:val="nil"/>
              <w:bottom w:val="nil"/>
            </w:tcBorders>
            <w:vAlign w:val="center"/>
          </w:tcPr>
          <w:p w:rsidR="00276B9C" w:rsidRPr="00276B9C" w:rsidRDefault="00276B9C" w:rsidP="00276B9C">
            <w:pPr>
              <w:ind w:right="113"/>
              <w:jc w:val="right"/>
              <w:rPr>
                <w:sz w:val="12"/>
                <w:szCs w:val="12"/>
              </w:rPr>
            </w:pPr>
            <w:r w:rsidRPr="00276B9C">
              <w:rPr>
                <w:sz w:val="12"/>
                <w:szCs w:val="12"/>
              </w:rPr>
              <w:t>0.0</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Otros servicios de información</w:t>
            </w:r>
          </w:p>
        </w:tc>
        <w:tc>
          <w:tcPr>
            <w:tcW w:w="66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10.6</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6.4</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7.2</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9.4</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112.5</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33.1</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-0.9</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34.3</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-0.4</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364.1</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0.1</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b/>
                <w:sz w:val="12"/>
                <w:szCs w:val="12"/>
                <w:lang w:val="es-ES"/>
              </w:rPr>
            </w:pPr>
            <w:r w:rsidRPr="00276B9C">
              <w:rPr>
                <w:rFonts w:eastAsia="Times New Roman"/>
                <w:b/>
                <w:sz w:val="12"/>
                <w:szCs w:val="12"/>
                <w:lang w:val="es-ES"/>
              </w:rPr>
              <w:t>Servicios financieros y de seguros</w:t>
            </w:r>
          </w:p>
        </w:tc>
        <w:tc>
          <w:tcPr>
            <w:tcW w:w="660"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4 254.2</w:t>
            </w:r>
          </w:p>
        </w:tc>
        <w:tc>
          <w:tcPr>
            <w:tcW w:w="698" w:type="dxa"/>
            <w:tcBorders>
              <w:top w:val="nil"/>
              <w:bottom w:val="nil"/>
            </w:tcBorders>
            <w:vAlign w:val="bottom"/>
          </w:tcPr>
          <w:p w:rsidR="00276B9C" w:rsidRPr="00276B9C" w:rsidRDefault="00276B9C" w:rsidP="00276B9C">
            <w:pPr>
              <w:ind w:right="57"/>
              <w:jc w:val="right"/>
              <w:rPr>
                <w:b/>
                <w:sz w:val="12"/>
                <w:szCs w:val="12"/>
                <w:lang w:val="es-ES"/>
              </w:rPr>
            </w:pPr>
            <w:r w:rsidRPr="00276B9C">
              <w:rPr>
                <w:b/>
                <w:sz w:val="12"/>
                <w:szCs w:val="12"/>
                <w:lang w:val="es-ES"/>
              </w:rPr>
              <w:t>6 174.2</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7 040.6</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3 020.8</w:t>
            </w:r>
          </w:p>
        </w:tc>
        <w:tc>
          <w:tcPr>
            <w:tcW w:w="659"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2 506.6</w:t>
            </w:r>
          </w:p>
        </w:tc>
        <w:tc>
          <w:tcPr>
            <w:tcW w:w="631" w:type="dxa"/>
            <w:tcBorders>
              <w:top w:val="nil"/>
              <w:bottom w:val="nil"/>
            </w:tcBorders>
            <w:vAlign w:val="bottom"/>
          </w:tcPr>
          <w:p w:rsidR="00276B9C" w:rsidRPr="00276B9C" w:rsidRDefault="00276B9C" w:rsidP="00276B9C">
            <w:pPr>
              <w:jc w:val="right"/>
              <w:rPr>
                <w:b/>
                <w:sz w:val="12"/>
                <w:szCs w:val="12"/>
              </w:rPr>
            </w:pPr>
            <w:r w:rsidRPr="00276B9C">
              <w:rPr>
                <w:b/>
                <w:sz w:val="12"/>
                <w:szCs w:val="12"/>
              </w:rPr>
              <w:t>2 768.5</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-2 599.3</w:t>
            </w:r>
          </w:p>
        </w:tc>
        <w:tc>
          <w:tcPr>
            <w:tcW w:w="694"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260.9</w:t>
            </w:r>
          </w:p>
        </w:tc>
        <w:tc>
          <w:tcPr>
            <w:tcW w:w="717" w:type="dxa"/>
            <w:tcBorders>
              <w:top w:val="nil"/>
              <w:bottom w:val="nil"/>
            </w:tcBorders>
            <w:vAlign w:val="bottom"/>
          </w:tcPr>
          <w:p w:rsidR="00276B9C" w:rsidRPr="00276B9C" w:rsidRDefault="00276B9C" w:rsidP="00276B9C">
            <w:pPr>
              <w:jc w:val="right"/>
              <w:rPr>
                <w:b/>
                <w:sz w:val="12"/>
                <w:szCs w:val="12"/>
              </w:rPr>
            </w:pPr>
            <w:r w:rsidRPr="00276B9C">
              <w:rPr>
                <w:b/>
                <w:sz w:val="12"/>
                <w:szCs w:val="12"/>
              </w:rPr>
              <w:t>5 556.6</w:t>
            </w:r>
          </w:p>
        </w:tc>
        <w:tc>
          <w:tcPr>
            <w:tcW w:w="630"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24.6</w:t>
            </w:r>
          </w:p>
        </w:tc>
        <w:tc>
          <w:tcPr>
            <w:tcW w:w="703"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66 247.4</w:t>
            </w:r>
          </w:p>
        </w:tc>
        <w:tc>
          <w:tcPr>
            <w:tcW w:w="649" w:type="dxa"/>
            <w:tcBorders>
              <w:top w:val="nil"/>
              <w:bottom w:val="nil"/>
            </w:tcBorders>
            <w:vAlign w:val="bottom"/>
          </w:tcPr>
          <w:p w:rsidR="00276B9C" w:rsidRPr="00276B9C" w:rsidRDefault="00276B9C" w:rsidP="00276B9C">
            <w:pPr>
              <w:ind w:right="113"/>
              <w:jc w:val="right"/>
              <w:rPr>
                <w:b/>
                <w:sz w:val="12"/>
                <w:szCs w:val="12"/>
              </w:rPr>
            </w:pPr>
            <w:r w:rsidRPr="00276B9C">
              <w:rPr>
                <w:b/>
                <w:sz w:val="12"/>
                <w:szCs w:val="12"/>
              </w:rPr>
              <w:t>17.6</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Instituciones de intermediación crediticia y financiera no bursátil</w:t>
            </w:r>
          </w:p>
        </w:tc>
        <w:tc>
          <w:tcPr>
            <w:tcW w:w="660"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4 301.1</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5 943.7</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6 366.0</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2 917.0</w:t>
            </w:r>
          </w:p>
        </w:tc>
        <w:tc>
          <w:tcPr>
            <w:tcW w:w="659"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2 217.6</w:t>
            </w:r>
          </w:p>
        </w:tc>
        <w:tc>
          <w:tcPr>
            <w:tcW w:w="631" w:type="dxa"/>
            <w:tcBorders>
              <w:top w:val="nil"/>
              <w:bottom w:val="nil"/>
            </w:tcBorders>
            <w:vAlign w:val="center"/>
          </w:tcPr>
          <w:p w:rsidR="00276B9C" w:rsidRPr="00276B9C" w:rsidRDefault="00276B9C" w:rsidP="00276B9C">
            <w:pPr>
              <w:jc w:val="right"/>
              <w:rPr>
                <w:sz w:val="12"/>
                <w:szCs w:val="12"/>
              </w:rPr>
            </w:pPr>
            <w:r w:rsidRPr="00276B9C">
              <w:rPr>
                <w:sz w:val="12"/>
                <w:szCs w:val="12"/>
              </w:rPr>
              <w:t>2 199.9</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-2 704.0</w:t>
            </w:r>
          </w:p>
        </w:tc>
        <w:tc>
          <w:tcPr>
            <w:tcW w:w="694"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986.8</w:t>
            </w:r>
          </w:p>
        </w:tc>
        <w:tc>
          <w:tcPr>
            <w:tcW w:w="717" w:type="dxa"/>
            <w:tcBorders>
              <w:top w:val="nil"/>
              <w:bottom w:val="nil"/>
            </w:tcBorders>
            <w:vAlign w:val="center"/>
          </w:tcPr>
          <w:p w:rsidR="00276B9C" w:rsidRPr="00276B9C" w:rsidRDefault="00276B9C" w:rsidP="00276B9C">
            <w:pPr>
              <w:jc w:val="right"/>
              <w:rPr>
                <w:sz w:val="12"/>
                <w:szCs w:val="12"/>
              </w:rPr>
            </w:pPr>
            <w:r w:rsidRPr="00276B9C">
              <w:rPr>
                <w:sz w:val="12"/>
                <w:szCs w:val="12"/>
              </w:rPr>
              <w:t>5 195.5</w:t>
            </w:r>
          </w:p>
        </w:tc>
        <w:tc>
          <w:tcPr>
            <w:tcW w:w="630"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23.0</w:t>
            </w:r>
          </w:p>
        </w:tc>
        <w:tc>
          <w:tcPr>
            <w:tcW w:w="703"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61 476.4</w:t>
            </w:r>
          </w:p>
        </w:tc>
        <w:tc>
          <w:tcPr>
            <w:tcW w:w="649" w:type="dxa"/>
            <w:tcBorders>
              <w:top w:val="nil"/>
              <w:bottom w:val="nil"/>
            </w:tcBorders>
            <w:vAlign w:val="center"/>
          </w:tcPr>
          <w:p w:rsidR="00276B9C" w:rsidRPr="00276B9C" w:rsidRDefault="00276B9C" w:rsidP="00276B9C">
            <w:pPr>
              <w:ind w:right="113"/>
              <w:jc w:val="right"/>
              <w:rPr>
                <w:sz w:val="12"/>
                <w:szCs w:val="12"/>
              </w:rPr>
            </w:pPr>
            <w:r w:rsidRPr="00276B9C">
              <w:rPr>
                <w:sz w:val="12"/>
                <w:szCs w:val="12"/>
              </w:rPr>
              <w:t>16.4</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Actividades bursátiles cambiarias y de intermediación financiera</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-167.0</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251.7</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202.2</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209.8</w:t>
            </w:r>
          </w:p>
        </w:tc>
        <w:tc>
          <w:tcPr>
            <w:tcW w:w="659"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274.3</w:t>
            </w:r>
          </w:p>
        </w:tc>
        <w:tc>
          <w:tcPr>
            <w:tcW w:w="631" w:type="dxa"/>
            <w:tcBorders>
              <w:top w:val="nil"/>
              <w:bottom w:val="nil"/>
            </w:tcBorders>
            <w:vAlign w:val="center"/>
          </w:tcPr>
          <w:p w:rsidR="00276B9C" w:rsidRPr="00276B9C" w:rsidRDefault="00276B9C" w:rsidP="00276B9C">
            <w:pPr>
              <w:jc w:val="right"/>
              <w:rPr>
                <w:sz w:val="12"/>
                <w:szCs w:val="12"/>
              </w:rPr>
            </w:pPr>
            <w:r w:rsidRPr="00276B9C">
              <w:rPr>
                <w:sz w:val="12"/>
                <w:szCs w:val="12"/>
              </w:rPr>
              <w:t>311.0</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118.6</w:t>
            </w:r>
          </w:p>
        </w:tc>
        <w:tc>
          <w:tcPr>
            <w:tcW w:w="694"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423.6</w:t>
            </w:r>
          </w:p>
        </w:tc>
        <w:tc>
          <w:tcPr>
            <w:tcW w:w="717" w:type="dxa"/>
            <w:tcBorders>
              <w:top w:val="nil"/>
              <w:bottom w:val="nil"/>
            </w:tcBorders>
            <w:vAlign w:val="center"/>
          </w:tcPr>
          <w:p w:rsidR="00276B9C" w:rsidRPr="00276B9C" w:rsidRDefault="00276B9C" w:rsidP="00276B9C">
            <w:pPr>
              <w:jc w:val="right"/>
              <w:rPr>
                <w:sz w:val="12"/>
                <w:szCs w:val="12"/>
              </w:rPr>
            </w:pPr>
            <w:r w:rsidRPr="00276B9C">
              <w:rPr>
                <w:sz w:val="12"/>
                <w:szCs w:val="12"/>
              </w:rPr>
              <w:t>262.1</w:t>
            </w:r>
          </w:p>
        </w:tc>
        <w:tc>
          <w:tcPr>
            <w:tcW w:w="630"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1.2</w:t>
            </w:r>
          </w:p>
        </w:tc>
        <w:tc>
          <w:tcPr>
            <w:tcW w:w="703"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2 195.9</w:t>
            </w:r>
          </w:p>
        </w:tc>
        <w:tc>
          <w:tcPr>
            <w:tcW w:w="649" w:type="dxa"/>
            <w:tcBorders>
              <w:top w:val="nil"/>
              <w:bottom w:val="nil"/>
            </w:tcBorders>
            <w:vAlign w:val="center"/>
          </w:tcPr>
          <w:p w:rsidR="00276B9C" w:rsidRPr="00276B9C" w:rsidRDefault="00276B9C" w:rsidP="00276B9C">
            <w:pPr>
              <w:ind w:right="113"/>
              <w:jc w:val="right"/>
              <w:rPr>
                <w:sz w:val="12"/>
                <w:szCs w:val="12"/>
              </w:rPr>
            </w:pPr>
            <w:r w:rsidRPr="00276B9C">
              <w:rPr>
                <w:sz w:val="12"/>
                <w:szCs w:val="12"/>
              </w:rPr>
              <w:t>0.6</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Compañías de fianzas, seguros y pensiones</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120.1</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-21.3</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472.4</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-105.9</w:t>
            </w:r>
          </w:p>
        </w:tc>
        <w:tc>
          <w:tcPr>
            <w:tcW w:w="659"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14.7</w:t>
            </w:r>
          </w:p>
        </w:tc>
        <w:tc>
          <w:tcPr>
            <w:tcW w:w="631" w:type="dxa"/>
            <w:tcBorders>
              <w:top w:val="nil"/>
              <w:bottom w:val="nil"/>
            </w:tcBorders>
            <w:vAlign w:val="center"/>
          </w:tcPr>
          <w:p w:rsidR="00276B9C" w:rsidRPr="00276B9C" w:rsidRDefault="00276B9C" w:rsidP="00276B9C">
            <w:pPr>
              <w:jc w:val="right"/>
              <w:rPr>
                <w:sz w:val="12"/>
                <w:szCs w:val="12"/>
              </w:rPr>
            </w:pPr>
            <w:r w:rsidRPr="00276B9C">
              <w:rPr>
                <w:sz w:val="12"/>
                <w:szCs w:val="12"/>
              </w:rPr>
              <w:t>257.6</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-13.9</w:t>
            </w:r>
          </w:p>
        </w:tc>
        <w:tc>
          <w:tcPr>
            <w:tcW w:w="694"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-1 149.4</w:t>
            </w:r>
          </w:p>
        </w:tc>
        <w:tc>
          <w:tcPr>
            <w:tcW w:w="717" w:type="dxa"/>
            <w:tcBorders>
              <w:top w:val="nil"/>
              <w:bottom w:val="nil"/>
            </w:tcBorders>
            <w:vAlign w:val="center"/>
          </w:tcPr>
          <w:p w:rsidR="00276B9C" w:rsidRPr="00276B9C" w:rsidRDefault="00276B9C" w:rsidP="00276B9C">
            <w:pPr>
              <w:jc w:val="right"/>
              <w:rPr>
                <w:sz w:val="12"/>
                <w:szCs w:val="12"/>
              </w:rPr>
            </w:pPr>
            <w:r w:rsidRPr="00276B9C">
              <w:rPr>
                <w:sz w:val="12"/>
                <w:szCs w:val="12"/>
              </w:rPr>
              <w:t>98.9</w:t>
            </w:r>
          </w:p>
        </w:tc>
        <w:tc>
          <w:tcPr>
            <w:tcW w:w="630"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0.4</w:t>
            </w:r>
          </w:p>
        </w:tc>
        <w:tc>
          <w:tcPr>
            <w:tcW w:w="703"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2 575.1</w:t>
            </w:r>
          </w:p>
        </w:tc>
        <w:tc>
          <w:tcPr>
            <w:tcW w:w="649" w:type="dxa"/>
            <w:tcBorders>
              <w:top w:val="nil"/>
              <w:bottom w:val="nil"/>
            </w:tcBorders>
            <w:vAlign w:val="center"/>
          </w:tcPr>
          <w:p w:rsidR="00276B9C" w:rsidRPr="00276B9C" w:rsidRDefault="00276B9C" w:rsidP="00276B9C">
            <w:pPr>
              <w:ind w:right="113"/>
              <w:jc w:val="right"/>
              <w:rPr>
                <w:sz w:val="12"/>
                <w:szCs w:val="12"/>
              </w:rPr>
            </w:pPr>
            <w:r w:rsidRPr="00276B9C">
              <w:rPr>
                <w:sz w:val="12"/>
                <w:szCs w:val="12"/>
              </w:rPr>
              <w:t>0.7</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b/>
                <w:sz w:val="12"/>
                <w:szCs w:val="12"/>
                <w:lang w:val="es-ES"/>
              </w:rPr>
            </w:pPr>
            <w:r w:rsidRPr="00276B9C">
              <w:rPr>
                <w:rFonts w:eastAsia="Times New Roman"/>
                <w:b/>
                <w:sz w:val="12"/>
                <w:szCs w:val="12"/>
                <w:lang w:val="es-ES"/>
              </w:rPr>
              <w:t>Servicios inmobiliarios y de alquiler de bienes muebles</w:t>
            </w:r>
          </w:p>
        </w:tc>
        <w:tc>
          <w:tcPr>
            <w:tcW w:w="660" w:type="dxa"/>
            <w:tcBorders>
              <w:top w:val="nil"/>
              <w:bottom w:val="nil"/>
            </w:tcBorders>
            <w:vAlign w:val="bottom"/>
          </w:tcPr>
          <w:p w:rsidR="00276B9C" w:rsidRPr="00276B9C" w:rsidRDefault="00276B9C" w:rsidP="00276B9C">
            <w:pPr>
              <w:autoSpaceDE w:val="0"/>
              <w:autoSpaceDN w:val="0"/>
              <w:adjustRightInd w:val="0"/>
              <w:ind w:right="57"/>
              <w:jc w:val="right"/>
              <w:rPr>
                <w:b/>
                <w:sz w:val="12"/>
                <w:szCs w:val="12"/>
              </w:rPr>
            </w:pPr>
            <w:r w:rsidRPr="00276B9C">
              <w:rPr>
                <w:b/>
                <w:sz w:val="12"/>
                <w:szCs w:val="12"/>
              </w:rPr>
              <w:t>1 327.9</w:t>
            </w:r>
          </w:p>
        </w:tc>
        <w:tc>
          <w:tcPr>
            <w:tcW w:w="698" w:type="dxa"/>
            <w:tcBorders>
              <w:top w:val="nil"/>
              <w:bottom w:val="nil"/>
            </w:tcBorders>
            <w:vAlign w:val="bottom"/>
          </w:tcPr>
          <w:p w:rsidR="00276B9C" w:rsidRPr="00276B9C" w:rsidRDefault="00276B9C" w:rsidP="00276B9C">
            <w:pPr>
              <w:ind w:right="57"/>
              <w:jc w:val="right"/>
              <w:rPr>
                <w:b/>
                <w:sz w:val="12"/>
                <w:szCs w:val="12"/>
                <w:lang w:val="es-ES"/>
              </w:rPr>
            </w:pPr>
            <w:r w:rsidRPr="00276B9C">
              <w:rPr>
                <w:b/>
                <w:sz w:val="12"/>
                <w:szCs w:val="12"/>
                <w:lang w:val="es-ES"/>
              </w:rPr>
              <w:t>2 282.3</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1 693.8</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1 530.9</w:t>
            </w:r>
          </w:p>
        </w:tc>
        <w:tc>
          <w:tcPr>
            <w:tcW w:w="659"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664.3</w:t>
            </w:r>
          </w:p>
        </w:tc>
        <w:tc>
          <w:tcPr>
            <w:tcW w:w="631" w:type="dxa"/>
            <w:tcBorders>
              <w:top w:val="nil"/>
              <w:bottom w:val="nil"/>
            </w:tcBorders>
            <w:vAlign w:val="bottom"/>
          </w:tcPr>
          <w:p w:rsidR="00276B9C" w:rsidRPr="00276B9C" w:rsidRDefault="00276B9C" w:rsidP="00276B9C">
            <w:pPr>
              <w:jc w:val="right"/>
              <w:rPr>
                <w:b/>
                <w:sz w:val="12"/>
                <w:szCs w:val="12"/>
              </w:rPr>
            </w:pPr>
            <w:r w:rsidRPr="00276B9C">
              <w:rPr>
                <w:b/>
                <w:sz w:val="12"/>
                <w:szCs w:val="12"/>
              </w:rPr>
              <w:t>852.1</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758.2</w:t>
            </w:r>
          </w:p>
        </w:tc>
        <w:tc>
          <w:tcPr>
            <w:tcW w:w="694"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515.1</w:t>
            </w:r>
          </w:p>
        </w:tc>
        <w:tc>
          <w:tcPr>
            <w:tcW w:w="717" w:type="dxa"/>
            <w:tcBorders>
              <w:top w:val="nil"/>
              <w:bottom w:val="nil"/>
            </w:tcBorders>
            <w:vAlign w:val="bottom"/>
          </w:tcPr>
          <w:p w:rsidR="00276B9C" w:rsidRPr="00276B9C" w:rsidRDefault="00276B9C" w:rsidP="00276B9C">
            <w:pPr>
              <w:jc w:val="right"/>
              <w:rPr>
                <w:b/>
                <w:sz w:val="12"/>
                <w:szCs w:val="12"/>
              </w:rPr>
            </w:pPr>
            <w:r w:rsidRPr="00276B9C">
              <w:rPr>
                <w:b/>
                <w:sz w:val="12"/>
                <w:szCs w:val="12"/>
              </w:rPr>
              <w:t>180.0</w:t>
            </w:r>
          </w:p>
        </w:tc>
        <w:tc>
          <w:tcPr>
            <w:tcW w:w="630"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0.8</w:t>
            </w:r>
          </w:p>
        </w:tc>
        <w:tc>
          <w:tcPr>
            <w:tcW w:w="703"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13 972.5</w:t>
            </w:r>
          </w:p>
        </w:tc>
        <w:tc>
          <w:tcPr>
            <w:tcW w:w="649" w:type="dxa"/>
            <w:tcBorders>
              <w:top w:val="nil"/>
              <w:bottom w:val="nil"/>
            </w:tcBorders>
            <w:vAlign w:val="bottom"/>
          </w:tcPr>
          <w:p w:rsidR="00276B9C" w:rsidRPr="00276B9C" w:rsidRDefault="00276B9C" w:rsidP="00276B9C">
            <w:pPr>
              <w:ind w:right="113"/>
              <w:jc w:val="right"/>
              <w:rPr>
                <w:b/>
                <w:sz w:val="12"/>
                <w:szCs w:val="12"/>
              </w:rPr>
            </w:pPr>
            <w:r w:rsidRPr="00276B9C">
              <w:rPr>
                <w:b/>
                <w:sz w:val="12"/>
                <w:szCs w:val="12"/>
              </w:rPr>
              <w:t>3.7</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Servicios inmobiliarios</w:t>
            </w:r>
          </w:p>
        </w:tc>
        <w:tc>
          <w:tcPr>
            <w:tcW w:w="660" w:type="dxa"/>
            <w:tcBorders>
              <w:top w:val="nil"/>
              <w:bottom w:val="nil"/>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1 091.7</w:t>
            </w:r>
          </w:p>
        </w:tc>
        <w:tc>
          <w:tcPr>
            <w:tcW w:w="698" w:type="dxa"/>
            <w:tcBorders>
              <w:top w:val="nil"/>
              <w:bottom w:val="nil"/>
            </w:tcBorders>
            <w:vAlign w:val="bottom"/>
          </w:tcPr>
          <w:p w:rsidR="00276B9C" w:rsidRPr="00276B9C" w:rsidRDefault="00276B9C" w:rsidP="00276B9C">
            <w:pPr>
              <w:ind w:right="57"/>
              <w:jc w:val="right"/>
              <w:rPr>
                <w:sz w:val="12"/>
                <w:szCs w:val="12"/>
                <w:lang w:val="es-ES"/>
              </w:rPr>
            </w:pPr>
            <w:r w:rsidRPr="00276B9C">
              <w:rPr>
                <w:sz w:val="12"/>
                <w:szCs w:val="12"/>
                <w:lang w:val="es-ES"/>
              </w:rPr>
              <w:t>1 923.6</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1 254.9</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1 338.8</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574.3</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547.2</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630.9</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470.6</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181.5</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0.8</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11 810.2</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3.1</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Servicios de alquiler de bienes muebles</w:t>
            </w:r>
          </w:p>
        </w:tc>
        <w:tc>
          <w:tcPr>
            <w:tcW w:w="660" w:type="dxa"/>
            <w:tcBorders>
              <w:top w:val="nil"/>
              <w:bottom w:val="nil"/>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226.6</w:t>
            </w:r>
          </w:p>
        </w:tc>
        <w:tc>
          <w:tcPr>
            <w:tcW w:w="698" w:type="dxa"/>
            <w:tcBorders>
              <w:top w:val="nil"/>
              <w:bottom w:val="nil"/>
            </w:tcBorders>
            <w:vAlign w:val="bottom"/>
          </w:tcPr>
          <w:p w:rsidR="00276B9C" w:rsidRPr="00276B9C" w:rsidRDefault="00276B9C" w:rsidP="00276B9C">
            <w:pPr>
              <w:ind w:right="57"/>
              <w:jc w:val="right"/>
              <w:rPr>
                <w:sz w:val="12"/>
                <w:szCs w:val="12"/>
                <w:lang w:val="es-ES"/>
              </w:rPr>
            </w:pPr>
            <w:r w:rsidRPr="00276B9C">
              <w:rPr>
                <w:sz w:val="12"/>
                <w:szCs w:val="12"/>
                <w:lang w:val="es-ES"/>
              </w:rPr>
              <w:t>101.7</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387.2</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160.3</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-10.2</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270.8</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35.2</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38.5</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-26.5</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-0.1</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1 375.5</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0.4</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Servicios de alquiler de marcas registradas, patentes y franquicias</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lang w:val="es-ES"/>
              </w:rPr>
            </w:pPr>
            <w:r w:rsidRPr="00276B9C">
              <w:rPr>
                <w:sz w:val="12"/>
                <w:szCs w:val="12"/>
                <w:lang w:val="es-ES"/>
              </w:rPr>
              <w:t>9.5</w:t>
            </w:r>
          </w:p>
        </w:tc>
        <w:tc>
          <w:tcPr>
            <w:tcW w:w="698" w:type="dxa"/>
            <w:tcBorders>
              <w:top w:val="nil"/>
              <w:bottom w:val="nil"/>
            </w:tcBorders>
            <w:vAlign w:val="center"/>
          </w:tcPr>
          <w:p w:rsidR="00276B9C" w:rsidRPr="00276B9C" w:rsidRDefault="00276B9C" w:rsidP="00276B9C">
            <w:pPr>
              <w:ind w:right="57"/>
              <w:jc w:val="right"/>
              <w:rPr>
                <w:sz w:val="12"/>
                <w:szCs w:val="12"/>
                <w:lang w:val="es-ES"/>
              </w:rPr>
            </w:pPr>
            <w:r w:rsidRPr="00276B9C">
              <w:rPr>
                <w:sz w:val="12"/>
                <w:szCs w:val="12"/>
                <w:lang w:val="es-ES"/>
              </w:rPr>
              <w:t>257.0</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51.8</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31.8</w:t>
            </w:r>
          </w:p>
        </w:tc>
        <w:tc>
          <w:tcPr>
            <w:tcW w:w="659"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100.1</w:t>
            </w:r>
          </w:p>
        </w:tc>
        <w:tc>
          <w:tcPr>
            <w:tcW w:w="631" w:type="dxa"/>
            <w:tcBorders>
              <w:top w:val="nil"/>
              <w:bottom w:val="nil"/>
            </w:tcBorders>
            <w:vAlign w:val="center"/>
          </w:tcPr>
          <w:p w:rsidR="00276B9C" w:rsidRPr="00276B9C" w:rsidRDefault="00276B9C" w:rsidP="00276B9C">
            <w:pPr>
              <w:jc w:val="right"/>
              <w:rPr>
                <w:sz w:val="12"/>
                <w:szCs w:val="12"/>
              </w:rPr>
            </w:pPr>
            <w:r w:rsidRPr="00276B9C">
              <w:rPr>
                <w:sz w:val="12"/>
                <w:szCs w:val="12"/>
              </w:rPr>
              <w:t>34.0</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92.1</w:t>
            </w:r>
          </w:p>
        </w:tc>
        <w:tc>
          <w:tcPr>
            <w:tcW w:w="694"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6.0</w:t>
            </w:r>
          </w:p>
        </w:tc>
        <w:tc>
          <w:tcPr>
            <w:tcW w:w="717" w:type="dxa"/>
            <w:tcBorders>
              <w:top w:val="nil"/>
              <w:bottom w:val="nil"/>
            </w:tcBorders>
            <w:vAlign w:val="center"/>
          </w:tcPr>
          <w:p w:rsidR="00276B9C" w:rsidRPr="00276B9C" w:rsidRDefault="00276B9C" w:rsidP="00276B9C">
            <w:pPr>
              <w:jc w:val="right"/>
              <w:rPr>
                <w:sz w:val="12"/>
                <w:szCs w:val="12"/>
              </w:rPr>
            </w:pPr>
            <w:r w:rsidRPr="00276B9C">
              <w:rPr>
                <w:sz w:val="12"/>
                <w:szCs w:val="12"/>
              </w:rPr>
              <w:t>25.0</w:t>
            </w:r>
          </w:p>
        </w:tc>
        <w:tc>
          <w:tcPr>
            <w:tcW w:w="630"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0.1</w:t>
            </w:r>
          </w:p>
        </w:tc>
        <w:tc>
          <w:tcPr>
            <w:tcW w:w="703"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786.8</w:t>
            </w:r>
          </w:p>
        </w:tc>
        <w:tc>
          <w:tcPr>
            <w:tcW w:w="649" w:type="dxa"/>
            <w:tcBorders>
              <w:top w:val="nil"/>
              <w:bottom w:val="nil"/>
            </w:tcBorders>
            <w:vAlign w:val="center"/>
          </w:tcPr>
          <w:p w:rsidR="00276B9C" w:rsidRPr="00276B9C" w:rsidRDefault="00276B9C" w:rsidP="00276B9C">
            <w:pPr>
              <w:ind w:right="113"/>
              <w:jc w:val="right"/>
              <w:rPr>
                <w:sz w:val="12"/>
                <w:szCs w:val="12"/>
              </w:rPr>
            </w:pPr>
            <w:r w:rsidRPr="00276B9C">
              <w:rPr>
                <w:sz w:val="12"/>
                <w:szCs w:val="12"/>
              </w:rPr>
              <w:t>0.2</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b/>
                <w:sz w:val="12"/>
                <w:szCs w:val="12"/>
                <w:lang w:val="es-ES"/>
              </w:rPr>
            </w:pPr>
            <w:r w:rsidRPr="00276B9C">
              <w:rPr>
                <w:rFonts w:eastAsia="Times New Roman"/>
                <w:b/>
                <w:sz w:val="12"/>
                <w:szCs w:val="12"/>
                <w:lang w:val="es-ES"/>
              </w:rPr>
              <w:t>Servicios profesionales, científicos y técnicos</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b/>
                <w:sz w:val="12"/>
                <w:szCs w:val="12"/>
              </w:rPr>
            </w:pPr>
            <w:r w:rsidRPr="00276B9C">
              <w:rPr>
                <w:b/>
                <w:sz w:val="12"/>
                <w:szCs w:val="12"/>
              </w:rPr>
              <w:t>1 000.5</w:t>
            </w:r>
          </w:p>
        </w:tc>
        <w:tc>
          <w:tcPr>
            <w:tcW w:w="698" w:type="dxa"/>
            <w:tcBorders>
              <w:top w:val="nil"/>
              <w:bottom w:val="nil"/>
            </w:tcBorders>
            <w:vAlign w:val="center"/>
          </w:tcPr>
          <w:p w:rsidR="00276B9C" w:rsidRPr="00276B9C" w:rsidRDefault="00276B9C" w:rsidP="00276B9C">
            <w:pPr>
              <w:ind w:right="57"/>
              <w:jc w:val="right"/>
              <w:rPr>
                <w:b/>
                <w:sz w:val="12"/>
                <w:szCs w:val="12"/>
                <w:lang w:val="es-ES"/>
              </w:rPr>
            </w:pPr>
            <w:r w:rsidRPr="00276B9C">
              <w:rPr>
                <w:b/>
                <w:sz w:val="12"/>
                <w:szCs w:val="12"/>
                <w:lang w:val="es-ES"/>
              </w:rPr>
              <w:t>719.1</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629.7</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654.4</w:t>
            </w:r>
          </w:p>
        </w:tc>
        <w:tc>
          <w:tcPr>
            <w:tcW w:w="659"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28.2</w:t>
            </w:r>
          </w:p>
        </w:tc>
        <w:tc>
          <w:tcPr>
            <w:tcW w:w="631" w:type="dxa"/>
            <w:tcBorders>
              <w:top w:val="nil"/>
              <w:bottom w:val="nil"/>
            </w:tcBorders>
            <w:vAlign w:val="center"/>
          </w:tcPr>
          <w:p w:rsidR="00276B9C" w:rsidRPr="00276B9C" w:rsidRDefault="00276B9C" w:rsidP="00276B9C">
            <w:pPr>
              <w:jc w:val="right"/>
              <w:rPr>
                <w:b/>
                <w:sz w:val="12"/>
                <w:szCs w:val="12"/>
              </w:rPr>
            </w:pPr>
            <w:r w:rsidRPr="00276B9C">
              <w:rPr>
                <w:b/>
                <w:sz w:val="12"/>
                <w:szCs w:val="12"/>
              </w:rPr>
              <w:t>1 143.7</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1 243.6</w:t>
            </w:r>
          </w:p>
        </w:tc>
        <w:tc>
          <w:tcPr>
            <w:tcW w:w="694"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1 069.2</w:t>
            </w:r>
          </w:p>
        </w:tc>
        <w:tc>
          <w:tcPr>
            <w:tcW w:w="717" w:type="dxa"/>
            <w:tcBorders>
              <w:top w:val="nil"/>
              <w:bottom w:val="nil"/>
            </w:tcBorders>
            <w:vAlign w:val="center"/>
          </w:tcPr>
          <w:p w:rsidR="00276B9C" w:rsidRPr="00276B9C" w:rsidRDefault="00276B9C" w:rsidP="00276B9C">
            <w:pPr>
              <w:jc w:val="right"/>
              <w:rPr>
                <w:b/>
                <w:sz w:val="12"/>
                <w:szCs w:val="12"/>
              </w:rPr>
            </w:pPr>
            <w:r w:rsidRPr="00276B9C">
              <w:rPr>
                <w:b/>
                <w:sz w:val="12"/>
                <w:szCs w:val="12"/>
              </w:rPr>
              <w:t>675.3</w:t>
            </w:r>
          </w:p>
        </w:tc>
        <w:tc>
          <w:tcPr>
            <w:tcW w:w="630"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3.0</w:t>
            </w:r>
          </w:p>
        </w:tc>
        <w:tc>
          <w:tcPr>
            <w:tcW w:w="703"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7 908.3</w:t>
            </w:r>
          </w:p>
        </w:tc>
        <w:tc>
          <w:tcPr>
            <w:tcW w:w="649" w:type="dxa"/>
            <w:tcBorders>
              <w:top w:val="nil"/>
              <w:bottom w:val="nil"/>
            </w:tcBorders>
            <w:vAlign w:val="center"/>
          </w:tcPr>
          <w:p w:rsidR="00276B9C" w:rsidRPr="00276B9C" w:rsidRDefault="00276B9C" w:rsidP="00276B9C">
            <w:pPr>
              <w:ind w:right="113"/>
              <w:jc w:val="right"/>
              <w:rPr>
                <w:b/>
                <w:sz w:val="12"/>
                <w:szCs w:val="12"/>
              </w:rPr>
            </w:pPr>
            <w:r w:rsidRPr="00276B9C">
              <w:rPr>
                <w:b/>
                <w:sz w:val="12"/>
                <w:szCs w:val="12"/>
              </w:rPr>
              <w:t>2.1</w:t>
            </w:r>
          </w:p>
        </w:tc>
      </w:tr>
      <w:tr w:rsidR="00276B9C" w:rsidRPr="00276B9C" w:rsidTr="0011560C">
        <w:trPr>
          <w:jc w:val="center"/>
        </w:trPr>
        <w:tc>
          <w:tcPr>
            <w:tcW w:w="2135" w:type="dxa"/>
            <w:gridSpan w:val="2"/>
            <w:tcBorders>
              <w:top w:val="nil"/>
              <w:bottom w:val="nil"/>
            </w:tcBorders>
          </w:tcPr>
          <w:p w:rsidR="00276B9C" w:rsidRPr="00736C45" w:rsidRDefault="00736C45" w:rsidP="00276B9C">
            <w:pPr>
              <w:rPr>
                <w:rFonts w:eastAsia="Times New Roman"/>
                <w:sz w:val="12"/>
                <w:szCs w:val="12"/>
                <w:lang w:val="es-ES"/>
              </w:rPr>
            </w:pPr>
            <w:r w:rsidRPr="00736C45">
              <w:rPr>
                <w:rFonts w:eastAsia="Times New Roman"/>
                <w:sz w:val="12"/>
                <w:szCs w:val="12"/>
                <w:lang w:val="es-ES"/>
              </w:rPr>
              <w:t xml:space="preserve">Servicios profesionales, científicos y </w:t>
            </w:r>
            <w:r w:rsidR="00276B9C" w:rsidRPr="00736C45">
              <w:rPr>
                <w:rFonts w:eastAsia="Times New Roman"/>
                <w:sz w:val="12"/>
                <w:szCs w:val="12"/>
                <w:lang w:val="es-ES"/>
              </w:rPr>
              <w:t>técnicos</w:t>
            </w:r>
          </w:p>
        </w:tc>
        <w:tc>
          <w:tcPr>
            <w:tcW w:w="660" w:type="dxa"/>
            <w:tcBorders>
              <w:top w:val="nil"/>
              <w:bottom w:val="nil"/>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1 000.5</w:t>
            </w:r>
          </w:p>
        </w:tc>
        <w:tc>
          <w:tcPr>
            <w:tcW w:w="698" w:type="dxa"/>
            <w:tcBorders>
              <w:top w:val="nil"/>
              <w:bottom w:val="nil"/>
            </w:tcBorders>
            <w:vAlign w:val="bottom"/>
          </w:tcPr>
          <w:p w:rsidR="00276B9C" w:rsidRPr="00276B9C" w:rsidRDefault="00276B9C" w:rsidP="00276B9C">
            <w:pPr>
              <w:ind w:right="57"/>
              <w:jc w:val="right"/>
              <w:rPr>
                <w:sz w:val="12"/>
                <w:szCs w:val="12"/>
                <w:lang w:val="es-ES"/>
              </w:rPr>
            </w:pPr>
            <w:r w:rsidRPr="00276B9C">
              <w:rPr>
                <w:sz w:val="12"/>
                <w:szCs w:val="12"/>
                <w:lang w:val="es-ES"/>
              </w:rPr>
              <w:t>719.1</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629.7</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654.4</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28.2</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1 143.7</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1 243.6</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1 069.2</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675.3</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3.0</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7 908.3</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2.1</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b/>
                <w:sz w:val="12"/>
                <w:szCs w:val="12"/>
                <w:lang w:val="es-ES"/>
              </w:rPr>
            </w:pPr>
            <w:r w:rsidRPr="00276B9C">
              <w:rPr>
                <w:rFonts w:eastAsia="Times New Roman"/>
                <w:b/>
                <w:sz w:val="12"/>
                <w:szCs w:val="12"/>
                <w:lang w:val="es-ES"/>
              </w:rPr>
              <w:t>Servicios de apoyo a los negocios y manejo de desechos</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b/>
                <w:sz w:val="12"/>
                <w:szCs w:val="12"/>
                <w:lang w:val="es-ES"/>
              </w:rPr>
            </w:pPr>
            <w:r w:rsidRPr="00276B9C">
              <w:rPr>
                <w:b/>
                <w:sz w:val="12"/>
                <w:szCs w:val="12"/>
                <w:lang w:val="es-ES"/>
              </w:rPr>
              <w:t>373.4</w:t>
            </w:r>
          </w:p>
        </w:tc>
        <w:tc>
          <w:tcPr>
            <w:tcW w:w="698" w:type="dxa"/>
            <w:tcBorders>
              <w:top w:val="nil"/>
              <w:bottom w:val="nil"/>
            </w:tcBorders>
            <w:vAlign w:val="center"/>
          </w:tcPr>
          <w:p w:rsidR="00276B9C" w:rsidRPr="00276B9C" w:rsidRDefault="00276B9C" w:rsidP="00276B9C">
            <w:pPr>
              <w:ind w:right="57"/>
              <w:jc w:val="right"/>
              <w:rPr>
                <w:b/>
                <w:sz w:val="12"/>
                <w:szCs w:val="12"/>
                <w:lang w:val="es-ES"/>
              </w:rPr>
            </w:pPr>
            <w:r w:rsidRPr="00276B9C">
              <w:rPr>
                <w:b/>
                <w:sz w:val="12"/>
                <w:szCs w:val="12"/>
                <w:lang w:val="es-ES"/>
              </w:rPr>
              <w:t>594.9</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-140.7</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788.2</w:t>
            </w:r>
          </w:p>
        </w:tc>
        <w:tc>
          <w:tcPr>
            <w:tcW w:w="659"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169.2</w:t>
            </w:r>
          </w:p>
        </w:tc>
        <w:tc>
          <w:tcPr>
            <w:tcW w:w="631" w:type="dxa"/>
            <w:tcBorders>
              <w:top w:val="nil"/>
              <w:bottom w:val="nil"/>
            </w:tcBorders>
            <w:vAlign w:val="center"/>
          </w:tcPr>
          <w:p w:rsidR="00276B9C" w:rsidRPr="00276B9C" w:rsidRDefault="00276B9C" w:rsidP="00276B9C">
            <w:pPr>
              <w:jc w:val="right"/>
              <w:rPr>
                <w:b/>
                <w:sz w:val="12"/>
                <w:szCs w:val="12"/>
              </w:rPr>
            </w:pPr>
            <w:r w:rsidRPr="00276B9C">
              <w:rPr>
                <w:b/>
                <w:sz w:val="12"/>
                <w:szCs w:val="12"/>
              </w:rPr>
              <w:t>745.2</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507.1</w:t>
            </w:r>
          </w:p>
        </w:tc>
        <w:tc>
          <w:tcPr>
            <w:tcW w:w="694"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575.0</w:t>
            </w:r>
          </w:p>
        </w:tc>
        <w:tc>
          <w:tcPr>
            <w:tcW w:w="717" w:type="dxa"/>
            <w:tcBorders>
              <w:top w:val="nil"/>
              <w:bottom w:val="nil"/>
            </w:tcBorders>
            <w:vAlign w:val="center"/>
          </w:tcPr>
          <w:p w:rsidR="00276B9C" w:rsidRPr="00276B9C" w:rsidRDefault="00276B9C" w:rsidP="00276B9C">
            <w:pPr>
              <w:jc w:val="right"/>
              <w:rPr>
                <w:b/>
                <w:sz w:val="12"/>
                <w:szCs w:val="12"/>
              </w:rPr>
            </w:pPr>
            <w:r w:rsidRPr="00276B9C">
              <w:rPr>
                <w:b/>
                <w:sz w:val="12"/>
                <w:szCs w:val="12"/>
              </w:rPr>
              <w:t>309.3</w:t>
            </w:r>
          </w:p>
        </w:tc>
        <w:tc>
          <w:tcPr>
            <w:tcW w:w="630"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1.4</w:t>
            </w:r>
          </w:p>
        </w:tc>
        <w:tc>
          <w:tcPr>
            <w:tcW w:w="703"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6 384.5</w:t>
            </w:r>
          </w:p>
        </w:tc>
        <w:tc>
          <w:tcPr>
            <w:tcW w:w="649" w:type="dxa"/>
            <w:tcBorders>
              <w:top w:val="nil"/>
              <w:bottom w:val="nil"/>
            </w:tcBorders>
            <w:vAlign w:val="center"/>
          </w:tcPr>
          <w:p w:rsidR="00276B9C" w:rsidRPr="00276B9C" w:rsidRDefault="00276B9C" w:rsidP="00276B9C">
            <w:pPr>
              <w:ind w:right="113"/>
              <w:jc w:val="right"/>
              <w:rPr>
                <w:b/>
                <w:sz w:val="12"/>
                <w:szCs w:val="12"/>
              </w:rPr>
            </w:pPr>
            <w:r w:rsidRPr="00276B9C">
              <w:rPr>
                <w:b/>
                <w:sz w:val="12"/>
                <w:szCs w:val="12"/>
              </w:rPr>
              <w:t>1.7</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Servicios de apoyo a los negocios</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371.0</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591.1</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-141.7</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778.0</w:t>
            </w:r>
          </w:p>
        </w:tc>
        <w:tc>
          <w:tcPr>
            <w:tcW w:w="659"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172.2</w:t>
            </w:r>
          </w:p>
        </w:tc>
        <w:tc>
          <w:tcPr>
            <w:tcW w:w="631" w:type="dxa"/>
            <w:tcBorders>
              <w:top w:val="nil"/>
              <w:bottom w:val="nil"/>
            </w:tcBorders>
            <w:vAlign w:val="center"/>
          </w:tcPr>
          <w:p w:rsidR="00276B9C" w:rsidRPr="00276B9C" w:rsidRDefault="00276B9C" w:rsidP="00276B9C">
            <w:pPr>
              <w:jc w:val="right"/>
              <w:rPr>
                <w:sz w:val="12"/>
                <w:szCs w:val="12"/>
              </w:rPr>
            </w:pPr>
            <w:r w:rsidRPr="00276B9C">
              <w:rPr>
                <w:sz w:val="12"/>
                <w:szCs w:val="12"/>
              </w:rPr>
              <w:t>751.1</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498.2</w:t>
            </w:r>
          </w:p>
        </w:tc>
        <w:tc>
          <w:tcPr>
            <w:tcW w:w="694"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575.0</w:t>
            </w:r>
          </w:p>
        </w:tc>
        <w:tc>
          <w:tcPr>
            <w:tcW w:w="717" w:type="dxa"/>
            <w:tcBorders>
              <w:top w:val="nil"/>
              <w:bottom w:val="nil"/>
            </w:tcBorders>
            <w:vAlign w:val="center"/>
          </w:tcPr>
          <w:p w:rsidR="00276B9C" w:rsidRPr="00276B9C" w:rsidRDefault="00276B9C" w:rsidP="00276B9C">
            <w:pPr>
              <w:jc w:val="right"/>
              <w:rPr>
                <w:sz w:val="12"/>
                <w:szCs w:val="12"/>
              </w:rPr>
            </w:pPr>
            <w:r w:rsidRPr="00276B9C">
              <w:rPr>
                <w:sz w:val="12"/>
                <w:szCs w:val="12"/>
              </w:rPr>
              <w:t>309.3</w:t>
            </w:r>
          </w:p>
        </w:tc>
        <w:tc>
          <w:tcPr>
            <w:tcW w:w="630"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1.4</w:t>
            </w:r>
          </w:p>
        </w:tc>
        <w:tc>
          <w:tcPr>
            <w:tcW w:w="703"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6 345.5</w:t>
            </w:r>
          </w:p>
        </w:tc>
        <w:tc>
          <w:tcPr>
            <w:tcW w:w="649" w:type="dxa"/>
            <w:tcBorders>
              <w:top w:val="nil"/>
              <w:bottom w:val="nil"/>
            </w:tcBorders>
            <w:vAlign w:val="center"/>
          </w:tcPr>
          <w:p w:rsidR="00276B9C" w:rsidRPr="00276B9C" w:rsidRDefault="00276B9C" w:rsidP="00276B9C">
            <w:pPr>
              <w:ind w:right="113"/>
              <w:jc w:val="right"/>
              <w:rPr>
                <w:sz w:val="12"/>
                <w:szCs w:val="12"/>
              </w:rPr>
            </w:pPr>
            <w:r w:rsidRPr="00276B9C">
              <w:rPr>
                <w:sz w:val="12"/>
                <w:szCs w:val="12"/>
              </w:rPr>
              <w:t>1.7</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Manejo de desechos y servicios de remediación</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2.4</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3.8</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1.0</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10.2</w:t>
            </w:r>
          </w:p>
        </w:tc>
        <w:tc>
          <w:tcPr>
            <w:tcW w:w="659"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-2.9</w:t>
            </w:r>
          </w:p>
        </w:tc>
        <w:tc>
          <w:tcPr>
            <w:tcW w:w="631" w:type="dxa"/>
            <w:tcBorders>
              <w:top w:val="nil"/>
              <w:bottom w:val="nil"/>
            </w:tcBorders>
            <w:vAlign w:val="center"/>
          </w:tcPr>
          <w:p w:rsidR="00276B9C" w:rsidRPr="00276B9C" w:rsidRDefault="00276B9C" w:rsidP="00276B9C">
            <w:pPr>
              <w:jc w:val="right"/>
              <w:rPr>
                <w:sz w:val="12"/>
                <w:szCs w:val="12"/>
              </w:rPr>
            </w:pPr>
            <w:r w:rsidRPr="00276B9C">
              <w:rPr>
                <w:sz w:val="12"/>
                <w:szCs w:val="12"/>
              </w:rPr>
              <w:t>-5.9</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9.0</w:t>
            </w:r>
          </w:p>
        </w:tc>
        <w:tc>
          <w:tcPr>
            <w:tcW w:w="694"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0.0</w:t>
            </w:r>
          </w:p>
        </w:tc>
        <w:tc>
          <w:tcPr>
            <w:tcW w:w="717" w:type="dxa"/>
            <w:tcBorders>
              <w:top w:val="nil"/>
              <w:bottom w:val="nil"/>
            </w:tcBorders>
            <w:vAlign w:val="center"/>
          </w:tcPr>
          <w:p w:rsidR="00276B9C" w:rsidRPr="00276B9C" w:rsidRDefault="00276B9C" w:rsidP="00276B9C">
            <w:pPr>
              <w:jc w:val="right"/>
              <w:rPr>
                <w:sz w:val="12"/>
                <w:szCs w:val="12"/>
              </w:rPr>
            </w:pPr>
            <w:r w:rsidRPr="00276B9C">
              <w:rPr>
                <w:sz w:val="12"/>
                <w:szCs w:val="12"/>
              </w:rPr>
              <w:t>0.0</w:t>
            </w:r>
          </w:p>
        </w:tc>
        <w:tc>
          <w:tcPr>
            <w:tcW w:w="630"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0.0</w:t>
            </w:r>
          </w:p>
        </w:tc>
        <w:tc>
          <w:tcPr>
            <w:tcW w:w="703"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39.0</w:t>
            </w:r>
          </w:p>
        </w:tc>
        <w:tc>
          <w:tcPr>
            <w:tcW w:w="649" w:type="dxa"/>
            <w:tcBorders>
              <w:top w:val="nil"/>
              <w:bottom w:val="nil"/>
            </w:tcBorders>
            <w:vAlign w:val="center"/>
          </w:tcPr>
          <w:p w:rsidR="00276B9C" w:rsidRPr="00276B9C" w:rsidRDefault="00276B9C" w:rsidP="00276B9C">
            <w:pPr>
              <w:ind w:right="113"/>
              <w:jc w:val="right"/>
              <w:rPr>
                <w:sz w:val="12"/>
                <w:szCs w:val="12"/>
              </w:rPr>
            </w:pPr>
            <w:r w:rsidRPr="00276B9C">
              <w:rPr>
                <w:sz w:val="12"/>
                <w:szCs w:val="12"/>
              </w:rPr>
              <w:t>0.0</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b/>
                <w:sz w:val="12"/>
                <w:szCs w:val="12"/>
                <w:lang w:val="es-ES"/>
              </w:rPr>
            </w:pPr>
            <w:r w:rsidRPr="00276B9C">
              <w:rPr>
                <w:rFonts w:eastAsia="Times New Roman"/>
                <w:b/>
                <w:sz w:val="12"/>
                <w:szCs w:val="12"/>
                <w:lang w:val="es-ES"/>
              </w:rPr>
              <w:t>Servicios educativos</w:t>
            </w:r>
          </w:p>
        </w:tc>
        <w:tc>
          <w:tcPr>
            <w:tcW w:w="660" w:type="dxa"/>
            <w:tcBorders>
              <w:top w:val="nil"/>
              <w:bottom w:val="nil"/>
            </w:tcBorders>
            <w:vAlign w:val="bottom"/>
          </w:tcPr>
          <w:p w:rsidR="00276B9C" w:rsidRPr="00276B9C" w:rsidRDefault="00276B9C" w:rsidP="00276B9C">
            <w:pPr>
              <w:autoSpaceDE w:val="0"/>
              <w:autoSpaceDN w:val="0"/>
              <w:adjustRightInd w:val="0"/>
              <w:ind w:right="57"/>
              <w:jc w:val="right"/>
              <w:rPr>
                <w:b/>
                <w:sz w:val="12"/>
                <w:szCs w:val="12"/>
              </w:rPr>
            </w:pPr>
            <w:r w:rsidRPr="00276B9C">
              <w:rPr>
                <w:b/>
                <w:sz w:val="12"/>
                <w:szCs w:val="12"/>
              </w:rPr>
              <w:t>1.4</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39.8</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172.2</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5.1</w:t>
            </w:r>
          </w:p>
        </w:tc>
        <w:tc>
          <w:tcPr>
            <w:tcW w:w="659"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8.5</w:t>
            </w:r>
          </w:p>
        </w:tc>
        <w:tc>
          <w:tcPr>
            <w:tcW w:w="631" w:type="dxa"/>
            <w:tcBorders>
              <w:top w:val="nil"/>
              <w:bottom w:val="nil"/>
            </w:tcBorders>
            <w:vAlign w:val="bottom"/>
          </w:tcPr>
          <w:p w:rsidR="00276B9C" w:rsidRPr="00276B9C" w:rsidRDefault="00276B9C" w:rsidP="00276B9C">
            <w:pPr>
              <w:jc w:val="right"/>
              <w:rPr>
                <w:b/>
                <w:sz w:val="12"/>
                <w:szCs w:val="12"/>
              </w:rPr>
            </w:pPr>
            <w:r w:rsidRPr="00276B9C">
              <w:rPr>
                <w:b/>
                <w:sz w:val="12"/>
                <w:szCs w:val="12"/>
              </w:rPr>
              <w:t>12.1</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8.6</w:t>
            </w:r>
          </w:p>
        </w:tc>
        <w:tc>
          <w:tcPr>
            <w:tcW w:w="694"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14.6</w:t>
            </w:r>
          </w:p>
        </w:tc>
        <w:tc>
          <w:tcPr>
            <w:tcW w:w="717" w:type="dxa"/>
            <w:tcBorders>
              <w:top w:val="nil"/>
              <w:bottom w:val="nil"/>
            </w:tcBorders>
            <w:vAlign w:val="bottom"/>
          </w:tcPr>
          <w:p w:rsidR="00276B9C" w:rsidRPr="00276B9C" w:rsidRDefault="00276B9C" w:rsidP="00276B9C">
            <w:pPr>
              <w:jc w:val="right"/>
              <w:rPr>
                <w:b/>
                <w:sz w:val="12"/>
                <w:szCs w:val="12"/>
              </w:rPr>
            </w:pPr>
            <w:r w:rsidRPr="00276B9C">
              <w:rPr>
                <w:b/>
                <w:sz w:val="12"/>
                <w:szCs w:val="12"/>
              </w:rPr>
              <w:t>4.1</w:t>
            </w:r>
          </w:p>
        </w:tc>
        <w:tc>
          <w:tcPr>
            <w:tcW w:w="630"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0.0</w:t>
            </w:r>
          </w:p>
        </w:tc>
        <w:tc>
          <w:tcPr>
            <w:tcW w:w="703"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332.3</w:t>
            </w:r>
          </w:p>
        </w:tc>
        <w:tc>
          <w:tcPr>
            <w:tcW w:w="649" w:type="dxa"/>
            <w:tcBorders>
              <w:top w:val="nil"/>
              <w:bottom w:val="nil"/>
            </w:tcBorders>
            <w:vAlign w:val="bottom"/>
          </w:tcPr>
          <w:p w:rsidR="00276B9C" w:rsidRPr="00276B9C" w:rsidRDefault="00276B9C" w:rsidP="00276B9C">
            <w:pPr>
              <w:ind w:right="113"/>
              <w:jc w:val="right"/>
              <w:rPr>
                <w:b/>
                <w:sz w:val="12"/>
                <w:szCs w:val="12"/>
              </w:rPr>
            </w:pPr>
            <w:r w:rsidRPr="00276B9C">
              <w:rPr>
                <w:b/>
                <w:sz w:val="12"/>
                <w:szCs w:val="12"/>
              </w:rPr>
              <w:t>0.1</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Servicios educativos</w:t>
            </w:r>
          </w:p>
        </w:tc>
        <w:tc>
          <w:tcPr>
            <w:tcW w:w="660" w:type="dxa"/>
            <w:tcBorders>
              <w:top w:val="nil"/>
              <w:bottom w:val="nil"/>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1.4</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39.8</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172.2</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5.1</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8.5</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12.1</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8.6</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14.6</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4.1</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332.3</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0.1</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b/>
                <w:sz w:val="12"/>
                <w:szCs w:val="12"/>
                <w:lang w:val="es-ES"/>
              </w:rPr>
            </w:pPr>
            <w:r w:rsidRPr="00276B9C">
              <w:rPr>
                <w:rFonts w:eastAsia="Times New Roman"/>
                <w:b/>
                <w:sz w:val="12"/>
                <w:szCs w:val="12"/>
                <w:lang w:val="es-ES"/>
              </w:rPr>
              <w:t>Servicios de salud y asistencia social</w:t>
            </w:r>
          </w:p>
        </w:tc>
        <w:tc>
          <w:tcPr>
            <w:tcW w:w="660" w:type="dxa"/>
            <w:tcBorders>
              <w:top w:val="nil"/>
              <w:bottom w:val="nil"/>
            </w:tcBorders>
            <w:vAlign w:val="bottom"/>
          </w:tcPr>
          <w:p w:rsidR="00276B9C" w:rsidRPr="00276B9C" w:rsidRDefault="00276B9C" w:rsidP="00276B9C">
            <w:pPr>
              <w:autoSpaceDE w:val="0"/>
              <w:autoSpaceDN w:val="0"/>
              <w:adjustRightInd w:val="0"/>
              <w:ind w:right="57"/>
              <w:jc w:val="right"/>
              <w:rPr>
                <w:b/>
                <w:sz w:val="12"/>
                <w:szCs w:val="12"/>
              </w:rPr>
            </w:pPr>
            <w:r w:rsidRPr="00276B9C">
              <w:rPr>
                <w:b/>
                <w:sz w:val="12"/>
                <w:szCs w:val="12"/>
              </w:rPr>
              <w:t>4.9</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22.4</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21.2</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3.7</w:t>
            </w:r>
          </w:p>
        </w:tc>
        <w:tc>
          <w:tcPr>
            <w:tcW w:w="659"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5.5</w:t>
            </w:r>
          </w:p>
        </w:tc>
        <w:tc>
          <w:tcPr>
            <w:tcW w:w="631" w:type="dxa"/>
            <w:tcBorders>
              <w:top w:val="nil"/>
              <w:bottom w:val="nil"/>
            </w:tcBorders>
            <w:vAlign w:val="bottom"/>
          </w:tcPr>
          <w:p w:rsidR="00276B9C" w:rsidRPr="00276B9C" w:rsidRDefault="00276B9C" w:rsidP="00276B9C">
            <w:pPr>
              <w:jc w:val="right"/>
              <w:rPr>
                <w:b/>
                <w:sz w:val="12"/>
                <w:szCs w:val="12"/>
              </w:rPr>
            </w:pPr>
            <w:r w:rsidRPr="00276B9C">
              <w:rPr>
                <w:b/>
                <w:sz w:val="12"/>
                <w:szCs w:val="12"/>
              </w:rPr>
              <w:t>23.5</w:t>
            </w:r>
          </w:p>
        </w:tc>
        <w:tc>
          <w:tcPr>
            <w:tcW w:w="698"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42.8</w:t>
            </w:r>
          </w:p>
        </w:tc>
        <w:tc>
          <w:tcPr>
            <w:tcW w:w="694"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49.9</w:t>
            </w:r>
          </w:p>
        </w:tc>
        <w:tc>
          <w:tcPr>
            <w:tcW w:w="717" w:type="dxa"/>
            <w:tcBorders>
              <w:top w:val="nil"/>
              <w:bottom w:val="nil"/>
            </w:tcBorders>
            <w:vAlign w:val="bottom"/>
          </w:tcPr>
          <w:p w:rsidR="00276B9C" w:rsidRPr="00276B9C" w:rsidRDefault="00276B9C" w:rsidP="00276B9C">
            <w:pPr>
              <w:jc w:val="right"/>
              <w:rPr>
                <w:b/>
                <w:sz w:val="12"/>
                <w:szCs w:val="12"/>
              </w:rPr>
            </w:pPr>
            <w:r w:rsidRPr="00276B9C">
              <w:rPr>
                <w:b/>
                <w:sz w:val="12"/>
                <w:szCs w:val="12"/>
              </w:rPr>
              <w:t>-13.8</w:t>
            </w:r>
          </w:p>
        </w:tc>
        <w:tc>
          <w:tcPr>
            <w:tcW w:w="630"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-0.1</w:t>
            </w:r>
          </w:p>
        </w:tc>
        <w:tc>
          <w:tcPr>
            <w:tcW w:w="703" w:type="dxa"/>
            <w:tcBorders>
              <w:top w:val="nil"/>
              <w:bottom w:val="nil"/>
            </w:tcBorders>
            <w:vAlign w:val="bottom"/>
          </w:tcPr>
          <w:p w:rsidR="00276B9C" w:rsidRPr="00276B9C" w:rsidRDefault="00276B9C" w:rsidP="00276B9C">
            <w:pPr>
              <w:ind w:right="57"/>
              <w:jc w:val="right"/>
              <w:rPr>
                <w:b/>
                <w:sz w:val="12"/>
                <w:szCs w:val="12"/>
              </w:rPr>
            </w:pPr>
            <w:r w:rsidRPr="00276B9C">
              <w:rPr>
                <w:b/>
                <w:sz w:val="12"/>
                <w:szCs w:val="12"/>
              </w:rPr>
              <w:t>187.9</w:t>
            </w:r>
          </w:p>
        </w:tc>
        <w:tc>
          <w:tcPr>
            <w:tcW w:w="649" w:type="dxa"/>
            <w:tcBorders>
              <w:top w:val="nil"/>
              <w:bottom w:val="nil"/>
            </w:tcBorders>
            <w:vAlign w:val="bottom"/>
          </w:tcPr>
          <w:p w:rsidR="00276B9C" w:rsidRPr="00276B9C" w:rsidRDefault="00276B9C" w:rsidP="00276B9C">
            <w:pPr>
              <w:ind w:right="113"/>
              <w:jc w:val="right"/>
              <w:rPr>
                <w:b/>
                <w:sz w:val="12"/>
                <w:szCs w:val="12"/>
              </w:rPr>
            </w:pPr>
            <w:r w:rsidRPr="00276B9C">
              <w:rPr>
                <w:b/>
                <w:sz w:val="12"/>
                <w:szCs w:val="12"/>
              </w:rPr>
              <w:t>0.1</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Servicios médicos de consulta externa</w:t>
            </w:r>
          </w:p>
        </w:tc>
        <w:tc>
          <w:tcPr>
            <w:tcW w:w="660" w:type="dxa"/>
            <w:tcBorders>
              <w:top w:val="nil"/>
              <w:bottom w:val="nil"/>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4.9</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22.3</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18.0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3.7</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5.5</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22.3</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42.0</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43.8</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-13.8</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-0.1</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166.9</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0.0</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Hospitales</w:t>
            </w:r>
          </w:p>
        </w:tc>
        <w:tc>
          <w:tcPr>
            <w:tcW w:w="660" w:type="dxa"/>
            <w:tcBorders>
              <w:top w:val="nil"/>
              <w:bottom w:val="nil"/>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0.1</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3.2</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1.0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0.4</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6.1</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0.0</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20.4</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0.0</w:t>
            </w:r>
          </w:p>
        </w:tc>
      </w:tr>
      <w:tr w:rsidR="00276B9C" w:rsidRPr="00276B9C" w:rsidTr="0011560C">
        <w:trPr>
          <w:jc w:val="center"/>
        </w:trPr>
        <w:tc>
          <w:tcPr>
            <w:tcW w:w="2135" w:type="dxa"/>
            <w:gridSpan w:val="2"/>
            <w:tcBorders>
              <w:top w:val="nil"/>
              <w:bottom w:val="nil"/>
            </w:tcBorders>
            <w:vAlign w:val="bottom"/>
          </w:tcPr>
          <w:p w:rsidR="00276B9C" w:rsidRPr="00276B9C" w:rsidRDefault="00276B9C" w:rsidP="00276B9C">
            <w:pPr>
              <w:rPr>
                <w:rFonts w:eastAsia="Times New Roman"/>
                <w:sz w:val="12"/>
                <w:szCs w:val="12"/>
                <w:lang w:val="es-ES"/>
              </w:rPr>
            </w:pPr>
            <w:r w:rsidRPr="00276B9C">
              <w:rPr>
                <w:rFonts w:eastAsia="Times New Roman"/>
                <w:sz w:val="12"/>
                <w:szCs w:val="12"/>
                <w:lang w:val="es-ES"/>
              </w:rPr>
              <w:t>Residencias de asistencia social y para el cuidado de la salud</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98"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98"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98"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59"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31" w:type="dxa"/>
            <w:tcBorders>
              <w:top w:val="nil"/>
              <w:bottom w:val="nil"/>
            </w:tcBorders>
            <w:vAlign w:val="center"/>
          </w:tcPr>
          <w:p w:rsidR="00276B9C" w:rsidRPr="00276B9C" w:rsidRDefault="00276B9C" w:rsidP="00276B9C">
            <w:pPr>
              <w:autoSpaceDE w:val="0"/>
              <w:autoSpaceDN w:val="0"/>
              <w:adjustRightInd w:val="0"/>
              <w:jc w:val="right"/>
              <w:rPr>
                <w:sz w:val="12"/>
                <w:szCs w:val="12"/>
              </w:rPr>
            </w:pPr>
            <w:r w:rsidRPr="00276B9C">
              <w:rPr>
                <w:sz w:val="12"/>
                <w:szCs w:val="12"/>
              </w:rPr>
              <w:t>0.0</w:t>
            </w:r>
          </w:p>
        </w:tc>
        <w:tc>
          <w:tcPr>
            <w:tcW w:w="698"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94"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717" w:type="dxa"/>
            <w:tcBorders>
              <w:top w:val="nil"/>
              <w:bottom w:val="nil"/>
            </w:tcBorders>
            <w:vAlign w:val="center"/>
          </w:tcPr>
          <w:p w:rsidR="00276B9C" w:rsidRPr="00276B9C" w:rsidRDefault="00276B9C" w:rsidP="00276B9C">
            <w:pPr>
              <w:autoSpaceDE w:val="0"/>
              <w:autoSpaceDN w:val="0"/>
              <w:adjustRightInd w:val="0"/>
              <w:jc w:val="right"/>
              <w:rPr>
                <w:sz w:val="12"/>
                <w:szCs w:val="12"/>
              </w:rPr>
            </w:pPr>
            <w:r w:rsidRPr="00276B9C">
              <w:rPr>
                <w:sz w:val="12"/>
                <w:szCs w:val="12"/>
              </w:rPr>
              <w:t>0.0</w:t>
            </w:r>
          </w:p>
        </w:tc>
        <w:tc>
          <w:tcPr>
            <w:tcW w:w="630"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703"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49" w:type="dxa"/>
            <w:tcBorders>
              <w:top w:val="nil"/>
              <w:bottom w:val="nil"/>
            </w:tcBorders>
            <w:vAlign w:val="center"/>
          </w:tcPr>
          <w:p w:rsidR="00276B9C" w:rsidRPr="00276B9C" w:rsidRDefault="00276B9C" w:rsidP="00276B9C">
            <w:pPr>
              <w:autoSpaceDE w:val="0"/>
              <w:autoSpaceDN w:val="0"/>
              <w:adjustRightInd w:val="0"/>
              <w:ind w:right="113"/>
              <w:jc w:val="right"/>
              <w:rPr>
                <w:sz w:val="12"/>
                <w:szCs w:val="12"/>
              </w:rPr>
            </w:pPr>
            <w:r w:rsidRPr="00276B9C">
              <w:rPr>
                <w:sz w:val="12"/>
                <w:szCs w:val="12"/>
              </w:rPr>
              <w:t>0.0</w:t>
            </w:r>
          </w:p>
        </w:tc>
      </w:tr>
      <w:tr w:rsidR="00276B9C" w:rsidRPr="00276B9C" w:rsidTr="0011560C">
        <w:trPr>
          <w:jc w:val="center"/>
        </w:trPr>
        <w:tc>
          <w:tcPr>
            <w:tcW w:w="2135" w:type="dxa"/>
            <w:gridSpan w:val="2"/>
            <w:tcBorders>
              <w:top w:val="nil"/>
              <w:bottom w:val="nil"/>
            </w:tcBorders>
            <w:vAlign w:val="bottom"/>
          </w:tcPr>
          <w:p w:rsidR="00276B9C" w:rsidRPr="00276B9C" w:rsidRDefault="00276B9C" w:rsidP="00276B9C">
            <w:pPr>
              <w:rPr>
                <w:rFonts w:eastAsia="Times New Roman"/>
                <w:sz w:val="12"/>
                <w:szCs w:val="12"/>
                <w:lang w:val="es-ES"/>
              </w:rPr>
            </w:pPr>
            <w:r w:rsidRPr="00276B9C">
              <w:rPr>
                <w:rFonts w:eastAsia="Times New Roman"/>
                <w:sz w:val="12"/>
                <w:szCs w:val="12"/>
                <w:lang w:val="es-ES"/>
              </w:rPr>
              <w:t>Otros servicios de asistencia social</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98"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98"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98"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59"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31" w:type="dxa"/>
            <w:tcBorders>
              <w:top w:val="nil"/>
              <w:bottom w:val="nil"/>
            </w:tcBorders>
            <w:vAlign w:val="center"/>
          </w:tcPr>
          <w:p w:rsidR="00276B9C" w:rsidRPr="00276B9C" w:rsidRDefault="00276B9C" w:rsidP="00276B9C">
            <w:pPr>
              <w:jc w:val="right"/>
              <w:rPr>
                <w:sz w:val="12"/>
                <w:szCs w:val="12"/>
              </w:rPr>
            </w:pPr>
            <w:r w:rsidRPr="00276B9C">
              <w:rPr>
                <w:sz w:val="12"/>
                <w:szCs w:val="12"/>
              </w:rPr>
              <w:t>0.1</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0.4</w:t>
            </w:r>
          </w:p>
        </w:tc>
        <w:tc>
          <w:tcPr>
            <w:tcW w:w="694"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0.0</w:t>
            </w:r>
          </w:p>
        </w:tc>
        <w:tc>
          <w:tcPr>
            <w:tcW w:w="717" w:type="dxa"/>
            <w:tcBorders>
              <w:top w:val="nil"/>
              <w:bottom w:val="nil"/>
            </w:tcBorders>
            <w:vAlign w:val="center"/>
          </w:tcPr>
          <w:p w:rsidR="00276B9C" w:rsidRPr="00276B9C" w:rsidRDefault="00276B9C" w:rsidP="00276B9C">
            <w:pPr>
              <w:jc w:val="right"/>
              <w:rPr>
                <w:sz w:val="12"/>
                <w:szCs w:val="12"/>
              </w:rPr>
            </w:pPr>
            <w:r w:rsidRPr="00276B9C">
              <w:rPr>
                <w:sz w:val="12"/>
                <w:szCs w:val="12"/>
              </w:rPr>
              <w:t>0.0</w:t>
            </w:r>
          </w:p>
        </w:tc>
        <w:tc>
          <w:tcPr>
            <w:tcW w:w="630"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0.0</w:t>
            </w:r>
          </w:p>
        </w:tc>
        <w:tc>
          <w:tcPr>
            <w:tcW w:w="703"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0.5</w:t>
            </w:r>
          </w:p>
        </w:tc>
        <w:tc>
          <w:tcPr>
            <w:tcW w:w="649" w:type="dxa"/>
            <w:tcBorders>
              <w:top w:val="nil"/>
              <w:bottom w:val="nil"/>
            </w:tcBorders>
            <w:vAlign w:val="center"/>
          </w:tcPr>
          <w:p w:rsidR="00276B9C" w:rsidRPr="00276B9C" w:rsidRDefault="00276B9C" w:rsidP="00276B9C">
            <w:pPr>
              <w:ind w:right="113"/>
              <w:jc w:val="right"/>
              <w:rPr>
                <w:sz w:val="12"/>
                <w:szCs w:val="12"/>
              </w:rPr>
            </w:pPr>
            <w:r w:rsidRPr="00276B9C">
              <w:rPr>
                <w:sz w:val="12"/>
                <w:szCs w:val="12"/>
              </w:rPr>
              <w:t>0.0</w:t>
            </w:r>
          </w:p>
        </w:tc>
      </w:tr>
      <w:tr w:rsidR="00276B9C" w:rsidRPr="00276B9C" w:rsidTr="0011560C">
        <w:trPr>
          <w:jc w:val="center"/>
        </w:trPr>
        <w:tc>
          <w:tcPr>
            <w:tcW w:w="2135" w:type="dxa"/>
            <w:gridSpan w:val="2"/>
            <w:tcBorders>
              <w:top w:val="nil"/>
              <w:bottom w:val="nil"/>
            </w:tcBorders>
            <w:vAlign w:val="bottom"/>
          </w:tcPr>
          <w:p w:rsidR="00276B9C" w:rsidRPr="00276B9C" w:rsidRDefault="00276B9C" w:rsidP="00276B9C">
            <w:pPr>
              <w:rPr>
                <w:rFonts w:eastAsia="Times New Roman"/>
                <w:b/>
                <w:sz w:val="12"/>
                <w:szCs w:val="12"/>
                <w:lang w:val="es-ES"/>
              </w:rPr>
            </w:pPr>
            <w:r w:rsidRPr="00276B9C">
              <w:rPr>
                <w:rFonts w:eastAsia="Times New Roman"/>
                <w:b/>
                <w:sz w:val="12"/>
                <w:szCs w:val="12"/>
                <w:lang w:val="es-ES"/>
              </w:rPr>
              <w:t>Servicios de esparcimiento, culturales y deportivos</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b/>
                <w:sz w:val="12"/>
                <w:szCs w:val="12"/>
              </w:rPr>
            </w:pPr>
            <w:r w:rsidRPr="00276B9C">
              <w:rPr>
                <w:b/>
                <w:sz w:val="12"/>
                <w:szCs w:val="12"/>
              </w:rPr>
              <w:t>54.6</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269.1</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-9.7</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69.2</w:t>
            </w:r>
          </w:p>
        </w:tc>
        <w:tc>
          <w:tcPr>
            <w:tcW w:w="659"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38.9</w:t>
            </w:r>
          </w:p>
        </w:tc>
        <w:tc>
          <w:tcPr>
            <w:tcW w:w="631" w:type="dxa"/>
            <w:tcBorders>
              <w:top w:val="nil"/>
              <w:bottom w:val="nil"/>
            </w:tcBorders>
            <w:vAlign w:val="center"/>
          </w:tcPr>
          <w:p w:rsidR="00276B9C" w:rsidRPr="00276B9C" w:rsidRDefault="00276B9C" w:rsidP="00276B9C">
            <w:pPr>
              <w:jc w:val="right"/>
              <w:rPr>
                <w:b/>
                <w:sz w:val="12"/>
                <w:szCs w:val="12"/>
              </w:rPr>
            </w:pPr>
            <w:r w:rsidRPr="00276B9C">
              <w:rPr>
                <w:b/>
                <w:sz w:val="12"/>
                <w:szCs w:val="12"/>
              </w:rPr>
              <w:t>108.7</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4.9</w:t>
            </w:r>
          </w:p>
        </w:tc>
        <w:tc>
          <w:tcPr>
            <w:tcW w:w="694"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28.8</w:t>
            </w:r>
          </w:p>
        </w:tc>
        <w:tc>
          <w:tcPr>
            <w:tcW w:w="717" w:type="dxa"/>
            <w:tcBorders>
              <w:top w:val="nil"/>
              <w:bottom w:val="nil"/>
            </w:tcBorders>
            <w:vAlign w:val="center"/>
          </w:tcPr>
          <w:p w:rsidR="00276B9C" w:rsidRPr="00276B9C" w:rsidRDefault="00276B9C" w:rsidP="00276B9C">
            <w:pPr>
              <w:jc w:val="right"/>
              <w:rPr>
                <w:b/>
                <w:sz w:val="12"/>
                <w:szCs w:val="12"/>
              </w:rPr>
            </w:pPr>
            <w:r w:rsidRPr="00276B9C">
              <w:rPr>
                <w:b/>
                <w:sz w:val="12"/>
                <w:szCs w:val="12"/>
              </w:rPr>
              <w:t>85.5</w:t>
            </w:r>
          </w:p>
        </w:tc>
        <w:tc>
          <w:tcPr>
            <w:tcW w:w="630"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0.4</w:t>
            </w:r>
          </w:p>
        </w:tc>
        <w:tc>
          <w:tcPr>
            <w:tcW w:w="703"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745.7</w:t>
            </w:r>
          </w:p>
        </w:tc>
        <w:tc>
          <w:tcPr>
            <w:tcW w:w="649" w:type="dxa"/>
            <w:tcBorders>
              <w:top w:val="nil"/>
              <w:bottom w:val="nil"/>
            </w:tcBorders>
            <w:vAlign w:val="center"/>
          </w:tcPr>
          <w:p w:rsidR="00276B9C" w:rsidRPr="00276B9C" w:rsidRDefault="00276B9C" w:rsidP="00276B9C">
            <w:pPr>
              <w:ind w:right="113"/>
              <w:jc w:val="right"/>
              <w:rPr>
                <w:b/>
                <w:sz w:val="12"/>
                <w:szCs w:val="12"/>
              </w:rPr>
            </w:pPr>
            <w:r w:rsidRPr="00276B9C">
              <w:rPr>
                <w:b/>
                <w:sz w:val="12"/>
                <w:szCs w:val="12"/>
              </w:rPr>
              <w:t>0.2</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 xml:space="preserve">Servicios artísticos y deportivos </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0.1</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251.2</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-19.5</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0.0</w:t>
            </w:r>
          </w:p>
        </w:tc>
        <w:tc>
          <w:tcPr>
            <w:tcW w:w="659"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0.1</w:t>
            </w:r>
          </w:p>
        </w:tc>
        <w:tc>
          <w:tcPr>
            <w:tcW w:w="631" w:type="dxa"/>
            <w:tcBorders>
              <w:top w:val="nil"/>
              <w:bottom w:val="nil"/>
            </w:tcBorders>
            <w:vAlign w:val="center"/>
          </w:tcPr>
          <w:p w:rsidR="00276B9C" w:rsidRPr="00276B9C" w:rsidRDefault="00276B9C" w:rsidP="00276B9C">
            <w:pPr>
              <w:jc w:val="right"/>
              <w:rPr>
                <w:sz w:val="12"/>
                <w:szCs w:val="12"/>
              </w:rPr>
            </w:pPr>
            <w:r w:rsidRPr="00276B9C">
              <w:rPr>
                <w:sz w:val="12"/>
                <w:szCs w:val="12"/>
              </w:rPr>
              <w:t>3.4</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-1.8</w:t>
            </w:r>
          </w:p>
        </w:tc>
        <w:tc>
          <w:tcPr>
            <w:tcW w:w="694"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21.7</w:t>
            </w:r>
          </w:p>
        </w:tc>
        <w:tc>
          <w:tcPr>
            <w:tcW w:w="717" w:type="dxa"/>
            <w:tcBorders>
              <w:top w:val="nil"/>
              <w:bottom w:val="nil"/>
            </w:tcBorders>
            <w:vAlign w:val="center"/>
          </w:tcPr>
          <w:p w:rsidR="00276B9C" w:rsidRPr="00276B9C" w:rsidRDefault="00276B9C" w:rsidP="00276B9C">
            <w:pPr>
              <w:jc w:val="right"/>
              <w:rPr>
                <w:sz w:val="12"/>
                <w:szCs w:val="12"/>
              </w:rPr>
            </w:pPr>
            <w:r w:rsidRPr="00276B9C">
              <w:rPr>
                <w:sz w:val="12"/>
                <w:szCs w:val="12"/>
              </w:rPr>
              <w:t>0.0</w:t>
            </w:r>
          </w:p>
        </w:tc>
        <w:tc>
          <w:tcPr>
            <w:tcW w:w="630"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0.0</w:t>
            </w:r>
          </w:p>
        </w:tc>
        <w:tc>
          <w:tcPr>
            <w:tcW w:w="703"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259.5</w:t>
            </w:r>
          </w:p>
        </w:tc>
        <w:tc>
          <w:tcPr>
            <w:tcW w:w="649" w:type="dxa"/>
            <w:tcBorders>
              <w:top w:val="nil"/>
              <w:bottom w:val="nil"/>
            </w:tcBorders>
            <w:vAlign w:val="center"/>
          </w:tcPr>
          <w:p w:rsidR="00276B9C" w:rsidRPr="00276B9C" w:rsidRDefault="00276B9C" w:rsidP="00276B9C">
            <w:pPr>
              <w:ind w:right="113"/>
              <w:jc w:val="right"/>
              <w:rPr>
                <w:sz w:val="12"/>
                <w:szCs w:val="12"/>
              </w:rPr>
            </w:pPr>
            <w:r w:rsidRPr="00276B9C">
              <w:rPr>
                <w:sz w:val="12"/>
                <w:szCs w:val="12"/>
              </w:rPr>
              <w:t>0.1</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Entretenimiento en instalaciones recreativas</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54.6</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17.9</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9.8</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69.2</w:t>
            </w:r>
          </w:p>
        </w:tc>
        <w:tc>
          <w:tcPr>
            <w:tcW w:w="659"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38.8</w:t>
            </w:r>
          </w:p>
        </w:tc>
        <w:tc>
          <w:tcPr>
            <w:tcW w:w="631" w:type="dxa"/>
            <w:tcBorders>
              <w:top w:val="nil"/>
              <w:bottom w:val="nil"/>
            </w:tcBorders>
            <w:vAlign w:val="center"/>
          </w:tcPr>
          <w:p w:rsidR="00276B9C" w:rsidRPr="00276B9C" w:rsidRDefault="00276B9C" w:rsidP="00276B9C">
            <w:pPr>
              <w:jc w:val="right"/>
              <w:rPr>
                <w:sz w:val="12"/>
                <w:szCs w:val="12"/>
              </w:rPr>
            </w:pPr>
            <w:r w:rsidRPr="00276B9C">
              <w:rPr>
                <w:sz w:val="12"/>
                <w:szCs w:val="12"/>
              </w:rPr>
              <w:t>105.3</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6.6</w:t>
            </w:r>
          </w:p>
        </w:tc>
        <w:tc>
          <w:tcPr>
            <w:tcW w:w="694"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7.1</w:t>
            </w:r>
          </w:p>
        </w:tc>
        <w:tc>
          <w:tcPr>
            <w:tcW w:w="717" w:type="dxa"/>
            <w:tcBorders>
              <w:top w:val="nil"/>
              <w:bottom w:val="nil"/>
            </w:tcBorders>
            <w:vAlign w:val="center"/>
          </w:tcPr>
          <w:p w:rsidR="00276B9C" w:rsidRPr="00276B9C" w:rsidRDefault="00276B9C" w:rsidP="00276B9C">
            <w:pPr>
              <w:jc w:val="right"/>
              <w:rPr>
                <w:sz w:val="12"/>
                <w:szCs w:val="12"/>
              </w:rPr>
            </w:pPr>
            <w:r w:rsidRPr="00276B9C">
              <w:rPr>
                <w:sz w:val="12"/>
                <w:szCs w:val="12"/>
              </w:rPr>
              <w:t>85.5</w:t>
            </w:r>
          </w:p>
        </w:tc>
        <w:tc>
          <w:tcPr>
            <w:tcW w:w="630"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0.4</w:t>
            </w:r>
          </w:p>
        </w:tc>
        <w:tc>
          <w:tcPr>
            <w:tcW w:w="703"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486.2</w:t>
            </w:r>
          </w:p>
        </w:tc>
        <w:tc>
          <w:tcPr>
            <w:tcW w:w="649" w:type="dxa"/>
            <w:tcBorders>
              <w:top w:val="nil"/>
              <w:bottom w:val="nil"/>
            </w:tcBorders>
            <w:vAlign w:val="center"/>
          </w:tcPr>
          <w:p w:rsidR="00276B9C" w:rsidRPr="00276B9C" w:rsidRDefault="00276B9C" w:rsidP="00276B9C">
            <w:pPr>
              <w:ind w:right="113"/>
              <w:jc w:val="right"/>
              <w:rPr>
                <w:sz w:val="12"/>
                <w:szCs w:val="12"/>
              </w:rPr>
            </w:pPr>
            <w:r w:rsidRPr="00276B9C">
              <w:rPr>
                <w:sz w:val="12"/>
                <w:szCs w:val="12"/>
              </w:rPr>
              <w:t>0.1</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b/>
                <w:sz w:val="12"/>
                <w:szCs w:val="12"/>
                <w:lang w:val="es-ES"/>
              </w:rPr>
            </w:pPr>
            <w:r w:rsidRPr="00276B9C">
              <w:rPr>
                <w:rFonts w:eastAsia="Times New Roman"/>
                <w:b/>
                <w:sz w:val="12"/>
                <w:szCs w:val="12"/>
                <w:lang w:val="es-ES"/>
              </w:rPr>
              <w:t>Servicios de alojamiento temporal y preparación de alimentos y bebidas</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b/>
                <w:sz w:val="12"/>
                <w:szCs w:val="12"/>
              </w:rPr>
            </w:pPr>
            <w:r w:rsidRPr="00276B9C">
              <w:rPr>
                <w:b/>
                <w:sz w:val="12"/>
                <w:szCs w:val="12"/>
              </w:rPr>
              <w:t>1 281.4</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1 875.8</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156.6</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373.3</w:t>
            </w:r>
          </w:p>
        </w:tc>
        <w:tc>
          <w:tcPr>
            <w:tcW w:w="659"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844.0</w:t>
            </w:r>
          </w:p>
        </w:tc>
        <w:tc>
          <w:tcPr>
            <w:tcW w:w="631" w:type="dxa"/>
            <w:tcBorders>
              <w:top w:val="nil"/>
              <w:bottom w:val="nil"/>
            </w:tcBorders>
            <w:vAlign w:val="center"/>
          </w:tcPr>
          <w:p w:rsidR="00276B9C" w:rsidRPr="00276B9C" w:rsidRDefault="00276B9C" w:rsidP="00276B9C">
            <w:pPr>
              <w:jc w:val="right"/>
              <w:rPr>
                <w:b/>
                <w:sz w:val="12"/>
                <w:szCs w:val="12"/>
              </w:rPr>
            </w:pPr>
            <w:r w:rsidRPr="00276B9C">
              <w:rPr>
                <w:b/>
                <w:sz w:val="12"/>
                <w:szCs w:val="12"/>
              </w:rPr>
              <w:t>956.5</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1 214.1</w:t>
            </w:r>
          </w:p>
        </w:tc>
        <w:tc>
          <w:tcPr>
            <w:tcW w:w="694"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1 078.5</w:t>
            </w:r>
          </w:p>
        </w:tc>
        <w:tc>
          <w:tcPr>
            <w:tcW w:w="717" w:type="dxa"/>
            <w:tcBorders>
              <w:top w:val="nil"/>
              <w:bottom w:val="nil"/>
            </w:tcBorders>
            <w:vAlign w:val="center"/>
          </w:tcPr>
          <w:p w:rsidR="00276B9C" w:rsidRPr="00276B9C" w:rsidRDefault="00276B9C" w:rsidP="00276B9C">
            <w:pPr>
              <w:jc w:val="right"/>
              <w:rPr>
                <w:b/>
                <w:sz w:val="12"/>
                <w:szCs w:val="12"/>
              </w:rPr>
            </w:pPr>
            <w:r w:rsidRPr="00276B9C">
              <w:rPr>
                <w:b/>
                <w:sz w:val="12"/>
                <w:szCs w:val="12"/>
              </w:rPr>
              <w:t>825.4</w:t>
            </w:r>
          </w:p>
        </w:tc>
        <w:tc>
          <w:tcPr>
            <w:tcW w:w="630"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3.7</w:t>
            </w:r>
          </w:p>
        </w:tc>
        <w:tc>
          <w:tcPr>
            <w:tcW w:w="703"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13 103.5</w:t>
            </w:r>
          </w:p>
        </w:tc>
        <w:tc>
          <w:tcPr>
            <w:tcW w:w="649" w:type="dxa"/>
            <w:tcBorders>
              <w:top w:val="nil"/>
              <w:bottom w:val="nil"/>
            </w:tcBorders>
            <w:vAlign w:val="center"/>
          </w:tcPr>
          <w:p w:rsidR="00276B9C" w:rsidRPr="00276B9C" w:rsidRDefault="00276B9C" w:rsidP="00276B9C">
            <w:pPr>
              <w:ind w:right="113"/>
              <w:jc w:val="right"/>
              <w:rPr>
                <w:b/>
                <w:sz w:val="12"/>
                <w:szCs w:val="12"/>
              </w:rPr>
            </w:pPr>
            <w:r w:rsidRPr="00276B9C">
              <w:rPr>
                <w:b/>
                <w:sz w:val="12"/>
                <w:szCs w:val="12"/>
              </w:rPr>
              <w:t>3.5</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Servicios de alojamiento temporal</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1 296.9</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1 534.2</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481.7</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362.5</w:t>
            </w:r>
          </w:p>
        </w:tc>
        <w:tc>
          <w:tcPr>
            <w:tcW w:w="659"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675.9</w:t>
            </w:r>
          </w:p>
        </w:tc>
        <w:tc>
          <w:tcPr>
            <w:tcW w:w="631" w:type="dxa"/>
            <w:tcBorders>
              <w:top w:val="nil"/>
              <w:bottom w:val="nil"/>
            </w:tcBorders>
            <w:vAlign w:val="center"/>
          </w:tcPr>
          <w:p w:rsidR="00276B9C" w:rsidRPr="00276B9C" w:rsidRDefault="00276B9C" w:rsidP="00276B9C">
            <w:pPr>
              <w:jc w:val="right"/>
              <w:rPr>
                <w:sz w:val="12"/>
                <w:szCs w:val="12"/>
              </w:rPr>
            </w:pPr>
            <w:r w:rsidRPr="00276B9C">
              <w:rPr>
                <w:sz w:val="12"/>
                <w:szCs w:val="12"/>
              </w:rPr>
              <w:t>744.0</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1 157.2</w:t>
            </w:r>
          </w:p>
        </w:tc>
        <w:tc>
          <w:tcPr>
            <w:tcW w:w="694"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1 071.1</w:t>
            </w:r>
          </w:p>
        </w:tc>
        <w:tc>
          <w:tcPr>
            <w:tcW w:w="717" w:type="dxa"/>
            <w:tcBorders>
              <w:top w:val="nil"/>
              <w:bottom w:val="nil"/>
            </w:tcBorders>
            <w:vAlign w:val="center"/>
          </w:tcPr>
          <w:p w:rsidR="00276B9C" w:rsidRPr="00276B9C" w:rsidRDefault="00276B9C" w:rsidP="00276B9C">
            <w:pPr>
              <w:jc w:val="right"/>
              <w:rPr>
                <w:sz w:val="12"/>
                <w:szCs w:val="12"/>
              </w:rPr>
            </w:pPr>
            <w:r w:rsidRPr="00276B9C">
              <w:rPr>
                <w:sz w:val="12"/>
                <w:szCs w:val="12"/>
              </w:rPr>
              <w:t>821.4</w:t>
            </w:r>
          </w:p>
        </w:tc>
        <w:tc>
          <w:tcPr>
            <w:tcW w:w="630"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3.6</w:t>
            </w:r>
          </w:p>
        </w:tc>
        <w:tc>
          <w:tcPr>
            <w:tcW w:w="703"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12 228.9</w:t>
            </w:r>
          </w:p>
        </w:tc>
        <w:tc>
          <w:tcPr>
            <w:tcW w:w="649" w:type="dxa"/>
            <w:tcBorders>
              <w:top w:val="nil"/>
              <w:bottom w:val="nil"/>
            </w:tcBorders>
            <w:vAlign w:val="center"/>
          </w:tcPr>
          <w:p w:rsidR="00276B9C" w:rsidRPr="00276B9C" w:rsidRDefault="00276B9C" w:rsidP="00276B9C">
            <w:pPr>
              <w:ind w:right="113"/>
              <w:jc w:val="right"/>
              <w:rPr>
                <w:sz w:val="12"/>
                <w:szCs w:val="12"/>
              </w:rPr>
            </w:pPr>
            <w:r w:rsidRPr="00276B9C">
              <w:rPr>
                <w:sz w:val="12"/>
                <w:szCs w:val="12"/>
              </w:rPr>
              <w:t>3.3</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Servicios de preparación de alimentos y bebidas</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-15.5</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341.6</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-325.1</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10.7</w:t>
            </w:r>
          </w:p>
        </w:tc>
        <w:tc>
          <w:tcPr>
            <w:tcW w:w="659"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168.1</w:t>
            </w:r>
          </w:p>
        </w:tc>
        <w:tc>
          <w:tcPr>
            <w:tcW w:w="631" w:type="dxa"/>
            <w:tcBorders>
              <w:top w:val="nil"/>
              <w:bottom w:val="nil"/>
            </w:tcBorders>
            <w:vAlign w:val="center"/>
          </w:tcPr>
          <w:p w:rsidR="00276B9C" w:rsidRPr="00276B9C" w:rsidRDefault="00276B9C" w:rsidP="00276B9C">
            <w:pPr>
              <w:jc w:val="right"/>
              <w:rPr>
                <w:sz w:val="12"/>
                <w:szCs w:val="12"/>
              </w:rPr>
            </w:pPr>
            <w:r w:rsidRPr="00276B9C">
              <w:rPr>
                <w:sz w:val="12"/>
                <w:szCs w:val="12"/>
              </w:rPr>
              <w:t>212.5</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56.9</w:t>
            </w:r>
          </w:p>
        </w:tc>
        <w:tc>
          <w:tcPr>
            <w:tcW w:w="694"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7.3</w:t>
            </w:r>
          </w:p>
        </w:tc>
        <w:tc>
          <w:tcPr>
            <w:tcW w:w="717" w:type="dxa"/>
            <w:tcBorders>
              <w:top w:val="nil"/>
              <w:bottom w:val="nil"/>
            </w:tcBorders>
            <w:vAlign w:val="center"/>
          </w:tcPr>
          <w:p w:rsidR="00276B9C" w:rsidRPr="00276B9C" w:rsidRDefault="00276B9C" w:rsidP="00276B9C">
            <w:pPr>
              <w:jc w:val="right"/>
              <w:rPr>
                <w:sz w:val="12"/>
                <w:szCs w:val="12"/>
              </w:rPr>
            </w:pPr>
            <w:r w:rsidRPr="00276B9C">
              <w:rPr>
                <w:sz w:val="12"/>
                <w:szCs w:val="12"/>
              </w:rPr>
              <w:t>4.0</w:t>
            </w:r>
          </w:p>
        </w:tc>
        <w:tc>
          <w:tcPr>
            <w:tcW w:w="630"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0.0</w:t>
            </w:r>
          </w:p>
        </w:tc>
        <w:tc>
          <w:tcPr>
            <w:tcW w:w="703"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874.7</w:t>
            </w:r>
          </w:p>
        </w:tc>
        <w:tc>
          <w:tcPr>
            <w:tcW w:w="649" w:type="dxa"/>
            <w:tcBorders>
              <w:top w:val="nil"/>
              <w:bottom w:val="nil"/>
            </w:tcBorders>
            <w:vAlign w:val="center"/>
          </w:tcPr>
          <w:p w:rsidR="00276B9C" w:rsidRPr="00276B9C" w:rsidRDefault="00276B9C" w:rsidP="00276B9C">
            <w:pPr>
              <w:ind w:right="113"/>
              <w:jc w:val="right"/>
              <w:rPr>
                <w:sz w:val="12"/>
                <w:szCs w:val="12"/>
              </w:rPr>
            </w:pPr>
            <w:r w:rsidRPr="00276B9C">
              <w:rPr>
                <w:sz w:val="12"/>
                <w:szCs w:val="12"/>
              </w:rPr>
              <w:t>0.2</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b/>
                <w:sz w:val="12"/>
                <w:szCs w:val="12"/>
                <w:lang w:val="es-ES"/>
              </w:rPr>
            </w:pPr>
            <w:r w:rsidRPr="00276B9C">
              <w:rPr>
                <w:rFonts w:eastAsia="Times New Roman"/>
                <w:b/>
                <w:sz w:val="12"/>
                <w:szCs w:val="12"/>
                <w:lang w:val="es-ES"/>
              </w:rPr>
              <w:t>Otros servicios excepto actividades del gobierno</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b/>
                <w:sz w:val="12"/>
                <w:szCs w:val="12"/>
              </w:rPr>
            </w:pPr>
            <w:r w:rsidRPr="00276B9C">
              <w:rPr>
                <w:b/>
                <w:sz w:val="12"/>
                <w:szCs w:val="12"/>
              </w:rPr>
              <w:t>11.8</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78.8</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76.3</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76.6</w:t>
            </w:r>
          </w:p>
        </w:tc>
        <w:tc>
          <w:tcPr>
            <w:tcW w:w="659"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34.7</w:t>
            </w:r>
          </w:p>
        </w:tc>
        <w:tc>
          <w:tcPr>
            <w:tcW w:w="631" w:type="dxa"/>
            <w:tcBorders>
              <w:top w:val="nil"/>
              <w:bottom w:val="nil"/>
            </w:tcBorders>
            <w:vAlign w:val="center"/>
          </w:tcPr>
          <w:p w:rsidR="00276B9C" w:rsidRPr="00276B9C" w:rsidRDefault="00276B9C" w:rsidP="00276B9C">
            <w:pPr>
              <w:jc w:val="right"/>
              <w:rPr>
                <w:b/>
                <w:sz w:val="12"/>
                <w:szCs w:val="12"/>
              </w:rPr>
            </w:pPr>
            <w:r w:rsidRPr="00276B9C">
              <w:rPr>
                <w:b/>
                <w:sz w:val="12"/>
                <w:szCs w:val="12"/>
              </w:rPr>
              <w:t>61.6</w:t>
            </w:r>
          </w:p>
        </w:tc>
        <w:tc>
          <w:tcPr>
            <w:tcW w:w="698"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38.5</w:t>
            </w:r>
          </w:p>
        </w:tc>
        <w:tc>
          <w:tcPr>
            <w:tcW w:w="694"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76.3</w:t>
            </w:r>
          </w:p>
        </w:tc>
        <w:tc>
          <w:tcPr>
            <w:tcW w:w="717" w:type="dxa"/>
            <w:tcBorders>
              <w:top w:val="nil"/>
              <w:bottom w:val="nil"/>
            </w:tcBorders>
            <w:vAlign w:val="center"/>
          </w:tcPr>
          <w:p w:rsidR="00276B9C" w:rsidRPr="00276B9C" w:rsidRDefault="00276B9C" w:rsidP="00276B9C">
            <w:pPr>
              <w:jc w:val="right"/>
              <w:rPr>
                <w:b/>
                <w:sz w:val="12"/>
                <w:szCs w:val="12"/>
              </w:rPr>
            </w:pPr>
            <w:r w:rsidRPr="00276B9C">
              <w:rPr>
                <w:b/>
                <w:sz w:val="12"/>
                <w:szCs w:val="12"/>
              </w:rPr>
              <w:t>101.6</w:t>
            </w:r>
          </w:p>
        </w:tc>
        <w:tc>
          <w:tcPr>
            <w:tcW w:w="630"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0.4</w:t>
            </w:r>
          </w:p>
        </w:tc>
        <w:tc>
          <w:tcPr>
            <w:tcW w:w="703" w:type="dxa"/>
            <w:tcBorders>
              <w:top w:val="nil"/>
              <w:bottom w:val="nil"/>
            </w:tcBorders>
            <w:vAlign w:val="center"/>
          </w:tcPr>
          <w:p w:rsidR="00276B9C" w:rsidRPr="00276B9C" w:rsidRDefault="00276B9C" w:rsidP="00276B9C">
            <w:pPr>
              <w:ind w:right="57"/>
              <w:jc w:val="right"/>
              <w:rPr>
                <w:b/>
                <w:sz w:val="12"/>
                <w:szCs w:val="12"/>
              </w:rPr>
            </w:pPr>
            <w:r w:rsidRPr="00276B9C">
              <w:rPr>
                <w:b/>
                <w:sz w:val="12"/>
                <w:szCs w:val="12"/>
              </w:rPr>
              <w:t>923.2</w:t>
            </w:r>
          </w:p>
        </w:tc>
        <w:tc>
          <w:tcPr>
            <w:tcW w:w="649" w:type="dxa"/>
            <w:tcBorders>
              <w:top w:val="nil"/>
              <w:bottom w:val="nil"/>
            </w:tcBorders>
            <w:vAlign w:val="center"/>
          </w:tcPr>
          <w:p w:rsidR="00276B9C" w:rsidRPr="00276B9C" w:rsidRDefault="00276B9C" w:rsidP="00276B9C">
            <w:pPr>
              <w:ind w:right="113"/>
              <w:jc w:val="right"/>
              <w:rPr>
                <w:b/>
                <w:sz w:val="12"/>
                <w:szCs w:val="12"/>
              </w:rPr>
            </w:pPr>
            <w:r w:rsidRPr="00276B9C">
              <w:rPr>
                <w:b/>
                <w:sz w:val="12"/>
                <w:szCs w:val="12"/>
              </w:rPr>
              <w:t>0.2</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Servicios de reparación y mantenimiento</w:t>
            </w:r>
          </w:p>
        </w:tc>
        <w:tc>
          <w:tcPr>
            <w:tcW w:w="660" w:type="dxa"/>
            <w:tcBorders>
              <w:top w:val="nil"/>
              <w:bottom w:val="nil"/>
            </w:tcBorders>
            <w:vAlign w:val="center"/>
          </w:tcPr>
          <w:p w:rsidR="00276B9C" w:rsidRPr="00276B9C" w:rsidRDefault="00276B9C" w:rsidP="00276B9C">
            <w:pPr>
              <w:autoSpaceDE w:val="0"/>
              <w:autoSpaceDN w:val="0"/>
              <w:adjustRightInd w:val="0"/>
              <w:ind w:right="57"/>
              <w:jc w:val="right"/>
              <w:rPr>
                <w:sz w:val="12"/>
                <w:szCs w:val="12"/>
              </w:rPr>
            </w:pPr>
            <w:r w:rsidRPr="00276B9C">
              <w:rPr>
                <w:sz w:val="12"/>
                <w:szCs w:val="12"/>
              </w:rPr>
              <w:t>6.4</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36.6</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34.3</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76.6</w:t>
            </w:r>
          </w:p>
        </w:tc>
        <w:tc>
          <w:tcPr>
            <w:tcW w:w="659"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30.8</w:t>
            </w:r>
          </w:p>
        </w:tc>
        <w:tc>
          <w:tcPr>
            <w:tcW w:w="631" w:type="dxa"/>
            <w:tcBorders>
              <w:top w:val="nil"/>
              <w:bottom w:val="nil"/>
            </w:tcBorders>
            <w:vAlign w:val="center"/>
          </w:tcPr>
          <w:p w:rsidR="00276B9C" w:rsidRPr="00276B9C" w:rsidRDefault="00276B9C" w:rsidP="00276B9C">
            <w:pPr>
              <w:jc w:val="right"/>
              <w:rPr>
                <w:sz w:val="12"/>
                <w:szCs w:val="12"/>
              </w:rPr>
            </w:pPr>
            <w:r w:rsidRPr="00276B9C">
              <w:rPr>
                <w:sz w:val="12"/>
                <w:szCs w:val="12"/>
              </w:rPr>
              <w:t>61.5</w:t>
            </w:r>
          </w:p>
        </w:tc>
        <w:tc>
          <w:tcPr>
            <w:tcW w:w="698"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37.0</w:t>
            </w:r>
          </w:p>
        </w:tc>
        <w:tc>
          <w:tcPr>
            <w:tcW w:w="694"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64.4</w:t>
            </w:r>
          </w:p>
        </w:tc>
        <w:tc>
          <w:tcPr>
            <w:tcW w:w="717" w:type="dxa"/>
            <w:tcBorders>
              <w:top w:val="nil"/>
              <w:bottom w:val="nil"/>
            </w:tcBorders>
            <w:vAlign w:val="center"/>
          </w:tcPr>
          <w:p w:rsidR="00276B9C" w:rsidRPr="00276B9C" w:rsidRDefault="00276B9C" w:rsidP="00276B9C">
            <w:pPr>
              <w:jc w:val="right"/>
              <w:rPr>
                <w:sz w:val="12"/>
                <w:szCs w:val="12"/>
              </w:rPr>
            </w:pPr>
            <w:r w:rsidRPr="00276B9C">
              <w:rPr>
                <w:sz w:val="12"/>
                <w:szCs w:val="12"/>
              </w:rPr>
              <w:t>83.7</w:t>
            </w:r>
          </w:p>
        </w:tc>
        <w:tc>
          <w:tcPr>
            <w:tcW w:w="630"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0.4</w:t>
            </w:r>
          </w:p>
        </w:tc>
        <w:tc>
          <w:tcPr>
            <w:tcW w:w="703" w:type="dxa"/>
            <w:tcBorders>
              <w:top w:val="nil"/>
              <w:bottom w:val="nil"/>
            </w:tcBorders>
            <w:vAlign w:val="center"/>
          </w:tcPr>
          <w:p w:rsidR="00276B9C" w:rsidRPr="00276B9C" w:rsidRDefault="00276B9C" w:rsidP="00276B9C">
            <w:pPr>
              <w:ind w:right="57"/>
              <w:jc w:val="right"/>
              <w:rPr>
                <w:sz w:val="12"/>
                <w:szCs w:val="12"/>
              </w:rPr>
            </w:pPr>
            <w:r w:rsidRPr="00276B9C">
              <w:rPr>
                <w:sz w:val="12"/>
                <w:szCs w:val="12"/>
              </w:rPr>
              <w:t>715.1</w:t>
            </w:r>
          </w:p>
        </w:tc>
        <w:tc>
          <w:tcPr>
            <w:tcW w:w="649" w:type="dxa"/>
            <w:tcBorders>
              <w:top w:val="nil"/>
              <w:bottom w:val="nil"/>
            </w:tcBorders>
            <w:vAlign w:val="center"/>
          </w:tcPr>
          <w:p w:rsidR="00276B9C" w:rsidRPr="00276B9C" w:rsidRDefault="00276B9C" w:rsidP="00276B9C">
            <w:pPr>
              <w:ind w:right="113"/>
              <w:jc w:val="right"/>
              <w:rPr>
                <w:sz w:val="12"/>
                <w:szCs w:val="12"/>
              </w:rPr>
            </w:pPr>
            <w:r w:rsidRPr="00276B9C">
              <w:rPr>
                <w:sz w:val="12"/>
                <w:szCs w:val="12"/>
              </w:rPr>
              <w:t>0.2</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rFonts w:eastAsia="Times New Roman"/>
                <w:sz w:val="12"/>
                <w:szCs w:val="12"/>
                <w:lang w:val="es-ES"/>
              </w:rPr>
            </w:pPr>
            <w:r w:rsidRPr="00276B9C">
              <w:rPr>
                <w:rFonts w:eastAsia="Times New Roman"/>
                <w:sz w:val="12"/>
                <w:szCs w:val="12"/>
                <w:lang w:val="es-ES"/>
              </w:rPr>
              <w:t>Servicios personales</w:t>
            </w:r>
          </w:p>
        </w:tc>
        <w:tc>
          <w:tcPr>
            <w:tcW w:w="660" w:type="dxa"/>
            <w:tcBorders>
              <w:top w:val="nil"/>
              <w:bottom w:val="nil"/>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0.2</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41.0</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38.3</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-1.1</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4.2</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0.4</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1.6</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11.9</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17.2</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0.1</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194.1</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0.1</w:t>
            </w:r>
          </w:p>
        </w:tc>
      </w:tr>
      <w:tr w:rsidR="00276B9C" w:rsidRPr="00276B9C" w:rsidTr="0011560C">
        <w:trPr>
          <w:jc w:val="center"/>
        </w:trPr>
        <w:tc>
          <w:tcPr>
            <w:tcW w:w="2135" w:type="dxa"/>
            <w:gridSpan w:val="2"/>
            <w:tcBorders>
              <w:top w:val="nil"/>
              <w:bottom w:val="nil"/>
            </w:tcBorders>
          </w:tcPr>
          <w:p w:rsidR="00276B9C" w:rsidRPr="00276B9C" w:rsidRDefault="00276B9C" w:rsidP="00276B9C">
            <w:pPr>
              <w:rPr>
                <w:sz w:val="12"/>
                <w:szCs w:val="12"/>
                <w:lang w:val="es-ES"/>
              </w:rPr>
            </w:pPr>
            <w:r w:rsidRPr="00276B9C">
              <w:rPr>
                <w:sz w:val="12"/>
                <w:szCs w:val="12"/>
                <w:lang w:val="es-ES"/>
              </w:rPr>
              <w:t>Asociaciones y organizaciones</w:t>
            </w:r>
          </w:p>
        </w:tc>
        <w:tc>
          <w:tcPr>
            <w:tcW w:w="660" w:type="dxa"/>
            <w:tcBorders>
              <w:top w:val="nil"/>
              <w:bottom w:val="nil"/>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5.3</w:t>
            </w:r>
          </w:p>
        </w:tc>
        <w:tc>
          <w:tcPr>
            <w:tcW w:w="698" w:type="dxa"/>
            <w:tcBorders>
              <w:top w:val="nil"/>
              <w:bottom w:val="nil"/>
            </w:tcBorders>
            <w:vAlign w:val="bottom"/>
          </w:tcPr>
          <w:p w:rsidR="00276B9C" w:rsidRPr="00276B9C" w:rsidRDefault="00276B9C" w:rsidP="00276B9C">
            <w:pPr>
              <w:ind w:right="57"/>
              <w:jc w:val="right"/>
              <w:rPr>
                <w:sz w:val="12"/>
                <w:szCs w:val="12"/>
                <w:lang w:val="es-ES"/>
              </w:rPr>
            </w:pPr>
            <w:r w:rsidRPr="00276B9C">
              <w:rPr>
                <w:sz w:val="12"/>
                <w:szCs w:val="12"/>
                <w:lang w:val="es-ES"/>
              </w:rPr>
              <w:t>1.3</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3.7</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1.1</w:t>
            </w:r>
          </w:p>
        </w:tc>
        <w:tc>
          <w:tcPr>
            <w:tcW w:w="659"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-0.2</w:t>
            </w:r>
          </w:p>
        </w:tc>
        <w:tc>
          <w:tcPr>
            <w:tcW w:w="631" w:type="dxa"/>
            <w:tcBorders>
              <w:top w:val="nil"/>
              <w:bottom w:val="nil"/>
            </w:tcBorders>
            <w:vAlign w:val="bottom"/>
          </w:tcPr>
          <w:p w:rsidR="00276B9C" w:rsidRPr="00276B9C" w:rsidRDefault="00276B9C" w:rsidP="00276B9C">
            <w:pPr>
              <w:jc w:val="right"/>
              <w:rPr>
                <w:sz w:val="12"/>
                <w:szCs w:val="12"/>
              </w:rPr>
            </w:pPr>
            <w:r w:rsidRPr="00276B9C">
              <w:rPr>
                <w:sz w:val="12"/>
                <w:szCs w:val="12"/>
              </w:rPr>
              <w:t>-0.3</w:t>
            </w:r>
          </w:p>
        </w:tc>
        <w:tc>
          <w:tcPr>
            <w:tcW w:w="698"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-0.1</w:t>
            </w:r>
          </w:p>
        </w:tc>
        <w:tc>
          <w:tcPr>
            <w:tcW w:w="694"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0.1</w:t>
            </w:r>
          </w:p>
        </w:tc>
        <w:tc>
          <w:tcPr>
            <w:tcW w:w="717" w:type="dxa"/>
            <w:tcBorders>
              <w:top w:val="nil"/>
              <w:bottom w:val="nil"/>
            </w:tcBorders>
            <w:vAlign w:val="bottom"/>
          </w:tcPr>
          <w:p w:rsidR="00276B9C" w:rsidRPr="00276B9C" w:rsidRDefault="00276B9C" w:rsidP="00276B9C">
            <w:pPr>
              <w:jc w:val="right"/>
              <w:rPr>
                <w:sz w:val="12"/>
                <w:szCs w:val="12"/>
              </w:rPr>
            </w:pPr>
            <w:r w:rsidRPr="00276B9C">
              <w:rPr>
                <w:sz w:val="12"/>
                <w:szCs w:val="12"/>
              </w:rPr>
              <w:t>0.6</w:t>
            </w:r>
          </w:p>
        </w:tc>
        <w:tc>
          <w:tcPr>
            <w:tcW w:w="630"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0.0</w:t>
            </w:r>
          </w:p>
        </w:tc>
        <w:tc>
          <w:tcPr>
            <w:tcW w:w="703" w:type="dxa"/>
            <w:tcBorders>
              <w:top w:val="nil"/>
              <w:bottom w:val="nil"/>
            </w:tcBorders>
            <w:vAlign w:val="bottom"/>
          </w:tcPr>
          <w:p w:rsidR="00276B9C" w:rsidRPr="00276B9C" w:rsidRDefault="00276B9C" w:rsidP="00276B9C">
            <w:pPr>
              <w:ind w:right="57"/>
              <w:jc w:val="right"/>
              <w:rPr>
                <w:sz w:val="12"/>
                <w:szCs w:val="12"/>
              </w:rPr>
            </w:pPr>
            <w:r w:rsidRPr="00276B9C">
              <w:rPr>
                <w:sz w:val="12"/>
                <w:szCs w:val="12"/>
              </w:rPr>
              <w:t>13.9</w:t>
            </w:r>
          </w:p>
        </w:tc>
        <w:tc>
          <w:tcPr>
            <w:tcW w:w="649" w:type="dxa"/>
            <w:tcBorders>
              <w:top w:val="nil"/>
              <w:bottom w:val="nil"/>
            </w:tcBorders>
            <w:vAlign w:val="bottom"/>
          </w:tcPr>
          <w:p w:rsidR="00276B9C" w:rsidRPr="00276B9C" w:rsidRDefault="00276B9C" w:rsidP="00276B9C">
            <w:pPr>
              <w:ind w:right="113"/>
              <w:jc w:val="right"/>
              <w:rPr>
                <w:sz w:val="12"/>
                <w:szCs w:val="12"/>
              </w:rPr>
            </w:pPr>
            <w:r w:rsidRPr="00276B9C">
              <w:rPr>
                <w:sz w:val="12"/>
                <w:szCs w:val="12"/>
              </w:rPr>
              <w:t>0.0</w:t>
            </w:r>
          </w:p>
        </w:tc>
      </w:tr>
      <w:tr w:rsidR="00276B9C" w:rsidRPr="00276B9C" w:rsidTr="0011560C">
        <w:trPr>
          <w:jc w:val="center"/>
        </w:trPr>
        <w:tc>
          <w:tcPr>
            <w:tcW w:w="2135" w:type="dxa"/>
            <w:gridSpan w:val="2"/>
            <w:tcBorders>
              <w:top w:val="nil"/>
              <w:bottom w:val="single" w:sz="4" w:space="0" w:color="auto"/>
            </w:tcBorders>
          </w:tcPr>
          <w:p w:rsidR="00276B9C" w:rsidRPr="00276B9C" w:rsidRDefault="00276B9C" w:rsidP="00276B9C">
            <w:pPr>
              <w:rPr>
                <w:sz w:val="12"/>
                <w:szCs w:val="12"/>
                <w:lang w:val="es-ES"/>
              </w:rPr>
            </w:pPr>
            <w:r w:rsidRPr="00276B9C">
              <w:rPr>
                <w:sz w:val="12"/>
                <w:szCs w:val="12"/>
                <w:lang w:val="es-ES"/>
              </w:rPr>
              <w:t>Hogares con empleados domésticos</w:t>
            </w:r>
          </w:p>
        </w:tc>
        <w:tc>
          <w:tcPr>
            <w:tcW w:w="660" w:type="dxa"/>
            <w:tcBorders>
              <w:top w:val="nil"/>
              <w:bottom w:val="single" w:sz="4" w:space="0" w:color="auto"/>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98" w:type="dxa"/>
            <w:tcBorders>
              <w:top w:val="nil"/>
              <w:bottom w:val="single" w:sz="4" w:space="0" w:color="auto"/>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98" w:type="dxa"/>
            <w:tcBorders>
              <w:top w:val="nil"/>
              <w:bottom w:val="single" w:sz="4" w:space="0" w:color="auto"/>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98" w:type="dxa"/>
            <w:tcBorders>
              <w:top w:val="nil"/>
              <w:bottom w:val="single" w:sz="4" w:space="0" w:color="auto"/>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59" w:type="dxa"/>
            <w:tcBorders>
              <w:top w:val="nil"/>
              <w:bottom w:val="single" w:sz="4" w:space="0" w:color="auto"/>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31" w:type="dxa"/>
            <w:tcBorders>
              <w:top w:val="nil"/>
              <w:bottom w:val="single" w:sz="4" w:space="0" w:color="auto"/>
            </w:tcBorders>
            <w:vAlign w:val="bottom"/>
          </w:tcPr>
          <w:p w:rsidR="00276B9C" w:rsidRPr="00276B9C" w:rsidRDefault="00276B9C" w:rsidP="00276B9C">
            <w:pPr>
              <w:autoSpaceDE w:val="0"/>
              <w:autoSpaceDN w:val="0"/>
              <w:adjustRightInd w:val="0"/>
              <w:jc w:val="right"/>
              <w:rPr>
                <w:sz w:val="12"/>
                <w:szCs w:val="12"/>
              </w:rPr>
            </w:pPr>
            <w:r w:rsidRPr="00276B9C">
              <w:rPr>
                <w:sz w:val="12"/>
                <w:szCs w:val="12"/>
              </w:rPr>
              <w:t>0.0</w:t>
            </w:r>
          </w:p>
        </w:tc>
        <w:tc>
          <w:tcPr>
            <w:tcW w:w="698" w:type="dxa"/>
            <w:tcBorders>
              <w:top w:val="nil"/>
              <w:bottom w:val="single" w:sz="4" w:space="0" w:color="auto"/>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694" w:type="dxa"/>
            <w:tcBorders>
              <w:top w:val="nil"/>
              <w:bottom w:val="single" w:sz="4" w:space="0" w:color="auto"/>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717" w:type="dxa"/>
            <w:tcBorders>
              <w:top w:val="nil"/>
              <w:bottom w:val="single" w:sz="4" w:space="0" w:color="auto"/>
            </w:tcBorders>
            <w:vAlign w:val="bottom"/>
          </w:tcPr>
          <w:p w:rsidR="00276B9C" w:rsidRPr="00276B9C" w:rsidRDefault="00276B9C" w:rsidP="007B7E95">
            <w:pPr>
              <w:jc w:val="right"/>
              <w:rPr>
                <w:sz w:val="12"/>
                <w:szCs w:val="12"/>
              </w:rPr>
            </w:pPr>
            <w:r w:rsidRPr="00276B9C">
              <w:rPr>
                <w:sz w:val="12"/>
                <w:szCs w:val="12"/>
              </w:rPr>
              <w:t>0.0</w:t>
            </w:r>
          </w:p>
        </w:tc>
        <w:tc>
          <w:tcPr>
            <w:tcW w:w="630" w:type="dxa"/>
            <w:tcBorders>
              <w:top w:val="nil"/>
              <w:bottom w:val="single" w:sz="4" w:space="0" w:color="auto"/>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0.0</w:t>
            </w:r>
          </w:p>
        </w:tc>
        <w:tc>
          <w:tcPr>
            <w:tcW w:w="703" w:type="dxa"/>
            <w:tcBorders>
              <w:top w:val="nil"/>
              <w:bottom w:val="single" w:sz="4" w:space="0" w:color="auto"/>
            </w:tcBorders>
            <w:vAlign w:val="bottom"/>
          </w:tcPr>
          <w:p w:rsidR="00276B9C" w:rsidRPr="00276B9C" w:rsidRDefault="00276B9C" w:rsidP="00276B9C">
            <w:pPr>
              <w:autoSpaceDE w:val="0"/>
              <w:autoSpaceDN w:val="0"/>
              <w:adjustRightInd w:val="0"/>
              <w:ind w:right="57"/>
              <w:jc w:val="right"/>
              <w:rPr>
                <w:sz w:val="12"/>
                <w:szCs w:val="12"/>
              </w:rPr>
            </w:pPr>
            <w:r w:rsidRPr="00276B9C">
              <w:rPr>
                <w:sz w:val="12"/>
                <w:szCs w:val="12"/>
              </w:rPr>
              <w:t>0.1</w:t>
            </w:r>
          </w:p>
        </w:tc>
        <w:tc>
          <w:tcPr>
            <w:tcW w:w="649" w:type="dxa"/>
            <w:tcBorders>
              <w:top w:val="nil"/>
              <w:bottom w:val="single" w:sz="4" w:space="0" w:color="auto"/>
            </w:tcBorders>
            <w:vAlign w:val="bottom"/>
          </w:tcPr>
          <w:p w:rsidR="00276B9C" w:rsidRPr="00276B9C" w:rsidRDefault="00276B9C" w:rsidP="00276B9C">
            <w:pPr>
              <w:ind w:right="113"/>
              <w:jc w:val="right"/>
              <w:rPr>
                <w:sz w:val="12"/>
                <w:szCs w:val="12"/>
              </w:rPr>
            </w:pPr>
            <w:r w:rsidRPr="00276B9C">
              <w:rPr>
                <w:sz w:val="12"/>
                <w:szCs w:val="12"/>
              </w:rPr>
              <w:t>0.0</w:t>
            </w:r>
          </w:p>
        </w:tc>
      </w:tr>
      <w:tr w:rsidR="00276B9C" w:rsidRPr="00276B9C" w:rsidTr="001E7D79">
        <w:trPr>
          <w:jc w:val="center"/>
        </w:trPr>
        <w:tc>
          <w:tcPr>
            <w:tcW w:w="10270" w:type="dxa"/>
            <w:gridSpan w:val="14"/>
            <w:tcBorders>
              <w:left w:val="nil"/>
              <w:bottom w:val="nil"/>
              <w:right w:val="nil"/>
            </w:tcBorders>
          </w:tcPr>
          <w:p w:rsidR="00276B9C" w:rsidRPr="00276B9C" w:rsidRDefault="00276B9C" w:rsidP="00276B9C">
            <w:pPr>
              <w:ind w:left="312" w:right="57" w:hanging="312"/>
              <w:jc w:val="both"/>
              <w:rPr>
                <w:sz w:val="12"/>
                <w:szCs w:val="12"/>
              </w:rPr>
            </w:pPr>
            <w:r w:rsidRPr="00276B9C">
              <w:rPr>
                <w:sz w:val="12"/>
                <w:szCs w:val="12"/>
              </w:rPr>
              <w:t>Nota: Los sectores corresponden con el Sistema de Clasificación Industrial de América del Norte (SCIAN). La suma de los parciales puede diferir de los totales debido al redondeo que efectúa la hoja de cálculo.</w:t>
            </w:r>
          </w:p>
          <w:p w:rsidR="00276B9C" w:rsidRPr="00276B9C" w:rsidRDefault="00276B9C" w:rsidP="00276B9C">
            <w:pPr>
              <w:ind w:right="113"/>
              <w:jc w:val="both"/>
              <w:rPr>
                <w:rFonts w:eastAsia="Times New Roman"/>
                <w:bCs/>
                <w:sz w:val="12"/>
                <w:szCs w:val="12"/>
              </w:rPr>
            </w:pPr>
            <w:r w:rsidRPr="00276B9C">
              <w:rPr>
                <w:sz w:val="12"/>
                <w:szCs w:val="12"/>
                <w:u w:val="single"/>
              </w:rPr>
              <w:t>1</w:t>
            </w:r>
            <w:r w:rsidRPr="00276B9C">
              <w:rPr>
                <w:sz w:val="12"/>
                <w:szCs w:val="12"/>
              </w:rPr>
              <w:t>/ Cifras notificadas y actualizadas al 31 de diciembre de 2014.</w:t>
            </w:r>
            <w:r w:rsidRPr="00276B9C">
              <w:rPr>
                <w:rFonts w:eastAsia="Times New Roman"/>
                <w:bCs/>
                <w:sz w:val="12"/>
                <w:szCs w:val="12"/>
              </w:rPr>
              <w:t xml:space="preserve"> Por tanto las cifras de cada año presentan distintos períodos de actualización.</w:t>
            </w:r>
          </w:p>
          <w:p w:rsidR="00276B9C" w:rsidRPr="00276B9C" w:rsidRDefault="00276B9C" w:rsidP="00276B9C">
            <w:pPr>
              <w:ind w:right="57"/>
              <w:jc w:val="both"/>
              <w:rPr>
                <w:sz w:val="12"/>
                <w:szCs w:val="12"/>
              </w:rPr>
            </w:pPr>
            <w:r w:rsidRPr="00276B9C">
              <w:rPr>
                <w:sz w:val="12"/>
                <w:szCs w:val="12"/>
                <w:u w:val="single"/>
              </w:rPr>
              <w:t>2</w:t>
            </w:r>
            <w:r w:rsidRPr="00276B9C">
              <w:rPr>
                <w:sz w:val="12"/>
                <w:szCs w:val="12"/>
              </w:rPr>
              <w:t>/ Del 1° de enero de 2000 al 31 de diciembre de 2014.</w:t>
            </w:r>
          </w:p>
          <w:p w:rsidR="00276B9C" w:rsidRPr="00276B9C" w:rsidRDefault="00276B9C" w:rsidP="00276B9C">
            <w:pPr>
              <w:ind w:right="57"/>
              <w:jc w:val="both"/>
              <w:rPr>
                <w:sz w:val="12"/>
                <w:szCs w:val="12"/>
              </w:rPr>
            </w:pPr>
            <w:r w:rsidRPr="00276B9C">
              <w:rPr>
                <w:sz w:val="12"/>
                <w:szCs w:val="12"/>
              </w:rPr>
              <w:t>FUENTE: Secretaría de Economía.</w:t>
            </w:r>
          </w:p>
        </w:tc>
      </w:tr>
    </w:tbl>
    <w:p w:rsidR="00276B9C" w:rsidRDefault="00276B9C" w:rsidP="00276B9C">
      <w:pPr>
        <w:spacing w:after="360" w:line="360" w:lineRule="auto"/>
        <w:ind w:right="-159"/>
        <w:rPr>
          <w:rFonts w:eastAsia="Calibri"/>
          <w:sz w:val="26"/>
          <w:szCs w:val="26"/>
          <w:lang w:eastAsia="en-US"/>
        </w:rPr>
      </w:pPr>
    </w:p>
    <w:p w:rsidR="0011560C" w:rsidRDefault="0011560C" w:rsidP="00276B9C">
      <w:pPr>
        <w:spacing w:after="360" w:line="360" w:lineRule="auto"/>
        <w:ind w:right="-159"/>
        <w:rPr>
          <w:rFonts w:eastAsia="Calibri"/>
          <w:sz w:val="26"/>
          <w:szCs w:val="26"/>
          <w:lang w:eastAsia="en-US"/>
        </w:rPr>
      </w:pPr>
    </w:p>
    <w:p w:rsidR="0011560C" w:rsidRPr="00276B9C" w:rsidRDefault="0011560C" w:rsidP="00276B9C">
      <w:pPr>
        <w:spacing w:after="360" w:line="360" w:lineRule="auto"/>
        <w:ind w:right="-159"/>
        <w:rPr>
          <w:rFonts w:eastAsia="Calibri"/>
          <w:sz w:val="26"/>
          <w:szCs w:val="26"/>
          <w:lang w:eastAsia="en-US"/>
        </w:rPr>
      </w:pPr>
    </w:p>
    <w:tbl>
      <w:tblPr>
        <w:tblW w:w="10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1"/>
        <w:gridCol w:w="648"/>
        <w:gridCol w:w="709"/>
        <w:gridCol w:w="708"/>
        <w:gridCol w:w="709"/>
        <w:gridCol w:w="709"/>
        <w:gridCol w:w="709"/>
        <w:gridCol w:w="708"/>
        <w:gridCol w:w="752"/>
        <w:gridCol w:w="708"/>
        <w:gridCol w:w="728"/>
        <w:gridCol w:w="708"/>
        <w:gridCol w:w="709"/>
      </w:tblGrid>
      <w:tr w:rsidR="00276B9C" w:rsidRPr="00276B9C" w:rsidTr="00F723CA">
        <w:trPr>
          <w:jc w:val="center"/>
        </w:trPr>
        <w:tc>
          <w:tcPr>
            <w:tcW w:w="10416" w:type="dxa"/>
            <w:gridSpan w:val="13"/>
            <w:tcBorders>
              <w:top w:val="nil"/>
              <w:left w:val="nil"/>
              <w:bottom w:val="single" w:sz="4" w:space="0" w:color="auto"/>
              <w:right w:val="nil"/>
            </w:tcBorders>
            <w:shd w:val="clear" w:color="auto" w:fill="auto"/>
            <w:vAlign w:val="center"/>
          </w:tcPr>
          <w:p w:rsidR="00276B9C" w:rsidRPr="00276B9C" w:rsidRDefault="00276B9C" w:rsidP="00276B9C">
            <w:pPr>
              <w:jc w:val="center"/>
              <w:rPr>
                <w:rFonts w:eastAsia="Calibri"/>
                <w:b/>
                <w:sz w:val="14"/>
                <w:szCs w:val="14"/>
                <w:lang w:eastAsia="en-US"/>
              </w:rPr>
            </w:pPr>
            <w:r w:rsidRPr="00276B9C">
              <w:rPr>
                <w:rFonts w:eastAsia="Calibri"/>
                <w:b/>
                <w:sz w:val="14"/>
                <w:szCs w:val="14"/>
                <w:lang w:eastAsia="en-US"/>
              </w:rPr>
              <w:lastRenderedPageBreak/>
              <w:t xml:space="preserve">INVERSIÓN EXTRANJERA DIRECTA EN MÉXICO REALIZADA </w:t>
            </w:r>
          </w:p>
          <w:p w:rsidR="00276B9C" w:rsidRPr="00276B9C" w:rsidRDefault="00276B9C" w:rsidP="00276B9C">
            <w:pPr>
              <w:jc w:val="center"/>
              <w:rPr>
                <w:rFonts w:eastAsia="Calibri"/>
                <w:b/>
                <w:sz w:val="14"/>
                <w:szCs w:val="14"/>
                <w:vertAlign w:val="superscript"/>
                <w:lang w:eastAsia="en-US"/>
              </w:rPr>
            </w:pPr>
            <w:r w:rsidRPr="00276B9C">
              <w:rPr>
                <w:rFonts w:eastAsia="Calibri"/>
                <w:b/>
                <w:sz w:val="14"/>
                <w:szCs w:val="14"/>
                <w:lang w:eastAsia="en-US"/>
              </w:rPr>
              <w:t>POR PAÍSES Y ÁREAS ECONÓMICAS</w:t>
            </w:r>
            <w:r w:rsidRPr="00276B9C">
              <w:rPr>
                <w:rFonts w:eastAsia="Calibri"/>
                <w:b/>
                <w:sz w:val="14"/>
                <w:szCs w:val="14"/>
                <w:u w:val="single"/>
                <w:vertAlign w:val="superscript"/>
                <w:lang w:eastAsia="en-US"/>
              </w:rPr>
              <w:t>1</w:t>
            </w:r>
            <w:r w:rsidRPr="00276B9C">
              <w:rPr>
                <w:rFonts w:eastAsia="Calibri"/>
                <w:b/>
                <w:sz w:val="14"/>
                <w:szCs w:val="14"/>
                <w:vertAlign w:val="superscript"/>
                <w:lang w:eastAsia="en-US"/>
              </w:rPr>
              <w:t>/</w:t>
            </w:r>
          </w:p>
          <w:p w:rsidR="00276B9C" w:rsidRPr="00276B9C" w:rsidRDefault="00276B9C" w:rsidP="00276B9C">
            <w:pPr>
              <w:ind w:right="-57"/>
              <w:jc w:val="center"/>
              <w:rPr>
                <w:rFonts w:eastAsia="Calibri"/>
                <w:b/>
                <w:sz w:val="12"/>
                <w:szCs w:val="12"/>
                <w:lang w:eastAsia="en-US"/>
              </w:rPr>
            </w:pPr>
            <w:r w:rsidRPr="00276B9C">
              <w:rPr>
                <w:rFonts w:eastAsia="Calibri"/>
                <w:b/>
                <w:sz w:val="14"/>
                <w:szCs w:val="14"/>
                <w:lang w:eastAsia="en-US"/>
              </w:rPr>
              <w:t>-Millones de dólares-</w:t>
            </w:r>
          </w:p>
        </w:tc>
      </w:tr>
      <w:tr w:rsidR="00276B9C" w:rsidRPr="00276B9C" w:rsidTr="0011560C">
        <w:trPr>
          <w:jc w:val="center"/>
        </w:trPr>
        <w:tc>
          <w:tcPr>
            <w:tcW w:w="1911" w:type="dxa"/>
            <w:vMerge w:val="restart"/>
            <w:tcBorders>
              <w:top w:val="single" w:sz="4" w:space="0" w:color="auto"/>
              <w:bottom w:val="single" w:sz="4" w:space="0" w:color="auto"/>
            </w:tcBorders>
            <w:shd w:val="clear" w:color="auto" w:fill="auto"/>
            <w:vAlign w:val="center"/>
          </w:tcPr>
          <w:p w:rsidR="00276B9C" w:rsidRPr="00276B9C" w:rsidRDefault="00276B9C" w:rsidP="00276B9C">
            <w:pPr>
              <w:jc w:val="center"/>
              <w:rPr>
                <w:rFonts w:eastAsia="Calibri"/>
                <w:b/>
                <w:sz w:val="12"/>
                <w:szCs w:val="12"/>
                <w:lang w:eastAsia="en-US"/>
              </w:rPr>
            </w:pPr>
          </w:p>
        </w:tc>
        <w:tc>
          <w:tcPr>
            <w:tcW w:w="648" w:type="dxa"/>
            <w:vMerge w:val="restart"/>
            <w:tcBorders>
              <w:top w:val="single" w:sz="4" w:space="0" w:color="auto"/>
              <w:bottom w:val="single" w:sz="4" w:space="0" w:color="auto"/>
            </w:tcBorders>
            <w:shd w:val="clear" w:color="auto" w:fill="auto"/>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2006</w:t>
            </w:r>
          </w:p>
        </w:tc>
        <w:tc>
          <w:tcPr>
            <w:tcW w:w="709" w:type="dxa"/>
            <w:vMerge w:val="restart"/>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2007</w:t>
            </w:r>
          </w:p>
        </w:tc>
        <w:tc>
          <w:tcPr>
            <w:tcW w:w="708" w:type="dxa"/>
            <w:vMerge w:val="restart"/>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2008</w:t>
            </w:r>
          </w:p>
        </w:tc>
        <w:tc>
          <w:tcPr>
            <w:tcW w:w="709" w:type="dxa"/>
            <w:vMerge w:val="restart"/>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2009</w:t>
            </w:r>
          </w:p>
        </w:tc>
        <w:tc>
          <w:tcPr>
            <w:tcW w:w="709" w:type="dxa"/>
            <w:vMerge w:val="restart"/>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2010</w:t>
            </w:r>
          </w:p>
        </w:tc>
        <w:tc>
          <w:tcPr>
            <w:tcW w:w="709" w:type="dxa"/>
            <w:vMerge w:val="restart"/>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2011</w:t>
            </w:r>
          </w:p>
        </w:tc>
        <w:tc>
          <w:tcPr>
            <w:tcW w:w="708" w:type="dxa"/>
            <w:vMerge w:val="restart"/>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2012</w:t>
            </w:r>
          </w:p>
        </w:tc>
        <w:tc>
          <w:tcPr>
            <w:tcW w:w="752" w:type="dxa"/>
            <w:vMerge w:val="restart"/>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2013</w:t>
            </w:r>
          </w:p>
        </w:tc>
        <w:tc>
          <w:tcPr>
            <w:tcW w:w="1436" w:type="dxa"/>
            <w:gridSpan w:val="2"/>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2014</w:t>
            </w:r>
          </w:p>
        </w:tc>
        <w:tc>
          <w:tcPr>
            <w:tcW w:w="1417" w:type="dxa"/>
            <w:gridSpan w:val="2"/>
            <w:tcBorders>
              <w:top w:val="single" w:sz="4" w:space="0" w:color="auto"/>
              <w:bottom w:val="single" w:sz="4" w:space="0" w:color="auto"/>
            </w:tcBorders>
            <w:vAlign w:val="center"/>
          </w:tcPr>
          <w:p w:rsidR="00276B9C" w:rsidRPr="00276B9C" w:rsidRDefault="00276B9C" w:rsidP="00276B9C">
            <w:pPr>
              <w:ind w:right="-57"/>
              <w:jc w:val="center"/>
              <w:rPr>
                <w:rFonts w:eastAsia="Calibri"/>
                <w:b/>
                <w:sz w:val="12"/>
                <w:szCs w:val="12"/>
                <w:lang w:eastAsia="en-US"/>
              </w:rPr>
            </w:pPr>
            <w:proofErr w:type="spellStart"/>
            <w:r w:rsidRPr="00276B9C">
              <w:rPr>
                <w:rFonts w:eastAsia="Calibri"/>
                <w:b/>
                <w:sz w:val="12"/>
                <w:szCs w:val="12"/>
                <w:lang w:eastAsia="en-US"/>
              </w:rPr>
              <w:t>Acum</w:t>
            </w:r>
            <w:proofErr w:type="spellEnd"/>
            <w:r w:rsidRPr="00276B9C">
              <w:rPr>
                <w:rFonts w:eastAsia="Calibri"/>
                <w:b/>
                <w:sz w:val="12"/>
                <w:szCs w:val="12"/>
                <w:lang w:eastAsia="en-US"/>
              </w:rPr>
              <w:t>. 2000 -2014</w:t>
            </w:r>
            <w:r w:rsidRPr="00276B9C">
              <w:rPr>
                <w:rFonts w:eastAsia="Calibri"/>
                <w:b/>
                <w:sz w:val="12"/>
                <w:szCs w:val="12"/>
                <w:u w:val="single"/>
                <w:vertAlign w:val="superscript"/>
                <w:lang w:eastAsia="en-US"/>
              </w:rPr>
              <w:t>2</w:t>
            </w:r>
            <w:r w:rsidRPr="00276B9C">
              <w:rPr>
                <w:rFonts w:eastAsia="Calibri"/>
                <w:b/>
                <w:sz w:val="12"/>
                <w:szCs w:val="12"/>
                <w:vertAlign w:val="superscript"/>
                <w:lang w:eastAsia="en-US"/>
              </w:rPr>
              <w:t>/</w:t>
            </w:r>
          </w:p>
        </w:tc>
      </w:tr>
      <w:tr w:rsidR="00276B9C" w:rsidRPr="00276B9C" w:rsidTr="0011560C">
        <w:trPr>
          <w:jc w:val="center"/>
        </w:trPr>
        <w:tc>
          <w:tcPr>
            <w:tcW w:w="1911" w:type="dxa"/>
            <w:vMerge/>
            <w:tcBorders>
              <w:top w:val="single" w:sz="4" w:space="0" w:color="auto"/>
              <w:bottom w:val="single" w:sz="4" w:space="0" w:color="auto"/>
            </w:tcBorders>
            <w:shd w:val="clear" w:color="auto" w:fill="auto"/>
          </w:tcPr>
          <w:p w:rsidR="00276B9C" w:rsidRPr="00276B9C" w:rsidRDefault="00276B9C" w:rsidP="00276B9C">
            <w:pPr>
              <w:rPr>
                <w:rFonts w:eastAsia="Calibri"/>
                <w:b/>
                <w:sz w:val="12"/>
                <w:szCs w:val="12"/>
                <w:lang w:eastAsia="en-US"/>
              </w:rPr>
            </w:pPr>
          </w:p>
        </w:tc>
        <w:tc>
          <w:tcPr>
            <w:tcW w:w="648" w:type="dxa"/>
            <w:vMerge/>
            <w:tcBorders>
              <w:top w:val="single" w:sz="4" w:space="0" w:color="auto"/>
              <w:bottom w:val="single" w:sz="4" w:space="0" w:color="auto"/>
            </w:tcBorders>
            <w:shd w:val="clear" w:color="auto" w:fill="auto"/>
            <w:vAlign w:val="center"/>
          </w:tcPr>
          <w:p w:rsidR="00276B9C" w:rsidRPr="00276B9C" w:rsidRDefault="00276B9C" w:rsidP="00276B9C">
            <w:pPr>
              <w:jc w:val="center"/>
              <w:rPr>
                <w:rFonts w:eastAsia="Calibri"/>
                <w:b/>
                <w:sz w:val="12"/>
                <w:szCs w:val="12"/>
                <w:lang w:eastAsia="en-US"/>
              </w:rPr>
            </w:pPr>
          </w:p>
        </w:tc>
        <w:tc>
          <w:tcPr>
            <w:tcW w:w="709" w:type="dxa"/>
            <w:vMerge/>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p>
        </w:tc>
        <w:tc>
          <w:tcPr>
            <w:tcW w:w="708" w:type="dxa"/>
            <w:vMerge/>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p>
        </w:tc>
        <w:tc>
          <w:tcPr>
            <w:tcW w:w="709" w:type="dxa"/>
            <w:vMerge/>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p>
        </w:tc>
        <w:tc>
          <w:tcPr>
            <w:tcW w:w="709" w:type="dxa"/>
            <w:vMerge/>
            <w:tcBorders>
              <w:top w:val="single" w:sz="4" w:space="0" w:color="auto"/>
              <w:bottom w:val="single" w:sz="4" w:space="0" w:color="auto"/>
            </w:tcBorders>
          </w:tcPr>
          <w:p w:rsidR="00276B9C" w:rsidRPr="00276B9C" w:rsidRDefault="00276B9C" w:rsidP="00276B9C">
            <w:pPr>
              <w:jc w:val="center"/>
              <w:rPr>
                <w:rFonts w:eastAsia="Calibri"/>
                <w:b/>
                <w:sz w:val="12"/>
                <w:szCs w:val="12"/>
                <w:lang w:eastAsia="en-US"/>
              </w:rPr>
            </w:pPr>
          </w:p>
        </w:tc>
        <w:tc>
          <w:tcPr>
            <w:tcW w:w="709" w:type="dxa"/>
            <w:vMerge/>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p>
        </w:tc>
        <w:tc>
          <w:tcPr>
            <w:tcW w:w="708" w:type="dxa"/>
            <w:vMerge/>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p>
        </w:tc>
        <w:tc>
          <w:tcPr>
            <w:tcW w:w="752" w:type="dxa"/>
            <w:vMerge/>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p>
        </w:tc>
        <w:tc>
          <w:tcPr>
            <w:tcW w:w="1436" w:type="dxa"/>
            <w:gridSpan w:val="2"/>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Ene-Dic.</w:t>
            </w:r>
          </w:p>
        </w:tc>
        <w:tc>
          <w:tcPr>
            <w:tcW w:w="708" w:type="dxa"/>
            <w:vMerge w:val="restart"/>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Valor</w:t>
            </w:r>
          </w:p>
        </w:tc>
        <w:tc>
          <w:tcPr>
            <w:tcW w:w="709" w:type="dxa"/>
            <w:vMerge w:val="restart"/>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proofErr w:type="spellStart"/>
            <w:r w:rsidRPr="00276B9C">
              <w:rPr>
                <w:rFonts w:eastAsia="Calibri"/>
                <w:b/>
                <w:sz w:val="12"/>
                <w:szCs w:val="12"/>
                <w:lang w:eastAsia="en-US"/>
              </w:rPr>
              <w:t>Part</w:t>
            </w:r>
            <w:proofErr w:type="spellEnd"/>
            <w:r w:rsidRPr="00276B9C">
              <w:rPr>
                <w:rFonts w:eastAsia="Calibri"/>
                <w:b/>
                <w:sz w:val="12"/>
                <w:szCs w:val="12"/>
                <w:lang w:eastAsia="en-US"/>
              </w:rPr>
              <w:t>.</w:t>
            </w:r>
          </w:p>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w:t>
            </w:r>
          </w:p>
        </w:tc>
      </w:tr>
      <w:tr w:rsidR="00276B9C" w:rsidRPr="00276B9C" w:rsidTr="00F723CA">
        <w:trPr>
          <w:jc w:val="center"/>
        </w:trPr>
        <w:tc>
          <w:tcPr>
            <w:tcW w:w="1911" w:type="dxa"/>
            <w:vMerge/>
            <w:tcBorders>
              <w:top w:val="single" w:sz="4" w:space="0" w:color="auto"/>
              <w:bottom w:val="single" w:sz="4" w:space="0" w:color="auto"/>
            </w:tcBorders>
          </w:tcPr>
          <w:p w:rsidR="00276B9C" w:rsidRPr="00276B9C" w:rsidRDefault="00276B9C" w:rsidP="00276B9C">
            <w:pPr>
              <w:rPr>
                <w:rFonts w:eastAsia="Calibri"/>
                <w:b/>
                <w:sz w:val="12"/>
                <w:szCs w:val="12"/>
                <w:lang w:eastAsia="en-US"/>
              </w:rPr>
            </w:pPr>
          </w:p>
        </w:tc>
        <w:tc>
          <w:tcPr>
            <w:tcW w:w="648" w:type="dxa"/>
            <w:vMerge/>
            <w:tcBorders>
              <w:top w:val="single" w:sz="4" w:space="0" w:color="auto"/>
              <w:bottom w:val="single" w:sz="4" w:space="0" w:color="auto"/>
            </w:tcBorders>
          </w:tcPr>
          <w:p w:rsidR="00276B9C" w:rsidRPr="00276B9C" w:rsidRDefault="00276B9C" w:rsidP="00276B9C">
            <w:pPr>
              <w:jc w:val="right"/>
              <w:rPr>
                <w:rFonts w:eastAsia="Calibri"/>
                <w:sz w:val="12"/>
                <w:szCs w:val="12"/>
                <w:lang w:eastAsia="en-US"/>
              </w:rPr>
            </w:pPr>
          </w:p>
        </w:tc>
        <w:tc>
          <w:tcPr>
            <w:tcW w:w="709" w:type="dxa"/>
            <w:vMerge/>
            <w:tcBorders>
              <w:top w:val="single" w:sz="4" w:space="0" w:color="auto"/>
              <w:bottom w:val="single" w:sz="4" w:space="0" w:color="auto"/>
            </w:tcBorders>
          </w:tcPr>
          <w:p w:rsidR="00276B9C" w:rsidRPr="00276B9C" w:rsidRDefault="00276B9C" w:rsidP="00276B9C">
            <w:pPr>
              <w:jc w:val="right"/>
              <w:rPr>
                <w:rFonts w:eastAsia="Calibri"/>
                <w:sz w:val="12"/>
                <w:szCs w:val="12"/>
                <w:lang w:eastAsia="en-US"/>
              </w:rPr>
            </w:pPr>
          </w:p>
        </w:tc>
        <w:tc>
          <w:tcPr>
            <w:tcW w:w="708" w:type="dxa"/>
            <w:vMerge/>
            <w:tcBorders>
              <w:top w:val="single" w:sz="4" w:space="0" w:color="auto"/>
              <w:bottom w:val="single" w:sz="4" w:space="0" w:color="auto"/>
            </w:tcBorders>
          </w:tcPr>
          <w:p w:rsidR="00276B9C" w:rsidRPr="00276B9C" w:rsidRDefault="00276B9C" w:rsidP="00276B9C">
            <w:pPr>
              <w:jc w:val="right"/>
              <w:rPr>
                <w:rFonts w:eastAsia="Calibri"/>
                <w:sz w:val="12"/>
                <w:szCs w:val="12"/>
                <w:lang w:eastAsia="en-US"/>
              </w:rPr>
            </w:pPr>
          </w:p>
        </w:tc>
        <w:tc>
          <w:tcPr>
            <w:tcW w:w="709" w:type="dxa"/>
            <w:vMerge/>
            <w:tcBorders>
              <w:top w:val="single" w:sz="4" w:space="0" w:color="auto"/>
              <w:bottom w:val="single" w:sz="4" w:space="0" w:color="auto"/>
            </w:tcBorders>
          </w:tcPr>
          <w:p w:rsidR="00276B9C" w:rsidRPr="00276B9C" w:rsidRDefault="00276B9C" w:rsidP="00276B9C">
            <w:pPr>
              <w:jc w:val="right"/>
              <w:rPr>
                <w:rFonts w:eastAsia="Calibri"/>
                <w:sz w:val="12"/>
                <w:szCs w:val="12"/>
                <w:lang w:eastAsia="en-US"/>
              </w:rPr>
            </w:pPr>
          </w:p>
        </w:tc>
        <w:tc>
          <w:tcPr>
            <w:tcW w:w="709" w:type="dxa"/>
            <w:vMerge/>
            <w:tcBorders>
              <w:top w:val="single" w:sz="4" w:space="0" w:color="auto"/>
              <w:bottom w:val="single" w:sz="4" w:space="0" w:color="auto"/>
            </w:tcBorders>
          </w:tcPr>
          <w:p w:rsidR="00276B9C" w:rsidRPr="00276B9C" w:rsidRDefault="00276B9C" w:rsidP="00276B9C">
            <w:pPr>
              <w:jc w:val="right"/>
              <w:rPr>
                <w:rFonts w:eastAsia="Calibri"/>
                <w:sz w:val="12"/>
                <w:szCs w:val="12"/>
                <w:lang w:eastAsia="en-US"/>
              </w:rPr>
            </w:pPr>
          </w:p>
        </w:tc>
        <w:tc>
          <w:tcPr>
            <w:tcW w:w="709" w:type="dxa"/>
            <w:vMerge/>
            <w:tcBorders>
              <w:top w:val="single" w:sz="4" w:space="0" w:color="auto"/>
              <w:bottom w:val="single" w:sz="4" w:space="0" w:color="auto"/>
            </w:tcBorders>
          </w:tcPr>
          <w:p w:rsidR="00276B9C" w:rsidRPr="00276B9C" w:rsidRDefault="00276B9C" w:rsidP="00276B9C">
            <w:pPr>
              <w:jc w:val="right"/>
              <w:rPr>
                <w:rFonts w:eastAsia="Calibri"/>
                <w:sz w:val="12"/>
                <w:szCs w:val="12"/>
                <w:lang w:eastAsia="en-US"/>
              </w:rPr>
            </w:pPr>
          </w:p>
        </w:tc>
        <w:tc>
          <w:tcPr>
            <w:tcW w:w="708" w:type="dxa"/>
            <w:vMerge/>
            <w:tcBorders>
              <w:top w:val="single" w:sz="4" w:space="0" w:color="auto"/>
              <w:bottom w:val="single" w:sz="4" w:space="0" w:color="auto"/>
            </w:tcBorders>
          </w:tcPr>
          <w:p w:rsidR="00276B9C" w:rsidRPr="00276B9C" w:rsidRDefault="00276B9C" w:rsidP="00276B9C">
            <w:pPr>
              <w:jc w:val="right"/>
              <w:rPr>
                <w:rFonts w:eastAsia="Calibri"/>
                <w:sz w:val="12"/>
                <w:szCs w:val="12"/>
                <w:lang w:eastAsia="en-US"/>
              </w:rPr>
            </w:pPr>
          </w:p>
        </w:tc>
        <w:tc>
          <w:tcPr>
            <w:tcW w:w="752" w:type="dxa"/>
            <w:vMerge/>
            <w:tcBorders>
              <w:top w:val="single" w:sz="4" w:space="0" w:color="auto"/>
              <w:bottom w:val="single" w:sz="4" w:space="0" w:color="auto"/>
            </w:tcBorders>
          </w:tcPr>
          <w:p w:rsidR="00276B9C" w:rsidRPr="00276B9C" w:rsidRDefault="00276B9C" w:rsidP="00276B9C">
            <w:pPr>
              <w:jc w:val="right"/>
              <w:rPr>
                <w:rFonts w:eastAsia="Calibri"/>
                <w:sz w:val="12"/>
                <w:szCs w:val="12"/>
                <w:lang w:eastAsia="en-US"/>
              </w:rPr>
            </w:pPr>
          </w:p>
        </w:tc>
        <w:tc>
          <w:tcPr>
            <w:tcW w:w="708" w:type="dxa"/>
            <w:tcBorders>
              <w:top w:val="single" w:sz="4" w:space="0" w:color="auto"/>
              <w:bottom w:val="single" w:sz="4" w:space="0" w:color="auto"/>
            </w:tcBorders>
            <w:vAlign w:val="center"/>
          </w:tcPr>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Valor</w:t>
            </w:r>
          </w:p>
        </w:tc>
        <w:tc>
          <w:tcPr>
            <w:tcW w:w="728" w:type="dxa"/>
            <w:tcBorders>
              <w:top w:val="single" w:sz="4" w:space="0" w:color="auto"/>
              <w:bottom w:val="single" w:sz="4" w:space="0" w:color="auto"/>
            </w:tcBorders>
          </w:tcPr>
          <w:p w:rsidR="00276B9C" w:rsidRPr="00276B9C" w:rsidRDefault="00276B9C" w:rsidP="00276B9C">
            <w:pPr>
              <w:jc w:val="center"/>
              <w:rPr>
                <w:rFonts w:eastAsia="Calibri"/>
                <w:b/>
                <w:sz w:val="12"/>
                <w:szCs w:val="12"/>
                <w:lang w:eastAsia="en-US"/>
              </w:rPr>
            </w:pPr>
            <w:proofErr w:type="spellStart"/>
            <w:r w:rsidRPr="00276B9C">
              <w:rPr>
                <w:rFonts w:eastAsia="Calibri"/>
                <w:b/>
                <w:sz w:val="12"/>
                <w:szCs w:val="12"/>
                <w:lang w:eastAsia="en-US"/>
              </w:rPr>
              <w:t>Part</w:t>
            </w:r>
            <w:proofErr w:type="spellEnd"/>
            <w:r w:rsidRPr="00276B9C">
              <w:rPr>
                <w:rFonts w:eastAsia="Calibri"/>
                <w:b/>
                <w:sz w:val="12"/>
                <w:szCs w:val="12"/>
                <w:lang w:eastAsia="en-US"/>
              </w:rPr>
              <w:t>.</w:t>
            </w:r>
          </w:p>
          <w:p w:rsidR="00276B9C" w:rsidRPr="00276B9C" w:rsidRDefault="00276B9C" w:rsidP="00276B9C">
            <w:pPr>
              <w:jc w:val="center"/>
              <w:rPr>
                <w:rFonts w:eastAsia="Calibri"/>
                <w:b/>
                <w:sz w:val="12"/>
                <w:szCs w:val="12"/>
                <w:lang w:eastAsia="en-US"/>
              </w:rPr>
            </w:pPr>
            <w:r w:rsidRPr="00276B9C">
              <w:rPr>
                <w:rFonts w:eastAsia="Calibri"/>
                <w:b/>
                <w:sz w:val="12"/>
                <w:szCs w:val="12"/>
                <w:lang w:eastAsia="en-US"/>
              </w:rPr>
              <w:t>%</w:t>
            </w:r>
          </w:p>
        </w:tc>
        <w:tc>
          <w:tcPr>
            <w:tcW w:w="708" w:type="dxa"/>
            <w:vMerge/>
            <w:tcBorders>
              <w:top w:val="single" w:sz="4" w:space="0" w:color="auto"/>
              <w:bottom w:val="single" w:sz="4" w:space="0" w:color="auto"/>
            </w:tcBorders>
          </w:tcPr>
          <w:p w:rsidR="00276B9C" w:rsidRPr="00276B9C" w:rsidRDefault="00276B9C" w:rsidP="00276B9C">
            <w:pPr>
              <w:jc w:val="right"/>
              <w:rPr>
                <w:rFonts w:eastAsia="Calibri"/>
                <w:b/>
                <w:sz w:val="12"/>
                <w:szCs w:val="12"/>
                <w:lang w:eastAsia="en-US"/>
              </w:rPr>
            </w:pPr>
          </w:p>
        </w:tc>
        <w:tc>
          <w:tcPr>
            <w:tcW w:w="709" w:type="dxa"/>
            <w:vMerge/>
            <w:tcBorders>
              <w:top w:val="single" w:sz="4" w:space="0" w:color="auto"/>
              <w:bottom w:val="single" w:sz="4" w:space="0" w:color="auto"/>
            </w:tcBorders>
          </w:tcPr>
          <w:p w:rsidR="00276B9C" w:rsidRPr="00276B9C" w:rsidRDefault="00276B9C" w:rsidP="00276B9C">
            <w:pPr>
              <w:jc w:val="right"/>
              <w:rPr>
                <w:rFonts w:eastAsia="Calibri"/>
                <w:b/>
                <w:sz w:val="12"/>
                <w:szCs w:val="12"/>
                <w:lang w:eastAsia="en-US"/>
              </w:rPr>
            </w:pPr>
          </w:p>
        </w:tc>
      </w:tr>
      <w:tr w:rsidR="00276B9C" w:rsidRPr="00276B9C" w:rsidTr="00F723CA">
        <w:trPr>
          <w:jc w:val="center"/>
        </w:trPr>
        <w:tc>
          <w:tcPr>
            <w:tcW w:w="1911" w:type="dxa"/>
            <w:tcBorders>
              <w:top w:val="single" w:sz="4" w:space="0" w:color="auto"/>
              <w:bottom w:val="nil"/>
            </w:tcBorders>
          </w:tcPr>
          <w:p w:rsidR="00276B9C" w:rsidRPr="00276B9C" w:rsidRDefault="00276B9C" w:rsidP="00276B9C">
            <w:pPr>
              <w:rPr>
                <w:rFonts w:eastAsia="Calibri"/>
                <w:b/>
                <w:sz w:val="12"/>
                <w:szCs w:val="12"/>
                <w:lang w:eastAsia="en-US"/>
              </w:rPr>
            </w:pPr>
            <w:r w:rsidRPr="00276B9C">
              <w:rPr>
                <w:rFonts w:eastAsia="Calibri"/>
                <w:b/>
                <w:sz w:val="12"/>
                <w:szCs w:val="12"/>
                <w:lang w:eastAsia="en-US"/>
              </w:rPr>
              <w:t>TOTAL</w:t>
            </w:r>
          </w:p>
        </w:tc>
        <w:tc>
          <w:tcPr>
            <w:tcW w:w="648" w:type="dxa"/>
            <w:tcBorders>
              <w:top w:val="single" w:sz="4" w:space="0" w:color="auto"/>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20 900.6</w:t>
            </w:r>
          </w:p>
        </w:tc>
        <w:tc>
          <w:tcPr>
            <w:tcW w:w="709" w:type="dxa"/>
            <w:tcBorders>
              <w:top w:val="single" w:sz="4" w:space="0" w:color="auto"/>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32 213.2</w:t>
            </w:r>
          </w:p>
        </w:tc>
        <w:tc>
          <w:tcPr>
            <w:tcW w:w="708" w:type="dxa"/>
            <w:tcBorders>
              <w:top w:val="single" w:sz="4" w:space="0" w:color="auto"/>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28 573.9</w:t>
            </w:r>
          </w:p>
        </w:tc>
        <w:tc>
          <w:tcPr>
            <w:tcW w:w="709" w:type="dxa"/>
            <w:tcBorders>
              <w:top w:val="single" w:sz="4" w:space="0" w:color="auto"/>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17 643.7</w:t>
            </w:r>
          </w:p>
        </w:tc>
        <w:tc>
          <w:tcPr>
            <w:tcW w:w="709" w:type="dxa"/>
            <w:tcBorders>
              <w:top w:val="single" w:sz="4" w:space="0" w:color="auto"/>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25 961.5</w:t>
            </w:r>
          </w:p>
        </w:tc>
        <w:tc>
          <w:tcPr>
            <w:tcW w:w="709" w:type="dxa"/>
            <w:tcBorders>
              <w:top w:val="single" w:sz="4" w:space="0" w:color="auto"/>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23 559.9</w:t>
            </w:r>
          </w:p>
        </w:tc>
        <w:tc>
          <w:tcPr>
            <w:tcW w:w="708" w:type="dxa"/>
            <w:tcBorders>
              <w:top w:val="single" w:sz="4" w:space="0" w:color="auto"/>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18 997.9</w:t>
            </w:r>
          </w:p>
        </w:tc>
        <w:tc>
          <w:tcPr>
            <w:tcW w:w="752" w:type="dxa"/>
            <w:tcBorders>
              <w:top w:val="single" w:sz="4" w:space="0" w:color="auto"/>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44 198.8</w:t>
            </w:r>
          </w:p>
        </w:tc>
        <w:tc>
          <w:tcPr>
            <w:tcW w:w="708" w:type="dxa"/>
            <w:tcBorders>
              <w:top w:val="single" w:sz="4" w:space="0" w:color="auto"/>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22 568.4</w:t>
            </w:r>
          </w:p>
        </w:tc>
        <w:tc>
          <w:tcPr>
            <w:tcW w:w="728" w:type="dxa"/>
            <w:tcBorders>
              <w:top w:val="single" w:sz="4" w:space="0" w:color="auto"/>
              <w:bottom w:val="nil"/>
            </w:tcBorders>
            <w:vAlign w:val="bottom"/>
          </w:tcPr>
          <w:p w:rsidR="00276B9C" w:rsidRPr="00276B9C" w:rsidRDefault="00276B9C" w:rsidP="00276B9C">
            <w:pPr>
              <w:autoSpaceDE w:val="0"/>
              <w:autoSpaceDN w:val="0"/>
              <w:adjustRightInd w:val="0"/>
              <w:ind w:right="113"/>
              <w:jc w:val="right"/>
              <w:rPr>
                <w:rFonts w:eastAsia="Calibri"/>
                <w:b/>
                <w:sz w:val="12"/>
                <w:szCs w:val="12"/>
                <w:lang w:eastAsia="en-US"/>
              </w:rPr>
            </w:pPr>
            <w:r w:rsidRPr="00276B9C">
              <w:rPr>
                <w:rFonts w:eastAsia="Calibri"/>
                <w:b/>
                <w:sz w:val="12"/>
                <w:szCs w:val="12"/>
                <w:lang w:eastAsia="en-US"/>
              </w:rPr>
              <w:t>100.0</w:t>
            </w:r>
          </w:p>
        </w:tc>
        <w:tc>
          <w:tcPr>
            <w:tcW w:w="708" w:type="dxa"/>
            <w:tcBorders>
              <w:top w:val="single" w:sz="4" w:space="0" w:color="auto"/>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375 700.7</w:t>
            </w:r>
          </w:p>
        </w:tc>
        <w:tc>
          <w:tcPr>
            <w:tcW w:w="709" w:type="dxa"/>
            <w:tcBorders>
              <w:top w:val="single" w:sz="4" w:space="0" w:color="auto"/>
              <w:bottom w:val="nil"/>
            </w:tcBorders>
            <w:vAlign w:val="bottom"/>
          </w:tcPr>
          <w:p w:rsidR="00276B9C" w:rsidRPr="00276B9C" w:rsidRDefault="00276B9C" w:rsidP="00276B9C">
            <w:pPr>
              <w:autoSpaceDE w:val="0"/>
              <w:autoSpaceDN w:val="0"/>
              <w:adjustRightInd w:val="0"/>
              <w:ind w:right="113"/>
              <w:jc w:val="right"/>
              <w:rPr>
                <w:rFonts w:eastAsia="Calibri"/>
                <w:b/>
                <w:sz w:val="12"/>
                <w:szCs w:val="12"/>
                <w:lang w:eastAsia="en-US"/>
              </w:rPr>
            </w:pPr>
            <w:r w:rsidRPr="00276B9C">
              <w:rPr>
                <w:rFonts w:eastAsia="Calibri"/>
                <w:b/>
                <w:sz w:val="12"/>
                <w:szCs w:val="12"/>
                <w:lang w:eastAsia="en-US"/>
              </w:rPr>
              <w:t>100.0</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b/>
                <w:sz w:val="12"/>
                <w:szCs w:val="12"/>
                <w:lang w:eastAsia="en-US"/>
              </w:rPr>
            </w:pPr>
            <w:r w:rsidRPr="00276B9C">
              <w:rPr>
                <w:rFonts w:eastAsia="Calibri"/>
                <w:b/>
                <w:sz w:val="12"/>
                <w:szCs w:val="12"/>
                <w:lang w:eastAsia="en-US"/>
              </w:rPr>
              <w:t>América del Norte</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14 229.4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13 834.8</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15 115.9</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9 172.2</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8 849.7</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13 596.2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11 184.8</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17 492.0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8 937.8</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b/>
                <w:sz w:val="12"/>
                <w:szCs w:val="12"/>
                <w:lang w:eastAsia="en-US"/>
              </w:rPr>
            </w:pPr>
            <w:r w:rsidRPr="00276B9C">
              <w:rPr>
                <w:rFonts w:eastAsia="Calibri"/>
                <w:b/>
                <w:sz w:val="12"/>
                <w:szCs w:val="12"/>
                <w:lang w:eastAsia="en-US"/>
              </w:rPr>
              <w:t>39.6</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194 324.0</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b/>
                <w:sz w:val="12"/>
                <w:szCs w:val="12"/>
                <w:lang w:eastAsia="en-US"/>
              </w:rPr>
            </w:pPr>
            <w:r w:rsidRPr="00276B9C">
              <w:rPr>
                <w:rFonts w:eastAsia="Calibri"/>
                <w:b/>
                <w:sz w:val="12"/>
                <w:szCs w:val="12"/>
                <w:lang w:eastAsia="en-US"/>
              </w:rPr>
              <w:t>51.7</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Estados Unidos de Norteamérica</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13 263.4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12 999.5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11 677.6</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7 339.8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6 993.9</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12 195.8</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9 417.2</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13 141.1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6 516.4</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28.9</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171 543.3</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45.7</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Canadá</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966.0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835.3</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3 438.4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1 832.5</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1 855.8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1 400.5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1 767.6</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4 350.9</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2 421.4</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10.7</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22 780.7</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6.1</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b/>
                <w:sz w:val="12"/>
                <w:szCs w:val="12"/>
                <w:lang w:eastAsia="en-US"/>
              </w:rPr>
            </w:pPr>
            <w:r w:rsidRPr="00276B9C">
              <w:rPr>
                <w:rFonts w:eastAsia="Calibri"/>
                <w:b/>
                <w:sz w:val="12"/>
                <w:szCs w:val="12"/>
                <w:lang w:eastAsia="en-US"/>
              </w:rPr>
              <w:t>Unión Europea</w:t>
            </w:r>
          </w:p>
        </w:tc>
        <w:tc>
          <w:tcPr>
            <w:tcW w:w="648" w:type="dxa"/>
            <w:tcBorders>
              <w:top w:val="nil"/>
              <w:bottom w:val="nil"/>
            </w:tcBorders>
            <w:vAlign w:val="bottom"/>
          </w:tcPr>
          <w:p w:rsidR="00276B9C" w:rsidRPr="00276B9C" w:rsidRDefault="00276B9C" w:rsidP="00276B9C">
            <w:pPr>
              <w:ind w:right="-57"/>
              <w:jc w:val="right"/>
              <w:rPr>
                <w:rFonts w:eastAsia="Calibri"/>
                <w:sz w:val="12"/>
                <w:szCs w:val="12"/>
                <w:lang w:eastAsia="en-US"/>
              </w:rPr>
            </w:pPr>
          </w:p>
        </w:tc>
        <w:tc>
          <w:tcPr>
            <w:tcW w:w="709" w:type="dxa"/>
            <w:tcBorders>
              <w:top w:val="nil"/>
              <w:bottom w:val="nil"/>
            </w:tcBorders>
            <w:vAlign w:val="bottom"/>
          </w:tcPr>
          <w:p w:rsidR="00276B9C" w:rsidRPr="00276B9C" w:rsidRDefault="00276B9C" w:rsidP="00276B9C">
            <w:pPr>
              <w:ind w:right="-57"/>
              <w:jc w:val="right"/>
              <w:rPr>
                <w:rFonts w:eastAsia="Calibri"/>
                <w:sz w:val="12"/>
                <w:szCs w:val="12"/>
                <w:lang w:eastAsia="en-US"/>
              </w:rPr>
            </w:pPr>
          </w:p>
        </w:tc>
        <w:tc>
          <w:tcPr>
            <w:tcW w:w="708" w:type="dxa"/>
            <w:tcBorders>
              <w:top w:val="nil"/>
              <w:bottom w:val="nil"/>
            </w:tcBorders>
            <w:vAlign w:val="bottom"/>
          </w:tcPr>
          <w:p w:rsidR="00276B9C" w:rsidRPr="00276B9C" w:rsidRDefault="00276B9C" w:rsidP="00276B9C">
            <w:pPr>
              <w:ind w:right="-57"/>
              <w:jc w:val="right"/>
              <w:rPr>
                <w:rFonts w:eastAsia="Calibri"/>
                <w:sz w:val="12"/>
                <w:szCs w:val="12"/>
                <w:lang w:eastAsia="en-US"/>
              </w:rPr>
            </w:pPr>
          </w:p>
        </w:tc>
        <w:tc>
          <w:tcPr>
            <w:tcW w:w="709" w:type="dxa"/>
            <w:tcBorders>
              <w:top w:val="nil"/>
              <w:bottom w:val="nil"/>
            </w:tcBorders>
            <w:vAlign w:val="bottom"/>
          </w:tcPr>
          <w:p w:rsidR="00276B9C" w:rsidRPr="00276B9C" w:rsidRDefault="00276B9C" w:rsidP="00276B9C">
            <w:pPr>
              <w:ind w:right="-57"/>
              <w:jc w:val="right"/>
              <w:rPr>
                <w:rFonts w:eastAsia="Calibri"/>
                <w:sz w:val="12"/>
                <w:szCs w:val="12"/>
                <w:lang w:eastAsia="en-US"/>
              </w:rPr>
            </w:pPr>
          </w:p>
        </w:tc>
        <w:tc>
          <w:tcPr>
            <w:tcW w:w="709" w:type="dxa"/>
            <w:tcBorders>
              <w:top w:val="nil"/>
              <w:bottom w:val="nil"/>
            </w:tcBorders>
            <w:vAlign w:val="bottom"/>
          </w:tcPr>
          <w:p w:rsidR="00276B9C" w:rsidRPr="00276B9C" w:rsidRDefault="00276B9C" w:rsidP="00276B9C">
            <w:pPr>
              <w:ind w:right="-57"/>
              <w:jc w:val="right"/>
              <w:rPr>
                <w:rFonts w:eastAsia="Calibri"/>
                <w:sz w:val="12"/>
                <w:szCs w:val="12"/>
                <w:lang w:eastAsia="en-US"/>
              </w:rPr>
            </w:pPr>
          </w:p>
        </w:tc>
        <w:tc>
          <w:tcPr>
            <w:tcW w:w="709" w:type="dxa"/>
            <w:tcBorders>
              <w:top w:val="nil"/>
              <w:bottom w:val="nil"/>
            </w:tcBorders>
            <w:vAlign w:val="bottom"/>
          </w:tcPr>
          <w:p w:rsidR="00276B9C" w:rsidRPr="00276B9C" w:rsidRDefault="00276B9C" w:rsidP="00276B9C">
            <w:pPr>
              <w:ind w:right="-57"/>
              <w:jc w:val="right"/>
              <w:rPr>
                <w:rFonts w:eastAsia="Calibri"/>
                <w:sz w:val="12"/>
                <w:szCs w:val="12"/>
                <w:lang w:eastAsia="en-US"/>
              </w:rPr>
            </w:pPr>
          </w:p>
        </w:tc>
        <w:tc>
          <w:tcPr>
            <w:tcW w:w="708" w:type="dxa"/>
            <w:tcBorders>
              <w:top w:val="nil"/>
              <w:bottom w:val="nil"/>
            </w:tcBorders>
            <w:vAlign w:val="bottom"/>
          </w:tcPr>
          <w:p w:rsidR="00276B9C" w:rsidRPr="00276B9C" w:rsidRDefault="00276B9C" w:rsidP="00276B9C">
            <w:pPr>
              <w:ind w:right="-57"/>
              <w:jc w:val="right"/>
              <w:rPr>
                <w:rFonts w:eastAsia="Calibri"/>
                <w:sz w:val="12"/>
                <w:szCs w:val="12"/>
                <w:lang w:eastAsia="en-US"/>
              </w:rPr>
            </w:pPr>
          </w:p>
        </w:tc>
        <w:tc>
          <w:tcPr>
            <w:tcW w:w="752" w:type="dxa"/>
            <w:tcBorders>
              <w:top w:val="nil"/>
              <w:bottom w:val="nil"/>
            </w:tcBorders>
            <w:vAlign w:val="bottom"/>
          </w:tcPr>
          <w:p w:rsidR="00276B9C" w:rsidRPr="00276B9C" w:rsidRDefault="00276B9C" w:rsidP="00276B9C">
            <w:pPr>
              <w:ind w:right="-57"/>
              <w:jc w:val="right"/>
              <w:rPr>
                <w:rFonts w:eastAsia="Calibri"/>
                <w:sz w:val="12"/>
                <w:szCs w:val="12"/>
                <w:lang w:eastAsia="en-US"/>
              </w:rPr>
            </w:pPr>
          </w:p>
        </w:tc>
        <w:tc>
          <w:tcPr>
            <w:tcW w:w="708" w:type="dxa"/>
            <w:tcBorders>
              <w:top w:val="nil"/>
              <w:bottom w:val="nil"/>
            </w:tcBorders>
            <w:vAlign w:val="bottom"/>
          </w:tcPr>
          <w:p w:rsidR="00276B9C" w:rsidRPr="00276B9C" w:rsidRDefault="00276B9C" w:rsidP="00276B9C">
            <w:pPr>
              <w:ind w:right="-57"/>
              <w:jc w:val="right"/>
              <w:rPr>
                <w:rFonts w:eastAsia="Calibri"/>
                <w:sz w:val="12"/>
                <w:szCs w:val="12"/>
                <w:lang w:eastAsia="en-US"/>
              </w:rPr>
            </w:pPr>
          </w:p>
        </w:tc>
        <w:tc>
          <w:tcPr>
            <w:tcW w:w="728" w:type="dxa"/>
            <w:tcBorders>
              <w:top w:val="nil"/>
              <w:bottom w:val="nil"/>
            </w:tcBorders>
            <w:vAlign w:val="bottom"/>
          </w:tcPr>
          <w:p w:rsidR="00276B9C" w:rsidRPr="00276B9C" w:rsidRDefault="00276B9C" w:rsidP="00276B9C">
            <w:pPr>
              <w:ind w:right="113"/>
              <w:jc w:val="right"/>
              <w:rPr>
                <w:rFonts w:eastAsia="Calibri"/>
                <w:sz w:val="12"/>
                <w:szCs w:val="12"/>
                <w:lang w:eastAsia="en-US"/>
              </w:rPr>
            </w:pPr>
          </w:p>
        </w:tc>
        <w:tc>
          <w:tcPr>
            <w:tcW w:w="708" w:type="dxa"/>
            <w:tcBorders>
              <w:top w:val="nil"/>
              <w:bottom w:val="nil"/>
            </w:tcBorders>
            <w:vAlign w:val="bottom"/>
          </w:tcPr>
          <w:p w:rsidR="00276B9C" w:rsidRPr="00276B9C" w:rsidRDefault="00276B9C" w:rsidP="00276B9C">
            <w:pPr>
              <w:ind w:right="-57"/>
              <w:jc w:val="right"/>
              <w:rPr>
                <w:rFonts w:eastAsia="Calibri"/>
                <w:sz w:val="12"/>
                <w:szCs w:val="12"/>
                <w:lang w:eastAsia="en-US"/>
              </w:rPr>
            </w:pPr>
          </w:p>
        </w:tc>
        <w:tc>
          <w:tcPr>
            <w:tcW w:w="709" w:type="dxa"/>
            <w:tcBorders>
              <w:top w:val="nil"/>
              <w:bottom w:val="nil"/>
            </w:tcBorders>
            <w:vAlign w:val="bottom"/>
          </w:tcPr>
          <w:p w:rsidR="00276B9C" w:rsidRPr="00276B9C" w:rsidRDefault="00276B9C" w:rsidP="00276B9C">
            <w:pPr>
              <w:ind w:right="113"/>
              <w:jc w:val="right"/>
              <w:rPr>
                <w:rFonts w:eastAsia="Calibri"/>
                <w:sz w:val="12"/>
                <w:szCs w:val="12"/>
                <w:lang w:eastAsia="en-US"/>
              </w:rPr>
            </w:pP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b/>
                <w:sz w:val="12"/>
                <w:szCs w:val="12"/>
                <w:lang w:eastAsia="en-US"/>
              </w:rPr>
            </w:pPr>
            <w:r w:rsidRPr="00276B9C">
              <w:rPr>
                <w:rFonts w:eastAsia="Calibri"/>
                <w:b/>
                <w:sz w:val="12"/>
                <w:szCs w:val="12"/>
                <w:lang w:eastAsia="en-US"/>
              </w:rPr>
              <w:t>U15</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b/>
                <w:sz w:val="12"/>
                <w:szCs w:val="12"/>
                <w:lang w:eastAsia="en-US"/>
              </w:rPr>
            </w:pPr>
            <w:r w:rsidRPr="00276B9C">
              <w:rPr>
                <w:rFonts w:eastAsia="Calibri"/>
                <w:b/>
                <w:sz w:val="12"/>
                <w:szCs w:val="12"/>
                <w:lang w:eastAsia="en-US"/>
              </w:rPr>
              <w:t>-</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25 284.4</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b/>
                <w:sz w:val="12"/>
                <w:szCs w:val="12"/>
                <w:lang w:eastAsia="en-US"/>
              </w:rPr>
            </w:pPr>
            <w:r w:rsidRPr="00276B9C">
              <w:rPr>
                <w:rFonts w:eastAsia="Calibri"/>
                <w:b/>
                <w:sz w:val="12"/>
                <w:szCs w:val="12"/>
                <w:lang w:eastAsia="en-US"/>
              </w:rPr>
              <w:t>6.7</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b/>
                <w:sz w:val="12"/>
                <w:szCs w:val="12"/>
                <w:lang w:eastAsia="en-US"/>
              </w:rPr>
            </w:pPr>
            <w:r w:rsidRPr="00276B9C">
              <w:rPr>
                <w:rFonts w:eastAsia="Calibri"/>
                <w:b/>
                <w:sz w:val="12"/>
                <w:szCs w:val="12"/>
                <w:lang w:eastAsia="en-US"/>
              </w:rPr>
              <w:t>U25</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6 740.1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b/>
                <w:sz w:val="12"/>
                <w:szCs w:val="12"/>
                <w:lang w:eastAsia="en-US"/>
              </w:rPr>
            </w:pPr>
            <w:r w:rsidRPr="00276B9C">
              <w:rPr>
                <w:rFonts w:eastAsia="Calibri"/>
                <w:b/>
                <w:sz w:val="12"/>
                <w:szCs w:val="12"/>
                <w:lang w:eastAsia="en-US"/>
              </w:rPr>
              <w:t>-</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28 201.4</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b/>
                <w:sz w:val="12"/>
                <w:szCs w:val="12"/>
                <w:lang w:eastAsia="en-US"/>
              </w:rPr>
            </w:pPr>
            <w:r w:rsidRPr="00276B9C">
              <w:rPr>
                <w:rFonts w:eastAsia="Calibri"/>
                <w:b/>
                <w:sz w:val="12"/>
                <w:szCs w:val="12"/>
                <w:lang w:eastAsia="en-US"/>
              </w:rPr>
              <w:t>7.5</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b/>
                <w:sz w:val="12"/>
                <w:szCs w:val="12"/>
                <w:lang w:eastAsia="en-US"/>
              </w:rPr>
            </w:pPr>
            <w:r w:rsidRPr="00276B9C">
              <w:rPr>
                <w:rFonts w:eastAsia="Calibri"/>
                <w:b/>
                <w:sz w:val="12"/>
                <w:szCs w:val="12"/>
                <w:lang w:eastAsia="en-US"/>
              </w:rPr>
              <w:t>U27</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14 791.7</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10 240.7</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7 098.4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15 419.8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6 617.5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3 963.3</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b/>
                <w:sz w:val="12"/>
                <w:szCs w:val="12"/>
                <w:lang w:eastAsia="en-US"/>
              </w:rPr>
            </w:pPr>
            <w:r w:rsidRPr="00276B9C">
              <w:rPr>
                <w:rFonts w:eastAsia="Calibri"/>
                <w:b/>
                <w:sz w:val="12"/>
                <w:szCs w:val="12"/>
                <w:lang w:eastAsia="en-US"/>
              </w:rPr>
              <w:t>-</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58 104.5</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b/>
                <w:sz w:val="12"/>
                <w:szCs w:val="12"/>
                <w:lang w:eastAsia="en-US"/>
              </w:rPr>
            </w:pPr>
            <w:r w:rsidRPr="00276B9C">
              <w:rPr>
                <w:rFonts w:eastAsia="Calibri"/>
                <w:b/>
                <w:sz w:val="12"/>
                <w:szCs w:val="12"/>
                <w:lang w:eastAsia="en-US"/>
              </w:rPr>
              <w:t>15.5</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b/>
                <w:sz w:val="12"/>
                <w:szCs w:val="12"/>
                <w:lang w:eastAsia="en-US"/>
              </w:rPr>
            </w:pPr>
            <w:r w:rsidRPr="00276B9C">
              <w:rPr>
                <w:rFonts w:eastAsia="Calibri"/>
                <w:b/>
                <w:sz w:val="12"/>
                <w:szCs w:val="12"/>
                <w:lang w:eastAsia="en-US"/>
              </w:rPr>
              <w:t>U28</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23 078.2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10 590.4</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b/>
                <w:sz w:val="12"/>
                <w:szCs w:val="12"/>
                <w:lang w:eastAsia="en-US"/>
              </w:rPr>
            </w:pPr>
            <w:r w:rsidRPr="00276B9C">
              <w:rPr>
                <w:rFonts w:eastAsia="Calibri"/>
                <w:b/>
                <w:sz w:val="12"/>
                <w:szCs w:val="12"/>
                <w:lang w:eastAsia="en-US"/>
              </w:rPr>
              <w:t>46.9</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33 668.7</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b/>
                <w:sz w:val="12"/>
                <w:szCs w:val="12"/>
                <w:lang w:eastAsia="en-US"/>
              </w:rPr>
            </w:pPr>
            <w:r w:rsidRPr="00276B9C">
              <w:rPr>
                <w:rFonts w:eastAsia="Calibri"/>
                <w:b/>
                <w:sz w:val="12"/>
                <w:szCs w:val="12"/>
                <w:lang w:eastAsia="en-US"/>
              </w:rPr>
              <w:t>9.0</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 xml:space="preserve">Países Bajos </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2 805.4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6 656.5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1 900.0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2 633.2</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9 221.8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2 783.1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1 460.4</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5 257.2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1 489.6</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6.6</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49 513.7</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13.2</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España</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1 461.2</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5 457.6</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4 997.9</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3 004.4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4 185.1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3 446.0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-780.9</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-217.9</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4 092.9</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18.1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48 121.4</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12.8</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Bélgica</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69.5</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228.4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142.3</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345.5</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38.1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163.8</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0.4</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13 290.3</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1 261.6</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5.6</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15 998.8</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4.3</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Reino Unido de la Gran Bretaña e Irlanda del Norte</w:t>
            </w:r>
          </w:p>
        </w:tc>
        <w:tc>
          <w:tcPr>
            <w:tcW w:w="648" w:type="dxa"/>
            <w:tcBorders>
              <w:top w:val="nil"/>
              <w:bottom w:val="nil"/>
            </w:tcBorders>
            <w:vAlign w:val="center"/>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973.0</w:t>
            </w:r>
          </w:p>
        </w:tc>
        <w:tc>
          <w:tcPr>
            <w:tcW w:w="709" w:type="dxa"/>
            <w:tcBorders>
              <w:top w:val="nil"/>
              <w:bottom w:val="nil"/>
            </w:tcBorders>
            <w:vAlign w:val="center"/>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612.2</w:t>
            </w:r>
          </w:p>
        </w:tc>
        <w:tc>
          <w:tcPr>
            <w:tcW w:w="708" w:type="dxa"/>
            <w:tcBorders>
              <w:top w:val="nil"/>
              <w:bottom w:val="nil"/>
            </w:tcBorders>
            <w:vAlign w:val="center"/>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1 420.9</w:t>
            </w:r>
          </w:p>
        </w:tc>
        <w:tc>
          <w:tcPr>
            <w:tcW w:w="709" w:type="dxa"/>
            <w:tcBorders>
              <w:top w:val="nil"/>
              <w:bottom w:val="nil"/>
            </w:tcBorders>
            <w:vAlign w:val="center"/>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423.5</w:t>
            </w:r>
          </w:p>
        </w:tc>
        <w:tc>
          <w:tcPr>
            <w:tcW w:w="709" w:type="dxa"/>
            <w:tcBorders>
              <w:top w:val="nil"/>
              <w:bottom w:val="nil"/>
            </w:tcBorders>
            <w:vAlign w:val="center"/>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701.3</w:t>
            </w:r>
          </w:p>
        </w:tc>
        <w:tc>
          <w:tcPr>
            <w:tcW w:w="709" w:type="dxa"/>
            <w:tcBorders>
              <w:top w:val="nil"/>
              <w:bottom w:val="nil"/>
            </w:tcBorders>
            <w:vAlign w:val="center"/>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-1 037.4</w:t>
            </w:r>
          </w:p>
        </w:tc>
        <w:tc>
          <w:tcPr>
            <w:tcW w:w="708" w:type="dxa"/>
            <w:tcBorders>
              <w:top w:val="nil"/>
              <w:bottom w:val="nil"/>
            </w:tcBorders>
            <w:vAlign w:val="center"/>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449.9</w:t>
            </w:r>
          </w:p>
        </w:tc>
        <w:tc>
          <w:tcPr>
            <w:tcW w:w="752" w:type="dxa"/>
            <w:tcBorders>
              <w:top w:val="nil"/>
              <w:bottom w:val="nil"/>
            </w:tcBorders>
            <w:vAlign w:val="center"/>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1 253.8</w:t>
            </w:r>
          </w:p>
        </w:tc>
        <w:tc>
          <w:tcPr>
            <w:tcW w:w="708" w:type="dxa"/>
            <w:tcBorders>
              <w:top w:val="nil"/>
              <w:bottom w:val="nil"/>
            </w:tcBorders>
            <w:vAlign w:val="center"/>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259.0</w:t>
            </w:r>
          </w:p>
        </w:tc>
        <w:tc>
          <w:tcPr>
            <w:tcW w:w="728" w:type="dxa"/>
            <w:tcBorders>
              <w:top w:val="nil"/>
              <w:bottom w:val="nil"/>
            </w:tcBorders>
            <w:vAlign w:val="center"/>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1.1</w:t>
            </w:r>
          </w:p>
        </w:tc>
        <w:tc>
          <w:tcPr>
            <w:tcW w:w="708" w:type="dxa"/>
            <w:tcBorders>
              <w:top w:val="nil"/>
              <w:bottom w:val="nil"/>
            </w:tcBorders>
            <w:vAlign w:val="center"/>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9 570.9</w:t>
            </w:r>
          </w:p>
        </w:tc>
        <w:tc>
          <w:tcPr>
            <w:tcW w:w="709" w:type="dxa"/>
            <w:tcBorders>
              <w:top w:val="nil"/>
              <w:bottom w:val="nil"/>
            </w:tcBorders>
            <w:vAlign w:val="center"/>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2.5</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Alemania</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750.7</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649.1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656.6</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-31.6</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334.1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377.5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946.1</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1 772.5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1 546.2</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6.9</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9 020.7</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2.4</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Luxemburgo</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177.8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542.8</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352.6</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192.6</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417.7</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146.4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779.8</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1 877.7</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751.8</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3.3</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5 678.6</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1.5</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Dinamarca</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253.0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88.0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75.8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35.1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-12.8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132.5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183.1</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202.4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174.6</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0.8</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2 066.4</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0.6</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 xml:space="preserve">Francia </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156.2</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235.9</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210.3</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266.5</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215.4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398.7</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201.6</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729.1</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3.2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1 836.5</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0.5</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 xml:space="preserve">Suecia </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15.8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36.0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85.7</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12.8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327.0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43.8</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180.5</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253.4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133.6</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0.6</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1 356.7</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0.4</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Irlanda</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-11.1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81.6</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96.4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113.0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95.1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269.2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6.4</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-69.9</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7.1</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724.4</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0.2</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 xml:space="preserve">Finlandia </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19.4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46.8</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79.4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50.4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24.5</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5.9</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5.3</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3.0</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657.6</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0.2</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Italia</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26.5</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48.0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131.8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31.9</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74.9</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115.4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254.1</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-770.2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147.8</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0.7</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368.4</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0.1</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 xml:space="preserve">Austria </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42.5</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97.1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32.8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-12.0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-0.3</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27.7</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12.0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-14.0</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204.7</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0.1</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Portugal</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52.7</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19.7</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17.3</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-49.4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11.6</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0.7</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1.3</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74.8</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Grecia</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0.2</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0.0</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0.9</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b/>
                <w:sz w:val="12"/>
                <w:szCs w:val="12"/>
                <w:lang w:eastAsia="en-US"/>
              </w:rPr>
            </w:pPr>
            <w:r w:rsidRPr="00276B9C">
              <w:rPr>
                <w:rFonts w:eastAsia="Calibri"/>
                <w:b/>
                <w:sz w:val="12"/>
                <w:szCs w:val="12"/>
                <w:lang w:eastAsia="en-US"/>
              </w:rPr>
              <w:t>Países seleccionados</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-344.4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1 852.5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1 779.3</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1 356.0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1 569.2</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3 284.3</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3 234.8</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2 932.7</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3 045.3</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b/>
                <w:sz w:val="12"/>
                <w:szCs w:val="12"/>
                <w:lang w:eastAsia="en-US"/>
              </w:rPr>
            </w:pPr>
            <w:r w:rsidRPr="00276B9C">
              <w:rPr>
                <w:rFonts w:eastAsia="Calibri"/>
                <w:b/>
                <w:sz w:val="12"/>
                <w:szCs w:val="12"/>
                <w:lang w:eastAsia="en-US"/>
              </w:rPr>
              <w:t>13.5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27 742.6</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b/>
                <w:sz w:val="12"/>
                <w:szCs w:val="12"/>
                <w:lang w:eastAsia="en-US"/>
              </w:rPr>
            </w:pPr>
            <w:r w:rsidRPr="00276B9C">
              <w:rPr>
                <w:rFonts w:eastAsia="Calibri"/>
                <w:b/>
                <w:sz w:val="12"/>
                <w:szCs w:val="12"/>
                <w:lang w:eastAsia="en-US"/>
              </w:rPr>
              <w:t>7.4</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Suiza</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602.8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617.3</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242.6</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105.3</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264.5</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1 168.0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282.1</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284.3</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329.2</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1.5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8 409.5</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2.2</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Japón</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-1 433.9</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439.7</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518.8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483.5</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535.7</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916.2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1 815.9</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1 643.0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1 433.7</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6.4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7 866.0</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2.1</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 xml:space="preserve">Brasil </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56.8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25.0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93.0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150.9</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402.0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216.6</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435.6</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39.1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479.0</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2.1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2 080.6</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0.6</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 xml:space="preserve">República de Corea </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72.1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90.8</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480.0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75.6</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100.4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129.1</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403.7</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285.6</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1.3</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1 968.1</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0.5</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Singapur</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63.6</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139.0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108.6</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258.3</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36.7</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151.5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49.8</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99.2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39.8</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1 409.4</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0.4</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Panamá</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66.8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245.2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128.8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34.8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79.9</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88.2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84.2</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53.4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96.0</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1 046.3</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0.3</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Argentina</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24.5</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26.4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44.1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2.6</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-7.5</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31.3</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0.8</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0.9</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720.8</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0.2</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 xml:space="preserve">Chile </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60.8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35.1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31.6</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50.2</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83.6</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56.2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28.6</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102.8</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47.0</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716.7</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0.2</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 xml:space="preserve">Taiwán Provincia de China </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22.4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9.7</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33.5</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48.4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115.3</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27.2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88.1</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121.4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50.2</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653.3</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0.2</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Colombia</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17.3</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43.5</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24.3</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19.1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205.1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12.6</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39.8</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33.8</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504.1</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0.1</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 xml:space="preserve">Australia </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32.2</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139.4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11.3</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16.0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30.4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17.1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12.1</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44.4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9.6</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374.3</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0.1</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Puerto Rico</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20.1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7.9</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-40.0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10.2</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-6.6</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0.0</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371.8</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0.1</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China</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24.1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14.5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13.2</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33.8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14.5</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22.4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82.8</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19.1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70.0</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0.3</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358.6</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0.1</w:t>
            </w:r>
          </w:p>
        </w:tc>
      </w:tr>
      <w:tr w:rsidR="00276B9C" w:rsidRPr="00276B9C" w:rsidTr="0011560C">
        <w:trPr>
          <w:jc w:val="center"/>
        </w:trPr>
        <w:tc>
          <w:tcPr>
            <w:tcW w:w="1911" w:type="dxa"/>
            <w:tcBorders>
              <w:top w:val="nil"/>
              <w:bottom w:val="nil"/>
            </w:tcBorders>
            <w:vAlign w:val="bottom"/>
          </w:tcPr>
          <w:p w:rsidR="00276B9C" w:rsidRPr="00276B9C" w:rsidRDefault="00276B9C" w:rsidP="00276B9C">
            <w:pPr>
              <w:rPr>
                <w:rFonts w:eastAsia="Calibri"/>
                <w:sz w:val="12"/>
                <w:szCs w:val="12"/>
                <w:lang w:eastAsia="en-US"/>
              </w:rPr>
            </w:pPr>
            <w:r w:rsidRPr="00276B9C">
              <w:rPr>
                <w:rFonts w:eastAsia="Calibri"/>
                <w:sz w:val="12"/>
                <w:szCs w:val="12"/>
                <w:lang w:eastAsia="en-US"/>
              </w:rPr>
              <w:t xml:space="preserve">Uruguay </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8.7</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0.8</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6.2</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3.5</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33.4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127.3</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23.8</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11.8</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260.5</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0.1</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 xml:space="preserve">Nueva Zelanda </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0.7</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26.1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-0.2</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26.8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41.8</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-37.1</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13.5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70.8</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0.3</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226.2</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0.1</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Costa Rica</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14.2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4.2</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27.2</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11.0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46.7</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24.2</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0.0</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170.1</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Venezuela</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-6.6</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2.7</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0.7</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3.5</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58.1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17.1</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42.8</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20.0</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154.4</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 xml:space="preserve">Israel </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2.3</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6.9</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58.8</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8.2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8.8</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111.4</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r>
      <w:tr w:rsidR="00276B9C" w:rsidRPr="00276B9C" w:rsidTr="0011560C">
        <w:trPr>
          <w:jc w:val="center"/>
        </w:trPr>
        <w:tc>
          <w:tcPr>
            <w:tcW w:w="1911" w:type="dxa"/>
            <w:tcBorders>
              <w:top w:val="nil"/>
              <w:bottom w:val="nil"/>
            </w:tcBorders>
            <w:vAlign w:val="bottom"/>
          </w:tcPr>
          <w:p w:rsidR="00276B9C" w:rsidRPr="00276B9C" w:rsidRDefault="00276B9C" w:rsidP="00276B9C">
            <w:pPr>
              <w:rPr>
                <w:rFonts w:eastAsia="Calibri"/>
                <w:sz w:val="12"/>
                <w:szCs w:val="12"/>
                <w:lang w:eastAsia="en-US"/>
              </w:rPr>
            </w:pPr>
            <w:r w:rsidRPr="00276B9C">
              <w:rPr>
                <w:rFonts w:eastAsia="Calibri"/>
                <w:sz w:val="12"/>
                <w:szCs w:val="12"/>
                <w:lang w:eastAsia="en-US"/>
              </w:rPr>
              <w:t xml:space="preserve">India </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8.0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7.9</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1.9</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12.4</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76.3</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Noruega</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6.7</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25.0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-15.2</w:t>
            </w:r>
          </w:p>
        </w:tc>
        <w:tc>
          <w:tcPr>
            <w:tcW w:w="709" w:type="dxa"/>
            <w:tcBorders>
              <w:top w:val="nil"/>
              <w:bottom w:val="nil"/>
            </w:tcBorders>
            <w:vAlign w:val="bottom"/>
          </w:tcPr>
          <w:p w:rsidR="00276B9C" w:rsidRPr="00276B9C" w:rsidRDefault="00276B9C" w:rsidP="00736C45">
            <w:pPr>
              <w:autoSpaceDE w:val="0"/>
              <w:autoSpaceDN w:val="0"/>
              <w:adjustRightInd w:val="0"/>
              <w:jc w:val="right"/>
              <w:rPr>
                <w:rFonts w:eastAsia="Calibri"/>
                <w:sz w:val="12"/>
                <w:szCs w:val="12"/>
                <w:lang w:eastAsia="en-US"/>
              </w:rPr>
            </w:pPr>
            <w:r w:rsidRPr="00276B9C">
              <w:rPr>
                <w:rFonts w:eastAsia="Calibri"/>
                <w:sz w:val="12"/>
                <w:szCs w:val="12"/>
                <w:lang w:eastAsia="en-US"/>
              </w:rPr>
              <w:t>6</w:t>
            </w:r>
            <w:r w:rsidR="00736C45">
              <w:rPr>
                <w:rFonts w:eastAsia="Calibri"/>
                <w:sz w:val="12"/>
                <w:szCs w:val="12"/>
                <w:lang w:eastAsia="en-US"/>
              </w:rPr>
              <w:t>5.2</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-74.9</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18.7</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-30.7</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-8.2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31.7</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74.0</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Filipinas</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0.1</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0.0</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1.7</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69.2</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0.0</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0.5</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0.0</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72.0</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Guatemala</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0.7</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5.2</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15.6</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14.4</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7.6</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0.0</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64.4</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r>
      <w:tr w:rsidR="00276B9C" w:rsidRPr="00276B9C" w:rsidTr="0011560C">
        <w:trPr>
          <w:jc w:val="center"/>
        </w:trPr>
        <w:tc>
          <w:tcPr>
            <w:tcW w:w="1911" w:type="dxa"/>
            <w:tcBorders>
              <w:top w:val="nil"/>
              <w:bottom w:val="nil"/>
            </w:tcBorders>
          </w:tcPr>
          <w:p w:rsidR="00276B9C" w:rsidRPr="00276B9C" w:rsidRDefault="00276B9C" w:rsidP="00276B9C">
            <w:pPr>
              <w:rPr>
                <w:rFonts w:eastAsia="Calibri"/>
                <w:sz w:val="12"/>
                <w:szCs w:val="12"/>
                <w:lang w:eastAsia="en-US"/>
              </w:rPr>
            </w:pPr>
            <w:r w:rsidRPr="00276B9C">
              <w:rPr>
                <w:rFonts w:eastAsia="Calibri"/>
                <w:sz w:val="12"/>
                <w:szCs w:val="12"/>
                <w:lang w:eastAsia="en-US"/>
              </w:rPr>
              <w:t>Perú</w:t>
            </w:r>
          </w:p>
        </w:tc>
        <w:tc>
          <w:tcPr>
            <w:tcW w:w="64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0.4</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1.7</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0.7</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2.8</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2.6</w:t>
            </w:r>
          </w:p>
        </w:tc>
        <w:tc>
          <w:tcPr>
            <w:tcW w:w="709"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4.0</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3.5</w:t>
            </w:r>
          </w:p>
        </w:tc>
        <w:tc>
          <w:tcPr>
            <w:tcW w:w="752"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8.6</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15.1</w:t>
            </w:r>
          </w:p>
        </w:tc>
        <w:tc>
          <w:tcPr>
            <w:tcW w:w="728"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0.1</w:t>
            </w:r>
          </w:p>
        </w:tc>
        <w:tc>
          <w:tcPr>
            <w:tcW w:w="708" w:type="dxa"/>
            <w:tcBorders>
              <w:top w:val="nil"/>
              <w:bottom w:val="nil"/>
            </w:tcBorders>
            <w:vAlign w:val="bottom"/>
          </w:tcPr>
          <w:p w:rsidR="00276B9C" w:rsidRPr="00276B9C" w:rsidRDefault="00276B9C" w:rsidP="00276B9C">
            <w:pPr>
              <w:autoSpaceDE w:val="0"/>
              <w:autoSpaceDN w:val="0"/>
              <w:adjustRightInd w:val="0"/>
              <w:jc w:val="right"/>
              <w:rPr>
                <w:rFonts w:eastAsia="Calibri"/>
                <w:sz w:val="12"/>
                <w:szCs w:val="12"/>
                <w:lang w:eastAsia="en-US"/>
              </w:rPr>
            </w:pPr>
            <w:r w:rsidRPr="00276B9C">
              <w:rPr>
                <w:rFonts w:eastAsia="Calibri"/>
                <w:sz w:val="12"/>
                <w:szCs w:val="12"/>
                <w:lang w:eastAsia="en-US"/>
              </w:rPr>
              <w:t>54.2</w:t>
            </w:r>
          </w:p>
        </w:tc>
        <w:tc>
          <w:tcPr>
            <w:tcW w:w="709" w:type="dxa"/>
            <w:tcBorders>
              <w:top w:val="nil"/>
              <w:bottom w:val="nil"/>
            </w:tcBorders>
            <w:vAlign w:val="bottom"/>
          </w:tcPr>
          <w:p w:rsidR="00276B9C" w:rsidRPr="00276B9C" w:rsidRDefault="00276B9C" w:rsidP="00276B9C">
            <w:pPr>
              <w:autoSpaceDE w:val="0"/>
              <w:autoSpaceDN w:val="0"/>
              <w:adjustRightInd w:val="0"/>
              <w:ind w:right="113"/>
              <w:jc w:val="right"/>
              <w:rPr>
                <w:rFonts w:eastAsia="Calibri"/>
                <w:sz w:val="12"/>
                <w:szCs w:val="12"/>
                <w:lang w:eastAsia="en-US"/>
              </w:rPr>
            </w:pPr>
            <w:r w:rsidRPr="00276B9C">
              <w:rPr>
                <w:rFonts w:eastAsia="Calibri"/>
                <w:sz w:val="12"/>
                <w:szCs w:val="12"/>
                <w:lang w:eastAsia="en-US"/>
              </w:rPr>
              <w:t>0.0</w:t>
            </w:r>
          </w:p>
        </w:tc>
      </w:tr>
      <w:tr w:rsidR="00276B9C" w:rsidRPr="00276B9C" w:rsidTr="0011560C">
        <w:trPr>
          <w:jc w:val="center"/>
        </w:trPr>
        <w:tc>
          <w:tcPr>
            <w:tcW w:w="1911" w:type="dxa"/>
            <w:tcBorders>
              <w:top w:val="nil"/>
              <w:bottom w:val="single" w:sz="4" w:space="0" w:color="auto"/>
            </w:tcBorders>
          </w:tcPr>
          <w:p w:rsidR="00276B9C" w:rsidRPr="00276B9C" w:rsidRDefault="00276B9C" w:rsidP="00276B9C">
            <w:pPr>
              <w:rPr>
                <w:rFonts w:eastAsia="Calibri"/>
                <w:b/>
                <w:sz w:val="12"/>
                <w:szCs w:val="12"/>
                <w:lang w:eastAsia="en-US"/>
              </w:rPr>
            </w:pPr>
            <w:r w:rsidRPr="00276B9C">
              <w:rPr>
                <w:rFonts w:eastAsia="Calibri"/>
                <w:b/>
                <w:sz w:val="12"/>
                <w:szCs w:val="12"/>
                <w:lang w:eastAsia="en-US"/>
              </w:rPr>
              <w:t>Otros</w:t>
            </w:r>
          </w:p>
        </w:tc>
        <w:tc>
          <w:tcPr>
            <w:tcW w:w="648" w:type="dxa"/>
            <w:tcBorders>
              <w:top w:val="nil"/>
              <w:bottom w:val="single" w:sz="4" w:space="0" w:color="auto"/>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275.9</w:t>
            </w:r>
          </w:p>
        </w:tc>
        <w:tc>
          <w:tcPr>
            <w:tcW w:w="709" w:type="dxa"/>
            <w:tcBorders>
              <w:top w:val="nil"/>
              <w:bottom w:val="single" w:sz="4" w:space="0" w:color="auto"/>
            </w:tcBorders>
            <w:vAlign w:val="bottom"/>
          </w:tcPr>
          <w:p w:rsidR="00276B9C" w:rsidRPr="00276B9C" w:rsidRDefault="00276B9C" w:rsidP="007B7E95">
            <w:pPr>
              <w:autoSpaceDE w:val="0"/>
              <w:autoSpaceDN w:val="0"/>
              <w:adjustRightInd w:val="0"/>
              <w:jc w:val="right"/>
              <w:rPr>
                <w:rFonts w:eastAsia="Calibri"/>
                <w:b/>
                <w:sz w:val="12"/>
                <w:szCs w:val="12"/>
                <w:lang w:eastAsia="en-US"/>
              </w:rPr>
            </w:pPr>
            <w:r w:rsidRPr="00276B9C">
              <w:rPr>
                <w:rFonts w:eastAsia="Calibri"/>
                <w:b/>
                <w:sz w:val="12"/>
                <w:szCs w:val="12"/>
                <w:lang w:eastAsia="en-US"/>
              </w:rPr>
              <w:t>1 7</w:t>
            </w:r>
            <w:r w:rsidR="007B7E95">
              <w:rPr>
                <w:rFonts w:eastAsia="Calibri"/>
                <w:b/>
                <w:sz w:val="12"/>
                <w:szCs w:val="12"/>
                <w:lang w:eastAsia="en-US"/>
              </w:rPr>
              <w:t>3</w:t>
            </w:r>
            <w:r w:rsidRPr="00276B9C">
              <w:rPr>
                <w:rFonts w:eastAsia="Calibri"/>
                <w:b/>
                <w:sz w:val="12"/>
                <w:szCs w:val="12"/>
                <w:lang w:eastAsia="en-US"/>
              </w:rPr>
              <w:t>8.7</w:t>
            </w:r>
          </w:p>
        </w:tc>
        <w:tc>
          <w:tcPr>
            <w:tcW w:w="708" w:type="dxa"/>
            <w:tcBorders>
              <w:top w:val="nil"/>
              <w:bottom w:val="single" w:sz="4" w:space="0" w:color="auto"/>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1 443.5</w:t>
            </w:r>
          </w:p>
        </w:tc>
        <w:tc>
          <w:tcPr>
            <w:tcW w:w="709" w:type="dxa"/>
            <w:tcBorders>
              <w:top w:val="nil"/>
              <w:bottom w:val="single" w:sz="4" w:space="0" w:color="auto"/>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30.3</w:t>
            </w:r>
          </w:p>
        </w:tc>
        <w:tc>
          <w:tcPr>
            <w:tcW w:w="709" w:type="dxa"/>
            <w:tcBorders>
              <w:top w:val="nil"/>
              <w:bottom w:val="single" w:sz="4" w:space="0" w:color="auto"/>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124.2</w:t>
            </w:r>
          </w:p>
        </w:tc>
        <w:tc>
          <w:tcPr>
            <w:tcW w:w="709" w:type="dxa"/>
            <w:tcBorders>
              <w:top w:val="nil"/>
              <w:bottom w:val="single" w:sz="4" w:space="0" w:color="auto"/>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69.3</w:t>
            </w:r>
          </w:p>
        </w:tc>
        <w:tc>
          <w:tcPr>
            <w:tcW w:w="708" w:type="dxa"/>
            <w:tcBorders>
              <w:top w:val="nil"/>
              <w:bottom w:val="single" w:sz="4" w:space="0" w:color="auto"/>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654.9</w:t>
            </w:r>
          </w:p>
        </w:tc>
        <w:tc>
          <w:tcPr>
            <w:tcW w:w="752" w:type="dxa"/>
            <w:tcBorders>
              <w:top w:val="nil"/>
              <w:bottom w:val="single" w:sz="4" w:space="0" w:color="auto"/>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705.1</w:t>
            </w:r>
          </w:p>
        </w:tc>
        <w:tc>
          <w:tcPr>
            <w:tcW w:w="708" w:type="dxa"/>
            <w:tcBorders>
              <w:top w:val="nil"/>
              <w:bottom w:val="single" w:sz="4" w:space="0" w:color="auto"/>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1.7</w:t>
            </w:r>
          </w:p>
        </w:tc>
        <w:tc>
          <w:tcPr>
            <w:tcW w:w="728" w:type="dxa"/>
            <w:tcBorders>
              <w:top w:val="nil"/>
              <w:bottom w:val="single" w:sz="4" w:space="0" w:color="auto"/>
            </w:tcBorders>
            <w:vAlign w:val="bottom"/>
          </w:tcPr>
          <w:p w:rsidR="00276B9C" w:rsidRPr="00276B9C" w:rsidRDefault="00276B9C" w:rsidP="00276B9C">
            <w:pPr>
              <w:autoSpaceDE w:val="0"/>
              <w:autoSpaceDN w:val="0"/>
              <w:adjustRightInd w:val="0"/>
              <w:ind w:right="113"/>
              <w:jc w:val="right"/>
              <w:rPr>
                <w:rFonts w:eastAsia="Calibri"/>
                <w:b/>
                <w:sz w:val="12"/>
                <w:szCs w:val="12"/>
                <w:lang w:eastAsia="en-US"/>
              </w:rPr>
            </w:pPr>
            <w:r w:rsidRPr="00276B9C">
              <w:rPr>
                <w:rFonts w:eastAsia="Calibri"/>
                <w:b/>
                <w:sz w:val="12"/>
                <w:szCs w:val="12"/>
                <w:lang w:eastAsia="en-US"/>
              </w:rPr>
              <w:t>0.0</w:t>
            </w:r>
          </w:p>
        </w:tc>
        <w:tc>
          <w:tcPr>
            <w:tcW w:w="708" w:type="dxa"/>
            <w:tcBorders>
              <w:top w:val="nil"/>
              <w:bottom w:val="single" w:sz="4" w:space="0" w:color="auto"/>
            </w:tcBorders>
            <w:vAlign w:val="bottom"/>
          </w:tcPr>
          <w:p w:rsidR="00276B9C" w:rsidRPr="00276B9C" w:rsidRDefault="00276B9C" w:rsidP="00276B9C">
            <w:pPr>
              <w:autoSpaceDE w:val="0"/>
              <w:autoSpaceDN w:val="0"/>
              <w:adjustRightInd w:val="0"/>
              <w:jc w:val="right"/>
              <w:rPr>
                <w:rFonts w:eastAsia="Calibri"/>
                <w:b/>
                <w:sz w:val="12"/>
                <w:szCs w:val="12"/>
                <w:lang w:eastAsia="en-US"/>
              </w:rPr>
            </w:pPr>
            <w:r w:rsidRPr="00276B9C">
              <w:rPr>
                <w:rFonts w:eastAsia="Calibri"/>
                <w:b/>
                <w:sz w:val="12"/>
                <w:szCs w:val="12"/>
                <w:lang w:eastAsia="en-US"/>
              </w:rPr>
              <w:t>8 493.4</w:t>
            </w:r>
          </w:p>
        </w:tc>
        <w:tc>
          <w:tcPr>
            <w:tcW w:w="709" w:type="dxa"/>
            <w:tcBorders>
              <w:top w:val="nil"/>
              <w:bottom w:val="single" w:sz="4" w:space="0" w:color="auto"/>
            </w:tcBorders>
            <w:vAlign w:val="bottom"/>
          </w:tcPr>
          <w:p w:rsidR="00276B9C" w:rsidRPr="00276B9C" w:rsidRDefault="00276B9C" w:rsidP="00276B9C">
            <w:pPr>
              <w:autoSpaceDE w:val="0"/>
              <w:autoSpaceDN w:val="0"/>
              <w:adjustRightInd w:val="0"/>
              <w:ind w:right="113"/>
              <w:jc w:val="right"/>
              <w:rPr>
                <w:rFonts w:eastAsia="Calibri"/>
                <w:b/>
                <w:sz w:val="12"/>
                <w:szCs w:val="12"/>
                <w:lang w:eastAsia="en-US"/>
              </w:rPr>
            </w:pPr>
            <w:r w:rsidRPr="00276B9C">
              <w:rPr>
                <w:rFonts w:eastAsia="Calibri"/>
                <w:b/>
                <w:sz w:val="12"/>
                <w:szCs w:val="12"/>
                <w:lang w:eastAsia="en-US"/>
              </w:rPr>
              <w:t>2.2</w:t>
            </w:r>
          </w:p>
        </w:tc>
      </w:tr>
      <w:tr w:rsidR="00276B9C" w:rsidRPr="00276B9C" w:rsidTr="001E7D79">
        <w:trPr>
          <w:jc w:val="center"/>
        </w:trPr>
        <w:tc>
          <w:tcPr>
            <w:tcW w:w="10416" w:type="dxa"/>
            <w:gridSpan w:val="13"/>
            <w:tcBorders>
              <w:left w:val="nil"/>
              <w:bottom w:val="nil"/>
              <w:right w:val="nil"/>
            </w:tcBorders>
          </w:tcPr>
          <w:p w:rsidR="00276B9C" w:rsidRPr="00276B9C" w:rsidRDefault="00276B9C" w:rsidP="00276B9C">
            <w:pPr>
              <w:autoSpaceDE w:val="0"/>
              <w:autoSpaceDN w:val="0"/>
              <w:adjustRightInd w:val="0"/>
              <w:ind w:left="312" w:hanging="312"/>
              <w:jc w:val="both"/>
              <w:rPr>
                <w:rFonts w:eastAsia="Calibri"/>
                <w:sz w:val="12"/>
                <w:szCs w:val="12"/>
                <w:lang w:eastAsia="en-US"/>
              </w:rPr>
            </w:pPr>
            <w:r w:rsidRPr="00276B9C">
              <w:rPr>
                <w:rFonts w:eastAsia="Calibri"/>
                <w:sz w:val="12"/>
                <w:szCs w:val="12"/>
                <w:lang w:eastAsia="en-US"/>
              </w:rPr>
              <w:t>Nota: La suma de los parciales puede diferir de los totales debido al redondeo que efectúa la hoja de cálculo.</w:t>
            </w:r>
          </w:p>
          <w:p w:rsidR="00276B9C" w:rsidRPr="00276B9C" w:rsidRDefault="00276B9C" w:rsidP="00276B9C">
            <w:pPr>
              <w:ind w:right="113"/>
              <w:jc w:val="both"/>
              <w:rPr>
                <w:rFonts w:eastAsia="Times New Roman"/>
                <w:bCs/>
                <w:sz w:val="12"/>
                <w:szCs w:val="12"/>
              </w:rPr>
            </w:pPr>
            <w:r w:rsidRPr="00276B9C">
              <w:rPr>
                <w:rFonts w:eastAsia="Calibri"/>
                <w:sz w:val="12"/>
                <w:szCs w:val="12"/>
                <w:u w:val="single"/>
                <w:lang w:eastAsia="en-US"/>
              </w:rPr>
              <w:t>1</w:t>
            </w:r>
            <w:r w:rsidRPr="00276B9C">
              <w:rPr>
                <w:rFonts w:eastAsia="Calibri"/>
                <w:sz w:val="12"/>
                <w:szCs w:val="12"/>
                <w:lang w:eastAsia="en-US"/>
              </w:rPr>
              <w:t>/ Cifras notificadas y actualizadas al 31 de diciembre de 2013.</w:t>
            </w:r>
            <w:r w:rsidRPr="00276B9C">
              <w:rPr>
                <w:rFonts w:eastAsia="Times New Roman"/>
                <w:bCs/>
                <w:sz w:val="12"/>
                <w:szCs w:val="12"/>
              </w:rPr>
              <w:t xml:space="preserve"> Por tanto las cifras de cada año presentan distintos períodos de actualización.</w:t>
            </w:r>
          </w:p>
          <w:p w:rsidR="00276B9C" w:rsidRPr="00276B9C" w:rsidRDefault="00276B9C" w:rsidP="00276B9C">
            <w:pPr>
              <w:autoSpaceDE w:val="0"/>
              <w:autoSpaceDN w:val="0"/>
              <w:adjustRightInd w:val="0"/>
              <w:jc w:val="both"/>
              <w:rPr>
                <w:rFonts w:eastAsia="Calibri"/>
                <w:sz w:val="12"/>
                <w:szCs w:val="12"/>
                <w:lang w:eastAsia="en-US"/>
              </w:rPr>
            </w:pPr>
            <w:r w:rsidRPr="00276B9C">
              <w:rPr>
                <w:rFonts w:eastAsia="Calibri"/>
                <w:sz w:val="12"/>
                <w:szCs w:val="12"/>
                <w:u w:val="single"/>
                <w:lang w:eastAsia="en-US"/>
              </w:rPr>
              <w:t>2</w:t>
            </w:r>
            <w:r w:rsidRPr="00276B9C">
              <w:rPr>
                <w:rFonts w:eastAsia="Calibri"/>
                <w:sz w:val="12"/>
                <w:szCs w:val="12"/>
                <w:lang w:eastAsia="en-US"/>
              </w:rPr>
              <w:t>/ Del 1° de enero de 2000 al 31 de diciembre de 2014.</w:t>
            </w:r>
          </w:p>
          <w:p w:rsidR="00276B9C" w:rsidRPr="00276B9C" w:rsidRDefault="00276B9C" w:rsidP="00276B9C">
            <w:pPr>
              <w:autoSpaceDE w:val="0"/>
              <w:autoSpaceDN w:val="0"/>
              <w:adjustRightInd w:val="0"/>
              <w:jc w:val="both"/>
              <w:rPr>
                <w:rFonts w:eastAsia="Calibri"/>
                <w:b/>
                <w:sz w:val="12"/>
                <w:szCs w:val="12"/>
                <w:lang w:eastAsia="en-US"/>
              </w:rPr>
            </w:pPr>
            <w:r w:rsidRPr="00276B9C">
              <w:rPr>
                <w:rFonts w:eastAsia="Calibri"/>
                <w:sz w:val="12"/>
                <w:szCs w:val="12"/>
                <w:lang w:eastAsia="en-US"/>
              </w:rPr>
              <w:t>Fuente: Secretaría de Economía.</w:t>
            </w:r>
          </w:p>
        </w:tc>
      </w:tr>
    </w:tbl>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spacing w:after="360" w:line="360" w:lineRule="auto"/>
        <w:ind w:right="-159"/>
        <w:jc w:val="both"/>
        <w:rPr>
          <w:rFonts w:eastAsia="Calibri"/>
          <w:sz w:val="26"/>
          <w:szCs w:val="26"/>
          <w:lang w:eastAsia="en-US"/>
        </w:rPr>
      </w:pPr>
    </w:p>
    <w:p w:rsidR="00276B9C" w:rsidRDefault="00276B9C" w:rsidP="00276B9C">
      <w:pPr>
        <w:spacing w:after="360" w:line="360" w:lineRule="auto"/>
        <w:ind w:right="-159"/>
        <w:jc w:val="both"/>
        <w:rPr>
          <w:rFonts w:eastAsia="Calibri"/>
          <w:sz w:val="26"/>
          <w:szCs w:val="26"/>
          <w:lang w:eastAsia="en-US"/>
        </w:rPr>
      </w:pPr>
    </w:p>
    <w:p w:rsidR="00701097" w:rsidRPr="00276B9C" w:rsidRDefault="00701097" w:rsidP="00276B9C">
      <w:pPr>
        <w:spacing w:after="360" w:line="360" w:lineRule="auto"/>
        <w:ind w:right="-159"/>
        <w:jc w:val="both"/>
        <w:rPr>
          <w:rFonts w:eastAsia="Calibri"/>
          <w:sz w:val="26"/>
          <w:szCs w:val="26"/>
          <w:lang w:eastAsia="en-US"/>
        </w:rPr>
      </w:pP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4"/>
        <w:gridCol w:w="775"/>
        <w:gridCol w:w="708"/>
        <w:gridCol w:w="709"/>
        <w:gridCol w:w="709"/>
        <w:gridCol w:w="709"/>
        <w:gridCol w:w="708"/>
        <w:gridCol w:w="709"/>
        <w:gridCol w:w="709"/>
        <w:gridCol w:w="709"/>
        <w:gridCol w:w="708"/>
        <w:gridCol w:w="851"/>
        <w:gridCol w:w="652"/>
        <w:gridCol w:w="38"/>
      </w:tblGrid>
      <w:tr w:rsidR="00276B9C" w:rsidRPr="00276B9C" w:rsidTr="001E7D79">
        <w:trPr>
          <w:gridAfter w:val="1"/>
          <w:wAfter w:w="38" w:type="dxa"/>
          <w:jc w:val="center"/>
        </w:trPr>
        <w:tc>
          <w:tcPr>
            <w:tcW w:w="9930" w:type="dxa"/>
            <w:gridSpan w:val="13"/>
            <w:tcBorders>
              <w:top w:val="nil"/>
              <w:left w:val="nil"/>
              <w:right w:val="nil"/>
            </w:tcBorders>
          </w:tcPr>
          <w:p w:rsidR="00276B9C" w:rsidRPr="00276B9C" w:rsidRDefault="00276B9C" w:rsidP="00276B9C">
            <w:pPr>
              <w:ind w:right="57"/>
              <w:jc w:val="center"/>
              <w:rPr>
                <w:rFonts w:eastAsia="Times New Roman"/>
                <w:b/>
                <w:sz w:val="14"/>
                <w:szCs w:val="14"/>
                <w:lang w:val="es-ES"/>
              </w:rPr>
            </w:pPr>
            <w:r w:rsidRPr="00276B9C">
              <w:rPr>
                <w:rFonts w:eastAsia="Times New Roman"/>
                <w:b/>
                <w:sz w:val="14"/>
                <w:szCs w:val="14"/>
              </w:rPr>
              <w:lastRenderedPageBreak/>
              <w:t>INVERSIÓN EXTRANJERA DIRECTA EN MÉXICO</w:t>
            </w:r>
            <w:r w:rsidRPr="00276B9C">
              <w:rPr>
                <w:rFonts w:eastAsia="Times New Roman"/>
                <w:b/>
                <w:sz w:val="14"/>
                <w:szCs w:val="14"/>
                <w:u w:val="single"/>
                <w:vertAlign w:val="superscript"/>
                <w:lang w:val="es-ES"/>
              </w:rPr>
              <w:t>1</w:t>
            </w:r>
            <w:r w:rsidRPr="00276B9C">
              <w:rPr>
                <w:rFonts w:eastAsia="Times New Roman"/>
                <w:b/>
                <w:sz w:val="14"/>
                <w:szCs w:val="14"/>
                <w:vertAlign w:val="superscript"/>
                <w:lang w:val="es-ES"/>
              </w:rPr>
              <w:t>/</w:t>
            </w:r>
          </w:p>
          <w:p w:rsidR="00276B9C" w:rsidRPr="00276B9C" w:rsidRDefault="00276B9C" w:rsidP="00276B9C">
            <w:pPr>
              <w:ind w:right="57"/>
              <w:jc w:val="center"/>
              <w:rPr>
                <w:rFonts w:eastAsia="Times New Roman"/>
                <w:b/>
                <w:sz w:val="14"/>
                <w:szCs w:val="14"/>
                <w:u w:val="single"/>
                <w:lang w:val="es-ES"/>
              </w:rPr>
            </w:pPr>
            <w:r w:rsidRPr="00276B9C">
              <w:rPr>
                <w:rFonts w:eastAsia="Times New Roman"/>
                <w:b/>
                <w:sz w:val="14"/>
                <w:szCs w:val="14"/>
                <w:lang w:val="es-ES"/>
              </w:rPr>
              <w:t>POR ENTIDAD DEDERATIVA</w:t>
            </w:r>
            <w:r w:rsidRPr="00276B9C">
              <w:rPr>
                <w:rFonts w:eastAsia="Times New Roman"/>
                <w:b/>
                <w:sz w:val="14"/>
                <w:szCs w:val="14"/>
                <w:u w:val="single"/>
                <w:vertAlign w:val="superscript"/>
                <w:lang w:val="es-ES"/>
              </w:rPr>
              <w:t>2</w:t>
            </w:r>
          </w:p>
          <w:p w:rsidR="00276B9C" w:rsidRPr="00276B9C" w:rsidRDefault="00276B9C" w:rsidP="00276B9C">
            <w:pPr>
              <w:ind w:right="57"/>
              <w:jc w:val="center"/>
              <w:rPr>
                <w:rFonts w:eastAsia="Times New Roman"/>
                <w:b/>
                <w:sz w:val="12"/>
                <w:szCs w:val="12"/>
              </w:rPr>
            </w:pPr>
            <w:r w:rsidRPr="00276B9C">
              <w:rPr>
                <w:rFonts w:eastAsia="Times New Roman"/>
                <w:b/>
                <w:sz w:val="14"/>
                <w:szCs w:val="14"/>
                <w:lang w:val="es-ES"/>
              </w:rPr>
              <w:t>-Millones de dólares-</w:t>
            </w:r>
          </w:p>
        </w:tc>
      </w:tr>
      <w:tr w:rsidR="00276B9C" w:rsidRPr="00276B9C" w:rsidTr="00701097">
        <w:trPr>
          <w:jc w:val="center"/>
        </w:trPr>
        <w:tc>
          <w:tcPr>
            <w:tcW w:w="1274" w:type="dxa"/>
            <w:vMerge w:val="restart"/>
            <w:tcBorders>
              <w:bottom w:val="single" w:sz="4" w:space="0" w:color="auto"/>
            </w:tcBorders>
            <w:vAlign w:val="center"/>
          </w:tcPr>
          <w:p w:rsidR="00276B9C" w:rsidRPr="00276B9C" w:rsidRDefault="00276B9C" w:rsidP="00276B9C">
            <w:pPr>
              <w:jc w:val="center"/>
              <w:rPr>
                <w:rFonts w:eastAsia="Times New Roman"/>
                <w:b/>
                <w:sz w:val="12"/>
                <w:szCs w:val="12"/>
                <w:lang w:val="es-ES"/>
              </w:rPr>
            </w:pPr>
            <w:r w:rsidRPr="00276B9C">
              <w:rPr>
                <w:rFonts w:eastAsia="Times New Roman"/>
                <w:b/>
                <w:sz w:val="12"/>
                <w:szCs w:val="12"/>
                <w:lang w:val="es-ES"/>
              </w:rPr>
              <w:t>Estados</w:t>
            </w:r>
          </w:p>
        </w:tc>
        <w:tc>
          <w:tcPr>
            <w:tcW w:w="775" w:type="dxa"/>
            <w:vMerge w:val="restart"/>
            <w:tcBorders>
              <w:bottom w:val="single" w:sz="4" w:space="0" w:color="auto"/>
            </w:tcBorders>
            <w:vAlign w:val="center"/>
          </w:tcPr>
          <w:p w:rsidR="00276B9C" w:rsidRPr="00276B9C" w:rsidRDefault="00276B9C" w:rsidP="00276B9C">
            <w:pPr>
              <w:jc w:val="center"/>
              <w:rPr>
                <w:rFonts w:eastAsia="Times New Roman"/>
                <w:b/>
                <w:sz w:val="12"/>
                <w:szCs w:val="12"/>
                <w:lang w:val="es-ES"/>
              </w:rPr>
            </w:pPr>
            <w:r w:rsidRPr="00276B9C">
              <w:rPr>
                <w:rFonts w:eastAsia="Times New Roman"/>
                <w:b/>
                <w:sz w:val="12"/>
                <w:szCs w:val="12"/>
                <w:lang w:val="es-ES"/>
              </w:rPr>
              <w:t>2006</w:t>
            </w:r>
          </w:p>
        </w:tc>
        <w:tc>
          <w:tcPr>
            <w:tcW w:w="708" w:type="dxa"/>
            <w:vMerge w:val="restart"/>
            <w:tcBorders>
              <w:bottom w:val="single" w:sz="4" w:space="0" w:color="auto"/>
            </w:tcBorders>
            <w:vAlign w:val="center"/>
          </w:tcPr>
          <w:p w:rsidR="00276B9C" w:rsidRPr="00276B9C" w:rsidRDefault="00276B9C" w:rsidP="00276B9C">
            <w:pPr>
              <w:jc w:val="center"/>
              <w:rPr>
                <w:rFonts w:eastAsia="Times New Roman"/>
                <w:b/>
                <w:sz w:val="12"/>
                <w:szCs w:val="12"/>
                <w:lang w:val="es-ES"/>
              </w:rPr>
            </w:pPr>
            <w:r w:rsidRPr="00276B9C">
              <w:rPr>
                <w:rFonts w:eastAsia="Times New Roman"/>
                <w:b/>
                <w:sz w:val="12"/>
                <w:szCs w:val="12"/>
                <w:lang w:val="es-ES"/>
              </w:rPr>
              <w:t>2007</w:t>
            </w:r>
          </w:p>
        </w:tc>
        <w:tc>
          <w:tcPr>
            <w:tcW w:w="709" w:type="dxa"/>
            <w:vMerge w:val="restart"/>
            <w:tcBorders>
              <w:bottom w:val="single" w:sz="4" w:space="0" w:color="auto"/>
            </w:tcBorders>
            <w:vAlign w:val="center"/>
          </w:tcPr>
          <w:p w:rsidR="00276B9C" w:rsidRPr="00276B9C" w:rsidRDefault="00276B9C" w:rsidP="00276B9C">
            <w:pPr>
              <w:jc w:val="center"/>
              <w:rPr>
                <w:rFonts w:eastAsia="Times New Roman"/>
                <w:b/>
                <w:sz w:val="12"/>
                <w:szCs w:val="12"/>
                <w:lang w:val="es-ES"/>
              </w:rPr>
            </w:pPr>
            <w:r w:rsidRPr="00276B9C">
              <w:rPr>
                <w:rFonts w:eastAsia="Times New Roman"/>
                <w:b/>
                <w:sz w:val="12"/>
                <w:szCs w:val="12"/>
                <w:lang w:val="es-ES"/>
              </w:rPr>
              <w:t>2008</w:t>
            </w:r>
          </w:p>
        </w:tc>
        <w:tc>
          <w:tcPr>
            <w:tcW w:w="709" w:type="dxa"/>
            <w:vMerge w:val="restart"/>
            <w:tcBorders>
              <w:bottom w:val="single" w:sz="4" w:space="0" w:color="auto"/>
            </w:tcBorders>
            <w:vAlign w:val="center"/>
          </w:tcPr>
          <w:p w:rsidR="00276B9C" w:rsidRPr="00276B9C" w:rsidRDefault="00276B9C" w:rsidP="00276B9C">
            <w:pPr>
              <w:jc w:val="center"/>
              <w:rPr>
                <w:rFonts w:eastAsia="Times New Roman"/>
                <w:b/>
                <w:sz w:val="12"/>
                <w:szCs w:val="12"/>
                <w:lang w:val="es-ES"/>
              </w:rPr>
            </w:pPr>
            <w:r w:rsidRPr="00276B9C">
              <w:rPr>
                <w:rFonts w:eastAsia="Times New Roman"/>
                <w:b/>
                <w:sz w:val="12"/>
                <w:szCs w:val="12"/>
                <w:lang w:val="es-ES"/>
              </w:rPr>
              <w:t>2009</w:t>
            </w:r>
          </w:p>
        </w:tc>
        <w:tc>
          <w:tcPr>
            <w:tcW w:w="709" w:type="dxa"/>
            <w:vMerge w:val="restart"/>
            <w:tcBorders>
              <w:bottom w:val="single" w:sz="4" w:space="0" w:color="auto"/>
            </w:tcBorders>
            <w:vAlign w:val="center"/>
          </w:tcPr>
          <w:p w:rsidR="00276B9C" w:rsidRPr="00276B9C" w:rsidRDefault="00276B9C" w:rsidP="00276B9C">
            <w:pPr>
              <w:jc w:val="center"/>
              <w:rPr>
                <w:rFonts w:eastAsia="Times New Roman"/>
                <w:b/>
                <w:sz w:val="12"/>
                <w:szCs w:val="12"/>
                <w:lang w:val="es-ES"/>
              </w:rPr>
            </w:pPr>
            <w:r w:rsidRPr="00276B9C">
              <w:rPr>
                <w:rFonts w:eastAsia="Times New Roman"/>
                <w:b/>
                <w:sz w:val="12"/>
                <w:szCs w:val="12"/>
                <w:lang w:val="es-ES"/>
              </w:rPr>
              <w:t>2010</w:t>
            </w:r>
          </w:p>
        </w:tc>
        <w:tc>
          <w:tcPr>
            <w:tcW w:w="708" w:type="dxa"/>
            <w:vMerge w:val="restart"/>
            <w:tcBorders>
              <w:bottom w:val="single" w:sz="4" w:space="0" w:color="auto"/>
            </w:tcBorders>
            <w:vAlign w:val="center"/>
          </w:tcPr>
          <w:p w:rsidR="00276B9C" w:rsidRPr="00276B9C" w:rsidRDefault="00276B9C" w:rsidP="00276B9C">
            <w:pPr>
              <w:jc w:val="center"/>
              <w:rPr>
                <w:rFonts w:eastAsia="Times New Roman"/>
                <w:b/>
                <w:sz w:val="12"/>
                <w:szCs w:val="12"/>
                <w:lang w:val="es-ES"/>
              </w:rPr>
            </w:pPr>
            <w:r w:rsidRPr="00276B9C">
              <w:rPr>
                <w:rFonts w:eastAsia="Times New Roman"/>
                <w:b/>
                <w:sz w:val="12"/>
                <w:szCs w:val="12"/>
                <w:lang w:val="es-ES"/>
              </w:rPr>
              <w:t>2011</w:t>
            </w:r>
          </w:p>
        </w:tc>
        <w:tc>
          <w:tcPr>
            <w:tcW w:w="709" w:type="dxa"/>
            <w:vMerge w:val="restart"/>
            <w:tcBorders>
              <w:bottom w:val="single" w:sz="4" w:space="0" w:color="auto"/>
            </w:tcBorders>
            <w:vAlign w:val="center"/>
          </w:tcPr>
          <w:p w:rsidR="00276B9C" w:rsidRPr="00276B9C" w:rsidRDefault="00276B9C" w:rsidP="00276B9C">
            <w:pPr>
              <w:ind w:right="57"/>
              <w:jc w:val="center"/>
              <w:rPr>
                <w:rFonts w:eastAsia="Times New Roman"/>
                <w:b/>
                <w:sz w:val="12"/>
                <w:szCs w:val="12"/>
                <w:lang w:val="es-ES"/>
              </w:rPr>
            </w:pPr>
            <w:r w:rsidRPr="00276B9C">
              <w:rPr>
                <w:rFonts w:eastAsia="Times New Roman"/>
                <w:b/>
                <w:sz w:val="12"/>
                <w:szCs w:val="12"/>
                <w:lang w:val="es-ES"/>
              </w:rPr>
              <w:t>2012</w:t>
            </w:r>
          </w:p>
        </w:tc>
        <w:tc>
          <w:tcPr>
            <w:tcW w:w="709" w:type="dxa"/>
            <w:vMerge w:val="restart"/>
            <w:tcBorders>
              <w:bottom w:val="single" w:sz="4" w:space="0" w:color="auto"/>
            </w:tcBorders>
            <w:vAlign w:val="center"/>
          </w:tcPr>
          <w:p w:rsidR="00276B9C" w:rsidRPr="00276B9C" w:rsidRDefault="00276B9C" w:rsidP="00276B9C">
            <w:pPr>
              <w:ind w:right="57"/>
              <w:jc w:val="center"/>
              <w:rPr>
                <w:rFonts w:eastAsia="Times New Roman"/>
                <w:b/>
                <w:sz w:val="12"/>
                <w:szCs w:val="12"/>
                <w:lang w:val="es-ES"/>
              </w:rPr>
            </w:pPr>
            <w:r w:rsidRPr="00276B9C">
              <w:rPr>
                <w:rFonts w:eastAsia="Times New Roman"/>
                <w:b/>
                <w:sz w:val="12"/>
                <w:szCs w:val="12"/>
                <w:lang w:val="es-ES"/>
              </w:rPr>
              <w:t>2013</w:t>
            </w:r>
          </w:p>
        </w:tc>
        <w:tc>
          <w:tcPr>
            <w:tcW w:w="1417" w:type="dxa"/>
            <w:gridSpan w:val="2"/>
            <w:tcBorders>
              <w:bottom w:val="single" w:sz="4" w:space="0" w:color="auto"/>
            </w:tcBorders>
            <w:vAlign w:val="center"/>
          </w:tcPr>
          <w:p w:rsidR="00276B9C" w:rsidRPr="00276B9C" w:rsidRDefault="00276B9C" w:rsidP="00276B9C">
            <w:pPr>
              <w:ind w:right="57"/>
              <w:jc w:val="center"/>
              <w:rPr>
                <w:rFonts w:eastAsia="Times New Roman"/>
                <w:b/>
                <w:sz w:val="12"/>
                <w:szCs w:val="12"/>
                <w:lang w:val="es-ES"/>
              </w:rPr>
            </w:pPr>
            <w:r w:rsidRPr="00276B9C">
              <w:rPr>
                <w:rFonts w:eastAsia="Times New Roman"/>
                <w:b/>
                <w:sz w:val="12"/>
                <w:szCs w:val="12"/>
                <w:lang w:val="es-ES"/>
              </w:rPr>
              <w:t>2014</w:t>
            </w:r>
          </w:p>
        </w:tc>
        <w:tc>
          <w:tcPr>
            <w:tcW w:w="1541" w:type="dxa"/>
            <w:gridSpan w:val="3"/>
            <w:vMerge w:val="restart"/>
            <w:tcBorders>
              <w:bottom w:val="single" w:sz="4" w:space="0" w:color="auto"/>
            </w:tcBorders>
            <w:vAlign w:val="center"/>
          </w:tcPr>
          <w:p w:rsidR="00276B9C" w:rsidRPr="00276B9C" w:rsidRDefault="00276B9C" w:rsidP="00276B9C">
            <w:pPr>
              <w:ind w:right="57"/>
              <w:jc w:val="center"/>
              <w:rPr>
                <w:rFonts w:eastAsia="Times New Roman"/>
                <w:b/>
                <w:sz w:val="12"/>
                <w:szCs w:val="12"/>
                <w:lang w:val="es-ES"/>
              </w:rPr>
            </w:pPr>
            <w:proofErr w:type="spellStart"/>
            <w:r w:rsidRPr="00276B9C">
              <w:rPr>
                <w:rFonts w:eastAsia="Times New Roman"/>
                <w:b/>
                <w:sz w:val="12"/>
                <w:szCs w:val="12"/>
              </w:rPr>
              <w:t>Acum</w:t>
            </w:r>
            <w:proofErr w:type="spellEnd"/>
            <w:r w:rsidRPr="00276B9C">
              <w:rPr>
                <w:rFonts w:eastAsia="Times New Roman"/>
                <w:b/>
                <w:sz w:val="12"/>
                <w:szCs w:val="12"/>
              </w:rPr>
              <w:t>. 2000-2014</w:t>
            </w:r>
            <w:r w:rsidRPr="00276B9C">
              <w:rPr>
                <w:rFonts w:eastAsia="Times New Roman"/>
                <w:b/>
                <w:sz w:val="12"/>
                <w:szCs w:val="12"/>
                <w:u w:val="single"/>
                <w:vertAlign w:val="superscript"/>
              </w:rPr>
              <w:t>3</w:t>
            </w:r>
            <w:r w:rsidRPr="00276B9C">
              <w:rPr>
                <w:rFonts w:eastAsia="Times New Roman"/>
                <w:b/>
                <w:sz w:val="12"/>
                <w:szCs w:val="12"/>
                <w:vertAlign w:val="superscript"/>
              </w:rPr>
              <w:t>/</w:t>
            </w:r>
          </w:p>
        </w:tc>
      </w:tr>
      <w:tr w:rsidR="00276B9C" w:rsidRPr="00276B9C" w:rsidTr="00701097">
        <w:trPr>
          <w:jc w:val="center"/>
        </w:trPr>
        <w:tc>
          <w:tcPr>
            <w:tcW w:w="1274" w:type="dxa"/>
            <w:vMerge/>
            <w:tcBorders>
              <w:top w:val="single" w:sz="4" w:space="0" w:color="auto"/>
              <w:bottom w:val="single" w:sz="4" w:space="0" w:color="auto"/>
            </w:tcBorders>
          </w:tcPr>
          <w:p w:rsidR="00276B9C" w:rsidRPr="00276B9C" w:rsidRDefault="00276B9C" w:rsidP="00276B9C">
            <w:pPr>
              <w:jc w:val="center"/>
              <w:rPr>
                <w:rFonts w:eastAsia="Times New Roman"/>
                <w:b/>
                <w:sz w:val="12"/>
                <w:szCs w:val="12"/>
                <w:lang w:val="es-ES"/>
              </w:rPr>
            </w:pPr>
          </w:p>
        </w:tc>
        <w:tc>
          <w:tcPr>
            <w:tcW w:w="775" w:type="dxa"/>
            <w:vMerge/>
            <w:tcBorders>
              <w:top w:val="single" w:sz="4" w:space="0" w:color="auto"/>
              <w:bottom w:val="single" w:sz="4" w:space="0" w:color="auto"/>
            </w:tcBorders>
            <w:vAlign w:val="center"/>
          </w:tcPr>
          <w:p w:rsidR="00276B9C" w:rsidRPr="00276B9C" w:rsidRDefault="00276B9C" w:rsidP="00276B9C">
            <w:pPr>
              <w:jc w:val="center"/>
              <w:rPr>
                <w:rFonts w:eastAsia="Times New Roman"/>
                <w:b/>
                <w:sz w:val="12"/>
                <w:szCs w:val="12"/>
                <w:lang w:val="es-ES"/>
              </w:rPr>
            </w:pPr>
          </w:p>
        </w:tc>
        <w:tc>
          <w:tcPr>
            <w:tcW w:w="708" w:type="dxa"/>
            <w:vMerge/>
            <w:tcBorders>
              <w:top w:val="single" w:sz="4" w:space="0" w:color="auto"/>
              <w:bottom w:val="single" w:sz="4" w:space="0" w:color="auto"/>
            </w:tcBorders>
            <w:vAlign w:val="center"/>
          </w:tcPr>
          <w:p w:rsidR="00276B9C" w:rsidRPr="00276B9C" w:rsidRDefault="00276B9C" w:rsidP="00276B9C">
            <w:pPr>
              <w:jc w:val="center"/>
              <w:rPr>
                <w:rFonts w:eastAsia="Times New Roman"/>
                <w:b/>
                <w:sz w:val="12"/>
                <w:szCs w:val="12"/>
                <w:lang w:val="es-ES"/>
              </w:rPr>
            </w:pPr>
          </w:p>
        </w:tc>
        <w:tc>
          <w:tcPr>
            <w:tcW w:w="709" w:type="dxa"/>
            <w:vMerge/>
            <w:tcBorders>
              <w:top w:val="single" w:sz="4" w:space="0" w:color="auto"/>
              <w:bottom w:val="single" w:sz="4" w:space="0" w:color="auto"/>
            </w:tcBorders>
            <w:vAlign w:val="center"/>
          </w:tcPr>
          <w:p w:rsidR="00276B9C" w:rsidRPr="00276B9C" w:rsidRDefault="00276B9C" w:rsidP="00276B9C">
            <w:pPr>
              <w:jc w:val="center"/>
              <w:rPr>
                <w:rFonts w:eastAsia="Times New Roman"/>
                <w:b/>
                <w:sz w:val="12"/>
                <w:szCs w:val="12"/>
                <w:lang w:val="es-ES"/>
              </w:rPr>
            </w:pPr>
          </w:p>
        </w:tc>
        <w:tc>
          <w:tcPr>
            <w:tcW w:w="709" w:type="dxa"/>
            <w:vMerge/>
            <w:tcBorders>
              <w:top w:val="single" w:sz="4" w:space="0" w:color="auto"/>
              <w:bottom w:val="single" w:sz="4" w:space="0" w:color="auto"/>
            </w:tcBorders>
            <w:vAlign w:val="center"/>
          </w:tcPr>
          <w:p w:rsidR="00276B9C" w:rsidRPr="00276B9C" w:rsidRDefault="00276B9C" w:rsidP="00276B9C">
            <w:pPr>
              <w:jc w:val="center"/>
              <w:rPr>
                <w:rFonts w:eastAsia="Times New Roman"/>
                <w:b/>
                <w:sz w:val="12"/>
                <w:szCs w:val="12"/>
                <w:lang w:val="es-ES"/>
              </w:rPr>
            </w:pPr>
          </w:p>
        </w:tc>
        <w:tc>
          <w:tcPr>
            <w:tcW w:w="709" w:type="dxa"/>
            <w:vMerge/>
            <w:tcBorders>
              <w:top w:val="single" w:sz="4" w:space="0" w:color="auto"/>
              <w:bottom w:val="single" w:sz="4" w:space="0" w:color="auto"/>
            </w:tcBorders>
          </w:tcPr>
          <w:p w:rsidR="00276B9C" w:rsidRPr="00276B9C" w:rsidRDefault="00276B9C" w:rsidP="00276B9C">
            <w:pPr>
              <w:jc w:val="center"/>
              <w:rPr>
                <w:rFonts w:eastAsia="Times New Roman"/>
                <w:b/>
                <w:sz w:val="12"/>
                <w:szCs w:val="12"/>
                <w:lang w:val="es-ES"/>
              </w:rPr>
            </w:pPr>
          </w:p>
        </w:tc>
        <w:tc>
          <w:tcPr>
            <w:tcW w:w="708" w:type="dxa"/>
            <w:vMerge/>
            <w:tcBorders>
              <w:top w:val="single" w:sz="4" w:space="0" w:color="auto"/>
              <w:bottom w:val="single" w:sz="4" w:space="0" w:color="auto"/>
            </w:tcBorders>
            <w:vAlign w:val="center"/>
          </w:tcPr>
          <w:p w:rsidR="00276B9C" w:rsidRPr="00276B9C" w:rsidRDefault="00276B9C" w:rsidP="00276B9C">
            <w:pPr>
              <w:jc w:val="center"/>
              <w:rPr>
                <w:rFonts w:eastAsia="Times New Roman"/>
                <w:b/>
                <w:sz w:val="12"/>
                <w:szCs w:val="12"/>
                <w:lang w:val="es-ES"/>
              </w:rPr>
            </w:pPr>
          </w:p>
        </w:tc>
        <w:tc>
          <w:tcPr>
            <w:tcW w:w="709" w:type="dxa"/>
            <w:vMerge/>
            <w:tcBorders>
              <w:top w:val="single" w:sz="4" w:space="0" w:color="auto"/>
              <w:bottom w:val="single" w:sz="4" w:space="0" w:color="auto"/>
            </w:tcBorders>
          </w:tcPr>
          <w:p w:rsidR="00276B9C" w:rsidRPr="00276B9C" w:rsidRDefault="00276B9C" w:rsidP="00276B9C">
            <w:pPr>
              <w:jc w:val="center"/>
              <w:rPr>
                <w:rFonts w:eastAsia="Times New Roman"/>
                <w:b/>
                <w:sz w:val="12"/>
                <w:szCs w:val="12"/>
                <w:lang w:val="es-ES"/>
              </w:rPr>
            </w:pPr>
          </w:p>
        </w:tc>
        <w:tc>
          <w:tcPr>
            <w:tcW w:w="709" w:type="dxa"/>
            <w:vMerge/>
            <w:tcBorders>
              <w:top w:val="single" w:sz="4" w:space="0" w:color="auto"/>
              <w:bottom w:val="single" w:sz="4" w:space="0" w:color="auto"/>
            </w:tcBorders>
          </w:tcPr>
          <w:p w:rsidR="00276B9C" w:rsidRPr="00276B9C" w:rsidRDefault="00276B9C" w:rsidP="00276B9C">
            <w:pPr>
              <w:ind w:right="57"/>
              <w:jc w:val="center"/>
              <w:rPr>
                <w:rFonts w:eastAsia="Times New Roman"/>
                <w:b/>
                <w:sz w:val="12"/>
                <w:szCs w:val="12"/>
                <w:lang w:val="es-ES"/>
              </w:rPr>
            </w:pPr>
          </w:p>
        </w:tc>
        <w:tc>
          <w:tcPr>
            <w:tcW w:w="1417" w:type="dxa"/>
            <w:gridSpan w:val="2"/>
            <w:tcBorders>
              <w:top w:val="single" w:sz="4" w:space="0" w:color="auto"/>
              <w:bottom w:val="single" w:sz="4" w:space="0" w:color="auto"/>
            </w:tcBorders>
            <w:vAlign w:val="center"/>
          </w:tcPr>
          <w:p w:rsidR="00276B9C" w:rsidRPr="00276B9C" w:rsidRDefault="00276B9C" w:rsidP="00276B9C">
            <w:pPr>
              <w:ind w:right="57"/>
              <w:jc w:val="center"/>
              <w:rPr>
                <w:rFonts w:eastAsia="Times New Roman"/>
                <w:b/>
                <w:sz w:val="12"/>
                <w:szCs w:val="12"/>
                <w:lang w:val="es-ES"/>
              </w:rPr>
            </w:pPr>
            <w:r w:rsidRPr="00276B9C">
              <w:rPr>
                <w:rFonts w:eastAsia="Times New Roman"/>
                <w:b/>
                <w:sz w:val="12"/>
                <w:szCs w:val="12"/>
                <w:lang w:val="es-ES"/>
              </w:rPr>
              <w:t>Ene-Dic</w:t>
            </w:r>
          </w:p>
        </w:tc>
        <w:tc>
          <w:tcPr>
            <w:tcW w:w="1541" w:type="dxa"/>
            <w:gridSpan w:val="3"/>
            <w:vMerge/>
            <w:tcBorders>
              <w:top w:val="single" w:sz="4" w:space="0" w:color="auto"/>
              <w:bottom w:val="single" w:sz="4" w:space="0" w:color="auto"/>
            </w:tcBorders>
            <w:vAlign w:val="center"/>
          </w:tcPr>
          <w:p w:rsidR="00276B9C" w:rsidRPr="00276B9C" w:rsidRDefault="00276B9C" w:rsidP="00276B9C">
            <w:pPr>
              <w:ind w:right="57"/>
              <w:jc w:val="center"/>
              <w:rPr>
                <w:rFonts w:eastAsia="Times New Roman"/>
                <w:b/>
                <w:sz w:val="12"/>
                <w:szCs w:val="12"/>
                <w:lang w:val="es-ES"/>
              </w:rPr>
            </w:pPr>
          </w:p>
        </w:tc>
      </w:tr>
      <w:tr w:rsidR="00276B9C" w:rsidRPr="00276B9C" w:rsidTr="00701097">
        <w:trPr>
          <w:jc w:val="center"/>
        </w:trPr>
        <w:tc>
          <w:tcPr>
            <w:tcW w:w="1274" w:type="dxa"/>
            <w:vMerge/>
            <w:tcBorders>
              <w:top w:val="single" w:sz="4" w:space="0" w:color="auto"/>
              <w:bottom w:val="single" w:sz="4" w:space="0" w:color="auto"/>
            </w:tcBorders>
          </w:tcPr>
          <w:p w:rsidR="00276B9C" w:rsidRPr="00276B9C" w:rsidRDefault="00276B9C" w:rsidP="00276B9C">
            <w:pPr>
              <w:jc w:val="center"/>
              <w:rPr>
                <w:rFonts w:eastAsia="Times New Roman"/>
                <w:b/>
                <w:sz w:val="12"/>
                <w:szCs w:val="12"/>
                <w:lang w:val="es-ES"/>
              </w:rPr>
            </w:pPr>
          </w:p>
        </w:tc>
        <w:tc>
          <w:tcPr>
            <w:tcW w:w="775" w:type="dxa"/>
            <w:vMerge/>
            <w:tcBorders>
              <w:top w:val="single" w:sz="4" w:space="0" w:color="auto"/>
              <w:bottom w:val="single" w:sz="4" w:space="0" w:color="auto"/>
            </w:tcBorders>
          </w:tcPr>
          <w:p w:rsidR="00276B9C" w:rsidRPr="00276B9C" w:rsidRDefault="00276B9C" w:rsidP="00276B9C">
            <w:pPr>
              <w:jc w:val="center"/>
              <w:rPr>
                <w:rFonts w:eastAsia="Times New Roman"/>
                <w:b/>
                <w:sz w:val="12"/>
                <w:szCs w:val="12"/>
                <w:lang w:val="es-ES"/>
              </w:rPr>
            </w:pPr>
          </w:p>
        </w:tc>
        <w:tc>
          <w:tcPr>
            <w:tcW w:w="708" w:type="dxa"/>
            <w:vMerge/>
            <w:tcBorders>
              <w:top w:val="single" w:sz="4" w:space="0" w:color="auto"/>
              <w:bottom w:val="single" w:sz="4" w:space="0" w:color="auto"/>
            </w:tcBorders>
          </w:tcPr>
          <w:p w:rsidR="00276B9C" w:rsidRPr="00276B9C" w:rsidRDefault="00276B9C" w:rsidP="00276B9C">
            <w:pPr>
              <w:jc w:val="center"/>
              <w:rPr>
                <w:rFonts w:eastAsia="Times New Roman"/>
                <w:b/>
                <w:sz w:val="12"/>
                <w:szCs w:val="12"/>
                <w:lang w:val="es-ES"/>
              </w:rPr>
            </w:pPr>
          </w:p>
        </w:tc>
        <w:tc>
          <w:tcPr>
            <w:tcW w:w="709" w:type="dxa"/>
            <w:vMerge/>
            <w:tcBorders>
              <w:top w:val="single" w:sz="4" w:space="0" w:color="auto"/>
              <w:bottom w:val="single" w:sz="4" w:space="0" w:color="auto"/>
            </w:tcBorders>
          </w:tcPr>
          <w:p w:rsidR="00276B9C" w:rsidRPr="00276B9C" w:rsidRDefault="00276B9C" w:rsidP="00276B9C">
            <w:pPr>
              <w:jc w:val="center"/>
              <w:rPr>
                <w:rFonts w:eastAsia="Times New Roman"/>
                <w:b/>
                <w:sz w:val="12"/>
                <w:szCs w:val="12"/>
                <w:lang w:val="es-ES"/>
              </w:rPr>
            </w:pPr>
          </w:p>
        </w:tc>
        <w:tc>
          <w:tcPr>
            <w:tcW w:w="709" w:type="dxa"/>
            <w:vMerge/>
            <w:tcBorders>
              <w:top w:val="single" w:sz="4" w:space="0" w:color="auto"/>
              <w:bottom w:val="single" w:sz="4" w:space="0" w:color="auto"/>
            </w:tcBorders>
          </w:tcPr>
          <w:p w:rsidR="00276B9C" w:rsidRPr="00276B9C" w:rsidRDefault="00276B9C" w:rsidP="00276B9C">
            <w:pPr>
              <w:jc w:val="center"/>
              <w:rPr>
                <w:rFonts w:eastAsia="Times New Roman"/>
                <w:b/>
                <w:sz w:val="12"/>
                <w:szCs w:val="12"/>
                <w:lang w:val="es-ES"/>
              </w:rPr>
            </w:pPr>
          </w:p>
        </w:tc>
        <w:tc>
          <w:tcPr>
            <w:tcW w:w="709" w:type="dxa"/>
            <w:vMerge/>
            <w:tcBorders>
              <w:top w:val="single" w:sz="4" w:space="0" w:color="auto"/>
              <w:bottom w:val="single" w:sz="4" w:space="0" w:color="auto"/>
            </w:tcBorders>
          </w:tcPr>
          <w:p w:rsidR="00276B9C" w:rsidRPr="00276B9C" w:rsidRDefault="00276B9C" w:rsidP="00276B9C">
            <w:pPr>
              <w:jc w:val="center"/>
              <w:rPr>
                <w:rFonts w:eastAsia="Times New Roman"/>
                <w:b/>
                <w:sz w:val="12"/>
                <w:szCs w:val="12"/>
                <w:lang w:val="es-ES"/>
              </w:rPr>
            </w:pPr>
          </w:p>
        </w:tc>
        <w:tc>
          <w:tcPr>
            <w:tcW w:w="708" w:type="dxa"/>
            <w:vMerge/>
            <w:tcBorders>
              <w:top w:val="single" w:sz="4" w:space="0" w:color="auto"/>
              <w:bottom w:val="single" w:sz="4" w:space="0" w:color="auto"/>
            </w:tcBorders>
          </w:tcPr>
          <w:p w:rsidR="00276B9C" w:rsidRPr="00276B9C" w:rsidRDefault="00276B9C" w:rsidP="00276B9C">
            <w:pPr>
              <w:jc w:val="center"/>
              <w:rPr>
                <w:rFonts w:eastAsia="Times New Roman"/>
                <w:b/>
                <w:sz w:val="12"/>
                <w:szCs w:val="12"/>
                <w:lang w:val="es-ES"/>
              </w:rPr>
            </w:pPr>
          </w:p>
        </w:tc>
        <w:tc>
          <w:tcPr>
            <w:tcW w:w="709" w:type="dxa"/>
            <w:vMerge/>
            <w:tcBorders>
              <w:top w:val="single" w:sz="4" w:space="0" w:color="auto"/>
              <w:bottom w:val="single" w:sz="4" w:space="0" w:color="auto"/>
            </w:tcBorders>
          </w:tcPr>
          <w:p w:rsidR="00276B9C" w:rsidRPr="00276B9C" w:rsidRDefault="00276B9C" w:rsidP="00276B9C">
            <w:pPr>
              <w:jc w:val="center"/>
              <w:rPr>
                <w:rFonts w:eastAsia="Times New Roman"/>
                <w:b/>
                <w:sz w:val="12"/>
                <w:szCs w:val="12"/>
                <w:lang w:val="es-ES"/>
              </w:rPr>
            </w:pPr>
          </w:p>
        </w:tc>
        <w:tc>
          <w:tcPr>
            <w:tcW w:w="709" w:type="dxa"/>
            <w:vMerge/>
            <w:tcBorders>
              <w:top w:val="single" w:sz="4" w:space="0" w:color="auto"/>
              <w:bottom w:val="single" w:sz="4" w:space="0" w:color="auto"/>
            </w:tcBorders>
          </w:tcPr>
          <w:p w:rsidR="00276B9C" w:rsidRPr="00276B9C" w:rsidRDefault="00276B9C" w:rsidP="00276B9C">
            <w:pPr>
              <w:jc w:val="center"/>
              <w:rPr>
                <w:rFonts w:eastAsia="Times New Roman"/>
                <w:b/>
                <w:sz w:val="12"/>
                <w:szCs w:val="12"/>
                <w:lang w:val="es-ES"/>
              </w:rPr>
            </w:pPr>
          </w:p>
        </w:tc>
        <w:tc>
          <w:tcPr>
            <w:tcW w:w="709" w:type="dxa"/>
            <w:tcBorders>
              <w:top w:val="single" w:sz="4" w:space="0" w:color="auto"/>
              <w:bottom w:val="single" w:sz="4" w:space="0" w:color="auto"/>
            </w:tcBorders>
            <w:vAlign w:val="center"/>
          </w:tcPr>
          <w:p w:rsidR="00276B9C" w:rsidRPr="00276B9C" w:rsidRDefault="00276B9C" w:rsidP="00276B9C">
            <w:pPr>
              <w:jc w:val="center"/>
              <w:rPr>
                <w:rFonts w:eastAsia="Times New Roman"/>
                <w:b/>
                <w:sz w:val="12"/>
                <w:szCs w:val="12"/>
                <w:lang w:val="es-ES"/>
              </w:rPr>
            </w:pPr>
            <w:r w:rsidRPr="00276B9C">
              <w:rPr>
                <w:rFonts w:eastAsia="Times New Roman"/>
                <w:b/>
                <w:sz w:val="12"/>
                <w:szCs w:val="12"/>
                <w:lang w:val="es-ES"/>
              </w:rPr>
              <w:t>Valor</w:t>
            </w:r>
          </w:p>
        </w:tc>
        <w:tc>
          <w:tcPr>
            <w:tcW w:w="708" w:type="dxa"/>
            <w:tcBorders>
              <w:top w:val="single" w:sz="4" w:space="0" w:color="auto"/>
              <w:bottom w:val="single" w:sz="4" w:space="0" w:color="auto"/>
            </w:tcBorders>
            <w:vAlign w:val="center"/>
          </w:tcPr>
          <w:p w:rsidR="00276B9C" w:rsidRPr="00276B9C" w:rsidRDefault="00276B9C" w:rsidP="00276B9C">
            <w:pPr>
              <w:ind w:right="57"/>
              <w:jc w:val="center"/>
              <w:rPr>
                <w:rFonts w:eastAsia="Times New Roman"/>
                <w:b/>
                <w:sz w:val="12"/>
                <w:szCs w:val="12"/>
                <w:lang w:val="es-ES"/>
              </w:rPr>
            </w:pPr>
            <w:proofErr w:type="spellStart"/>
            <w:r w:rsidRPr="00276B9C">
              <w:rPr>
                <w:rFonts w:eastAsia="Times New Roman"/>
                <w:b/>
                <w:sz w:val="12"/>
                <w:szCs w:val="12"/>
                <w:lang w:val="es-ES"/>
              </w:rPr>
              <w:t>Part</w:t>
            </w:r>
            <w:proofErr w:type="spellEnd"/>
            <w:r w:rsidRPr="00276B9C">
              <w:rPr>
                <w:rFonts w:eastAsia="Times New Roman"/>
                <w:b/>
                <w:sz w:val="12"/>
                <w:szCs w:val="12"/>
                <w:lang w:val="es-ES"/>
              </w:rPr>
              <w:t>. (%)</w:t>
            </w:r>
          </w:p>
        </w:tc>
        <w:tc>
          <w:tcPr>
            <w:tcW w:w="851" w:type="dxa"/>
            <w:tcBorders>
              <w:top w:val="single" w:sz="4" w:space="0" w:color="auto"/>
              <w:bottom w:val="single" w:sz="4" w:space="0" w:color="auto"/>
            </w:tcBorders>
            <w:vAlign w:val="center"/>
          </w:tcPr>
          <w:p w:rsidR="00276B9C" w:rsidRPr="00276B9C" w:rsidRDefault="00276B9C" w:rsidP="00276B9C">
            <w:pPr>
              <w:jc w:val="center"/>
              <w:rPr>
                <w:rFonts w:eastAsia="Times New Roman"/>
                <w:b/>
                <w:sz w:val="12"/>
                <w:szCs w:val="12"/>
                <w:lang w:val="es-ES"/>
              </w:rPr>
            </w:pPr>
            <w:r w:rsidRPr="00276B9C">
              <w:rPr>
                <w:rFonts w:eastAsia="Times New Roman"/>
                <w:b/>
                <w:sz w:val="12"/>
                <w:szCs w:val="12"/>
                <w:lang w:val="es-ES"/>
              </w:rPr>
              <w:t>Valor</w:t>
            </w:r>
          </w:p>
        </w:tc>
        <w:tc>
          <w:tcPr>
            <w:tcW w:w="690" w:type="dxa"/>
            <w:gridSpan w:val="2"/>
            <w:tcBorders>
              <w:top w:val="single" w:sz="4" w:space="0" w:color="auto"/>
              <w:bottom w:val="single" w:sz="4" w:space="0" w:color="auto"/>
            </w:tcBorders>
            <w:vAlign w:val="center"/>
          </w:tcPr>
          <w:p w:rsidR="00276B9C" w:rsidRPr="00276B9C" w:rsidRDefault="00276B9C" w:rsidP="00276B9C">
            <w:pPr>
              <w:ind w:right="57"/>
              <w:jc w:val="center"/>
              <w:rPr>
                <w:rFonts w:eastAsia="Times New Roman"/>
                <w:b/>
                <w:sz w:val="12"/>
                <w:szCs w:val="12"/>
                <w:lang w:val="es-ES"/>
              </w:rPr>
            </w:pPr>
            <w:proofErr w:type="spellStart"/>
            <w:r w:rsidRPr="00276B9C">
              <w:rPr>
                <w:rFonts w:eastAsia="Times New Roman"/>
                <w:b/>
                <w:sz w:val="12"/>
                <w:szCs w:val="12"/>
                <w:lang w:val="es-ES"/>
              </w:rPr>
              <w:t>Part</w:t>
            </w:r>
            <w:proofErr w:type="spellEnd"/>
            <w:r w:rsidRPr="00276B9C">
              <w:rPr>
                <w:rFonts w:eastAsia="Times New Roman"/>
                <w:b/>
                <w:sz w:val="12"/>
                <w:szCs w:val="12"/>
                <w:lang w:val="es-ES"/>
              </w:rPr>
              <w:t>. (%)</w:t>
            </w:r>
          </w:p>
        </w:tc>
      </w:tr>
      <w:tr w:rsidR="00276B9C" w:rsidRPr="00276B9C" w:rsidTr="00701097">
        <w:trPr>
          <w:jc w:val="center"/>
        </w:trPr>
        <w:tc>
          <w:tcPr>
            <w:tcW w:w="1274" w:type="dxa"/>
            <w:tcBorders>
              <w:top w:val="single" w:sz="4" w:space="0" w:color="auto"/>
              <w:bottom w:val="nil"/>
            </w:tcBorders>
          </w:tcPr>
          <w:p w:rsidR="00276B9C" w:rsidRPr="00276B9C" w:rsidRDefault="00276B9C" w:rsidP="00276B9C">
            <w:pPr>
              <w:rPr>
                <w:rFonts w:eastAsia="Times New Roman"/>
                <w:b/>
                <w:sz w:val="12"/>
                <w:szCs w:val="12"/>
                <w:lang w:val="es-ES"/>
              </w:rPr>
            </w:pPr>
            <w:r w:rsidRPr="00276B9C">
              <w:rPr>
                <w:rFonts w:eastAsia="Times New Roman"/>
                <w:b/>
                <w:sz w:val="12"/>
                <w:szCs w:val="12"/>
                <w:lang w:val="es-ES"/>
              </w:rPr>
              <w:t>TOTAL</w:t>
            </w:r>
          </w:p>
        </w:tc>
        <w:tc>
          <w:tcPr>
            <w:tcW w:w="775" w:type="dxa"/>
            <w:tcBorders>
              <w:top w:val="single" w:sz="4" w:space="0" w:color="auto"/>
              <w:bottom w:val="nil"/>
            </w:tcBorders>
          </w:tcPr>
          <w:p w:rsidR="00276B9C" w:rsidRPr="00276B9C" w:rsidRDefault="00276B9C" w:rsidP="00276B9C">
            <w:pPr>
              <w:ind w:left="-57" w:right="57"/>
              <w:jc w:val="right"/>
              <w:rPr>
                <w:rFonts w:eastAsia="Times New Roman"/>
                <w:b/>
                <w:sz w:val="12"/>
                <w:szCs w:val="12"/>
              </w:rPr>
            </w:pPr>
            <w:r w:rsidRPr="00276B9C">
              <w:rPr>
                <w:rFonts w:eastAsia="Times New Roman"/>
                <w:b/>
                <w:sz w:val="12"/>
                <w:szCs w:val="12"/>
              </w:rPr>
              <w:t>20 900.6</w:t>
            </w:r>
          </w:p>
        </w:tc>
        <w:tc>
          <w:tcPr>
            <w:tcW w:w="708" w:type="dxa"/>
            <w:tcBorders>
              <w:top w:val="single" w:sz="4" w:space="0" w:color="auto"/>
              <w:bottom w:val="nil"/>
            </w:tcBorders>
          </w:tcPr>
          <w:p w:rsidR="00276B9C" w:rsidRPr="00276B9C" w:rsidRDefault="00276B9C" w:rsidP="00276B9C">
            <w:pPr>
              <w:ind w:left="-57"/>
              <w:jc w:val="right"/>
              <w:rPr>
                <w:rFonts w:eastAsia="Times New Roman"/>
                <w:b/>
                <w:sz w:val="12"/>
                <w:szCs w:val="12"/>
              </w:rPr>
            </w:pPr>
            <w:r w:rsidRPr="00276B9C">
              <w:rPr>
                <w:rFonts w:eastAsia="Times New Roman"/>
                <w:b/>
                <w:sz w:val="12"/>
                <w:szCs w:val="12"/>
              </w:rPr>
              <w:t>32 213.2</w:t>
            </w:r>
          </w:p>
        </w:tc>
        <w:tc>
          <w:tcPr>
            <w:tcW w:w="709" w:type="dxa"/>
            <w:tcBorders>
              <w:top w:val="single" w:sz="4" w:space="0" w:color="auto"/>
              <w:bottom w:val="nil"/>
            </w:tcBorders>
          </w:tcPr>
          <w:p w:rsidR="00276B9C" w:rsidRPr="00276B9C" w:rsidRDefault="00276B9C" w:rsidP="00276B9C">
            <w:pPr>
              <w:ind w:left="-57"/>
              <w:jc w:val="right"/>
              <w:rPr>
                <w:rFonts w:eastAsia="Times New Roman"/>
                <w:b/>
                <w:sz w:val="12"/>
                <w:szCs w:val="12"/>
              </w:rPr>
            </w:pPr>
            <w:r w:rsidRPr="00276B9C">
              <w:rPr>
                <w:rFonts w:eastAsia="Times New Roman"/>
                <w:b/>
                <w:sz w:val="12"/>
                <w:szCs w:val="12"/>
              </w:rPr>
              <w:t>28 573.9</w:t>
            </w:r>
          </w:p>
        </w:tc>
        <w:tc>
          <w:tcPr>
            <w:tcW w:w="709" w:type="dxa"/>
            <w:tcBorders>
              <w:top w:val="single" w:sz="4" w:space="0" w:color="auto"/>
              <w:bottom w:val="nil"/>
            </w:tcBorders>
          </w:tcPr>
          <w:p w:rsidR="00276B9C" w:rsidRPr="00276B9C" w:rsidRDefault="00276B9C" w:rsidP="00276B9C">
            <w:pPr>
              <w:ind w:left="-57"/>
              <w:jc w:val="right"/>
              <w:rPr>
                <w:rFonts w:eastAsia="Times New Roman"/>
                <w:b/>
                <w:sz w:val="12"/>
                <w:szCs w:val="12"/>
              </w:rPr>
            </w:pPr>
            <w:r w:rsidRPr="00276B9C">
              <w:rPr>
                <w:rFonts w:eastAsia="Times New Roman"/>
                <w:b/>
                <w:sz w:val="12"/>
                <w:szCs w:val="12"/>
              </w:rPr>
              <w:t>17 643.7</w:t>
            </w:r>
          </w:p>
        </w:tc>
        <w:tc>
          <w:tcPr>
            <w:tcW w:w="709" w:type="dxa"/>
            <w:tcBorders>
              <w:top w:val="single" w:sz="4" w:space="0" w:color="auto"/>
              <w:bottom w:val="nil"/>
            </w:tcBorders>
          </w:tcPr>
          <w:p w:rsidR="00276B9C" w:rsidRPr="00276B9C" w:rsidRDefault="00276B9C" w:rsidP="00276B9C">
            <w:pPr>
              <w:ind w:left="-57"/>
              <w:jc w:val="right"/>
              <w:rPr>
                <w:rFonts w:eastAsia="Times New Roman"/>
                <w:b/>
                <w:sz w:val="12"/>
                <w:szCs w:val="12"/>
              </w:rPr>
            </w:pPr>
            <w:r w:rsidRPr="00276B9C">
              <w:rPr>
                <w:rFonts w:eastAsia="Times New Roman"/>
                <w:b/>
                <w:sz w:val="12"/>
                <w:szCs w:val="12"/>
              </w:rPr>
              <w:t>25 961.5</w:t>
            </w:r>
          </w:p>
        </w:tc>
        <w:tc>
          <w:tcPr>
            <w:tcW w:w="708" w:type="dxa"/>
            <w:tcBorders>
              <w:top w:val="single" w:sz="4" w:space="0" w:color="auto"/>
              <w:bottom w:val="nil"/>
            </w:tcBorders>
          </w:tcPr>
          <w:p w:rsidR="00276B9C" w:rsidRPr="00276B9C" w:rsidRDefault="00276B9C" w:rsidP="00276B9C">
            <w:pPr>
              <w:ind w:left="-57"/>
              <w:jc w:val="right"/>
              <w:rPr>
                <w:rFonts w:eastAsia="Times New Roman"/>
                <w:b/>
                <w:sz w:val="12"/>
                <w:szCs w:val="12"/>
              </w:rPr>
            </w:pPr>
            <w:r w:rsidRPr="00276B9C">
              <w:rPr>
                <w:rFonts w:eastAsia="Times New Roman"/>
                <w:b/>
                <w:sz w:val="12"/>
                <w:szCs w:val="12"/>
              </w:rPr>
              <w:t>23 559.9</w:t>
            </w:r>
          </w:p>
        </w:tc>
        <w:tc>
          <w:tcPr>
            <w:tcW w:w="709" w:type="dxa"/>
            <w:tcBorders>
              <w:top w:val="single" w:sz="4" w:space="0" w:color="auto"/>
              <w:bottom w:val="nil"/>
            </w:tcBorders>
          </w:tcPr>
          <w:p w:rsidR="00276B9C" w:rsidRPr="00276B9C" w:rsidRDefault="00276B9C" w:rsidP="00276B9C">
            <w:pPr>
              <w:ind w:left="-57"/>
              <w:jc w:val="right"/>
              <w:rPr>
                <w:rFonts w:eastAsia="Times New Roman"/>
                <w:b/>
                <w:sz w:val="12"/>
                <w:szCs w:val="12"/>
              </w:rPr>
            </w:pPr>
            <w:r w:rsidRPr="00276B9C">
              <w:rPr>
                <w:rFonts w:eastAsia="Times New Roman"/>
                <w:b/>
                <w:sz w:val="12"/>
                <w:szCs w:val="12"/>
              </w:rPr>
              <w:t>18 997.9</w:t>
            </w:r>
          </w:p>
        </w:tc>
        <w:tc>
          <w:tcPr>
            <w:tcW w:w="709" w:type="dxa"/>
            <w:tcBorders>
              <w:top w:val="single" w:sz="4" w:space="0" w:color="auto"/>
              <w:bottom w:val="nil"/>
            </w:tcBorders>
          </w:tcPr>
          <w:p w:rsidR="00276B9C" w:rsidRPr="00276B9C" w:rsidRDefault="00276B9C" w:rsidP="00276B9C">
            <w:pPr>
              <w:ind w:left="-57"/>
              <w:jc w:val="right"/>
              <w:rPr>
                <w:rFonts w:eastAsia="Times New Roman"/>
                <w:b/>
                <w:sz w:val="12"/>
                <w:szCs w:val="12"/>
              </w:rPr>
            </w:pPr>
            <w:r w:rsidRPr="00276B9C">
              <w:rPr>
                <w:rFonts w:eastAsia="Times New Roman"/>
                <w:b/>
                <w:sz w:val="12"/>
                <w:szCs w:val="12"/>
              </w:rPr>
              <w:t>44 198.8</w:t>
            </w:r>
          </w:p>
        </w:tc>
        <w:tc>
          <w:tcPr>
            <w:tcW w:w="709" w:type="dxa"/>
            <w:tcBorders>
              <w:top w:val="single" w:sz="4" w:space="0" w:color="auto"/>
              <w:bottom w:val="nil"/>
            </w:tcBorders>
          </w:tcPr>
          <w:p w:rsidR="00276B9C" w:rsidRPr="00276B9C" w:rsidRDefault="00276B9C" w:rsidP="00276B9C">
            <w:pPr>
              <w:ind w:left="-57"/>
              <w:jc w:val="right"/>
              <w:rPr>
                <w:rFonts w:eastAsia="Times New Roman"/>
                <w:b/>
                <w:sz w:val="12"/>
                <w:szCs w:val="12"/>
              </w:rPr>
            </w:pPr>
            <w:r w:rsidRPr="00276B9C">
              <w:rPr>
                <w:rFonts w:eastAsia="Times New Roman"/>
                <w:b/>
                <w:sz w:val="12"/>
                <w:szCs w:val="12"/>
              </w:rPr>
              <w:t>22 568.4</w:t>
            </w:r>
          </w:p>
        </w:tc>
        <w:tc>
          <w:tcPr>
            <w:tcW w:w="708" w:type="dxa"/>
            <w:tcBorders>
              <w:top w:val="single" w:sz="4" w:space="0" w:color="auto"/>
              <w:bottom w:val="nil"/>
            </w:tcBorders>
          </w:tcPr>
          <w:p w:rsidR="00276B9C" w:rsidRPr="00276B9C" w:rsidRDefault="00276B9C" w:rsidP="00276B9C">
            <w:pPr>
              <w:ind w:right="113"/>
              <w:jc w:val="right"/>
              <w:rPr>
                <w:rFonts w:eastAsia="Times New Roman"/>
                <w:b/>
                <w:sz w:val="12"/>
                <w:szCs w:val="12"/>
              </w:rPr>
            </w:pPr>
            <w:r w:rsidRPr="00276B9C">
              <w:rPr>
                <w:rFonts w:eastAsia="Times New Roman"/>
                <w:b/>
                <w:sz w:val="12"/>
                <w:szCs w:val="12"/>
              </w:rPr>
              <w:t>100.0</w:t>
            </w:r>
          </w:p>
        </w:tc>
        <w:tc>
          <w:tcPr>
            <w:tcW w:w="851" w:type="dxa"/>
            <w:tcBorders>
              <w:top w:val="single" w:sz="4" w:space="0" w:color="auto"/>
              <w:bottom w:val="nil"/>
            </w:tcBorders>
          </w:tcPr>
          <w:p w:rsidR="00276B9C" w:rsidRPr="00276B9C" w:rsidRDefault="00276B9C" w:rsidP="00276B9C">
            <w:pPr>
              <w:ind w:right="57"/>
              <w:jc w:val="right"/>
              <w:rPr>
                <w:rFonts w:eastAsia="Times New Roman"/>
                <w:b/>
                <w:sz w:val="12"/>
                <w:szCs w:val="12"/>
              </w:rPr>
            </w:pPr>
            <w:r w:rsidRPr="00276B9C">
              <w:rPr>
                <w:rFonts w:eastAsia="Times New Roman"/>
                <w:b/>
                <w:sz w:val="12"/>
                <w:szCs w:val="12"/>
              </w:rPr>
              <w:t>375 700.7</w:t>
            </w:r>
          </w:p>
        </w:tc>
        <w:tc>
          <w:tcPr>
            <w:tcW w:w="690" w:type="dxa"/>
            <w:gridSpan w:val="2"/>
            <w:tcBorders>
              <w:top w:val="single" w:sz="4" w:space="0" w:color="auto"/>
              <w:bottom w:val="nil"/>
            </w:tcBorders>
            <w:vAlign w:val="bottom"/>
          </w:tcPr>
          <w:p w:rsidR="00276B9C" w:rsidRPr="00276B9C" w:rsidRDefault="00276B9C" w:rsidP="00276B9C">
            <w:pPr>
              <w:ind w:right="113"/>
              <w:jc w:val="right"/>
              <w:rPr>
                <w:rFonts w:eastAsia="Times New Roman"/>
                <w:b/>
                <w:sz w:val="12"/>
                <w:szCs w:val="12"/>
              </w:rPr>
            </w:pPr>
            <w:r w:rsidRPr="00276B9C">
              <w:rPr>
                <w:rFonts w:eastAsia="Times New Roman"/>
                <w:b/>
                <w:sz w:val="12"/>
                <w:szCs w:val="12"/>
              </w:rPr>
              <w:t>100.0</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Distrito Federal</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10 461.4</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17 798.2</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13 958.9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9 949.6</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10 751.3</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15 333.1</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7 214.3</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26 674.8</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9 914.0</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43.9</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208 603.8</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55.5</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Nuevo León</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1 987.0</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3 105.9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1 972.7</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1 127.6</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5 384.6</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1 418.6</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1 009.2</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498.6</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1 072.7</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4.8</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32 474.0</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8.6</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Estado de México</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1 370.7</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862.5</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1 676.4</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1 602.7</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1 137.0</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757.6</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1 572.9</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1 231.1</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1 684.6</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7.5</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19 403.3</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5.2</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Chihuahua</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1 541.6</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1 731.5</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1 481.0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1 133.0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1 931.5</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976.9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745.3</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1 948.3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1 151.7</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5.1</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18 085.9</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4.8</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Baja California</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972.2</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873.1</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1 486.0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356.0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1 093.8</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633.3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1 093.1</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505.1</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813.2</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3.6</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13 619.1</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3.6</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Jalisco</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768.9</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489.3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293.2</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886.1</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1 891.2</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719.4</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860.5</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1 004.2</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1 223.4</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5.4</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12 336.6</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3.3</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Puebla</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516.0</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353.5</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275.3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96.8</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534.2</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444.3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423.2</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1 325.4</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855.8</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3.8</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7 555.7</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2.0</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Tamaulipas</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532.2</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558.2</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472.7</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220.7</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210.6</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410.9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383.3</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735.4</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511.4</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2.3</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6 200.4</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1.7</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Coahuila</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271.3</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158.9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1 094.4</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180.4</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167.2</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136.4</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240.1</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1 294.0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624.0</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2.8</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5 402.7</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1.4</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Baja California Sur</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530.0</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665.9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404.9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268.5</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300.3</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439.7</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632.7</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344.0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197.9</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0.9</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5 138.2</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1.4</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 xml:space="preserve">Querétaro </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222.0</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250.8</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473.4</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468.7</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454.9</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401.8</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676.2</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560.3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649.8</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2.9</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5 111.6</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1.4</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Zacatecas</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15.4</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801.0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1 517.0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77.5</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135.0</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36.8</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472.9</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1 763.3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96.5</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0.4</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4 947.3</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1.3</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Sonora</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339.3</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469.1</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1 291.4</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271.4</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141.6</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160.7</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37.9</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134.0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332.6</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1.5</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4 674.8</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1.2</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 xml:space="preserve">Durango </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112.6</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225.0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574.5</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60.7</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537.8</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201.3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386.5</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1 286.7</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772.3</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3.4</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4 585.9</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1.2</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Guanajuato</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-68.3</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268.1</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286.8</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137.6</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126.2</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287.5</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751.4</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892.0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584.7</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2.6</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4 384.8</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1.2</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Quintana Roo</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365.6</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860.7</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177.0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178.0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165.0</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261.6</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457.9</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488.2</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115.8</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0.5</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3 818.9</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1.0</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Aguascalientes</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113.1</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207.9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429.4</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368.2</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327.9</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160.9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448.5</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694.6</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277.7</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1.2</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3 668.7</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1.0</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Michoacán</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-110.0</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1 590.3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31.9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28.5</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3.7</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38.9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41.8</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1 458.6</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239.0</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1.1</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3 418.6</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0.9</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San Luis Potosí</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96.2</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193.1</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144.7</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-13.9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322.5</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166.7</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106.1</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510.5</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430.7</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1.9</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2 749.6</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0.7</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Veracruz</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48.5</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75.0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157.4</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158.2</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60.1</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-141.3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404.7</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39.3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290.3</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1.3</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1 681.7</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0.4</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Morelos</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311.0</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453.3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134.1</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-56.3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17.8</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106.2</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5.2</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25.7</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83.7</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0.4</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1 508.8</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0.4</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Nayarit</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183.3</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154.1</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26.5</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59.6</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116.7</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113.1</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140.5</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127.4</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92.5</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0.4</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1 402.8</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0.4</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Sinaloa</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47.2</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44.5</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49.4</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20.6</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82.3</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80.5</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349.5</w:t>
            </w:r>
          </w:p>
        </w:tc>
        <w:tc>
          <w:tcPr>
            <w:tcW w:w="709" w:type="dxa"/>
            <w:tcBorders>
              <w:top w:val="nil"/>
              <w:bottom w:val="nil"/>
            </w:tcBorders>
          </w:tcPr>
          <w:p w:rsidR="00276B9C" w:rsidRPr="00276B9C" w:rsidRDefault="00736C45" w:rsidP="00736C45">
            <w:pPr>
              <w:jc w:val="right"/>
              <w:rPr>
                <w:rFonts w:eastAsia="Times New Roman"/>
                <w:sz w:val="12"/>
                <w:szCs w:val="12"/>
              </w:rPr>
            </w:pPr>
            <w:r>
              <w:rPr>
                <w:rFonts w:eastAsia="Times New Roman"/>
                <w:sz w:val="12"/>
                <w:szCs w:val="12"/>
              </w:rPr>
              <w:t>2</w:t>
            </w:r>
            <w:r w:rsidR="00276B9C" w:rsidRPr="00276B9C">
              <w:rPr>
                <w:rFonts w:eastAsia="Times New Roman"/>
                <w:sz w:val="12"/>
                <w:szCs w:val="12"/>
              </w:rPr>
              <w:t>55.9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141.4</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0.6</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1 280.3</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0.3</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Tabasco</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77.2</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0.9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46.6</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9.1</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32.6</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8.3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148.2</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77.3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161.9</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0.7</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896.6</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0.2</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Guerrero</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34.6</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-45.5</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3.8</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14.8</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-24.1</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88.7</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109.0</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217.7</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273.7</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1.2</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828.9</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0.2</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Tlaxcala</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9.6</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15.5</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37.4</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4.8</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41.4</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84.3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31.0</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32.2</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134.1</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0.6</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621.2</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0.2</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Yucatán</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30.2</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59.3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34.5</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13.6</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6.1</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69.3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35.3</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45.2</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33.2</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0.1</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588.6</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0.2</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Oaxaca</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10.8</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15.2</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17.7</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30.2</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8.8</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42.8</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69.1</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99.9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191.4</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0.8</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500.9</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0.1</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Colima</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64.7</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-7.2</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13.0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21.6</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-6.4</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48.8</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53.6</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45.0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35.3</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0.2</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316.9</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0.1</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Chiapas</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24.4</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34.1</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-11.2</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29.0</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16.8</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0.2</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41.8</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52.9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-58.7</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-0.3</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148.3</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0.0</w:t>
            </w:r>
          </w:p>
        </w:tc>
      </w:tr>
      <w:tr w:rsidR="00276B9C" w:rsidRPr="00276B9C" w:rsidTr="00701097">
        <w:trPr>
          <w:jc w:val="center"/>
        </w:trPr>
        <w:tc>
          <w:tcPr>
            <w:tcW w:w="1274" w:type="dxa"/>
            <w:tcBorders>
              <w:top w:val="nil"/>
              <w:bottom w:val="nil"/>
            </w:tcBorders>
            <w:vAlign w:val="bottom"/>
          </w:tcPr>
          <w:p w:rsidR="00276B9C" w:rsidRPr="00276B9C" w:rsidRDefault="00276B9C" w:rsidP="00276B9C">
            <w:pPr>
              <w:rPr>
                <w:rFonts w:eastAsia="Times New Roman"/>
                <w:sz w:val="12"/>
                <w:szCs w:val="12"/>
              </w:rPr>
            </w:pPr>
            <w:r w:rsidRPr="00276B9C">
              <w:rPr>
                <w:rFonts w:eastAsia="Times New Roman"/>
                <w:sz w:val="12"/>
                <w:szCs w:val="12"/>
              </w:rPr>
              <w:t>Campeche</w:t>
            </w:r>
          </w:p>
        </w:tc>
        <w:tc>
          <w:tcPr>
            <w:tcW w:w="775" w:type="dxa"/>
            <w:tcBorders>
              <w:top w:val="nil"/>
              <w:bottom w:val="nil"/>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10.6</w:t>
            </w:r>
          </w:p>
        </w:tc>
        <w:tc>
          <w:tcPr>
            <w:tcW w:w="708"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-51.3</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-17.1</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-59.9</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-26.9</w:t>
            </w:r>
          </w:p>
        </w:tc>
        <w:tc>
          <w:tcPr>
            <w:tcW w:w="708"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68.6</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111.3</w:t>
            </w:r>
          </w:p>
        </w:tc>
        <w:tc>
          <w:tcPr>
            <w:tcW w:w="709" w:type="dxa"/>
            <w:tcBorders>
              <w:top w:val="nil"/>
              <w:bottom w:val="nil"/>
            </w:tcBorders>
          </w:tcPr>
          <w:p w:rsidR="00276B9C" w:rsidRPr="00276B9C" w:rsidRDefault="00276B9C" w:rsidP="00276B9C">
            <w:pPr>
              <w:jc w:val="right"/>
              <w:rPr>
                <w:rFonts w:eastAsia="Times New Roman"/>
                <w:sz w:val="12"/>
                <w:szCs w:val="12"/>
              </w:rPr>
            </w:pPr>
            <w:r w:rsidRPr="00276B9C">
              <w:rPr>
                <w:rFonts w:eastAsia="Times New Roman"/>
                <w:sz w:val="12"/>
                <w:szCs w:val="12"/>
              </w:rPr>
              <w:t>-136.4</w:t>
            </w:r>
          </w:p>
        </w:tc>
        <w:tc>
          <w:tcPr>
            <w:tcW w:w="709" w:type="dxa"/>
            <w:tcBorders>
              <w:top w:val="nil"/>
              <w:bottom w:val="nil"/>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-117.0</w:t>
            </w:r>
          </w:p>
        </w:tc>
        <w:tc>
          <w:tcPr>
            <w:tcW w:w="708" w:type="dxa"/>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-0.5</w:t>
            </w:r>
          </w:p>
        </w:tc>
        <w:tc>
          <w:tcPr>
            <w:tcW w:w="851" w:type="dxa"/>
            <w:tcBorders>
              <w:top w:val="nil"/>
              <w:bottom w:val="nil"/>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-79.8</w:t>
            </w:r>
          </w:p>
        </w:tc>
        <w:tc>
          <w:tcPr>
            <w:tcW w:w="690" w:type="dxa"/>
            <w:gridSpan w:val="2"/>
            <w:tcBorders>
              <w:top w:val="nil"/>
              <w:bottom w:val="nil"/>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0.0</w:t>
            </w:r>
          </w:p>
        </w:tc>
      </w:tr>
      <w:tr w:rsidR="00276B9C" w:rsidRPr="00276B9C" w:rsidTr="00701097">
        <w:trPr>
          <w:jc w:val="center"/>
        </w:trPr>
        <w:tc>
          <w:tcPr>
            <w:tcW w:w="1274" w:type="dxa"/>
            <w:tcBorders>
              <w:top w:val="nil"/>
              <w:bottom w:val="single" w:sz="4" w:space="0" w:color="auto"/>
            </w:tcBorders>
            <w:vAlign w:val="bottom"/>
          </w:tcPr>
          <w:p w:rsidR="00276B9C" w:rsidRPr="00276B9C" w:rsidRDefault="00276B9C" w:rsidP="00276B9C">
            <w:pPr>
              <w:rPr>
                <w:rFonts w:eastAsia="Times New Roman"/>
                <w:sz w:val="12"/>
                <w:szCs w:val="12"/>
              </w:rPr>
            </w:pPr>
            <w:r w:rsidRPr="00276B9C">
              <w:rPr>
                <w:rFonts w:eastAsia="Times New Roman"/>
                <w:sz w:val="12"/>
                <w:szCs w:val="12"/>
              </w:rPr>
              <w:t>Hidalgo</w:t>
            </w:r>
          </w:p>
        </w:tc>
        <w:tc>
          <w:tcPr>
            <w:tcW w:w="775" w:type="dxa"/>
            <w:tcBorders>
              <w:top w:val="nil"/>
              <w:bottom w:val="single" w:sz="4" w:space="0" w:color="auto"/>
            </w:tcBorders>
          </w:tcPr>
          <w:p w:rsidR="00276B9C" w:rsidRPr="00276B9C" w:rsidRDefault="00276B9C" w:rsidP="00276B9C">
            <w:pPr>
              <w:ind w:right="57"/>
              <w:jc w:val="right"/>
              <w:rPr>
                <w:rFonts w:eastAsia="Times New Roman"/>
                <w:sz w:val="12"/>
                <w:szCs w:val="12"/>
              </w:rPr>
            </w:pPr>
            <w:r w:rsidRPr="00276B9C">
              <w:rPr>
                <w:rFonts w:eastAsia="Times New Roman"/>
                <w:sz w:val="12"/>
                <w:szCs w:val="12"/>
              </w:rPr>
              <w:t>11.5</w:t>
            </w:r>
          </w:p>
        </w:tc>
        <w:tc>
          <w:tcPr>
            <w:tcW w:w="708" w:type="dxa"/>
            <w:tcBorders>
              <w:top w:val="nil"/>
              <w:bottom w:val="single" w:sz="4" w:space="0" w:color="auto"/>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2.3</w:t>
            </w:r>
          </w:p>
        </w:tc>
        <w:tc>
          <w:tcPr>
            <w:tcW w:w="709" w:type="dxa"/>
            <w:tcBorders>
              <w:top w:val="nil"/>
              <w:bottom w:val="single" w:sz="4" w:space="0" w:color="auto"/>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40.3</w:t>
            </w:r>
          </w:p>
        </w:tc>
        <w:tc>
          <w:tcPr>
            <w:tcW w:w="709" w:type="dxa"/>
            <w:tcBorders>
              <w:top w:val="nil"/>
              <w:bottom w:val="single" w:sz="4" w:space="0" w:color="auto"/>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0.3</w:t>
            </w:r>
          </w:p>
        </w:tc>
        <w:tc>
          <w:tcPr>
            <w:tcW w:w="709" w:type="dxa"/>
            <w:tcBorders>
              <w:top w:val="nil"/>
              <w:bottom w:val="single" w:sz="4" w:space="0" w:color="auto"/>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19.9</w:t>
            </w:r>
          </w:p>
        </w:tc>
        <w:tc>
          <w:tcPr>
            <w:tcW w:w="708" w:type="dxa"/>
            <w:tcBorders>
              <w:top w:val="nil"/>
              <w:bottom w:val="single" w:sz="4" w:space="0" w:color="auto"/>
            </w:tcBorders>
          </w:tcPr>
          <w:p w:rsidR="00276B9C" w:rsidRPr="00276B9C" w:rsidRDefault="00276B9C" w:rsidP="00276B9C">
            <w:pPr>
              <w:jc w:val="right"/>
              <w:rPr>
                <w:rFonts w:eastAsia="Times New Roman"/>
                <w:sz w:val="12"/>
                <w:szCs w:val="12"/>
              </w:rPr>
            </w:pPr>
            <w:r w:rsidRPr="00276B9C">
              <w:rPr>
                <w:rFonts w:eastAsia="Times New Roman"/>
                <w:sz w:val="12"/>
                <w:szCs w:val="12"/>
              </w:rPr>
              <w:t>3.8</w:t>
            </w:r>
          </w:p>
        </w:tc>
        <w:tc>
          <w:tcPr>
            <w:tcW w:w="709" w:type="dxa"/>
            <w:tcBorders>
              <w:top w:val="nil"/>
              <w:bottom w:val="single" w:sz="4" w:space="0" w:color="auto"/>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-55.1</w:t>
            </w:r>
          </w:p>
        </w:tc>
        <w:tc>
          <w:tcPr>
            <w:tcW w:w="709" w:type="dxa"/>
            <w:tcBorders>
              <w:top w:val="nil"/>
              <w:bottom w:val="single" w:sz="4" w:space="0" w:color="auto"/>
            </w:tcBorders>
          </w:tcPr>
          <w:p w:rsidR="00276B9C" w:rsidRPr="00276B9C" w:rsidRDefault="00276B9C" w:rsidP="00276B9C">
            <w:pPr>
              <w:jc w:val="right"/>
              <w:rPr>
                <w:rFonts w:eastAsia="Times New Roman"/>
                <w:sz w:val="12"/>
                <w:szCs w:val="12"/>
              </w:rPr>
            </w:pPr>
            <w:r w:rsidRPr="00276B9C">
              <w:rPr>
                <w:rFonts w:eastAsia="Times New Roman"/>
                <w:sz w:val="12"/>
                <w:szCs w:val="12"/>
              </w:rPr>
              <w:t>-32.4</w:t>
            </w:r>
          </w:p>
        </w:tc>
        <w:tc>
          <w:tcPr>
            <w:tcW w:w="709" w:type="dxa"/>
            <w:tcBorders>
              <w:top w:val="nil"/>
              <w:bottom w:val="single" w:sz="4" w:space="0" w:color="auto"/>
            </w:tcBorders>
            <w:vAlign w:val="bottom"/>
          </w:tcPr>
          <w:p w:rsidR="00276B9C" w:rsidRPr="00276B9C" w:rsidRDefault="00276B9C" w:rsidP="00276B9C">
            <w:pPr>
              <w:jc w:val="right"/>
              <w:rPr>
                <w:rFonts w:eastAsia="Times New Roman"/>
                <w:sz w:val="12"/>
                <w:szCs w:val="12"/>
              </w:rPr>
            </w:pPr>
            <w:r w:rsidRPr="00276B9C">
              <w:rPr>
                <w:rFonts w:eastAsia="Times New Roman"/>
                <w:sz w:val="12"/>
                <w:szCs w:val="12"/>
              </w:rPr>
              <w:t>-240.9</w:t>
            </w:r>
          </w:p>
        </w:tc>
        <w:tc>
          <w:tcPr>
            <w:tcW w:w="708" w:type="dxa"/>
            <w:tcBorders>
              <w:top w:val="nil"/>
              <w:bottom w:val="single" w:sz="4" w:space="0" w:color="auto"/>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-1.1</w:t>
            </w:r>
          </w:p>
        </w:tc>
        <w:tc>
          <w:tcPr>
            <w:tcW w:w="851" w:type="dxa"/>
            <w:tcBorders>
              <w:top w:val="nil"/>
              <w:bottom w:val="single" w:sz="4" w:space="0" w:color="auto"/>
            </w:tcBorders>
            <w:vAlign w:val="bottom"/>
          </w:tcPr>
          <w:p w:rsidR="00276B9C" w:rsidRPr="00276B9C" w:rsidRDefault="00276B9C" w:rsidP="00276B9C">
            <w:pPr>
              <w:ind w:right="57"/>
              <w:jc w:val="right"/>
              <w:rPr>
                <w:rFonts w:eastAsia="Times New Roman"/>
                <w:sz w:val="12"/>
                <w:szCs w:val="12"/>
              </w:rPr>
            </w:pPr>
            <w:r w:rsidRPr="00276B9C">
              <w:rPr>
                <w:rFonts w:eastAsia="Times New Roman"/>
                <w:sz w:val="12"/>
                <w:szCs w:val="12"/>
              </w:rPr>
              <w:t>-174.5</w:t>
            </w:r>
          </w:p>
        </w:tc>
        <w:tc>
          <w:tcPr>
            <w:tcW w:w="690" w:type="dxa"/>
            <w:gridSpan w:val="2"/>
            <w:tcBorders>
              <w:top w:val="nil"/>
              <w:bottom w:val="single" w:sz="4" w:space="0" w:color="auto"/>
            </w:tcBorders>
            <w:vAlign w:val="bottom"/>
          </w:tcPr>
          <w:p w:rsidR="00276B9C" w:rsidRPr="00276B9C" w:rsidRDefault="00276B9C" w:rsidP="00276B9C">
            <w:pPr>
              <w:ind w:right="113"/>
              <w:jc w:val="right"/>
              <w:rPr>
                <w:rFonts w:eastAsia="Times New Roman"/>
                <w:bCs/>
                <w:sz w:val="12"/>
                <w:szCs w:val="12"/>
              </w:rPr>
            </w:pPr>
            <w:r w:rsidRPr="00276B9C">
              <w:rPr>
                <w:rFonts w:eastAsia="Times New Roman"/>
                <w:bCs/>
                <w:sz w:val="12"/>
                <w:szCs w:val="12"/>
              </w:rPr>
              <w:t>0.0</w:t>
            </w:r>
          </w:p>
        </w:tc>
      </w:tr>
      <w:tr w:rsidR="00276B9C" w:rsidRPr="00276B9C" w:rsidTr="001E7D79">
        <w:trPr>
          <w:jc w:val="center"/>
        </w:trPr>
        <w:tc>
          <w:tcPr>
            <w:tcW w:w="9968" w:type="dxa"/>
            <w:gridSpan w:val="14"/>
            <w:tcBorders>
              <w:left w:val="nil"/>
              <w:bottom w:val="nil"/>
              <w:right w:val="nil"/>
            </w:tcBorders>
            <w:vAlign w:val="bottom"/>
          </w:tcPr>
          <w:p w:rsidR="00276B9C" w:rsidRPr="00276B9C" w:rsidRDefault="00276B9C" w:rsidP="00276B9C">
            <w:pPr>
              <w:ind w:right="113"/>
              <w:jc w:val="both"/>
              <w:rPr>
                <w:rFonts w:eastAsia="Times New Roman"/>
                <w:bCs/>
                <w:sz w:val="12"/>
                <w:szCs w:val="12"/>
              </w:rPr>
            </w:pPr>
            <w:r w:rsidRPr="00276B9C">
              <w:rPr>
                <w:rFonts w:eastAsia="Times New Roman"/>
                <w:bCs/>
                <w:sz w:val="12"/>
                <w:szCs w:val="12"/>
              </w:rPr>
              <w:t>Nota: La suma de los parciales puede diferir de los totales debido al redondeo que efectúa la hoja de cálculo.</w:t>
            </w:r>
          </w:p>
          <w:p w:rsidR="00276B9C" w:rsidRPr="00276B9C" w:rsidRDefault="00276B9C" w:rsidP="00276B9C">
            <w:pPr>
              <w:ind w:right="113"/>
              <w:jc w:val="both"/>
              <w:rPr>
                <w:rFonts w:eastAsia="Times New Roman"/>
                <w:bCs/>
                <w:sz w:val="12"/>
                <w:szCs w:val="12"/>
              </w:rPr>
            </w:pPr>
            <w:r w:rsidRPr="00276B9C">
              <w:rPr>
                <w:rFonts w:eastAsia="Times New Roman"/>
                <w:bCs/>
                <w:sz w:val="12"/>
                <w:szCs w:val="12"/>
              </w:rPr>
              <w:t>1/ Cifras notificadas y actualizadas al 31 de diciembre de 2014. Por tanto las cifras de cada año presentan distintos períodos de actualización.</w:t>
            </w:r>
          </w:p>
          <w:p w:rsidR="00276B9C" w:rsidRPr="00276B9C" w:rsidRDefault="00276B9C" w:rsidP="00276B9C">
            <w:pPr>
              <w:ind w:left="142" w:right="113" w:hanging="142"/>
              <w:jc w:val="both"/>
              <w:rPr>
                <w:rFonts w:eastAsia="Times New Roman"/>
                <w:bCs/>
                <w:sz w:val="12"/>
                <w:szCs w:val="12"/>
              </w:rPr>
            </w:pPr>
            <w:r w:rsidRPr="00276B9C">
              <w:rPr>
                <w:rFonts w:eastAsia="Times New Roman"/>
                <w:bCs/>
                <w:sz w:val="12"/>
                <w:szCs w:val="12"/>
              </w:rPr>
              <w:t>2/ Hasta el 3er trimestre de 2012, la información geográfica de la IED se refiere a la entidad federativa donde se ubica el domicilio de la oficina o planta principal de cada empresa  y no necesariamente a la entidad federativa donde se realizan las inversiones. A partir del cuarto trimestre de 2012, las sociedades pueden estimar y reportar los porcentajes de aplicación de los flujos de IED en las entidades federativas. Si las empresas no reportan esta distribución geográfica de inversiones, la IED se asigna a la entidad federativa donde se ubica la planta u oficina principal, tal como se efectuaba anteriormente.</w:t>
            </w:r>
          </w:p>
          <w:p w:rsidR="00276B9C" w:rsidRPr="00276B9C" w:rsidRDefault="00276B9C" w:rsidP="00276B9C">
            <w:pPr>
              <w:ind w:right="113"/>
              <w:jc w:val="both"/>
              <w:rPr>
                <w:rFonts w:eastAsia="Times New Roman"/>
                <w:bCs/>
                <w:sz w:val="12"/>
                <w:szCs w:val="12"/>
              </w:rPr>
            </w:pPr>
            <w:r w:rsidRPr="00276B9C">
              <w:rPr>
                <w:rFonts w:eastAsia="Times New Roman"/>
                <w:bCs/>
                <w:sz w:val="12"/>
                <w:szCs w:val="12"/>
              </w:rPr>
              <w:t>3/ Del 1° de enero de 2000 al 31 de diciembre de 2014.</w:t>
            </w:r>
          </w:p>
          <w:p w:rsidR="00276B9C" w:rsidRPr="00276B9C" w:rsidRDefault="00276B9C" w:rsidP="00276B9C">
            <w:pPr>
              <w:ind w:right="113"/>
              <w:jc w:val="both"/>
              <w:rPr>
                <w:rFonts w:eastAsia="Times New Roman"/>
                <w:bCs/>
                <w:sz w:val="12"/>
                <w:szCs w:val="12"/>
              </w:rPr>
            </w:pPr>
            <w:r w:rsidRPr="00276B9C">
              <w:rPr>
                <w:rFonts w:eastAsia="Times New Roman"/>
                <w:bCs/>
                <w:sz w:val="12"/>
                <w:szCs w:val="12"/>
              </w:rPr>
              <w:t xml:space="preserve">FUENTE: Secretaría de Economía. </w:t>
            </w:r>
          </w:p>
        </w:tc>
      </w:tr>
    </w:tbl>
    <w:p w:rsidR="00276B9C" w:rsidRPr="00276B9C" w:rsidRDefault="00276B9C" w:rsidP="00276B9C">
      <w:pPr>
        <w:spacing w:after="360" w:line="360" w:lineRule="auto"/>
        <w:ind w:right="-159"/>
        <w:jc w:val="both"/>
        <w:rPr>
          <w:rFonts w:eastAsia="Calibri"/>
          <w:sz w:val="26"/>
          <w:szCs w:val="26"/>
          <w:lang w:eastAsia="en-US"/>
        </w:rPr>
      </w:pPr>
    </w:p>
    <w:p w:rsidR="00276B9C" w:rsidRPr="00276B9C" w:rsidRDefault="00276B9C" w:rsidP="00276B9C">
      <w:pPr>
        <w:ind w:right="-159"/>
        <w:jc w:val="both"/>
        <w:rPr>
          <w:rFonts w:eastAsia="Calibri"/>
          <w:b/>
          <w:sz w:val="20"/>
          <w:szCs w:val="20"/>
          <w:lang w:eastAsia="en-US"/>
        </w:rPr>
      </w:pPr>
      <w:r w:rsidRPr="00276B9C">
        <w:rPr>
          <w:rFonts w:eastAsia="Calibri"/>
          <w:b/>
          <w:sz w:val="20"/>
          <w:szCs w:val="20"/>
          <w:lang w:eastAsia="en-US"/>
        </w:rPr>
        <w:t>Fuente de información:</w:t>
      </w:r>
    </w:p>
    <w:p w:rsidR="00276B9C" w:rsidRPr="002753B3" w:rsidRDefault="004638E5" w:rsidP="002753B3">
      <w:pPr>
        <w:spacing w:after="720"/>
        <w:ind w:right="-159"/>
        <w:rPr>
          <w:rFonts w:eastAsia="Calibri"/>
          <w:color w:val="0000FF"/>
          <w:sz w:val="20"/>
          <w:szCs w:val="20"/>
          <w:lang w:eastAsia="en-US"/>
        </w:rPr>
      </w:pPr>
      <w:hyperlink r:id="rId51" w:history="1">
        <w:r w:rsidR="00276B9C" w:rsidRPr="002753B3">
          <w:rPr>
            <w:rFonts w:eastAsia="Calibri"/>
            <w:color w:val="0000FF"/>
            <w:sz w:val="20"/>
            <w:szCs w:val="20"/>
            <w:u w:val="single"/>
            <w:lang w:eastAsia="en-US"/>
          </w:rPr>
          <w:t>http://www.economia.gob.mx/files/comunidad_negocios/ied/enero_diciembre_2014.pdf</w:t>
        </w:r>
      </w:hyperlink>
      <w:r w:rsidR="00276B9C" w:rsidRPr="002753B3">
        <w:rPr>
          <w:rFonts w:eastAsia="Calibri"/>
          <w:color w:val="0000FF"/>
          <w:sz w:val="20"/>
          <w:szCs w:val="20"/>
          <w:lang w:eastAsia="en-US"/>
        </w:rPr>
        <w:t xml:space="preserve"> </w:t>
      </w:r>
    </w:p>
    <w:p w:rsidR="00DA1492" w:rsidRPr="00DA1492" w:rsidRDefault="00DA1492" w:rsidP="00DA1492">
      <w:pPr>
        <w:rPr>
          <w:rFonts w:eastAsia="Calibri"/>
          <w:b/>
          <w:sz w:val="26"/>
          <w:szCs w:val="26"/>
          <w:lang w:eastAsia="en-US"/>
        </w:rPr>
      </w:pPr>
      <w:r w:rsidRPr="00DA1492">
        <w:rPr>
          <w:rFonts w:eastAsia="Calibri"/>
          <w:b/>
          <w:sz w:val="26"/>
          <w:szCs w:val="26"/>
          <w:lang w:eastAsia="en-US"/>
        </w:rPr>
        <w:t>Preparativos de la visita del Presidente</w:t>
      </w:r>
    </w:p>
    <w:p w:rsidR="00DA1492" w:rsidRPr="00DA1492" w:rsidRDefault="00DA1492" w:rsidP="00DA1492">
      <w:pPr>
        <w:spacing w:after="360" w:line="360" w:lineRule="auto"/>
        <w:ind w:right="-159"/>
        <w:jc w:val="both"/>
        <w:rPr>
          <w:rFonts w:eastAsia="Calibri"/>
          <w:b/>
          <w:sz w:val="26"/>
          <w:szCs w:val="26"/>
          <w:lang w:eastAsia="en-US"/>
        </w:rPr>
      </w:pPr>
      <w:r w:rsidRPr="00DA1492">
        <w:rPr>
          <w:rFonts w:eastAsia="Calibri"/>
          <w:b/>
          <w:sz w:val="26"/>
          <w:szCs w:val="26"/>
          <w:lang w:eastAsia="en-US"/>
        </w:rPr>
        <w:t>de Finlandia a México (SRE)</w:t>
      </w:r>
    </w:p>
    <w:p w:rsidR="00DA1492" w:rsidRPr="00DA1492" w:rsidRDefault="00DA1492" w:rsidP="00DA1492">
      <w:pPr>
        <w:spacing w:after="360" w:line="360" w:lineRule="auto"/>
        <w:ind w:right="-159"/>
        <w:jc w:val="both"/>
        <w:rPr>
          <w:rFonts w:eastAsia="Calibri"/>
          <w:sz w:val="26"/>
          <w:szCs w:val="26"/>
          <w:lang w:eastAsia="en-US"/>
        </w:rPr>
      </w:pPr>
      <w:r w:rsidRPr="00DA1492">
        <w:rPr>
          <w:rFonts w:eastAsia="Calibri"/>
          <w:sz w:val="26"/>
          <w:szCs w:val="26"/>
          <w:lang w:eastAsia="en-US"/>
        </w:rPr>
        <w:t>El 20 de febrero de 2015, la Secretaría de Relaciones Exteriores (SRE) comunicó que</w:t>
      </w:r>
      <w:r w:rsidRPr="00DA1492">
        <w:rPr>
          <w:rFonts w:ascii="Calibri" w:eastAsia="Calibri" w:hAnsi="Calibri"/>
          <w:sz w:val="22"/>
          <w:szCs w:val="22"/>
          <w:lang w:eastAsia="en-US"/>
        </w:rPr>
        <w:t xml:space="preserve"> </w:t>
      </w:r>
      <w:r w:rsidRPr="00DA1492">
        <w:rPr>
          <w:rFonts w:eastAsia="Calibri"/>
          <w:sz w:val="26"/>
          <w:szCs w:val="26"/>
          <w:lang w:eastAsia="en-US"/>
        </w:rPr>
        <w:t>el Canciller</w:t>
      </w:r>
      <w:r w:rsidRPr="00DA1492">
        <w:rPr>
          <w:rFonts w:ascii="Calibri" w:eastAsia="Calibri" w:hAnsi="Calibri"/>
          <w:sz w:val="22"/>
          <w:szCs w:val="22"/>
          <w:lang w:eastAsia="en-US"/>
        </w:rPr>
        <w:t xml:space="preserve"> </w:t>
      </w:r>
      <w:r w:rsidRPr="00DA1492">
        <w:rPr>
          <w:rFonts w:eastAsia="Calibri"/>
          <w:sz w:val="26"/>
          <w:szCs w:val="26"/>
          <w:lang w:eastAsia="en-US"/>
        </w:rPr>
        <w:t>de la SRE</w:t>
      </w:r>
      <w:r w:rsidRPr="00DA1492">
        <w:rPr>
          <w:rFonts w:ascii="Calibri" w:eastAsia="Calibri" w:hAnsi="Calibri"/>
          <w:sz w:val="22"/>
          <w:szCs w:val="22"/>
          <w:lang w:eastAsia="en-US"/>
        </w:rPr>
        <w:t xml:space="preserve"> </w:t>
      </w:r>
      <w:r w:rsidRPr="00DA1492">
        <w:rPr>
          <w:rFonts w:eastAsia="Calibri"/>
          <w:sz w:val="26"/>
          <w:szCs w:val="26"/>
          <w:lang w:eastAsia="en-US"/>
        </w:rPr>
        <w:t xml:space="preserve">encabezó una delegación de funcionarios mexicanos que participaron en la preparación de la agenda de trabajo que el presidente finlandés habrá de desahogar durante su próxima visita a México. A continuación </w:t>
      </w:r>
      <w:r w:rsidR="00736C45">
        <w:rPr>
          <w:rFonts w:eastAsia="Calibri"/>
          <w:sz w:val="26"/>
          <w:szCs w:val="26"/>
          <w:lang w:eastAsia="en-US"/>
        </w:rPr>
        <w:t xml:space="preserve">se presentan </w:t>
      </w:r>
      <w:r w:rsidRPr="00DA1492">
        <w:rPr>
          <w:rFonts w:eastAsia="Calibri"/>
          <w:sz w:val="26"/>
          <w:szCs w:val="26"/>
          <w:lang w:eastAsia="en-US"/>
        </w:rPr>
        <w:t>los detalles.</w:t>
      </w:r>
    </w:p>
    <w:p w:rsidR="00DA1492" w:rsidRPr="00DA1492" w:rsidRDefault="00DA1492" w:rsidP="00DA1492">
      <w:pPr>
        <w:spacing w:after="360" w:line="360" w:lineRule="auto"/>
        <w:ind w:right="-159"/>
        <w:jc w:val="both"/>
        <w:rPr>
          <w:rFonts w:eastAsia="Calibri"/>
          <w:sz w:val="26"/>
          <w:szCs w:val="26"/>
          <w:lang w:eastAsia="en-US"/>
        </w:rPr>
      </w:pPr>
      <w:r w:rsidRPr="00DA1492">
        <w:rPr>
          <w:rFonts w:eastAsia="Calibri"/>
          <w:sz w:val="26"/>
          <w:szCs w:val="26"/>
          <w:lang w:eastAsia="en-US"/>
        </w:rPr>
        <w:lastRenderedPageBreak/>
        <w:t>En el marco de su gira de trabajo por los países nórdicos, el Secretario de Relaciones Exteriores culminó una visita a Finlandia, en la que promovió el acercamiento entre México y esta nación del norte de Europa.</w:t>
      </w:r>
    </w:p>
    <w:p w:rsidR="00DA1492" w:rsidRPr="00DA1492" w:rsidRDefault="00DA1492" w:rsidP="00DA1492">
      <w:pPr>
        <w:spacing w:after="360" w:line="360" w:lineRule="auto"/>
        <w:ind w:right="-159"/>
        <w:jc w:val="both"/>
        <w:rPr>
          <w:rFonts w:eastAsia="Calibri"/>
          <w:sz w:val="26"/>
          <w:szCs w:val="26"/>
          <w:lang w:eastAsia="en-US"/>
        </w:rPr>
      </w:pPr>
      <w:r w:rsidRPr="00DA1492">
        <w:rPr>
          <w:rFonts w:eastAsia="Calibri"/>
          <w:sz w:val="26"/>
          <w:szCs w:val="26"/>
          <w:lang w:eastAsia="en-US"/>
        </w:rPr>
        <w:t>Durante su estancia en Helsinki, el Canciller mexicano fue recibido por el Presidente de Finlandia, quien se refirió a la visita que realizará a México en mayo próximo. En la conversación se hizo un repaso de los temas que habrá de abordar en México, como educación, energías renovables, sector forestal y movilidad académica.</w:t>
      </w:r>
    </w:p>
    <w:p w:rsidR="00DA1492" w:rsidRPr="00DA1492" w:rsidRDefault="00DA1492" w:rsidP="00DA1492">
      <w:pPr>
        <w:spacing w:after="360" w:line="360" w:lineRule="auto"/>
        <w:ind w:right="-159"/>
        <w:jc w:val="both"/>
        <w:rPr>
          <w:rFonts w:eastAsia="Calibri"/>
          <w:sz w:val="26"/>
          <w:szCs w:val="26"/>
          <w:lang w:eastAsia="en-US"/>
        </w:rPr>
      </w:pPr>
      <w:r w:rsidRPr="00DA1492">
        <w:rPr>
          <w:rFonts w:eastAsia="Calibri"/>
          <w:sz w:val="26"/>
          <w:szCs w:val="26"/>
          <w:lang w:eastAsia="en-US"/>
        </w:rPr>
        <w:t>El titular de la SRE transmitió los saludos del Presidente de México a su homólogo finlandés, a quien reiteró la voluntad del gobierno de México de concretar el proceso de reforzamiento de los vínculos bilaterales.</w:t>
      </w:r>
    </w:p>
    <w:p w:rsidR="00DA1492" w:rsidRPr="00DA1492" w:rsidRDefault="00DA1492" w:rsidP="00DA1492">
      <w:pPr>
        <w:spacing w:after="360" w:line="360" w:lineRule="auto"/>
        <w:ind w:right="-159"/>
        <w:jc w:val="both"/>
        <w:rPr>
          <w:rFonts w:eastAsia="Calibri"/>
          <w:sz w:val="26"/>
          <w:szCs w:val="26"/>
          <w:lang w:eastAsia="en-US"/>
        </w:rPr>
      </w:pPr>
      <w:r w:rsidRPr="00DA1492">
        <w:rPr>
          <w:rFonts w:eastAsia="Calibri"/>
          <w:sz w:val="26"/>
          <w:szCs w:val="26"/>
          <w:lang w:eastAsia="en-US"/>
        </w:rPr>
        <w:t xml:space="preserve">Como parte de su agenda de trabajo, </w:t>
      </w:r>
      <w:r w:rsidR="00736C45">
        <w:rPr>
          <w:rFonts w:eastAsia="Calibri"/>
          <w:sz w:val="26"/>
          <w:szCs w:val="26"/>
          <w:lang w:eastAsia="en-US"/>
        </w:rPr>
        <w:t xml:space="preserve">el </w:t>
      </w:r>
      <w:r w:rsidRPr="00DA1492">
        <w:rPr>
          <w:rFonts w:eastAsia="Calibri"/>
          <w:sz w:val="26"/>
          <w:szCs w:val="26"/>
          <w:lang w:eastAsia="en-US"/>
        </w:rPr>
        <w:t>Secretario de Relaciones Exteriores se entrevistó con el Ministro de Asuntos Exteriores, con la Ministra de Asuntos Europeos y Comercio Exterior y con el Presidente del Parlamento.</w:t>
      </w:r>
    </w:p>
    <w:p w:rsidR="00DA1492" w:rsidRPr="00DA1492" w:rsidRDefault="00DA1492" w:rsidP="00DA1492">
      <w:pPr>
        <w:spacing w:after="360" w:line="360" w:lineRule="auto"/>
        <w:ind w:right="-159"/>
        <w:jc w:val="both"/>
        <w:rPr>
          <w:rFonts w:eastAsia="Calibri"/>
          <w:sz w:val="26"/>
          <w:szCs w:val="26"/>
          <w:lang w:eastAsia="en-US"/>
        </w:rPr>
      </w:pPr>
      <w:r w:rsidRPr="00DA1492">
        <w:rPr>
          <w:rFonts w:eastAsia="Calibri"/>
          <w:sz w:val="26"/>
          <w:szCs w:val="26"/>
          <w:lang w:eastAsia="en-US"/>
        </w:rPr>
        <w:t>En estos encuentros, el funcionario mexicano destacó el interés de México por reforzar las relaciones bilaterales. “México y Finlandia tradicionalmente han compartido múltiples coincidencias a nivel multilateral; ahora, existen las condiciones y el interés para fortalecer y ampliar mucho más los contactos a nivel bilateral”, señaló</w:t>
      </w:r>
    </w:p>
    <w:p w:rsidR="00DA1492" w:rsidRPr="00DA1492" w:rsidRDefault="00DA1492" w:rsidP="00DA1492">
      <w:pPr>
        <w:spacing w:after="360" w:line="360" w:lineRule="auto"/>
        <w:ind w:right="-159"/>
        <w:jc w:val="both"/>
        <w:rPr>
          <w:rFonts w:eastAsia="Calibri"/>
          <w:sz w:val="26"/>
          <w:szCs w:val="26"/>
          <w:lang w:eastAsia="en-US"/>
        </w:rPr>
      </w:pPr>
      <w:r w:rsidRPr="00DA1492">
        <w:rPr>
          <w:rFonts w:eastAsia="Calibri"/>
          <w:sz w:val="26"/>
          <w:szCs w:val="26"/>
          <w:lang w:eastAsia="en-US"/>
        </w:rPr>
        <w:t>Manifestó que áreas como comercio, inversiones y cooperación educativa, técnica y científica son espacios privilegiados para ampliar los lazos entre ambos países. “La relación bilateral ha crecido, hay múltiples campos y áreas en los que debemos reforzar y ampliar los vínculos bilaterales; afortunadamente, existe la voluntad mutua para hacerlo, así que tendremos logros significativos en el corto y mediano plazos”, añadió el titular de la SRE.</w:t>
      </w:r>
    </w:p>
    <w:p w:rsidR="00DA1492" w:rsidRPr="00DA1492" w:rsidRDefault="00DA1492" w:rsidP="00DA1492">
      <w:pPr>
        <w:spacing w:after="360" w:line="360" w:lineRule="auto"/>
        <w:ind w:right="-159"/>
        <w:jc w:val="both"/>
        <w:rPr>
          <w:rFonts w:eastAsia="Calibri"/>
          <w:sz w:val="26"/>
          <w:szCs w:val="26"/>
          <w:lang w:eastAsia="en-US"/>
        </w:rPr>
      </w:pPr>
      <w:r w:rsidRPr="00DA1492">
        <w:rPr>
          <w:rFonts w:eastAsia="Calibri"/>
          <w:sz w:val="26"/>
          <w:szCs w:val="26"/>
          <w:lang w:eastAsia="en-US"/>
        </w:rPr>
        <w:lastRenderedPageBreak/>
        <w:t>El funcionario mexicano encabezó una delegación de funcionarios mexicanos que participaron en la preparación de la agenda de trabajo que el presidente finlandés habrá de desahogar durante su próxima visita a México.</w:t>
      </w:r>
    </w:p>
    <w:p w:rsidR="00DA1492" w:rsidRPr="00DA1492" w:rsidRDefault="00DA1492" w:rsidP="00DA1492">
      <w:pPr>
        <w:spacing w:after="360" w:line="360" w:lineRule="auto"/>
        <w:ind w:right="-159"/>
        <w:jc w:val="both"/>
        <w:rPr>
          <w:rFonts w:eastAsia="Calibri"/>
          <w:sz w:val="26"/>
          <w:szCs w:val="26"/>
          <w:lang w:eastAsia="en-US"/>
        </w:rPr>
      </w:pPr>
      <w:r w:rsidRPr="00DA1492">
        <w:rPr>
          <w:rFonts w:eastAsia="Calibri"/>
          <w:sz w:val="26"/>
          <w:szCs w:val="26"/>
          <w:lang w:eastAsia="en-US"/>
        </w:rPr>
        <w:t xml:space="preserve">En el equipo gubernamental participaron el Director General de </w:t>
      </w:r>
      <w:proofErr w:type="spellStart"/>
      <w:r w:rsidRPr="00DA1492">
        <w:rPr>
          <w:rFonts w:eastAsia="Calibri"/>
          <w:sz w:val="26"/>
          <w:szCs w:val="26"/>
          <w:lang w:eastAsia="en-US"/>
        </w:rPr>
        <w:t>ProMéxico</w:t>
      </w:r>
      <w:proofErr w:type="spellEnd"/>
      <w:r w:rsidRPr="00DA1492">
        <w:rPr>
          <w:rFonts w:eastAsia="Calibri"/>
          <w:sz w:val="26"/>
          <w:szCs w:val="26"/>
          <w:lang w:eastAsia="en-US"/>
        </w:rPr>
        <w:t>, el Director General de la Comisión Nacional Forestal, el Director Ejecutivo de la Agencia Mexicana para la Cooperación Internacional para el Desarrollo, el Jefe de la Unidad de Gobierno de la Secretaría de Gobernación, y la Embajadora de México en Finlandia.</w:t>
      </w:r>
    </w:p>
    <w:p w:rsidR="00DA1492" w:rsidRPr="00DA1492" w:rsidRDefault="00DA1492" w:rsidP="00DA1492">
      <w:pPr>
        <w:spacing w:after="360" w:line="360" w:lineRule="auto"/>
        <w:ind w:right="-159"/>
        <w:jc w:val="both"/>
        <w:rPr>
          <w:rFonts w:eastAsia="Calibri"/>
          <w:sz w:val="26"/>
          <w:szCs w:val="26"/>
          <w:lang w:eastAsia="en-US"/>
        </w:rPr>
      </w:pPr>
      <w:r w:rsidRPr="00DA1492">
        <w:rPr>
          <w:rFonts w:eastAsia="Calibri"/>
          <w:sz w:val="26"/>
          <w:szCs w:val="26"/>
          <w:lang w:eastAsia="en-US"/>
        </w:rPr>
        <w:t xml:space="preserve">El Director General de </w:t>
      </w:r>
      <w:proofErr w:type="spellStart"/>
      <w:r w:rsidRPr="00DA1492">
        <w:rPr>
          <w:rFonts w:eastAsia="Calibri"/>
          <w:sz w:val="26"/>
          <w:szCs w:val="26"/>
          <w:lang w:eastAsia="en-US"/>
        </w:rPr>
        <w:t>ProMéxico</w:t>
      </w:r>
      <w:proofErr w:type="spellEnd"/>
      <w:r w:rsidRPr="00DA1492">
        <w:rPr>
          <w:rFonts w:eastAsia="Calibri"/>
          <w:sz w:val="26"/>
          <w:szCs w:val="26"/>
          <w:lang w:eastAsia="en-US"/>
        </w:rPr>
        <w:t xml:space="preserve"> presidió un encuentro con el Director General de la Confederación de Industrias de Finlandia. En dicha reunión, los empresarios participantes exploraron los sectores en los que existen posibilidades de incrementar los flujos de inversión finlandesa en México.</w:t>
      </w:r>
    </w:p>
    <w:p w:rsidR="00DA1492" w:rsidRPr="00DA1492" w:rsidRDefault="00DA1492" w:rsidP="00DA1492">
      <w:pPr>
        <w:spacing w:after="360" w:line="360" w:lineRule="auto"/>
        <w:ind w:right="-159"/>
        <w:jc w:val="both"/>
        <w:rPr>
          <w:rFonts w:eastAsia="Calibri"/>
          <w:sz w:val="26"/>
          <w:szCs w:val="26"/>
          <w:lang w:eastAsia="en-US"/>
        </w:rPr>
      </w:pPr>
      <w:r w:rsidRPr="00DA1492">
        <w:rPr>
          <w:rFonts w:eastAsia="Calibri"/>
          <w:sz w:val="26"/>
          <w:szCs w:val="26"/>
          <w:lang w:eastAsia="en-US"/>
        </w:rPr>
        <w:t>Además, es un país líder en nuevas tecnologías, medio ambiente, desarme, lucha por la paz y la seguridad internacionales, donde comparte puntos de vista con la agenda de México.</w:t>
      </w:r>
    </w:p>
    <w:p w:rsidR="00DA1492" w:rsidRDefault="00DA1492" w:rsidP="00DA1492">
      <w:pPr>
        <w:spacing w:after="360" w:line="360" w:lineRule="auto"/>
        <w:ind w:right="-159"/>
        <w:jc w:val="both"/>
        <w:rPr>
          <w:rFonts w:eastAsia="Calibri"/>
          <w:sz w:val="26"/>
          <w:szCs w:val="26"/>
          <w:lang w:eastAsia="en-US"/>
        </w:rPr>
      </w:pPr>
      <w:r w:rsidRPr="00DA1492">
        <w:rPr>
          <w:rFonts w:eastAsia="Calibri"/>
          <w:sz w:val="26"/>
          <w:szCs w:val="26"/>
          <w:lang w:eastAsia="en-US"/>
        </w:rPr>
        <w:t>La presencia del Secretario de Relaciones Exteriores en las naciones nórdicas tiene como objetivo fortalecer el diálogo político y la cooperación, además de destacar las oportunidades que ofrecen las reformas estructurales impulsadas por el gobierno del Presidente de la República.</w:t>
      </w:r>
    </w:p>
    <w:p w:rsidR="008211A6" w:rsidRDefault="008211A6" w:rsidP="00DA1492">
      <w:pPr>
        <w:spacing w:after="360" w:line="360" w:lineRule="auto"/>
        <w:ind w:right="-159"/>
        <w:jc w:val="both"/>
        <w:rPr>
          <w:rFonts w:eastAsia="Calibri"/>
          <w:sz w:val="26"/>
          <w:szCs w:val="26"/>
          <w:lang w:eastAsia="en-US"/>
        </w:rPr>
      </w:pPr>
    </w:p>
    <w:p w:rsidR="008211A6" w:rsidRDefault="008211A6" w:rsidP="00DA1492">
      <w:pPr>
        <w:spacing w:after="360" w:line="360" w:lineRule="auto"/>
        <w:ind w:right="-159"/>
        <w:jc w:val="both"/>
        <w:rPr>
          <w:rFonts w:eastAsia="Calibri"/>
          <w:sz w:val="26"/>
          <w:szCs w:val="26"/>
          <w:lang w:eastAsia="en-US"/>
        </w:rPr>
      </w:pPr>
    </w:p>
    <w:p w:rsidR="008211A6" w:rsidRDefault="008211A6" w:rsidP="00DA1492">
      <w:pPr>
        <w:spacing w:after="360" w:line="360" w:lineRule="auto"/>
        <w:ind w:right="-159"/>
        <w:jc w:val="both"/>
        <w:rPr>
          <w:rFonts w:eastAsia="Calibri"/>
          <w:sz w:val="26"/>
          <w:szCs w:val="26"/>
          <w:lang w:eastAsia="en-US"/>
        </w:rPr>
      </w:pPr>
    </w:p>
    <w:p w:rsidR="008211A6" w:rsidRPr="00DA1492" w:rsidRDefault="008211A6" w:rsidP="00DA1492">
      <w:pPr>
        <w:spacing w:after="360" w:line="360" w:lineRule="auto"/>
        <w:ind w:right="-159"/>
        <w:jc w:val="both"/>
        <w:rPr>
          <w:rFonts w:eastAsia="Calibri"/>
          <w:sz w:val="26"/>
          <w:szCs w:val="26"/>
          <w:lang w:eastAsia="en-US"/>
        </w:rPr>
      </w:pPr>
    </w:p>
    <w:tbl>
      <w:tblPr>
        <w:tblW w:w="6663" w:type="dxa"/>
        <w:jc w:val="center"/>
        <w:tblCellMar>
          <w:left w:w="70" w:type="dxa"/>
          <w:right w:w="70" w:type="dxa"/>
        </w:tblCellMar>
        <w:tblLook w:val="04A0" w:firstRow="1" w:lastRow="0" w:firstColumn="1" w:lastColumn="0" w:noHBand="0" w:noVBand="1"/>
      </w:tblPr>
      <w:tblGrid>
        <w:gridCol w:w="693"/>
        <w:gridCol w:w="2284"/>
        <w:gridCol w:w="2268"/>
        <w:gridCol w:w="1418"/>
      </w:tblGrid>
      <w:tr w:rsidR="00DA1492" w:rsidRPr="00DA1492" w:rsidTr="00701097">
        <w:trPr>
          <w:trHeight w:val="900"/>
          <w:jc w:val="center"/>
        </w:trPr>
        <w:tc>
          <w:tcPr>
            <w:tcW w:w="6663" w:type="dxa"/>
            <w:gridSpan w:val="4"/>
            <w:tcBorders>
              <w:top w:val="nil"/>
              <w:left w:val="nil"/>
              <w:bottom w:val="single" w:sz="2" w:space="0" w:color="auto"/>
              <w:right w:val="nil"/>
            </w:tcBorders>
            <w:shd w:val="clear" w:color="auto" w:fill="auto"/>
            <w:noWrap/>
            <w:vAlign w:val="bottom"/>
            <w:hideMark/>
          </w:tcPr>
          <w:p w:rsidR="00DA1492" w:rsidRPr="008211A6" w:rsidRDefault="00DA1492" w:rsidP="008211A6">
            <w:pPr>
              <w:jc w:val="center"/>
              <w:rPr>
                <w:rFonts w:eastAsia="Times New Roman"/>
                <w:b/>
                <w:bCs/>
                <w:sz w:val="22"/>
                <w:szCs w:val="22"/>
                <w:lang w:eastAsia="es-MX"/>
              </w:rPr>
            </w:pPr>
            <w:r w:rsidRPr="008211A6">
              <w:rPr>
                <w:rFonts w:eastAsia="Times New Roman"/>
                <w:b/>
                <w:bCs/>
                <w:sz w:val="22"/>
                <w:szCs w:val="22"/>
                <w:lang w:eastAsia="es-MX"/>
              </w:rPr>
              <w:lastRenderedPageBreak/>
              <w:t>SALDO DE LA BALANZA COMERCIAL DE MERCANCÍAS (FOB)</w:t>
            </w:r>
          </w:p>
          <w:p w:rsidR="00DA1492" w:rsidRPr="008211A6" w:rsidRDefault="00DA1492" w:rsidP="008211A6">
            <w:pPr>
              <w:jc w:val="center"/>
              <w:rPr>
                <w:rFonts w:eastAsia="Times New Roman"/>
                <w:b/>
                <w:bCs/>
                <w:sz w:val="22"/>
                <w:szCs w:val="22"/>
                <w:lang w:eastAsia="es-MX"/>
              </w:rPr>
            </w:pPr>
            <w:r w:rsidRPr="008211A6">
              <w:rPr>
                <w:rFonts w:eastAsia="Times New Roman"/>
                <w:b/>
                <w:bCs/>
                <w:sz w:val="22"/>
                <w:szCs w:val="22"/>
                <w:lang w:eastAsia="es-MX"/>
              </w:rPr>
              <w:t>MÉXICO</w:t>
            </w:r>
            <w:r w:rsidR="008211A6">
              <w:rPr>
                <w:rFonts w:eastAsia="Times New Roman"/>
                <w:b/>
                <w:bCs/>
                <w:sz w:val="22"/>
                <w:szCs w:val="22"/>
                <w:lang w:eastAsia="es-MX"/>
              </w:rPr>
              <w:t>-</w:t>
            </w:r>
            <w:r w:rsidRPr="008211A6">
              <w:rPr>
                <w:rFonts w:eastAsia="Times New Roman"/>
                <w:b/>
                <w:bCs/>
                <w:sz w:val="22"/>
                <w:szCs w:val="22"/>
                <w:lang w:eastAsia="es-MX"/>
              </w:rPr>
              <w:t>FINLANDIA, 1993-2014</w:t>
            </w:r>
          </w:p>
          <w:p w:rsidR="00DA1492" w:rsidRPr="008211A6" w:rsidRDefault="00DA1492" w:rsidP="008211A6">
            <w:pPr>
              <w:jc w:val="center"/>
              <w:rPr>
                <w:rFonts w:eastAsia="Times New Roman"/>
                <w:b/>
                <w:bCs/>
                <w:sz w:val="22"/>
                <w:szCs w:val="22"/>
                <w:lang w:eastAsia="es-MX"/>
              </w:rPr>
            </w:pPr>
            <w:r w:rsidRPr="008211A6">
              <w:rPr>
                <w:rFonts w:eastAsia="Times New Roman"/>
                <w:b/>
                <w:bCs/>
                <w:sz w:val="22"/>
                <w:szCs w:val="22"/>
                <w:lang w:eastAsia="es-MX"/>
              </w:rPr>
              <w:t>-Cifras en miles de dólares-</w:t>
            </w:r>
          </w:p>
        </w:tc>
      </w:tr>
      <w:tr w:rsidR="00DA1492" w:rsidRPr="008211A6" w:rsidTr="00701097">
        <w:trPr>
          <w:trHeight w:val="300"/>
          <w:jc w:val="center"/>
        </w:trPr>
        <w:tc>
          <w:tcPr>
            <w:tcW w:w="693"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DA1492" w:rsidRPr="008211A6" w:rsidRDefault="00DA1492" w:rsidP="00701097">
            <w:pPr>
              <w:rPr>
                <w:rFonts w:eastAsia="Times New Roman"/>
                <w:b/>
                <w:sz w:val="20"/>
                <w:szCs w:val="20"/>
                <w:lang w:eastAsia="es-MX"/>
              </w:rPr>
            </w:pPr>
            <w:r w:rsidRPr="008211A6">
              <w:rPr>
                <w:rFonts w:eastAsia="Times New Roman"/>
                <w:b/>
                <w:sz w:val="20"/>
                <w:szCs w:val="20"/>
                <w:lang w:eastAsia="es-MX"/>
              </w:rPr>
              <w:t>AÑO</w:t>
            </w:r>
          </w:p>
        </w:tc>
        <w:tc>
          <w:tcPr>
            <w:tcW w:w="2284"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DA1492" w:rsidRPr="008211A6" w:rsidRDefault="00DA1492" w:rsidP="00701097">
            <w:pPr>
              <w:rPr>
                <w:rFonts w:eastAsia="Times New Roman"/>
                <w:b/>
                <w:sz w:val="20"/>
                <w:szCs w:val="20"/>
                <w:lang w:eastAsia="es-MX"/>
              </w:rPr>
            </w:pPr>
            <w:r w:rsidRPr="008211A6">
              <w:rPr>
                <w:rFonts w:eastAsia="Times New Roman"/>
                <w:b/>
                <w:sz w:val="20"/>
                <w:szCs w:val="20"/>
                <w:lang w:eastAsia="es-MX"/>
              </w:rPr>
              <w:t>EXPORTACIONES</w:t>
            </w:r>
          </w:p>
        </w:tc>
        <w:tc>
          <w:tcPr>
            <w:tcW w:w="2268"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DA1492" w:rsidRPr="008211A6" w:rsidRDefault="00DA1492" w:rsidP="00701097">
            <w:pPr>
              <w:rPr>
                <w:rFonts w:eastAsia="Times New Roman"/>
                <w:b/>
                <w:sz w:val="20"/>
                <w:szCs w:val="20"/>
                <w:lang w:eastAsia="es-MX"/>
              </w:rPr>
            </w:pPr>
            <w:r w:rsidRPr="008211A6">
              <w:rPr>
                <w:rFonts w:eastAsia="Times New Roman"/>
                <w:b/>
                <w:sz w:val="20"/>
                <w:szCs w:val="20"/>
                <w:lang w:eastAsia="es-MX"/>
              </w:rPr>
              <w:t>IMPORTACIONES</w:t>
            </w:r>
          </w:p>
        </w:tc>
        <w:tc>
          <w:tcPr>
            <w:tcW w:w="1418"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DA1492" w:rsidRPr="008211A6" w:rsidRDefault="00DA1492" w:rsidP="00701097">
            <w:pPr>
              <w:jc w:val="center"/>
              <w:rPr>
                <w:rFonts w:eastAsia="Times New Roman"/>
                <w:b/>
                <w:sz w:val="20"/>
                <w:szCs w:val="20"/>
                <w:lang w:eastAsia="es-MX"/>
              </w:rPr>
            </w:pPr>
            <w:r w:rsidRPr="008211A6">
              <w:rPr>
                <w:rFonts w:eastAsia="Times New Roman"/>
                <w:b/>
                <w:sz w:val="20"/>
                <w:szCs w:val="20"/>
                <w:lang w:eastAsia="es-MX"/>
              </w:rPr>
              <w:t>SALDO</w:t>
            </w:r>
          </w:p>
        </w:tc>
      </w:tr>
      <w:tr w:rsidR="00DA1492" w:rsidRPr="008211A6" w:rsidTr="00701097">
        <w:trPr>
          <w:trHeight w:val="300"/>
          <w:jc w:val="center"/>
        </w:trPr>
        <w:tc>
          <w:tcPr>
            <w:tcW w:w="693" w:type="dxa"/>
            <w:tcBorders>
              <w:top w:val="single" w:sz="2" w:space="0" w:color="auto"/>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1993</w:t>
            </w:r>
          </w:p>
        </w:tc>
        <w:tc>
          <w:tcPr>
            <w:tcW w:w="2284" w:type="dxa"/>
            <w:tcBorders>
              <w:top w:val="single" w:sz="2" w:space="0" w:color="auto"/>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1 453</w:t>
            </w:r>
          </w:p>
        </w:tc>
        <w:tc>
          <w:tcPr>
            <w:tcW w:w="2268" w:type="dxa"/>
            <w:tcBorders>
              <w:top w:val="single" w:sz="2" w:space="0" w:color="auto"/>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50 115</w:t>
            </w:r>
          </w:p>
        </w:tc>
        <w:tc>
          <w:tcPr>
            <w:tcW w:w="1418" w:type="dxa"/>
            <w:tcBorders>
              <w:top w:val="single" w:sz="2" w:space="0" w:color="auto"/>
              <w:left w:val="single" w:sz="2" w:space="0" w:color="auto"/>
              <w:bottom w:val="nil"/>
              <w:right w:val="single" w:sz="2" w:space="0" w:color="auto"/>
            </w:tcBorders>
            <w:shd w:val="clear" w:color="auto" w:fill="auto"/>
            <w:vAlign w:val="bottom"/>
            <w:hideMark/>
          </w:tcPr>
          <w:p w:rsidR="00DA1492" w:rsidRPr="008211A6" w:rsidRDefault="00DA1492" w:rsidP="00701097">
            <w:pPr>
              <w:ind w:right="284"/>
              <w:jc w:val="right"/>
              <w:rPr>
                <w:rFonts w:eastAsia="Times New Roman"/>
                <w:sz w:val="20"/>
                <w:szCs w:val="20"/>
                <w:lang w:eastAsia="es-MX"/>
              </w:rPr>
            </w:pPr>
            <w:r w:rsidRPr="008211A6">
              <w:rPr>
                <w:rFonts w:eastAsia="Times New Roman"/>
                <w:sz w:val="20"/>
                <w:szCs w:val="20"/>
                <w:lang w:eastAsia="es-MX"/>
              </w:rPr>
              <w:t>-48 662</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1994</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4 621</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66 127</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-61 506</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1995</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1 874</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63 459</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-61 585</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1996</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1 494</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84 652</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-83 158</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1997</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5 080</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100 639</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-95 559</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1998</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1 673</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121 999</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-120 326</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1999</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8 191</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175 780</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-167 589</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2000</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4 318</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211 684</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-207 366</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2001</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8 513</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249 461</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-240 948</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2002</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12 031</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150 861</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-138 830</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2003</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16 716</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276 997</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-260 281</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2004</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24 687</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242 033</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-217 346</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2005</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68 998</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306 076</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-237 078</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2006</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139 204</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323 572</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-184 368</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2007</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106 810</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536 956</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-430 146</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2008</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577 435</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445 241</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132 194</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2009</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522 880</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285 732</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237 148</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2010</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64 046</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373 583</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-309 537</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2011</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73 768</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404 227</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-330 459</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2012</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100 107</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423 044</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-322 937</w:t>
            </w:r>
          </w:p>
        </w:tc>
      </w:tr>
      <w:tr w:rsidR="00DA1492" w:rsidRPr="008211A6" w:rsidTr="00701097">
        <w:trPr>
          <w:trHeight w:val="300"/>
          <w:jc w:val="center"/>
        </w:trPr>
        <w:tc>
          <w:tcPr>
            <w:tcW w:w="693" w:type="dxa"/>
            <w:tcBorders>
              <w:top w:val="nil"/>
              <w:left w:val="single" w:sz="2" w:space="0" w:color="auto"/>
              <w:bottom w:val="nil"/>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2013</w:t>
            </w:r>
          </w:p>
        </w:tc>
        <w:tc>
          <w:tcPr>
            <w:tcW w:w="2284"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66 043</w:t>
            </w:r>
          </w:p>
        </w:tc>
        <w:tc>
          <w:tcPr>
            <w:tcW w:w="226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593 229</w:t>
            </w:r>
          </w:p>
        </w:tc>
        <w:tc>
          <w:tcPr>
            <w:tcW w:w="1418" w:type="dxa"/>
            <w:tcBorders>
              <w:top w:val="nil"/>
              <w:left w:val="single" w:sz="2" w:space="0" w:color="auto"/>
              <w:bottom w:val="nil"/>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-527 186</w:t>
            </w:r>
          </w:p>
        </w:tc>
      </w:tr>
      <w:tr w:rsidR="00DA1492" w:rsidRPr="008211A6" w:rsidTr="00701097">
        <w:trPr>
          <w:trHeight w:val="300"/>
          <w:jc w:val="center"/>
        </w:trPr>
        <w:tc>
          <w:tcPr>
            <w:tcW w:w="693" w:type="dxa"/>
            <w:tcBorders>
              <w:top w:val="nil"/>
              <w:left w:val="single" w:sz="2" w:space="0" w:color="auto"/>
              <w:bottom w:val="single" w:sz="2" w:space="0" w:color="auto"/>
              <w:right w:val="single" w:sz="2" w:space="0" w:color="auto"/>
            </w:tcBorders>
            <w:shd w:val="clear" w:color="auto" w:fill="auto"/>
            <w:noWrap/>
            <w:vAlign w:val="bottom"/>
            <w:hideMark/>
          </w:tcPr>
          <w:p w:rsidR="00DA1492" w:rsidRPr="008211A6" w:rsidRDefault="00DA1492" w:rsidP="008211A6">
            <w:pPr>
              <w:jc w:val="center"/>
              <w:rPr>
                <w:rFonts w:eastAsia="Times New Roman"/>
                <w:sz w:val="20"/>
                <w:szCs w:val="20"/>
                <w:lang w:eastAsia="es-MX"/>
              </w:rPr>
            </w:pPr>
            <w:r w:rsidRPr="008211A6">
              <w:rPr>
                <w:rFonts w:eastAsia="Times New Roman"/>
                <w:sz w:val="20"/>
                <w:szCs w:val="20"/>
                <w:lang w:eastAsia="es-MX"/>
              </w:rPr>
              <w:t>2014</w:t>
            </w:r>
            <w:r w:rsidRPr="008211A6">
              <w:rPr>
                <w:rFonts w:eastAsia="Times New Roman"/>
                <w:sz w:val="20"/>
                <w:szCs w:val="20"/>
                <w:u w:val="single"/>
                <w:vertAlign w:val="superscript"/>
                <w:lang w:eastAsia="es-MX"/>
              </w:rPr>
              <w:t>r</w:t>
            </w:r>
            <w:r w:rsidR="008211A6">
              <w:rPr>
                <w:rFonts w:eastAsia="Times New Roman"/>
                <w:sz w:val="20"/>
                <w:szCs w:val="20"/>
                <w:vertAlign w:val="superscript"/>
                <w:lang w:eastAsia="es-MX"/>
              </w:rPr>
              <w:t>/</w:t>
            </w:r>
          </w:p>
        </w:tc>
        <w:tc>
          <w:tcPr>
            <w:tcW w:w="2284" w:type="dxa"/>
            <w:tcBorders>
              <w:top w:val="nil"/>
              <w:left w:val="single" w:sz="2" w:space="0" w:color="auto"/>
              <w:bottom w:val="single" w:sz="2" w:space="0" w:color="auto"/>
              <w:right w:val="single" w:sz="2" w:space="0" w:color="auto"/>
            </w:tcBorders>
            <w:shd w:val="clear" w:color="auto" w:fill="auto"/>
            <w:vAlign w:val="bottom"/>
            <w:hideMark/>
          </w:tcPr>
          <w:p w:rsidR="00DA1492" w:rsidRPr="008211A6" w:rsidRDefault="00DA1492" w:rsidP="00701097">
            <w:pPr>
              <w:ind w:left="-567" w:right="907"/>
              <w:jc w:val="right"/>
              <w:rPr>
                <w:rFonts w:eastAsia="Times New Roman"/>
                <w:sz w:val="20"/>
                <w:szCs w:val="20"/>
                <w:lang w:eastAsia="es-MX"/>
              </w:rPr>
            </w:pPr>
            <w:r w:rsidRPr="008211A6">
              <w:rPr>
                <w:rFonts w:eastAsia="Times New Roman"/>
                <w:sz w:val="20"/>
                <w:szCs w:val="20"/>
                <w:lang w:eastAsia="es-MX"/>
              </w:rPr>
              <w:t>75 654</w:t>
            </w:r>
          </w:p>
        </w:tc>
        <w:tc>
          <w:tcPr>
            <w:tcW w:w="2268" w:type="dxa"/>
            <w:tcBorders>
              <w:top w:val="nil"/>
              <w:left w:val="single" w:sz="2" w:space="0" w:color="auto"/>
              <w:bottom w:val="single" w:sz="2" w:space="0" w:color="auto"/>
              <w:right w:val="single" w:sz="2" w:space="0" w:color="auto"/>
            </w:tcBorders>
            <w:shd w:val="clear" w:color="auto" w:fill="auto"/>
            <w:vAlign w:val="bottom"/>
            <w:hideMark/>
          </w:tcPr>
          <w:p w:rsidR="00DA1492" w:rsidRPr="008211A6" w:rsidRDefault="00DA1492" w:rsidP="00044DA8">
            <w:pPr>
              <w:ind w:left="-454" w:right="851"/>
              <w:jc w:val="right"/>
              <w:rPr>
                <w:rFonts w:eastAsia="Times New Roman"/>
                <w:sz w:val="20"/>
                <w:szCs w:val="20"/>
                <w:lang w:eastAsia="es-MX"/>
              </w:rPr>
            </w:pPr>
            <w:r w:rsidRPr="008211A6">
              <w:rPr>
                <w:rFonts w:eastAsia="Times New Roman"/>
                <w:sz w:val="20"/>
                <w:szCs w:val="20"/>
                <w:lang w:eastAsia="es-MX"/>
              </w:rPr>
              <w:t>680 862</w:t>
            </w:r>
          </w:p>
        </w:tc>
        <w:tc>
          <w:tcPr>
            <w:tcW w:w="1418" w:type="dxa"/>
            <w:tcBorders>
              <w:top w:val="nil"/>
              <w:left w:val="single" w:sz="2" w:space="0" w:color="auto"/>
              <w:bottom w:val="single" w:sz="2" w:space="0" w:color="auto"/>
              <w:right w:val="single" w:sz="2" w:space="0" w:color="auto"/>
            </w:tcBorders>
            <w:shd w:val="clear" w:color="auto" w:fill="auto"/>
            <w:vAlign w:val="bottom"/>
            <w:hideMark/>
          </w:tcPr>
          <w:p w:rsidR="00DA1492" w:rsidRPr="008211A6" w:rsidRDefault="00DA1492" w:rsidP="00701097">
            <w:pPr>
              <w:ind w:left="-397" w:right="284"/>
              <w:jc w:val="right"/>
              <w:rPr>
                <w:rFonts w:eastAsia="Times New Roman"/>
                <w:sz w:val="20"/>
                <w:szCs w:val="20"/>
                <w:lang w:eastAsia="es-MX"/>
              </w:rPr>
            </w:pPr>
            <w:r w:rsidRPr="008211A6">
              <w:rPr>
                <w:rFonts w:eastAsia="Times New Roman"/>
                <w:sz w:val="20"/>
                <w:szCs w:val="20"/>
                <w:lang w:eastAsia="es-MX"/>
              </w:rPr>
              <w:t>-605 208</w:t>
            </w:r>
          </w:p>
        </w:tc>
      </w:tr>
      <w:tr w:rsidR="00DA1492" w:rsidRPr="00DA1492" w:rsidTr="00701097">
        <w:trPr>
          <w:trHeight w:val="300"/>
          <w:jc w:val="center"/>
        </w:trPr>
        <w:tc>
          <w:tcPr>
            <w:tcW w:w="6663" w:type="dxa"/>
            <w:gridSpan w:val="4"/>
            <w:tcBorders>
              <w:top w:val="single" w:sz="2" w:space="0" w:color="auto"/>
              <w:left w:val="nil"/>
              <w:bottom w:val="nil"/>
              <w:right w:val="nil"/>
            </w:tcBorders>
            <w:shd w:val="clear" w:color="auto" w:fill="auto"/>
            <w:noWrap/>
            <w:vAlign w:val="bottom"/>
            <w:hideMark/>
          </w:tcPr>
          <w:p w:rsidR="00DA1492" w:rsidRPr="008211A6" w:rsidRDefault="00DA1492" w:rsidP="00D46A23">
            <w:pPr>
              <w:jc w:val="both"/>
              <w:rPr>
                <w:rFonts w:eastAsia="Times New Roman"/>
                <w:sz w:val="20"/>
                <w:szCs w:val="20"/>
                <w:lang w:eastAsia="es-MX"/>
              </w:rPr>
            </w:pPr>
            <w:r w:rsidRPr="008211A6">
              <w:rPr>
                <w:rFonts w:eastAsia="Times New Roman"/>
                <w:sz w:val="20"/>
                <w:szCs w:val="20"/>
                <w:u w:val="single"/>
                <w:lang w:eastAsia="es-MX"/>
              </w:rPr>
              <w:t>r</w:t>
            </w:r>
            <w:r w:rsidR="008211A6">
              <w:rPr>
                <w:rFonts w:eastAsia="Times New Roman"/>
                <w:sz w:val="20"/>
                <w:szCs w:val="20"/>
                <w:lang w:eastAsia="es-MX"/>
              </w:rPr>
              <w:t>/</w:t>
            </w:r>
            <w:r w:rsidRPr="008211A6">
              <w:rPr>
                <w:rFonts w:eastAsia="Times New Roman"/>
                <w:sz w:val="20"/>
                <w:szCs w:val="20"/>
                <w:lang w:eastAsia="es-MX"/>
              </w:rPr>
              <w:t xml:space="preserve"> Cifras revisadas a partir de enero de 2014.</w:t>
            </w:r>
          </w:p>
          <w:p w:rsidR="00DA1492" w:rsidRPr="008211A6" w:rsidRDefault="00DA1492" w:rsidP="00D46A23">
            <w:pPr>
              <w:ind w:left="907" w:hanging="907"/>
              <w:jc w:val="both"/>
              <w:rPr>
                <w:rFonts w:eastAsia="Times New Roman"/>
                <w:sz w:val="22"/>
                <w:szCs w:val="22"/>
                <w:lang w:eastAsia="es-MX"/>
              </w:rPr>
            </w:pPr>
            <w:r w:rsidRPr="008211A6">
              <w:rPr>
                <w:rFonts w:eastAsia="Times New Roman"/>
                <w:sz w:val="20"/>
                <w:szCs w:val="20"/>
                <w:lang w:eastAsia="es-MX"/>
              </w:rPr>
              <w:t>FUENTE: Grupo de Trabajo de Estadísticas de Comercio Exterior, integrado por Banco de México, INEGI, Servicio de Administración Tributaria y la Secretaría de Economía.</w:t>
            </w:r>
          </w:p>
        </w:tc>
      </w:tr>
    </w:tbl>
    <w:p w:rsidR="00DA1492" w:rsidRPr="00DA1492" w:rsidRDefault="00DA1492" w:rsidP="00DA1492">
      <w:pPr>
        <w:spacing w:after="360" w:line="360" w:lineRule="auto"/>
        <w:ind w:right="-159"/>
        <w:jc w:val="center"/>
        <w:rPr>
          <w:rFonts w:eastAsia="Calibri"/>
          <w:sz w:val="26"/>
          <w:szCs w:val="26"/>
          <w:lang w:eastAsia="en-US"/>
        </w:rPr>
      </w:pPr>
    </w:p>
    <w:p w:rsidR="00DA1492" w:rsidRPr="00DA1492" w:rsidRDefault="00DA1492" w:rsidP="00DA1492">
      <w:pPr>
        <w:ind w:right="-159"/>
        <w:jc w:val="both"/>
        <w:rPr>
          <w:rFonts w:eastAsia="Calibri"/>
          <w:sz w:val="20"/>
          <w:szCs w:val="20"/>
          <w:lang w:eastAsia="en-US"/>
        </w:rPr>
      </w:pPr>
      <w:r w:rsidRPr="00DA1492">
        <w:rPr>
          <w:rFonts w:eastAsia="Calibri"/>
          <w:b/>
          <w:sz w:val="20"/>
          <w:szCs w:val="20"/>
          <w:lang w:eastAsia="en-US"/>
        </w:rPr>
        <w:t>Fuente de información</w:t>
      </w:r>
      <w:r w:rsidRPr="00DA1492">
        <w:rPr>
          <w:rFonts w:eastAsia="Calibri"/>
          <w:sz w:val="20"/>
          <w:szCs w:val="20"/>
          <w:lang w:eastAsia="en-US"/>
        </w:rPr>
        <w:t>:</w:t>
      </w:r>
    </w:p>
    <w:p w:rsidR="00DA1492" w:rsidRPr="002753B3" w:rsidRDefault="004638E5" w:rsidP="00DA1492">
      <w:pPr>
        <w:ind w:right="-159"/>
        <w:jc w:val="both"/>
        <w:rPr>
          <w:rFonts w:eastAsia="Calibri"/>
          <w:color w:val="0000FF"/>
          <w:sz w:val="20"/>
          <w:szCs w:val="20"/>
          <w:u w:val="single"/>
          <w:lang w:eastAsia="en-US"/>
        </w:rPr>
      </w:pPr>
      <w:hyperlink r:id="rId52" w:history="1">
        <w:r w:rsidR="00DA1492" w:rsidRPr="002753B3">
          <w:rPr>
            <w:rFonts w:eastAsia="Calibri"/>
            <w:color w:val="0000FF"/>
            <w:sz w:val="20"/>
            <w:szCs w:val="20"/>
            <w:u w:val="single"/>
            <w:lang w:eastAsia="en-US"/>
          </w:rPr>
          <w:t>http://saladeprensa.sre.gob.mx/index.php/es/comunicados/5614-077</w:t>
        </w:r>
      </w:hyperlink>
    </w:p>
    <w:p w:rsidR="00DA1492" w:rsidRPr="002753B3" w:rsidRDefault="004638E5" w:rsidP="002753B3">
      <w:pPr>
        <w:spacing w:after="720"/>
        <w:ind w:right="-159"/>
        <w:jc w:val="both"/>
        <w:rPr>
          <w:rFonts w:eastAsia="Calibri"/>
          <w:color w:val="0000FF"/>
          <w:sz w:val="20"/>
          <w:szCs w:val="20"/>
          <w:lang w:eastAsia="en-US"/>
        </w:rPr>
      </w:pPr>
      <w:hyperlink r:id="rId53" w:history="1">
        <w:r w:rsidR="00DA1492" w:rsidRPr="002753B3">
          <w:rPr>
            <w:rFonts w:eastAsia="Calibri"/>
            <w:color w:val="0000FF"/>
            <w:sz w:val="20"/>
            <w:szCs w:val="20"/>
            <w:u w:val="single"/>
            <w:lang w:eastAsia="en-US"/>
          </w:rPr>
          <w:t>http://www.inegi.org.mx/sistemas/bie/default.aspx</w:t>
        </w:r>
      </w:hyperlink>
      <w:r w:rsidR="00DA1492" w:rsidRPr="002753B3">
        <w:rPr>
          <w:rFonts w:eastAsia="Calibri"/>
          <w:color w:val="0000FF"/>
          <w:sz w:val="20"/>
          <w:szCs w:val="20"/>
          <w:lang w:eastAsia="en-US"/>
        </w:rPr>
        <w:t xml:space="preserve"> </w:t>
      </w:r>
    </w:p>
    <w:p w:rsidR="00D02EEB" w:rsidRPr="00D02EEB" w:rsidRDefault="00D02EEB" w:rsidP="00D02EEB">
      <w:pPr>
        <w:spacing w:after="360" w:line="360" w:lineRule="auto"/>
        <w:ind w:right="-159"/>
        <w:jc w:val="both"/>
        <w:rPr>
          <w:rFonts w:eastAsia="Calibri"/>
          <w:b/>
          <w:sz w:val="26"/>
          <w:szCs w:val="26"/>
          <w:lang w:eastAsia="en-US"/>
        </w:rPr>
      </w:pPr>
      <w:r w:rsidRPr="00D02EEB">
        <w:rPr>
          <w:rFonts w:eastAsia="Calibri"/>
          <w:b/>
          <w:sz w:val="26"/>
          <w:szCs w:val="26"/>
          <w:lang w:eastAsia="en-US"/>
        </w:rPr>
        <w:t>Analizan oportunidades del TLC México-Panamá (SRE)</w:t>
      </w:r>
    </w:p>
    <w:p w:rsidR="00D02EEB" w:rsidRPr="00D02EEB" w:rsidRDefault="00D02EEB" w:rsidP="00D02EEB">
      <w:pPr>
        <w:spacing w:after="360" w:line="360" w:lineRule="auto"/>
        <w:ind w:right="-159"/>
        <w:jc w:val="both"/>
        <w:rPr>
          <w:rFonts w:eastAsia="Calibri"/>
          <w:sz w:val="26"/>
          <w:szCs w:val="26"/>
          <w:lang w:eastAsia="en-US"/>
        </w:rPr>
      </w:pPr>
      <w:r w:rsidRPr="00D02EEB">
        <w:rPr>
          <w:rFonts w:eastAsia="Calibri"/>
          <w:sz w:val="26"/>
          <w:szCs w:val="26"/>
          <w:lang w:eastAsia="en-US"/>
        </w:rPr>
        <w:t>El 23 de febrero de 2015, la Secretaría de Relaciones Exteriores (SRE) comunicó que la Subsecretaria para América Latina y el Caribe participó en el foro “TLC México-</w:t>
      </w:r>
      <w:r w:rsidRPr="00D02EEB">
        <w:rPr>
          <w:rFonts w:eastAsia="Calibri"/>
          <w:sz w:val="26"/>
          <w:szCs w:val="26"/>
          <w:lang w:eastAsia="en-US"/>
        </w:rPr>
        <w:lastRenderedPageBreak/>
        <w:t>Panamá: Una oportunidad de acercamiento bilateral y regional”, organizado por el Senado de la República,</w:t>
      </w:r>
      <w:r w:rsidRPr="00D02EEB">
        <w:rPr>
          <w:rFonts w:eastAsia="Calibri"/>
          <w:sz w:val="26"/>
          <w:szCs w:val="26"/>
          <w:vertAlign w:val="superscript"/>
          <w:lang w:eastAsia="en-US"/>
        </w:rPr>
        <w:footnoteReference w:id="9"/>
      </w:r>
      <w:r w:rsidRPr="00D02EEB">
        <w:rPr>
          <w:rFonts w:eastAsia="Calibri"/>
          <w:sz w:val="26"/>
          <w:szCs w:val="26"/>
          <w:lang w:eastAsia="en-US"/>
        </w:rPr>
        <w:t xml:space="preserve"> que tuvo como objetivo fortalecer el debate parlamentario e identificar oportunidades que la liberalización comercial generará en los dos países.</w:t>
      </w:r>
    </w:p>
    <w:p w:rsidR="00D02EEB" w:rsidRPr="00D02EEB" w:rsidRDefault="00D02EEB" w:rsidP="00D02EEB">
      <w:pPr>
        <w:spacing w:after="360" w:line="360" w:lineRule="auto"/>
        <w:ind w:right="-159"/>
        <w:jc w:val="both"/>
        <w:rPr>
          <w:rFonts w:eastAsia="Calibri"/>
          <w:sz w:val="26"/>
          <w:szCs w:val="26"/>
          <w:lang w:eastAsia="en-US"/>
        </w:rPr>
      </w:pPr>
      <w:r w:rsidRPr="00D02EEB">
        <w:rPr>
          <w:rFonts w:eastAsia="Calibri"/>
          <w:sz w:val="26"/>
          <w:szCs w:val="26"/>
          <w:lang w:eastAsia="en-US"/>
        </w:rPr>
        <w:t>En su mensaje habló de la relevancia geopolítica de esa nación centroamericana, que conecta a Sudamérica con Centroamérica, y la importante infraestructura logística del Canal de Panamá que une al Pacífico con el Atlántico. Subrayó que el marco jurídico actual consta de 17 instrumentos que abarcan temas como transporte aéreo, extradición, evitar la doble imposición, temas consulares y turismo.</w:t>
      </w:r>
    </w:p>
    <w:p w:rsidR="00D02EEB" w:rsidRPr="00D02EEB" w:rsidRDefault="00D02EEB" w:rsidP="00D02EEB">
      <w:pPr>
        <w:spacing w:after="360" w:line="360" w:lineRule="auto"/>
        <w:ind w:right="-159"/>
        <w:jc w:val="both"/>
        <w:rPr>
          <w:rFonts w:eastAsia="Calibri"/>
          <w:sz w:val="26"/>
          <w:szCs w:val="26"/>
          <w:lang w:eastAsia="en-US"/>
        </w:rPr>
      </w:pPr>
      <w:r w:rsidRPr="00D02EEB">
        <w:rPr>
          <w:rFonts w:eastAsia="Calibri"/>
          <w:sz w:val="26"/>
          <w:szCs w:val="26"/>
          <w:lang w:eastAsia="en-US"/>
        </w:rPr>
        <w:t>Resaltó que Panamá incorporó en 2014 a nacionales mexicanos en el esquema de “residente permanente”, lo que ha permitido que más de 100 connacionales realicen actividades remuneradas en ese país. Además, en 2013</w:t>
      </w:r>
      <w:r w:rsidR="00736C45">
        <w:rPr>
          <w:rFonts w:eastAsia="Calibri"/>
          <w:sz w:val="26"/>
          <w:szCs w:val="26"/>
          <w:lang w:eastAsia="en-US"/>
        </w:rPr>
        <w:t>,</w:t>
      </w:r>
      <w:r w:rsidRPr="00D02EEB">
        <w:rPr>
          <w:rFonts w:eastAsia="Calibri"/>
          <w:sz w:val="26"/>
          <w:szCs w:val="26"/>
          <w:lang w:eastAsia="en-US"/>
        </w:rPr>
        <w:t xml:space="preserve"> Panamá transfirió a México la presidencia de la Asociación de Estados del Caribe (AEC) y de la Conferencia Iberoamericana.</w:t>
      </w:r>
    </w:p>
    <w:p w:rsidR="00D02EEB" w:rsidRPr="00D02EEB" w:rsidRDefault="00D02EEB" w:rsidP="00D02EEB">
      <w:pPr>
        <w:spacing w:after="360" w:line="360" w:lineRule="auto"/>
        <w:ind w:right="-159"/>
        <w:jc w:val="both"/>
        <w:rPr>
          <w:rFonts w:eastAsia="Calibri"/>
          <w:sz w:val="26"/>
          <w:szCs w:val="26"/>
          <w:lang w:eastAsia="en-US"/>
        </w:rPr>
      </w:pPr>
      <w:r w:rsidRPr="00D02EEB">
        <w:rPr>
          <w:rFonts w:eastAsia="Calibri"/>
          <w:sz w:val="26"/>
          <w:szCs w:val="26"/>
          <w:lang w:eastAsia="en-US"/>
        </w:rPr>
        <w:t>El comercio entre México y Panamá se incrementó 214% en los últimos 10 años, al pasar de 339 a mil 64 millones de dólares, con lo cual Panamá se ubicó como el cuarto socio comercial de México en Centroamérica y en el onceavo en América Latina y el Caribe. Panamá es el primer inversionista de Centroamérica en México, con un monto superior a los 932 millones de dólares, y es el segundo destino de las inversiones mexicanas en esta región, con cerca de dos mil 63 millones de dólares.</w:t>
      </w:r>
    </w:p>
    <w:p w:rsidR="00D02EEB" w:rsidRPr="00D02EEB" w:rsidRDefault="00D02EEB" w:rsidP="00D02EEB">
      <w:pPr>
        <w:ind w:right="-159"/>
        <w:jc w:val="both"/>
        <w:rPr>
          <w:rFonts w:eastAsia="Calibri"/>
          <w:b/>
          <w:sz w:val="20"/>
          <w:szCs w:val="20"/>
          <w:lang w:eastAsia="en-US"/>
        </w:rPr>
      </w:pPr>
      <w:r w:rsidRPr="00D02EEB">
        <w:rPr>
          <w:rFonts w:eastAsia="Calibri"/>
          <w:b/>
          <w:sz w:val="20"/>
          <w:szCs w:val="20"/>
          <w:lang w:eastAsia="en-US"/>
        </w:rPr>
        <w:t>Fuente de información:</w:t>
      </w:r>
    </w:p>
    <w:p w:rsidR="00D02EEB" w:rsidRPr="002753B3" w:rsidRDefault="004638E5" w:rsidP="00D02EEB">
      <w:pPr>
        <w:ind w:right="-159"/>
        <w:jc w:val="both"/>
        <w:rPr>
          <w:rFonts w:eastAsia="Calibri"/>
          <w:color w:val="0000FF"/>
          <w:sz w:val="20"/>
          <w:szCs w:val="20"/>
          <w:lang w:eastAsia="en-US"/>
        </w:rPr>
      </w:pPr>
      <w:hyperlink r:id="rId54" w:history="1">
        <w:r w:rsidR="00D02EEB" w:rsidRPr="002753B3">
          <w:rPr>
            <w:rFonts w:eastAsia="Calibri"/>
            <w:color w:val="0000FF"/>
            <w:sz w:val="20"/>
            <w:szCs w:val="20"/>
            <w:u w:val="single"/>
            <w:lang w:eastAsia="en-US"/>
          </w:rPr>
          <w:t>http://saladeprensa.sre.gob.mx/index.php/es/comunicados/5638-085</w:t>
        </w:r>
      </w:hyperlink>
      <w:r w:rsidR="00D02EEB" w:rsidRPr="002753B3">
        <w:rPr>
          <w:rFonts w:eastAsia="Calibri"/>
          <w:color w:val="0000FF"/>
          <w:sz w:val="20"/>
          <w:szCs w:val="20"/>
          <w:lang w:eastAsia="en-US"/>
        </w:rPr>
        <w:t xml:space="preserve"> </w:t>
      </w:r>
    </w:p>
    <w:p w:rsidR="00D02EEB" w:rsidRPr="002753B3" w:rsidRDefault="00D02EEB" w:rsidP="00D02EEB">
      <w:pPr>
        <w:ind w:right="-159"/>
        <w:jc w:val="both"/>
        <w:rPr>
          <w:rFonts w:eastAsia="Calibri"/>
          <w:sz w:val="20"/>
          <w:szCs w:val="20"/>
          <w:lang w:eastAsia="en-US"/>
        </w:rPr>
      </w:pPr>
      <w:r w:rsidRPr="002753B3">
        <w:rPr>
          <w:rFonts w:eastAsia="Calibri"/>
          <w:sz w:val="20"/>
          <w:szCs w:val="20"/>
          <w:lang w:eastAsia="en-US"/>
        </w:rPr>
        <w:t>Para tener acceso a información relacionada visite:</w:t>
      </w:r>
    </w:p>
    <w:p w:rsidR="00D02EEB" w:rsidRPr="002753B3" w:rsidRDefault="004638E5" w:rsidP="00D02EEB">
      <w:pPr>
        <w:ind w:right="-159"/>
        <w:jc w:val="both"/>
        <w:rPr>
          <w:rFonts w:eastAsia="Calibri"/>
          <w:color w:val="0000FF"/>
          <w:sz w:val="20"/>
          <w:szCs w:val="20"/>
          <w:lang w:eastAsia="en-US"/>
        </w:rPr>
      </w:pPr>
      <w:hyperlink r:id="rId55" w:history="1">
        <w:r w:rsidR="00D02EEB" w:rsidRPr="002753B3">
          <w:rPr>
            <w:rFonts w:eastAsia="Calibri"/>
            <w:color w:val="0000FF"/>
            <w:sz w:val="20"/>
            <w:szCs w:val="20"/>
            <w:u w:val="single"/>
            <w:lang w:eastAsia="en-US"/>
          </w:rPr>
          <w:t>http://comunicacion.senado.gob.mx/index.php/informacion/boletines/18931-libre-comercio-con-panama-permitira-diversificar-negocios-de-mexico-coinciden-senadores-y-funcionarios.html</w:t>
        </w:r>
      </w:hyperlink>
      <w:r w:rsidR="00D02EEB" w:rsidRPr="002753B3">
        <w:rPr>
          <w:rFonts w:eastAsia="Calibri"/>
          <w:color w:val="0000FF"/>
          <w:sz w:val="20"/>
          <w:szCs w:val="20"/>
          <w:lang w:eastAsia="en-US"/>
        </w:rPr>
        <w:t xml:space="preserve"> </w:t>
      </w:r>
    </w:p>
    <w:p w:rsidR="00DA1492" w:rsidRDefault="00DA1492" w:rsidP="005879EF">
      <w:pPr>
        <w:spacing w:after="480" w:line="360" w:lineRule="auto"/>
        <w:ind w:right="-159"/>
        <w:jc w:val="both"/>
        <w:rPr>
          <w:sz w:val="26"/>
          <w:szCs w:val="26"/>
          <w:lang w:val="es-ES"/>
        </w:rPr>
      </w:pPr>
    </w:p>
    <w:p w:rsidR="004A3AC0" w:rsidRPr="004A3AC0" w:rsidRDefault="004A3AC0" w:rsidP="004A3AC0">
      <w:pPr>
        <w:ind w:right="-159"/>
        <w:jc w:val="both"/>
        <w:rPr>
          <w:rFonts w:eastAsia="Calibri"/>
          <w:b/>
          <w:sz w:val="26"/>
          <w:szCs w:val="26"/>
          <w:lang w:eastAsia="en-US"/>
        </w:rPr>
      </w:pPr>
      <w:r w:rsidRPr="004A3AC0">
        <w:rPr>
          <w:rFonts w:eastAsia="Calibri"/>
          <w:b/>
          <w:sz w:val="26"/>
          <w:szCs w:val="26"/>
          <w:lang w:eastAsia="en-US"/>
        </w:rPr>
        <w:lastRenderedPageBreak/>
        <w:t>México y Líbano acuerdan  fortalecer  sus</w:t>
      </w:r>
    </w:p>
    <w:p w:rsidR="004A3AC0" w:rsidRPr="004A3AC0" w:rsidRDefault="004A3AC0" w:rsidP="004A3AC0">
      <w:pPr>
        <w:spacing w:after="360" w:line="360" w:lineRule="auto"/>
        <w:ind w:right="-159"/>
        <w:jc w:val="both"/>
        <w:rPr>
          <w:rFonts w:eastAsia="Calibri"/>
          <w:b/>
          <w:sz w:val="26"/>
          <w:szCs w:val="26"/>
          <w:lang w:eastAsia="en-US"/>
        </w:rPr>
      </w:pPr>
      <w:r w:rsidRPr="004A3AC0">
        <w:rPr>
          <w:rFonts w:eastAsia="Calibri"/>
          <w:b/>
          <w:sz w:val="26"/>
          <w:szCs w:val="26"/>
          <w:lang w:eastAsia="en-US"/>
        </w:rPr>
        <w:t>vínculos comerciales y de inversión (SRE)</w:t>
      </w:r>
    </w:p>
    <w:p w:rsidR="004A3AC0" w:rsidRPr="004A3AC0" w:rsidRDefault="004A3AC0" w:rsidP="004A3AC0">
      <w:pPr>
        <w:spacing w:after="360" w:line="360" w:lineRule="auto"/>
        <w:ind w:right="-159"/>
        <w:jc w:val="both"/>
        <w:rPr>
          <w:rFonts w:eastAsia="Calibri"/>
          <w:sz w:val="26"/>
          <w:szCs w:val="26"/>
          <w:lang w:eastAsia="en-US"/>
        </w:rPr>
      </w:pPr>
      <w:r w:rsidRPr="004A3AC0">
        <w:rPr>
          <w:rFonts w:eastAsia="Calibri"/>
          <w:sz w:val="26"/>
          <w:szCs w:val="26"/>
          <w:lang w:eastAsia="en-US"/>
        </w:rPr>
        <w:t xml:space="preserve">El 23 de febrero de 2015, la Secretaría de Relaciones Exteriores (SRE) </w:t>
      </w:r>
      <w:r>
        <w:rPr>
          <w:rFonts w:eastAsia="Calibri"/>
          <w:sz w:val="26"/>
          <w:szCs w:val="26"/>
          <w:lang w:eastAsia="en-US"/>
        </w:rPr>
        <w:t xml:space="preserve">dio </w:t>
      </w:r>
      <w:proofErr w:type="spellStart"/>
      <w:r>
        <w:rPr>
          <w:rFonts w:eastAsia="Calibri"/>
          <w:sz w:val="26"/>
          <w:szCs w:val="26"/>
          <w:lang w:eastAsia="en-US"/>
        </w:rPr>
        <w:t>aconocer</w:t>
      </w:r>
      <w:proofErr w:type="spellEnd"/>
      <w:r>
        <w:rPr>
          <w:rFonts w:eastAsia="Calibri"/>
          <w:sz w:val="26"/>
          <w:szCs w:val="26"/>
          <w:lang w:eastAsia="en-US"/>
        </w:rPr>
        <w:t xml:space="preserve"> que</w:t>
      </w:r>
      <w:r w:rsidRPr="004A3AC0">
        <w:rPr>
          <w:rFonts w:eastAsia="Calibri"/>
          <w:sz w:val="26"/>
          <w:szCs w:val="26"/>
          <w:lang w:eastAsia="en-US"/>
        </w:rPr>
        <w:t xml:space="preserve"> el </w:t>
      </w:r>
      <w:r>
        <w:rPr>
          <w:rFonts w:eastAsia="Calibri"/>
          <w:sz w:val="26"/>
          <w:szCs w:val="26"/>
          <w:lang w:eastAsia="en-US"/>
        </w:rPr>
        <w:t>M</w:t>
      </w:r>
      <w:r w:rsidRPr="004A3AC0">
        <w:rPr>
          <w:rFonts w:eastAsia="Calibri"/>
          <w:sz w:val="26"/>
          <w:szCs w:val="26"/>
          <w:lang w:eastAsia="en-US"/>
        </w:rPr>
        <w:t>inistro de Relaciones Exteriores y de Emigrantes de Líbano realizó una visita de trabajo a México, cuyo objetivo principal fue fortalecer el diálogo político de alto nivel y refrendar los lazos de amistad y cooperación que unen a los dos países.</w:t>
      </w:r>
    </w:p>
    <w:p w:rsidR="004A3AC0" w:rsidRPr="004A3AC0" w:rsidRDefault="004A3AC0" w:rsidP="004A3AC0">
      <w:pPr>
        <w:spacing w:after="360" w:line="360" w:lineRule="auto"/>
        <w:ind w:right="-159"/>
        <w:jc w:val="both"/>
        <w:rPr>
          <w:rFonts w:eastAsia="Calibri"/>
          <w:sz w:val="26"/>
          <w:szCs w:val="26"/>
          <w:lang w:eastAsia="en-US"/>
        </w:rPr>
      </w:pPr>
      <w:r w:rsidRPr="004A3AC0">
        <w:rPr>
          <w:rFonts w:eastAsia="Calibri"/>
          <w:sz w:val="26"/>
          <w:szCs w:val="26"/>
          <w:lang w:eastAsia="en-US"/>
        </w:rPr>
        <w:t xml:space="preserve">En el marco de su vista, el funcionario libanés fue recibido por el </w:t>
      </w:r>
      <w:r>
        <w:rPr>
          <w:rFonts w:eastAsia="Calibri"/>
          <w:sz w:val="26"/>
          <w:szCs w:val="26"/>
          <w:lang w:eastAsia="en-US"/>
        </w:rPr>
        <w:t>S</w:t>
      </w:r>
      <w:r w:rsidRPr="004A3AC0">
        <w:rPr>
          <w:rFonts w:eastAsia="Calibri"/>
          <w:sz w:val="26"/>
          <w:szCs w:val="26"/>
          <w:lang w:eastAsia="en-US"/>
        </w:rPr>
        <w:t xml:space="preserve">ecretario de Relaciones Exteriores, con quien copresidió los trabajos de la II </w:t>
      </w:r>
      <w:r>
        <w:rPr>
          <w:rFonts w:eastAsia="Calibri"/>
          <w:sz w:val="26"/>
          <w:szCs w:val="26"/>
          <w:lang w:eastAsia="en-US"/>
        </w:rPr>
        <w:t>R</w:t>
      </w:r>
      <w:r w:rsidRPr="004A3AC0">
        <w:rPr>
          <w:rFonts w:eastAsia="Calibri"/>
          <w:sz w:val="26"/>
          <w:szCs w:val="26"/>
          <w:lang w:eastAsia="en-US"/>
        </w:rPr>
        <w:t>eunión del Mecanismo de Consultas Políticas entre ambos países, encuentro en el que dialogaron sobre distintos temas de las agendas bilateral e internacional.</w:t>
      </w:r>
    </w:p>
    <w:p w:rsidR="004A3AC0" w:rsidRPr="004A3AC0" w:rsidRDefault="004A3AC0" w:rsidP="004A3AC0">
      <w:pPr>
        <w:spacing w:after="360" w:line="360" w:lineRule="auto"/>
        <w:ind w:right="-159"/>
        <w:jc w:val="both"/>
        <w:rPr>
          <w:rFonts w:eastAsia="Calibri"/>
          <w:sz w:val="26"/>
          <w:szCs w:val="26"/>
          <w:lang w:eastAsia="en-US"/>
        </w:rPr>
      </w:pPr>
      <w:r w:rsidRPr="004A3AC0">
        <w:rPr>
          <w:rFonts w:eastAsia="Calibri"/>
          <w:sz w:val="26"/>
          <w:szCs w:val="26"/>
          <w:lang w:eastAsia="en-US"/>
        </w:rPr>
        <w:t xml:space="preserve">Ambos </w:t>
      </w:r>
      <w:r>
        <w:rPr>
          <w:rFonts w:eastAsia="Calibri"/>
          <w:sz w:val="26"/>
          <w:szCs w:val="26"/>
          <w:lang w:eastAsia="en-US"/>
        </w:rPr>
        <w:t>C</w:t>
      </w:r>
      <w:r w:rsidRPr="004A3AC0">
        <w:rPr>
          <w:rFonts w:eastAsia="Calibri"/>
          <w:sz w:val="26"/>
          <w:szCs w:val="26"/>
          <w:lang w:eastAsia="en-US"/>
        </w:rPr>
        <w:t>ancilleres coincidieron en la necesidad de robustecer los intercambios y proyectos de cooperación, y acordaron promover acciones concretas para aumentar los flujos comerciales y de inversión. Asimismo, subrayaron la importancia de fomentar los contactos entre los sectores público y privado de los dos países e impulsar la movilidad académica.</w:t>
      </w:r>
    </w:p>
    <w:p w:rsidR="004A3AC0" w:rsidRPr="004A3AC0" w:rsidRDefault="004A3AC0" w:rsidP="004A3AC0">
      <w:pPr>
        <w:spacing w:after="360" w:line="360" w:lineRule="auto"/>
        <w:ind w:right="-159"/>
        <w:jc w:val="both"/>
        <w:rPr>
          <w:rFonts w:eastAsia="Calibri"/>
          <w:sz w:val="26"/>
          <w:szCs w:val="26"/>
          <w:lang w:eastAsia="en-US"/>
        </w:rPr>
      </w:pPr>
      <w:r w:rsidRPr="004A3AC0">
        <w:rPr>
          <w:rFonts w:eastAsia="Calibri"/>
          <w:sz w:val="26"/>
          <w:szCs w:val="26"/>
          <w:lang w:eastAsia="en-US"/>
        </w:rPr>
        <w:t xml:space="preserve">El </w:t>
      </w:r>
      <w:r>
        <w:rPr>
          <w:rFonts w:eastAsia="Calibri"/>
          <w:sz w:val="26"/>
          <w:szCs w:val="26"/>
          <w:lang w:eastAsia="en-US"/>
        </w:rPr>
        <w:t>T</w:t>
      </w:r>
      <w:r w:rsidRPr="004A3AC0">
        <w:rPr>
          <w:rFonts w:eastAsia="Calibri"/>
          <w:sz w:val="26"/>
          <w:szCs w:val="26"/>
          <w:lang w:eastAsia="en-US"/>
        </w:rPr>
        <w:t>itular de la SRE manifestó que el gobierno de México está orgulloso de las contribuciones al desarrollo del país realizadas por la comunidad de origen libanés y destacó su papel como un puente de unión y un catalizador fundamental para la cooperación entre ambos países.</w:t>
      </w:r>
    </w:p>
    <w:p w:rsidR="004A3AC0" w:rsidRPr="004A3AC0" w:rsidRDefault="004A3AC0" w:rsidP="004A3AC0">
      <w:pPr>
        <w:spacing w:after="360" w:line="360" w:lineRule="auto"/>
        <w:ind w:right="-159"/>
        <w:jc w:val="both"/>
        <w:rPr>
          <w:rFonts w:eastAsia="Calibri"/>
          <w:sz w:val="26"/>
          <w:szCs w:val="26"/>
          <w:lang w:eastAsia="en-US"/>
        </w:rPr>
      </w:pPr>
      <w:r w:rsidRPr="004A3AC0">
        <w:rPr>
          <w:rFonts w:eastAsia="Calibri"/>
          <w:sz w:val="26"/>
          <w:szCs w:val="26"/>
          <w:lang w:eastAsia="en-US"/>
        </w:rPr>
        <w:t>En relación con la situación en Medio Oriente, el funcionario mexicano manifestó que es necesario privilegiar la vía diplomática para lograr una solución pacífica a los conflictos que vive la región. Reconoció los esfuerzos del gobierno de Líbano para atender las necesidades de más de un millón de refugiados sirios que actualmente se encuentran en su territorio.</w:t>
      </w:r>
    </w:p>
    <w:p w:rsidR="004A3AC0" w:rsidRPr="004A3AC0" w:rsidRDefault="004A3AC0" w:rsidP="004A3AC0">
      <w:pPr>
        <w:spacing w:after="360" w:line="360" w:lineRule="auto"/>
        <w:ind w:right="-159"/>
        <w:jc w:val="both"/>
        <w:rPr>
          <w:rFonts w:eastAsia="Calibri"/>
          <w:sz w:val="26"/>
          <w:szCs w:val="26"/>
          <w:lang w:eastAsia="en-US"/>
        </w:rPr>
      </w:pPr>
      <w:r w:rsidRPr="004A3AC0">
        <w:rPr>
          <w:rFonts w:eastAsia="Calibri"/>
          <w:sz w:val="26"/>
          <w:szCs w:val="26"/>
          <w:lang w:eastAsia="en-US"/>
        </w:rPr>
        <w:lastRenderedPageBreak/>
        <w:t xml:space="preserve">El </w:t>
      </w:r>
      <w:r>
        <w:rPr>
          <w:rFonts w:eastAsia="Calibri"/>
          <w:sz w:val="26"/>
          <w:szCs w:val="26"/>
          <w:lang w:eastAsia="en-US"/>
        </w:rPr>
        <w:t>C</w:t>
      </w:r>
      <w:r w:rsidRPr="004A3AC0">
        <w:rPr>
          <w:rFonts w:eastAsia="Calibri"/>
          <w:sz w:val="26"/>
          <w:szCs w:val="26"/>
          <w:lang w:eastAsia="en-US"/>
        </w:rPr>
        <w:t>anciller libanés impartió, en la sede del Instituto Matías Romero de Estudios Diplomáticos, la conferencia intitulada “La política exterior de Líbano en el contexto actual del Medio Oriente”.</w:t>
      </w:r>
    </w:p>
    <w:p w:rsidR="004A3AC0" w:rsidRPr="004A3AC0" w:rsidRDefault="004A3AC0" w:rsidP="004A3AC0">
      <w:pPr>
        <w:ind w:right="-159"/>
        <w:jc w:val="both"/>
        <w:rPr>
          <w:rFonts w:eastAsia="Calibri"/>
          <w:b/>
          <w:sz w:val="20"/>
          <w:szCs w:val="20"/>
          <w:lang w:eastAsia="en-US"/>
        </w:rPr>
      </w:pPr>
      <w:r w:rsidRPr="004A3AC0">
        <w:rPr>
          <w:rFonts w:eastAsia="Calibri"/>
          <w:b/>
          <w:sz w:val="20"/>
          <w:szCs w:val="20"/>
          <w:lang w:eastAsia="en-US"/>
        </w:rPr>
        <w:t>Fuente de información:</w:t>
      </w:r>
    </w:p>
    <w:p w:rsidR="004A3AC0" w:rsidRPr="002753B3" w:rsidRDefault="004638E5" w:rsidP="004A3AC0">
      <w:pPr>
        <w:ind w:right="-159"/>
        <w:jc w:val="both"/>
        <w:rPr>
          <w:rFonts w:eastAsia="Calibri"/>
          <w:color w:val="0000FF"/>
          <w:sz w:val="20"/>
          <w:szCs w:val="20"/>
          <w:lang w:eastAsia="en-US"/>
        </w:rPr>
      </w:pPr>
      <w:hyperlink r:id="rId56" w:history="1">
        <w:r w:rsidR="004A3AC0" w:rsidRPr="002753B3">
          <w:rPr>
            <w:rFonts w:eastAsia="Calibri"/>
            <w:color w:val="0000FF"/>
            <w:sz w:val="20"/>
            <w:szCs w:val="20"/>
            <w:u w:val="single"/>
            <w:lang w:eastAsia="en-US"/>
          </w:rPr>
          <w:t>http://saladeprensa.sre.gob.mx/index.php/es/comunicados/5636-084</w:t>
        </w:r>
      </w:hyperlink>
      <w:r w:rsidR="004A3AC0" w:rsidRPr="002753B3">
        <w:rPr>
          <w:rFonts w:eastAsia="Calibri"/>
          <w:color w:val="0000FF"/>
          <w:sz w:val="20"/>
          <w:szCs w:val="20"/>
          <w:lang w:eastAsia="en-US"/>
        </w:rPr>
        <w:t xml:space="preserve"> </w:t>
      </w:r>
    </w:p>
    <w:p w:rsidR="004A3AC0" w:rsidRPr="002753B3" w:rsidRDefault="004A3AC0" w:rsidP="004A3AC0">
      <w:pPr>
        <w:ind w:right="-159"/>
        <w:jc w:val="both"/>
        <w:rPr>
          <w:rFonts w:eastAsia="Calibri"/>
          <w:sz w:val="20"/>
          <w:szCs w:val="20"/>
          <w:lang w:eastAsia="en-US"/>
        </w:rPr>
      </w:pPr>
      <w:r w:rsidRPr="002753B3">
        <w:rPr>
          <w:rFonts w:eastAsia="Calibri"/>
          <w:sz w:val="20"/>
          <w:szCs w:val="20"/>
          <w:lang w:eastAsia="en-US"/>
        </w:rPr>
        <w:t>Para tener acceso a información relacionada visite:</w:t>
      </w:r>
    </w:p>
    <w:p w:rsidR="004A3AC0" w:rsidRPr="002753B3" w:rsidRDefault="004638E5" w:rsidP="004A3AC0">
      <w:pPr>
        <w:ind w:right="-159"/>
        <w:jc w:val="both"/>
        <w:rPr>
          <w:rFonts w:eastAsia="Calibri"/>
          <w:color w:val="0000FF"/>
          <w:sz w:val="20"/>
          <w:szCs w:val="20"/>
          <w:lang w:eastAsia="en-US"/>
        </w:rPr>
      </w:pPr>
      <w:hyperlink r:id="rId57" w:history="1">
        <w:r w:rsidR="004A3AC0" w:rsidRPr="002753B3">
          <w:rPr>
            <w:rFonts w:eastAsia="Calibri"/>
            <w:color w:val="0000FF"/>
            <w:sz w:val="20"/>
            <w:szCs w:val="20"/>
            <w:u w:val="single"/>
            <w:lang w:eastAsia="en-US"/>
          </w:rPr>
          <w:t>http://saladeprensa.sre.gob.mx/index.php/es/discursos/5637-2015-02-23-22-30-21</w:t>
        </w:r>
      </w:hyperlink>
      <w:r w:rsidR="004A3AC0" w:rsidRPr="002753B3">
        <w:rPr>
          <w:rFonts w:eastAsia="Calibri"/>
          <w:color w:val="0000FF"/>
          <w:sz w:val="20"/>
          <w:szCs w:val="20"/>
          <w:lang w:eastAsia="en-US"/>
        </w:rPr>
        <w:t xml:space="preserve"> </w:t>
      </w:r>
    </w:p>
    <w:p w:rsidR="004A3AC0" w:rsidRPr="002753B3" w:rsidRDefault="004638E5" w:rsidP="002753B3">
      <w:pPr>
        <w:spacing w:after="720"/>
        <w:ind w:right="-159"/>
        <w:jc w:val="both"/>
        <w:rPr>
          <w:rFonts w:eastAsia="Calibri"/>
          <w:color w:val="0000FF"/>
          <w:sz w:val="20"/>
          <w:szCs w:val="20"/>
          <w:lang w:eastAsia="en-US"/>
        </w:rPr>
      </w:pPr>
      <w:hyperlink r:id="rId58" w:history="1">
        <w:r w:rsidR="004A3AC0" w:rsidRPr="002753B3">
          <w:rPr>
            <w:rFonts w:eastAsia="Calibri"/>
            <w:color w:val="0000FF"/>
            <w:sz w:val="20"/>
            <w:szCs w:val="20"/>
            <w:u w:val="single"/>
            <w:lang w:eastAsia="en-US"/>
          </w:rPr>
          <w:t>http://saladeprensa.sre.gob.mx/index.php/es/comunicados/5634-083</w:t>
        </w:r>
      </w:hyperlink>
      <w:r w:rsidR="004A3AC0" w:rsidRPr="002753B3">
        <w:rPr>
          <w:rFonts w:eastAsia="Calibri"/>
          <w:color w:val="0000FF"/>
          <w:sz w:val="20"/>
          <w:szCs w:val="20"/>
          <w:lang w:eastAsia="en-US"/>
        </w:rPr>
        <w:t xml:space="preserve"> </w:t>
      </w:r>
    </w:p>
    <w:p w:rsidR="00E85907" w:rsidRPr="00E85907" w:rsidRDefault="00E85907" w:rsidP="00E85907">
      <w:pPr>
        <w:rPr>
          <w:rFonts w:eastAsia="Calibri"/>
          <w:b/>
          <w:sz w:val="26"/>
          <w:szCs w:val="26"/>
          <w:lang w:eastAsia="en-US"/>
        </w:rPr>
      </w:pPr>
      <w:r w:rsidRPr="00E85907">
        <w:rPr>
          <w:rFonts w:eastAsia="Calibri"/>
          <w:b/>
          <w:sz w:val="26"/>
          <w:szCs w:val="26"/>
          <w:lang w:eastAsia="en-US"/>
        </w:rPr>
        <w:t>México participa en el primer encuentro</w:t>
      </w:r>
    </w:p>
    <w:p w:rsidR="00E85907" w:rsidRPr="00E85907" w:rsidRDefault="00E85907" w:rsidP="00E85907">
      <w:pPr>
        <w:rPr>
          <w:rFonts w:eastAsia="Calibri"/>
          <w:b/>
          <w:sz w:val="26"/>
          <w:szCs w:val="26"/>
          <w:lang w:eastAsia="en-US"/>
        </w:rPr>
      </w:pPr>
      <w:r w:rsidRPr="00E85907">
        <w:rPr>
          <w:rFonts w:eastAsia="Calibri"/>
          <w:b/>
          <w:sz w:val="26"/>
          <w:szCs w:val="26"/>
          <w:lang w:eastAsia="en-US"/>
        </w:rPr>
        <w:t>de la  Alianza  para  la  Prosperidad  del</w:t>
      </w:r>
    </w:p>
    <w:p w:rsidR="00E85907" w:rsidRPr="00E85907" w:rsidRDefault="00E85907" w:rsidP="00E85907">
      <w:pPr>
        <w:spacing w:after="360" w:line="360" w:lineRule="auto"/>
        <w:ind w:right="-159"/>
        <w:jc w:val="both"/>
        <w:rPr>
          <w:rFonts w:eastAsia="Calibri"/>
          <w:b/>
          <w:sz w:val="26"/>
          <w:szCs w:val="26"/>
          <w:lang w:eastAsia="en-US"/>
        </w:rPr>
      </w:pPr>
      <w:r w:rsidRPr="00E85907">
        <w:rPr>
          <w:rFonts w:eastAsia="Calibri"/>
          <w:b/>
          <w:sz w:val="26"/>
          <w:szCs w:val="26"/>
          <w:lang w:eastAsia="en-US"/>
        </w:rPr>
        <w:t>Triángulo Norte (SRE)</w:t>
      </w:r>
    </w:p>
    <w:p w:rsidR="00E85907" w:rsidRPr="00E85907" w:rsidRDefault="00E85907" w:rsidP="00E85907">
      <w:pPr>
        <w:spacing w:after="360" w:line="360" w:lineRule="auto"/>
        <w:ind w:right="-159"/>
        <w:jc w:val="both"/>
        <w:rPr>
          <w:rFonts w:eastAsia="Calibri"/>
          <w:sz w:val="26"/>
          <w:szCs w:val="26"/>
          <w:lang w:eastAsia="en-US"/>
        </w:rPr>
      </w:pPr>
      <w:r w:rsidRPr="00E85907">
        <w:rPr>
          <w:rFonts w:eastAsia="Calibri"/>
          <w:sz w:val="26"/>
          <w:szCs w:val="26"/>
          <w:lang w:eastAsia="en-US"/>
        </w:rPr>
        <w:t>El 25 de febrero de 2015, la Secretaría de Relaciones Exteriores (SRE) comunicó que la Subsecretaria para América Latina y el Caribe participó en el “Primer Encuentro de la Alianza para la Prosperidad del Triángulo Norte”, mecanismo que tiene como objetivo impulsar el desarrollo productivo, la inversión en capital humano, la seguridad ciudadana y el fortalecimiento de las instituciones locales.</w:t>
      </w:r>
    </w:p>
    <w:p w:rsidR="00E85907" w:rsidRPr="00E85907" w:rsidRDefault="00E85907" w:rsidP="00E85907">
      <w:pPr>
        <w:spacing w:after="360" w:line="360" w:lineRule="auto"/>
        <w:ind w:right="-159"/>
        <w:jc w:val="both"/>
        <w:rPr>
          <w:rFonts w:eastAsia="Calibri"/>
          <w:sz w:val="26"/>
          <w:szCs w:val="26"/>
          <w:lang w:eastAsia="en-US"/>
        </w:rPr>
      </w:pPr>
      <w:r w:rsidRPr="00E85907">
        <w:rPr>
          <w:rFonts w:eastAsia="Calibri"/>
          <w:sz w:val="26"/>
          <w:szCs w:val="26"/>
          <w:lang w:eastAsia="en-US"/>
        </w:rPr>
        <w:t>La Subsecretaria de la SER habló de las acciones que México realiza acorde a los pilares de la Alianza para la Prosperidad. Destacó que, en materia de infraestructura, se ha trabajado en la modernización de puertos fronterizos con Guatemala, en la construcción de dos puentes en El Salvador y de una carretera en Honduras.</w:t>
      </w:r>
    </w:p>
    <w:p w:rsidR="00E85907" w:rsidRPr="00E85907" w:rsidRDefault="00E85907" w:rsidP="00E85907">
      <w:pPr>
        <w:spacing w:after="360" w:line="360" w:lineRule="auto"/>
        <w:ind w:right="-159"/>
        <w:jc w:val="both"/>
        <w:rPr>
          <w:rFonts w:eastAsia="Calibri"/>
          <w:sz w:val="26"/>
          <w:szCs w:val="26"/>
          <w:lang w:eastAsia="en-US"/>
        </w:rPr>
      </w:pPr>
      <w:r w:rsidRPr="00E85907">
        <w:rPr>
          <w:rFonts w:eastAsia="Calibri"/>
          <w:sz w:val="26"/>
          <w:szCs w:val="26"/>
          <w:lang w:eastAsia="en-US"/>
        </w:rPr>
        <w:t>En temas energéticos, se avanza en la operatividad del Sistema de Interconexión Eléctrica para los Países de América Central y en la construcción de un gaseoducto regional. Subrayó el carácter multidimensional con el que deben ser abordados los temas de seguridad y migración así como los proyectos de desarrollo social que se han puesto en marcha a nivel comunitario.</w:t>
      </w:r>
    </w:p>
    <w:p w:rsidR="00E85907" w:rsidRPr="00E85907" w:rsidRDefault="00E85907" w:rsidP="00E85907">
      <w:pPr>
        <w:spacing w:after="360" w:line="360" w:lineRule="auto"/>
        <w:ind w:right="-159"/>
        <w:jc w:val="both"/>
        <w:rPr>
          <w:rFonts w:eastAsia="Calibri"/>
          <w:sz w:val="26"/>
          <w:szCs w:val="26"/>
          <w:lang w:eastAsia="en-US"/>
        </w:rPr>
      </w:pPr>
      <w:r w:rsidRPr="00E85907">
        <w:rPr>
          <w:rFonts w:eastAsia="Calibri"/>
          <w:sz w:val="26"/>
          <w:szCs w:val="26"/>
          <w:lang w:eastAsia="en-US"/>
        </w:rPr>
        <w:lastRenderedPageBreak/>
        <w:t>El encuentro, celebrado en Tela, Honduras, contó con la participación del Presidente de ese país, el Presidente de Guatemala, el Vicepresidente de El Salvador, así como representantes del gobierno de Estados Unidos de Norteamérica, del Banco Interamericano de Desarrollo, del Consejo Empresarial de América Latina y de organismos comprometidos con este esfuerzo regional para la generación de oportunidades y desarrollo.</w:t>
      </w:r>
    </w:p>
    <w:p w:rsidR="00E85907" w:rsidRPr="00E85907" w:rsidRDefault="00E85907" w:rsidP="00E85907">
      <w:pPr>
        <w:spacing w:after="360" w:line="360" w:lineRule="auto"/>
        <w:ind w:right="-159"/>
        <w:jc w:val="both"/>
        <w:rPr>
          <w:rFonts w:eastAsia="Calibri"/>
          <w:sz w:val="26"/>
          <w:szCs w:val="26"/>
          <w:lang w:eastAsia="en-US"/>
        </w:rPr>
      </w:pPr>
      <w:r w:rsidRPr="00E85907">
        <w:rPr>
          <w:rFonts w:eastAsia="Calibri"/>
          <w:sz w:val="26"/>
          <w:szCs w:val="26"/>
          <w:lang w:eastAsia="en-US"/>
        </w:rPr>
        <w:t>Las inversiones mexicanas en Centroamérica se concentran principalmente en Honduras, Guatemala y El Salvador, y superan los cuatro mil 500 millones de dólares, lo que ha contribuido a la generación de más de 50 mil empleos en la región. El comercio de México con el Triángulo Norte es de tres mil 995 millones de dólares.</w:t>
      </w:r>
    </w:p>
    <w:p w:rsidR="00E85907" w:rsidRPr="00E85907" w:rsidRDefault="00E85907" w:rsidP="00E85907">
      <w:pPr>
        <w:ind w:right="-159"/>
        <w:jc w:val="both"/>
        <w:rPr>
          <w:rFonts w:eastAsia="Calibri"/>
          <w:sz w:val="20"/>
          <w:szCs w:val="20"/>
          <w:lang w:eastAsia="en-US"/>
        </w:rPr>
      </w:pPr>
      <w:r w:rsidRPr="00E85907">
        <w:rPr>
          <w:rFonts w:eastAsia="Calibri"/>
          <w:b/>
          <w:sz w:val="20"/>
          <w:szCs w:val="20"/>
          <w:lang w:eastAsia="en-US"/>
        </w:rPr>
        <w:t>Fuente de información</w:t>
      </w:r>
      <w:r w:rsidRPr="00E85907">
        <w:rPr>
          <w:rFonts w:eastAsia="Calibri"/>
          <w:sz w:val="20"/>
          <w:szCs w:val="20"/>
          <w:lang w:eastAsia="en-US"/>
        </w:rPr>
        <w:t>:</w:t>
      </w:r>
    </w:p>
    <w:p w:rsidR="00E85907" w:rsidRPr="002753B3" w:rsidRDefault="004638E5" w:rsidP="002753B3">
      <w:pPr>
        <w:spacing w:after="720"/>
        <w:ind w:right="-159"/>
        <w:jc w:val="both"/>
        <w:rPr>
          <w:rFonts w:eastAsia="Calibri"/>
          <w:color w:val="0000FF"/>
          <w:sz w:val="20"/>
          <w:szCs w:val="20"/>
          <w:lang w:eastAsia="en-US"/>
        </w:rPr>
      </w:pPr>
      <w:hyperlink r:id="rId59" w:history="1">
        <w:r w:rsidR="00E85907" w:rsidRPr="002753B3">
          <w:rPr>
            <w:rFonts w:eastAsia="Calibri"/>
            <w:color w:val="0000FF"/>
            <w:sz w:val="20"/>
            <w:szCs w:val="20"/>
            <w:u w:val="single"/>
            <w:lang w:eastAsia="en-US"/>
          </w:rPr>
          <w:t>http://saladeprensa.sre.gob.mx/index.php/es/comunicados/5658-093</w:t>
        </w:r>
      </w:hyperlink>
    </w:p>
    <w:p w:rsidR="002D11AE" w:rsidRPr="002D11AE" w:rsidRDefault="002D11AE" w:rsidP="002D11AE">
      <w:pPr>
        <w:rPr>
          <w:rFonts w:eastAsia="Calibri"/>
          <w:b/>
          <w:sz w:val="26"/>
          <w:szCs w:val="26"/>
          <w:lang w:eastAsia="en-US"/>
        </w:rPr>
      </w:pPr>
      <w:r w:rsidRPr="002D11AE">
        <w:rPr>
          <w:rFonts w:eastAsia="Calibri"/>
          <w:b/>
          <w:sz w:val="26"/>
          <w:szCs w:val="26"/>
          <w:lang w:eastAsia="en-US"/>
        </w:rPr>
        <w:t>Avanza  industria  tequilera  con apoyo del</w:t>
      </w:r>
    </w:p>
    <w:p w:rsidR="002D11AE" w:rsidRPr="002D11AE" w:rsidRDefault="002D11AE" w:rsidP="002D11AE">
      <w:pPr>
        <w:spacing w:after="360" w:line="360" w:lineRule="auto"/>
        <w:ind w:right="-159"/>
        <w:jc w:val="both"/>
        <w:rPr>
          <w:rFonts w:eastAsia="Calibri"/>
          <w:b/>
          <w:sz w:val="26"/>
          <w:szCs w:val="26"/>
          <w:lang w:eastAsia="en-US"/>
        </w:rPr>
      </w:pPr>
      <w:r w:rsidRPr="002D11AE">
        <w:rPr>
          <w:rFonts w:eastAsia="Calibri"/>
          <w:b/>
          <w:sz w:val="26"/>
          <w:szCs w:val="26"/>
          <w:lang w:eastAsia="en-US"/>
        </w:rPr>
        <w:t>Gobierno de la República (SE, SAGARPA)</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t xml:space="preserve">El 26 de febrero de 2015, la Secretaría de Economía (SE) y la Secretaría de Agricultura, Ganadería, Desarrollo Rural, Pesca y Alimentación (SAGARPA) informaron </w:t>
      </w:r>
      <w:r w:rsidR="00515767">
        <w:rPr>
          <w:rFonts w:eastAsia="Calibri"/>
          <w:sz w:val="26"/>
          <w:szCs w:val="26"/>
          <w:lang w:eastAsia="en-US"/>
        </w:rPr>
        <w:t>d</w:t>
      </w:r>
      <w:r w:rsidRPr="002D11AE">
        <w:rPr>
          <w:rFonts w:eastAsia="Calibri"/>
          <w:sz w:val="26"/>
          <w:szCs w:val="26"/>
          <w:lang w:eastAsia="en-US"/>
        </w:rPr>
        <w:t xml:space="preserve">e la asistencia de </w:t>
      </w:r>
      <w:r w:rsidR="00515767">
        <w:rPr>
          <w:rFonts w:eastAsia="Calibri"/>
          <w:sz w:val="26"/>
          <w:szCs w:val="26"/>
          <w:lang w:eastAsia="en-US"/>
        </w:rPr>
        <w:t xml:space="preserve">los Titulares de </w:t>
      </w:r>
      <w:r w:rsidRPr="002D11AE">
        <w:rPr>
          <w:rFonts w:eastAsia="Calibri"/>
          <w:sz w:val="26"/>
          <w:szCs w:val="26"/>
          <w:lang w:eastAsia="en-US"/>
        </w:rPr>
        <w:t>amb</w:t>
      </w:r>
      <w:r w:rsidR="00515767">
        <w:rPr>
          <w:rFonts w:eastAsia="Calibri"/>
          <w:sz w:val="26"/>
          <w:szCs w:val="26"/>
          <w:lang w:eastAsia="en-US"/>
        </w:rPr>
        <w:t>a</w:t>
      </w:r>
      <w:r w:rsidRPr="002D11AE">
        <w:rPr>
          <w:rFonts w:eastAsia="Calibri"/>
          <w:sz w:val="26"/>
          <w:szCs w:val="26"/>
          <w:lang w:eastAsia="en-US"/>
        </w:rPr>
        <w:t xml:space="preserve">s </w:t>
      </w:r>
      <w:r w:rsidR="00515767">
        <w:rPr>
          <w:rFonts w:eastAsia="Calibri"/>
          <w:sz w:val="26"/>
          <w:szCs w:val="26"/>
          <w:lang w:eastAsia="en-US"/>
        </w:rPr>
        <w:t>dependencias</w:t>
      </w:r>
      <w:r w:rsidRPr="002D11AE">
        <w:rPr>
          <w:rFonts w:eastAsia="Calibri"/>
          <w:sz w:val="26"/>
          <w:szCs w:val="26"/>
          <w:lang w:eastAsia="en-US"/>
        </w:rPr>
        <w:t xml:space="preserve"> federales a la Asamblea Anual Ordinaria de la Cámara Nacional de la Industria Tequilera. Durante el evento, el Secretario de Economía aseguró que después del sector automotriz mexicano es la industria tequilera la que más exporta en materia de lo que se elabora nacionalmente. A continuación </w:t>
      </w:r>
      <w:r w:rsidR="00736C45">
        <w:rPr>
          <w:rFonts w:eastAsia="Calibri"/>
          <w:sz w:val="26"/>
          <w:szCs w:val="26"/>
          <w:lang w:eastAsia="en-US"/>
        </w:rPr>
        <w:t xml:space="preserve">se presentan </w:t>
      </w:r>
      <w:r w:rsidRPr="002D11AE">
        <w:rPr>
          <w:rFonts w:eastAsia="Calibri"/>
          <w:sz w:val="26"/>
          <w:szCs w:val="26"/>
          <w:lang w:eastAsia="en-US"/>
        </w:rPr>
        <w:t>los detalles.</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t>El Secretario de Economía asistió a la Asamblea Anual Ordinaria de la Cámara Nacional de la Industria Tequilera, ceremonia en la que el Secretario de Agricultura, Ganadería, Desarrollo Rural, Pesca y Alimentación tomó protesta al nuevo Presidente del Organismo.</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lastRenderedPageBreak/>
        <w:t xml:space="preserve">En este evento estuvo presente el Gobernador de Jalisco; empresarios de la industria tequilera, entre ellos el Presidente saliente de la Cámara, así como el Coordinador del Consejo de Cámaras Industriales de Jalisco, el Candidato de Unidad a la Presidencia de la </w:t>
      </w:r>
      <w:proofErr w:type="spellStart"/>
      <w:r w:rsidRPr="002D11AE">
        <w:rPr>
          <w:rFonts w:eastAsia="Calibri"/>
          <w:sz w:val="26"/>
          <w:szCs w:val="26"/>
          <w:lang w:eastAsia="en-US"/>
        </w:rPr>
        <w:t>Concamin</w:t>
      </w:r>
      <w:proofErr w:type="spellEnd"/>
      <w:r w:rsidRPr="002D11AE">
        <w:rPr>
          <w:rFonts w:eastAsia="Calibri"/>
          <w:sz w:val="26"/>
          <w:szCs w:val="26"/>
          <w:lang w:eastAsia="en-US"/>
        </w:rPr>
        <w:t xml:space="preserve">, el Subsecretario de Alimentación de Competitividad de la SAGARPA y el Director General de </w:t>
      </w:r>
      <w:proofErr w:type="spellStart"/>
      <w:r w:rsidRPr="002D11AE">
        <w:rPr>
          <w:rFonts w:eastAsia="Calibri"/>
          <w:sz w:val="26"/>
          <w:szCs w:val="26"/>
          <w:lang w:eastAsia="en-US"/>
        </w:rPr>
        <w:t>ProMéxico</w:t>
      </w:r>
      <w:proofErr w:type="spellEnd"/>
      <w:r w:rsidRPr="002D11AE">
        <w:rPr>
          <w:rFonts w:eastAsia="Calibri"/>
          <w:sz w:val="26"/>
          <w:szCs w:val="26"/>
          <w:lang w:eastAsia="en-US"/>
        </w:rPr>
        <w:t>.</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t>En su discurso, el Secretario de Economía mencionó que la industria del tequila va más allá de la generación de más de 70 mil empleos directos y la integración vertical con el sector del campo mexicano. “Va mucho más allá porque nos representa a todos como mexicanos”, dijo.</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t>Añadió que después del sector automotriz mexicano, que exporta más del 82% de lo que produce, es la industria tequilera la que más exporta en materia de lo que elabora nacionalmente. “El 70% del producto que ustedes realizan va a más de cien países en el orbe”, destacó.</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t>“Por cada minuto que pasa, ustedes están exportando 435 botellas de 750 mililitros; es una manera muy palpable de ver el gran esfuerzo que están haciendo en los mercados internacionales”, enfatizó.</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t>Luego de tomar la protesta al nuevo Consejo Directivo de la Cámara Nacional de la Industria Tequilera, el Titular de la SAGARPA destacó que es con un trabajo en unidad y con coordinación institucional como se logran mayores avances en el sector agroalimentario; señaló que esta Cámara es un ejemplo de trabajo conjunto, proyección y expansión.</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t>Afirmó que éste es un aliado permanente del trabajo y los esfuerzos de los productores y agroindustriales, al ubicar al sector agroalimentario como un pilar en el desarrollo económico y social del país.</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lastRenderedPageBreak/>
        <w:t>En esta nueva visión, indicó, la industria del tequila registra años muy productivos, con una historia, un presente y un futuro promisorio y con nuevos retos para ampliar las exportaciones a países de Asia y Europa.</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t xml:space="preserve">Ante los representantes de las 74 empresas afiliadas a esta Cámara, el Secretario de Agricultura subrayó que la SAGARPA reorienta programas y recursos para fortalecer las campañas de promoción a nivel nacional e internacional, así como en la participación de </w:t>
      </w:r>
      <w:proofErr w:type="spellStart"/>
      <w:r w:rsidRPr="002D11AE">
        <w:rPr>
          <w:rFonts w:eastAsia="Calibri"/>
          <w:sz w:val="26"/>
          <w:szCs w:val="26"/>
          <w:lang w:eastAsia="en-US"/>
        </w:rPr>
        <w:t>agroempresas</w:t>
      </w:r>
      <w:proofErr w:type="spellEnd"/>
      <w:r w:rsidRPr="002D11AE">
        <w:rPr>
          <w:rFonts w:eastAsia="Calibri"/>
          <w:sz w:val="26"/>
          <w:szCs w:val="26"/>
          <w:lang w:eastAsia="en-US"/>
        </w:rPr>
        <w:t xml:space="preserve"> en ferias internacionales para el posicionamiento del tequila mexicano.</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t>En tanto, el Gobernador de Jalisco aseguró que la Cámara de la Industria del Tequila está más vigorosa que nunca, gracias al impulso, el financiamiento, a la tecnología y a la innovación, llegando a otras fronteras con el apoyo del Gobierno de la República.</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t>Sostuvo que la industria del tequila está cada vez más sólida, porque ha sabido enfrentar los retos y representa un ejemplo a nivel nacional de colaboración y sustentabilidad. La clave del éxito, recalcó, ha sido el trabajo en conjunto, la disposición de todos los actores, tanto de la iniciativa privada como de las autoridades de los distintos niveles de gobierno.</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t xml:space="preserve">Finalmente, dijo que en 2014 se exportaron a Estados Unidos de Norteamérica </w:t>
      </w:r>
      <w:r w:rsidR="00515767">
        <w:rPr>
          <w:rFonts w:eastAsia="Calibri"/>
          <w:sz w:val="26"/>
          <w:szCs w:val="26"/>
          <w:lang w:eastAsia="en-US"/>
        </w:rPr>
        <w:t xml:space="preserve">              </w:t>
      </w:r>
      <w:r w:rsidRPr="002D11AE">
        <w:rPr>
          <w:rFonts w:eastAsia="Calibri"/>
          <w:sz w:val="26"/>
          <w:szCs w:val="26"/>
          <w:lang w:eastAsia="en-US"/>
        </w:rPr>
        <w:t>134 millones de litros de tequila, lo que representa 55% de la producción nacional y que se han abierto las puertas al mercado chino.</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t>El Presidente entrante de la Cámara Nacional de la Industria Tequilera manifestó que el objetivo central de su gestión será continuar impulsando el desarrollo del tequila en el mundo. Dijo que para ello se requiere una industria fuerte y unida.</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t xml:space="preserve">Aseveró que el prestigio del tequila se ha construido con base en su legalidad, impulsando la Norma Oficial Mexicana y la Denominación de Origen a través del </w:t>
      </w:r>
      <w:r w:rsidRPr="002D11AE">
        <w:rPr>
          <w:rFonts w:eastAsia="Calibri"/>
          <w:sz w:val="26"/>
          <w:szCs w:val="26"/>
          <w:lang w:eastAsia="en-US"/>
        </w:rPr>
        <w:lastRenderedPageBreak/>
        <w:t>Consejo Regulador del Tequila. “Con este esfuerzo México tiene un producto sin igual, de gran calidad y con un soporte legal muy sólido, que sobre todo sostiene miles de empleos y genera un importante desarrollo económico para México y para el estado de Jalisco”, concluyó.</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t>El Presidente saliente de la Cámara Nacional de la Industria Tequilera agradeció el apoyo de todos los miembros de la misma y de los Gobiernos de la República y del estado de Jalisco para fortalecer al sector en el mundo, esto último en referencia al acceso del tequila en el mercado de China.</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t>El Titular de la Secretaría de Economía fue acompañado por el Coordinador General de Delegaciones Federales, el Delegado de la SE en Jalisco y el Director General del Instituto Mexicano de la Propiedad Industrial.</w:t>
      </w:r>
    </w:p>
    <w:p w:rsidR="002D11AE" w:rsidRPr="002D11AE" w:rsidRDefault="002D11AE" w:rsidP="002D11AE">
      <w:pPr>
        <w:spacing w:after="360" w:line="360" w:lineRule="auto"/>
        <w:ind w:right="-159"/>
        <w:jc w:val="both"/>
        <w:rPr>
          <w:rFonts w:eastAsia="Calibri"/>
          <w:sz w:val="26"/>
          <w:szCs w:val="26"/>
          <w:lang w:eastAsia="en-US"/>
        </w:rPr>
      </w:pPr>
      <w:r w:rsidRPr="002D11AE">
        <w:rPr>
          <w:rFonts w:eastAsia="Calibri"/>
          <w:sz w:val="26"/>
          <w:szCs w:val="26"/>
          <w:lang w:eastAsia="en-US"/>
        </w:rPr>
        <w:t>Posteriormente, el Secretario de Economía acompañó al Presidente de México a una reunión de trabajo con empresarios de Jalisco.</w:t>
      </w:r>
    </w:p>
    <w:p w:rsidR="002D11AE" w:rsidRPr="002D11AE" w:rsidRDefault="002D11AE" w:rsidP="002D11AE">
      <w:pPr>
        <w:ind w:right="-159"/>
        <w:jc w:val="both"/>
        <w:rPr>
          <w:rFonts w:eastAsia="Calibri"/>
          <w:sz w:val="20"/>
          <w:szCs w:val="20"/>
          <w:lang w:eastAsia="en-US"/>
        </w:rPr>
      </w:pPr>
      <w:r w:rsidRPr="002D11AE">
        <w:rPr>
          <w:rFonts w:eastAsia="Calibri"/>
          <w:b/>
          <w:sz w:val="20"/>
          <w:szCs w:val="20"/>
          <w:lang w:eastAsia="en-US"/>
        </w:rPr>
        <w:t>Fuente de información</w:t>
      </w:r>
      <w:r w:rsidRPr="002D11AE">
        <w:rPr>
          <w:rFonts w:eastAsia="Calibri"/>
          <w:sz w:val="20"/>
          <w:szCs w:val="20"/>
          <w:lang w:eastAsia="en-US"/>
        </w:rPr>
        <w:t>:</w:t>
      </w:r>
    </w:p>
    <w:p w:rsidR="002D11AE" w:rsidRPr="002753B3" w:rsidRDefault="004638E5" w:rsidP="002D11AE">
      <w:pPr>
        <w:ind w:right="-159"/>
        <w:jc w:val="both"/>
        <w:rPr>
          <w:rFonts w:eastAsia="Calibri"/>
          <w:color w:val="0000FF"/>
          <w:sz w:val="20"/>
          <w:szCs w:val="20"/>
          <w:u w:val="single"/>
          <w:lang w:eastAsia="en-US"/>
        </w:rPr>
      </w:pPr>
      <w:hyperlink r:id="rId60" w:history="1">
        <w:r w:rsidR="002D11AE" w:rsidRPr="002753B3">
          <w:rPr>
            <w:rFonts w:eastAsia="Calibri"/>
            <w:color w:val="0000FF"/>
            <w:sz w:val="20"/>
            <w:szCs w:val="20"/>
            <w:u w:val="single"/>
            <w:lang w:eastAsia="en-US"/>
          </w:rPr>
          <w:t>http://www.economia.gob.mx/eventos-noticias/sala-de-prensa/comunicados/10920-comunicado-conjunto15-0226</w:t>
        </w:r>
      </w:hyperlink>
    </w:p>
    <w:p w:rsidR="002D11AE" w:rsidRPr="002753B3" w:rsidRDefault="004638E5" w:rsidP="002D11AE">
      <w:pPr>
        <w:ind w:right="-159"/>
        <w:jc w:val="both"/>
        <w:rPr>
          <w:rFonts w:eastAsia="Calibri"/>
          <w:color w:val="0000FF"/>
          <w:sz w:val="20"/>
          <w:szCs w:val="20"/>
          <w:u w:val="single"/>
          <w:lang w:eastAsia="en-US"/>
        </w:rPr>
      </w:pPr>
      <w:hyperlink r:id="rId61" w:history="1">
        <w:r w:rsidR="002D11AE" w:rsidRPr="002753B3">
          <w:rPr>
            <w:rFonts w:eastAsia="Calibri"/>
            <w:color w:val="0000FF"/>
            <w:sz w:val="20"/>
            <w:szCs w:val="20"/>
            <w:u w:val="single"/>
            <w:lang w:eastAsia="en-US"/>
          </w:rPr>
          <w:t>http://www.sagarpa.gob.mx/saladeprensa/2012/Paginas/2015B151.aspx</w:t>
        </w:r>
      </w:hyperlink>
    </w:p>
    <w:p w:rsidR="002D11AE" w:rsidRPr="002753B3" w:rsidRDefault="002D11AE" w:rsidP="002D11AE">
      <w:pPr>
        <w:ind w:right="-159"/>
        <w:jc w:val="both"/>
        <w:rPr>
          <w:rFonts w:eastAsia="Calibri"/>
          <w:sz w:val="20"/>
          <w:szCs w:val="20"/>
          <w:lang w:eastAsia="en-US"/>
        </w:rPr>
      </w:pPr>
      <w:r w:rsidRPr="002753B3">
        <w:rPr>
          <w:rFonts w:eastAsia="Calibri"/>
          <w:sz w:val="20"/>
          <w:szCs w:val="20"/>
          <w:lang w:eastAsia="en-US"/>
        </w:rPr>
        <w:t>Para tener acceso a información relacionada visite:</w:t>
      </w:r>
    </w:p>
    <w:p w:rsidR="002D11AE" w:rsidRPr="002753B3" w:rsidRDefault="004638E5" w:rsidP="002D11AE">
      <w:pPr>
        <w:ind w:right="-159"/>
        <w:jc w:val="both"/>
        <w:rPr>
          <w:rFonts w:eastAsia="Calibri"/>
          <w:color w:val="0000FF"/>
          <w:sz w:val="20"/>
          <w:szCs w:val="20"/>
          <w:lang w:eastAsia="en-US"/>
        </w:rPr>
      </w:pPr>
      <w:hyperlink r:id="rId62" w:history="1">
        <w:r w:rsidR="002D11AE" w:rsidRPr="002753B3">
          <w:rPr>
            <w:rFonts w:eastAsia="Calibri"/>
            <w:color w:val="0000FF"/>
            <w:sz w:val="20"/>
            <w:szCs w:val="20"/>
            <w:u w:val="single"/>
            <w:lang w:eastAsia="en-US"/>
          </w:rPr>
          <w:t>http://www.presidencia.gob.mx/sector-primario-cierra-2014-con-un-crecimiento-del-4/</w:t>
        </w:r>
      </w:hyperlink>
      <w:r w:rsidR="002D11AE" w:rsidRPr="002753B3">
        <w:rPr>
          <w:rFonts w:eastAsia="Calibri"/>
          <w:color w:val="0000FF"/>
          <w:sz w:val="20"/>
          <w:szCs w:val="20"/>
          <w:lang w:eastAsia="en-US"/>
        </w:rPr>
        <w:t xml:space="preserve"> </w:t>
      </w:r>
    </w:p>
    <w:p w:rsidR="002D11AE" w:rsidRPr="002753B3" w:rsidRDefault="002D11AE" w:rsidP="002D11AE">
      <w:pPr>
        <w:ind w:right="-159"/>
        <w:jc w:val="both"/>
        <w:rPr>
          <w:rFonts w:eastAsia="Calibri"/>
          <w:sz w:val="20"/>
          <w:szCs w:val="20"/>
          <w:lang w:eastAsia="en-US"/>
        </w:rPr>
      </w:pPr>
      <w:r w:rsidRPr="002753B3">
        <w:rPr>
          <w:rFonts w:eastAsia="Calibri"/>
          <w:sz w:val="20"/>
          <w:szCs w:val="20"/>
          <w:lang w:eastAsia="en-US"/>
        </w:rPr>
        <w:t>Para tener acceso a la versión estenográfica de las palabras del Secretario de Economía con motivo de la Asamblea Anual de la Cámara Nacional de la Industria Tequilera visite:</w:t>
      </w:r>
    </w:p>
    <w:p w:rsidR="002D11AE" w:rsidRPr="002753B3" w:rsidRDefault="004638E5" w:rsidP="002753B3">
      <w:pPr>
        <w:spacing w:after="720"/>
        <w:ind w:right="-159"/>
        <w:jc w:val="both"/>
        <w:rPr>
          <w:rFonts w:eastAsia="Calibri"/>
          <w:color w:val="0000FF"/>
          <w:sz w:val="20"/>
          <w:szCs w:val="20"/>
          <w:lang w:eastAsia="en-US"/>
        </w:rPr>
      </w:pPr>
      <w:hyperlink r:id="rId63" w:history="1">
        <w:r w:rsidR="002D11AE" w:rsidRPr="002753B3">
          <w:rPr>
            <w:rFonts w:eastAsia="Calibri"/>
            <w:color w:val="0000FF"/>
            <w:sz w:val="20"/>
            <w:szCs w:val="20"/>
            <w:u w:val="single"/>
            <w:lang w:eastAsia="en-US"/>
          </w:rPr>
          <w:t>http://www.economia.gob.mx/eventos-noticias/sala-de-prensa/discursos/10918-discurso15-0226</w:t>
        </w:r>
      </w:hyperlink>
    </w:p>
    <w:bookmarkEnd w:id="4"/>
    <w:bookmarkEnd w:id="5"/>
    <w:p w:rsidR="000D3D77" w:rsidRPr="000D3D77" w:rsidRDefault="000D3D77" w:rsidP="000D3D77">
      <w:pPr>
        <w:spacing w:after="360" w:line="360" w:lineRule="auto"/>
        <w:ind w:right="-159"/>
        <w:jc w:val="both"/>
        <w:rPr>
          <w:rFonts w:eastAsia="Calibri"/>
          <w:b/>
          <w:sz w:val="26"/>
          <w:szCs w:val="26"/>
          <w:lang w:eastAsia="en-US"/>
        </w:rPr>
      </w:pPr>
      <w:r w:rsidRPr="000D3D77">
        <w:rPr>
          <w:rFonts w:eastAsia="Calibri"/>
          <w:b/>
          <w:bCs/>
          <w:sz w:val="26"/>
          <w:szCs w:val="26"/>
          <w:lang w:eastAsia="en-US"/>
        </w:rPr>
        <w:t xml:space="preserve">Disminuye 45% la importación ilegal de calzado </w:t>
      </w:r>
      <w:r w:rsidRPr="000D3D77">
        <w:rPr>
          <w:rFonts w:eastAsia="Calibri"/>
          <w:b/>
          <w:sz w:val="26"/>
          <w:szCs w:val="26"/>
          <w:lang w:eastAsia="en-US"/>
        </w:rPr>
        <w:t>(SAT)</w:t>
      </w:r>
    </w:p>
    <w:p w:rsidR="000D3D77" w:rsidRPr="000D3D77" w:rsidRDefault="000D3D77" w:rsidP="000D3D77">
      <w:pPr>
        <w:spacing w:after="360" w:line="360" w:lineRule="auto"/>
        <w:ind w:right="-159"/>
        <w:jc w:val="both"/>
        <w:rPr>
          <w:rFonts w:eastAsia="Calibri"/>
          <w:iCs/>
          <w:sz w:val="26"/>
          <w:szCs w:val="26"/>
          <w:lang w:eastAsia="en-US"/>
        </w:rPr>
      </w:pPr>
      <w:r w:rsidRPr="000D3D77">
        <w:rPr>
          <w:rFonts w:eastAsia="Calibri"/>
          <w:sz w:val="26"/>
          <w:szCs w:val="26"/>
          <w:lang w:eastAsia="en-US"/>
        </w:rPr>
        <w:t xml:space="preserve">El 23 de febrero de 2015, el Servicio de Administración Tributaria (SAT) dio a conocer los esfuerzos por combatir la importación ilegal de calzado al país. </w:t>
      </w:r>
      <w:r w:rsidRPr="000D3D77">
        <w:rPr>
          <w:rFonts w:eastAsia="Calibri"/>
          <w:iCs/>
          <w:sz w:val="26"/>
          <w:szCs w:val="26"/>
          <w:lang w:eastAsia="en-US"/>
        </w:rPr>
        <w:t>A continuación se presenta la información.</w:t>
      </w:r>
    </w:p>
    <w:p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lastRenderedPageBreak/>
        <w:t>La Secretaría de Hacienda y Crédito Público (SHCP) a través del SAT, así como representantes del sector industrial del calzado, informaron en conferencia de prensa diversos resultados positivos en ese sector, destacando que la importación ilegal de calzado asiático se redujo 45% en el último trimestre del 2014, pasando de alrededor de 7 millones de pares de zapatos a solo 4 millones al mes.</w:t>
      </w:r>
    </w:p>
    <w:p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En agosto de 2014, se anunció el Decreto que busca promover la productividad y competitividad, así como combatir las prácticas de subvaluación del sector calzado, que entró en vigor en septiembre de ese mismo año, con resultados inmediatos y tangibles para esta industria que genera alrededor de 240 mil empleos.</w:t>
      </w:r>
    </w:p>
    <w:p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El Presidente de la Cámara de la Industria del Calzado del Estado de Guanajuato (CICEG) afirmó que las acciones implementadas por el Gobierno Federal están poniendo el orden en el mercado mexicano de calzado y agradeció el trabajo realizado hasta ahora, “en aras de lograr que la industria del calzado se consolide como motor del desarrollo económico, impulsando así la inversión productiva de las más de 11 mil empresas fabricantes de zapato”, concluyó.</w:t>
      </w:r>
    </w:p>
    <w:p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 xml:space="preserve">Por su parte, </w:t>
      </w:r>
      <w:r w:rsidR="00736C45">
        <w:rPr>
          <w:rFonts w:eastAsia="Calibri"/>
          <w:sz w:val="26"/>
          <w:szCs w:val="26"/>
          <w:lang w:eastAsia="en-US"/>
        </w:rPr>
        <w:t>e</w:t>
      </w:r>
      <w:r w:rsidRPr="000D3D77">
        <w:rPr>
          <w:rFonts w:eastAsia="Calibri"/>
          <w:sz w:val="26"/>
          <w:szCs w:val="26"/>
          <w:lang w:eastAsia="en-US"/>
        </w:rPr>
        <w:t>l Jefe del SAT señaló que más de 70% del calzado entraba a México de manera subvaluada, es decir, por debajo del precio mínimo de producción, incluso por debajo del precio de la materia prima con la que se fabrica, y además usando una suspensión definitiva. En este sentido, dijo que “durante octubre, noviembre y diciembre, no entró un solo par de calzado de Asia que hubiera utilizado una suspensión definitiva”, es decir, ésta disminuyó en su totalidad.</w:t>
      </w:r>
    </w:p>
    <w:p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A partir de octubre, explicó el funcionario del SAT, solamente 278 importadores que constituyen el Padrón Sectorial introducen calzado en México, y se han generado garantías de poco más de 380 millones de pesos cuando su valor es inferior a los precios estimados.</w:t>
      </w:r>
    </w:p>
    <w:p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lastRenderedPageBreak/>
        <w:t>Esas garantías, comentó, podrán hacerse efectivas una vez que la autoridad concluya una auditoría para conocer si efectivamente el precio que fue declarado en la aduana es el precio con el que fue adquirido el calzado. En caso de confirmarse, se devolverán a quien hizo la importación, pero si la factura fue falsa, se quedarán en favor del Estado Mexicano para el pago de los impuestos, lo que el importador en su momento no hizo.</w:t>
      </w:r>
    </w:p>
    <w:p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Finalmente, el titular del SAT reiteró la firme determinación del Estado Mexicano y de las instituciones del Gobierno de la República de combatir de manera frontal el comercio ilícito que afecta la planta productiva nacional; para ello, se están implementando acciones similares con la industria del tequila y la textil, con las que se ha establecido un diálogo para comprender su problemática y trabajar de manera conjunta para mantener, proteger e impulsar la industria nacional.</w:t>
      </w:r>
    </w:p>
    <w:p w:rsidR="000D3D77" w:rsidRPr="000D3D77" w:rsidRDefault="000D3D77" w:rsidP="000D3D77">
      <w:pPr>
        <w:spacing w:after="360" w:line="360" w:lineRule="auto"/>
        <w:ind w:right="-159"/>
        <w:jc w:val="both"/>
        <w:rPr>
          <w:rFonts w:eastAsia="Calibri"/>
          <w:sz w:val="26"/>
          <w:szCs w:val="26"/>
          <w:lang w:eastAsia="en-US"/>
        </w:rPr>
      </w:pPr>
      <w:r w:rsidRPr="000D3D77">
        <w:rPr>
          <w:rFonts w:eastAsia="Calibri"/>
          <w:sz w:val="26"/>
          <w:szCs w:val="26"/>
          <w:lang w:eastAsia="en-US"/>
        </w:rPr>
        <w:t>En la conferencia de prensa estuvieron presentes también el Presidente entrante de la Confederación de Cámaras Industriales, el Director General de Comercio Exterior de la Secretaría de Economía, el Presidente la Cámara de la Industria del Calzado del Estado de Jalisco, el Presidente de la Cámara Nacional de la Industria del Calzado y el Presidente entrante de la Cámara de la Industria del Calzado del Estado de Guanajuato.</w:t>
      </w:r>
    </w:p>
    <w:p w:rsidR="000D3D77" w:rsidRPr="000D3D77" w:rsidRDefault="000D3D77" w:rsidP="000D3D77">
      <w:pPr>
        <w:ind w:right="-159"/>
        <w:jc w:val="both"/>
        <w:rPr>
          <w:rFonts w:eastAsia="Calibri"/>
          <w:b/>
          <w:sz w:val="20"/>
          <w:szCs w:val="20"/>
          <w:lang w:eastAsia="en-US"/>
        </w:rPr>
      </w:pPr>
      <w:r w:rsidRPr="000D3D77">
        <w:rPr>
          <w:rFonts w:eastAsia="Calibri"/>
          <w:b/>
          <w:sz w:val="20"/>
          <w:szCs w:val="20"/>
          <w:lang w:eastAsia="en-US"/>
        </w:rPr>
        <w:t>Fuente de información:</w:t>
      </w:r>
    </w:p>
    <w:p w:rsidR="000D3D77" w:rsidRPr="002753B3" w:rsidRDefault="004638E5" w:rsidP="000D3D77">
      <w:pPr>
        <w:ind w:right="-159"/>
        <w:jc w:val="both"/>
        <w:rPr>
          <w:rFonts w:eastAsia="Calibri"/>
          <w:color w:val="0000FF"/>
          <w:sz w:val="20"/>
          <w:szCs w:val="20"/>
          <w:lang w:eastAsia="en-US"/>
        </w:rPr>
      </w:pPr>
      <w:hyperlink r:id="rId64" w:history="1">
        <w:r w:rsidR="000D3D77" w:rsidRPr="002753B3">
          <w:rPr>
            <w:rFonts w:eastAsia="Calibri"/>
            <w:color w:val="0000FF"/>
            <w:sz w:val="20"/>
            <w:szCs w:val="20"/>
            <w:u w:val="single"/>
            <w:lang w:eastAsia="en-US"/>
          </w:rPr>
          <w:t>http://www.sat.gob.mx/sala_prensa/comunicados_nacionales/Paginas/com2015_021.aspx</w:t>
        </w:r>
      </w:hyperlink>
      <w:r w:rsidR="000D3D77" w:rsidRPr="002753B3">
        <w:rPr>
          <w:rFonts w:eastAsia="Calibri"/>
          <w:color w:val="0000FF"/>
          <w:sz w:val="20"/>
          <w:szCs w:val="20"/>
          <w:lang w:eastAsia="en-US"/>
        </w:rPr>
        <w:t xml:space="preserve"> </w:t>
      </w:r>
    </w:p>
    <w:p w:rsidR="000D3D77" w:rsidRPr="000D3D77" w:rsidRDefault="000D3D77" w:rsidP="000D3D77">
      <w:pPr>
        <w:ind w:right="-159"/>
        <w:jc w:val="both"/>
        <w:rPr>
          <w:rFonts w:eastAsia="Calibri"/>
          <w:sz w:val="20"/>
          <w:szCs w:val="20"/>
          <w:lang w:eastAsia="en-US"/>
        </w:rPr>
      </w:pPr>
      <w:r w:rsidRPr="000D3D77">
        <w:rPr>
          <w:rFonts w:eastAsia="Calibri"/>
          <w:sz w:val="20"/>
          <w:szCs w:val="20"/>
          <w:lang w:eastAsia="en-US"/>
        </w:rPr>
        <w:t>Para tener acceso a información relacionada visite:</w:t>
      </w:r>
    </w:p>
    <w:p w:rsidR="000D3D77" w:rsidRPr="002753B3" w:rsidRDefault="004638E5" w:rsidP="002753B3">
      <w:pPr>
        <w:spacing w:after="720"/>
        <w:ind w:right="-159"/>
        <w:jc w:val="both"/>
        <w:rPr>
          <w:rFonts w:eastAsia="Calibri"/>
          <w:color w:val="0000FF"/>
          <w:sz w:val="20"/>
          <w:szCs w:val="20"/>
          <w:lang w:eastAsia="en-US"/>
        </w:rPr>
      </w:pPr>
      <w:hyperlink r:id="rId65" w:history="1">
        <w:r w:rsidR="000D3D77" w:rsidRPr="002753B3">
          <w:rPr>
            <w:rFonts w:eastAsia="Calibri"/>
            <w:color w:val="0000FF"/>
            <w:sz w:val="20"/>
            <w:szCs w:val="20"/>
            <w:u w:val="single"/>
            <w:lang w:eastAsia="en-US"/>
          </w:rPr>
          <w:t>http://oncenoticias.tv/index.php?modulo=interior&amp;nota=136&amp;dt=2015-02-23</w:t>
        </w:r>
      </w:hyperlink>
      <w:r w:rsidR="000D3D77" w:rsidRPr="002753B3">
        <w:rPr>
          <w:rFonts w:eastAsia="Calibri"/>
          <w:color w:val="0000FF"/>
          <w:sz w:val="20"/>
          <w:szCs w:val="20"/>
          <w:lang w:eastAsia="en-US"/>
        </w:rPr>
        <w:t xml:space="preserve"> </w:t>
      </w:r>
    </w:p>
    <w:p w:rsidR="009E3AAD" w:rsidRPr="009E3AAD" w:rsidRDefault="009E3AAD" w:rsidP="009E3AAD">
      <w:pPr>
        <w:spacing w:after="360" w:line="360" w:lineRule="auto"/>
        <w:ind w:right="-159"/>
        <w:jc w:val="both"/>
        <w:rPr>
          <w:rFonts w:eastAsia="Calibri"/>
          <w:b/>
          <w:sz w:val="26"/>
          <w:szCs w:val="26"/>
          <w:lang w:eastAsia="en-US"/>
        </w:rPr>
      </w:pPr>
      <w:r w:rsidRPr="009E3AAD">
        <w:rPr>
          <w:rFonts w:eastAsia="Calibri"/>
          <w:b/>
          <w:sz w:val="26"/>
          <w:szCs w:val="26"/>
          <w:lang w:eastAsia="en-US"/>
        </w:rPr>
        <w:t xml:space="preserve">Globalización y Tratados Bilaterales (BBVA </w:t>
      </w:r>
      <w:proofErr w:type="spellStart"/>
      <w:r w:rsidRPr="009E3AAD">
        <w:rPr>
          <w:rFonts w:eastAsia="Calibri"/>
          <w:b/>
          <w:sz w:val="26"/>
          <w:szCs w:val="26"/>
          <w:lang w:eastAsia="en-US"/>
        </w:rPr>
        <w:t>Research</w:t>
      </w:r>
      <w:proofErr w:type="spellEnd"/>
      <w:r w:rsidRPr="009E3AAD">
        <w:rPr>
          <w:rFonts w:eastAsia="Calibri"/>
          <w:b/>
          <w:sz w:val="26"/>
          <w:szCs w:val="26"/>
          <w:lang w:eastAsia="en-US"/>
        </w:rPr>
        <w:t>)</w:t>
      </w:r>
    </w:p>
    <w:p w:rsidR="009E3AAD" w:rsidRPr="009E3AAD" w:rsidRDefault="009E3AAD" w:rsidP="009E3AAD">
      <w:pPr>
        <w:spacing w:after="360" w:line="360" w:lineRule="auto"/>
        <w:ind w:right="-159"/>
        <w:jc w:val="both"/>
        <w:rPr>
          <w:rFonts w:eastAsia="Calibri"/>
          <w:sz w:val="26"/>
          <w:szCs w:val="26"/>
          <w:lang w:val="es-ES" w:eastAsia="en-US"/>
        </w:rPr>
      </w:pPr>
      <w:r w:rsidRPr="009E3AAD">
        <w:rPr>
          <w:rFonts w:eastAsia="Calibri"/>
          <w:sz w:val="26"/>
          <w:szCs w:val="26"/>
          <w:lang w:val="es-ES" w:eastAsia="en-US"/>
        </w:rPr>
        <w:t xml:space="preserve">El 14 de marzo de 2015, la sección de estudios económicos de BBVA </w:t>
      </w:r>
      <w:proofErr w:type="spellStart"/>
      <w:r w:rsidRPr="009E3AAD">
        <w:rPr>
          <w:rFonts w:eastAsia="Calibri"/>
          <w:sz w:val="26"/>
          <w:szCs w:val="26"/>
          <w:lang w:val="es-ES" w:eastAsia="en-US"/>
        </w:rPr>
        <w:t>Research</w:t>
      </w:r>
      <w:proofErr w:type="spellEnd"/>
      <w:r w:rsidRPr="009E3AAD">
        <w:rPr>
          <w:rFonts w:eastAsia="Calibri"/>
          <w:sz w:val="26"/>
          <w:szCs w:val="26"/>
          <w:lang w:val="es-ES" w:eastAsia="en-US"/>
        </w:rPr>
        <w:t xml:space="preserve"> dio a conocer el artículo de prensa “Globalización y Tratados Bilaterales” que se presenta a continuación.</w:t>
      </w:r>
    </w:p>
    <w:p w:rsidR="009E3AAD" w:rsidRPr="009E3AAD" w:rsidRDefault="009E3AAD" w:rsidP="009E3AAD">
      <w:pPr>
        <w:spacing w:after="360" w:line="360" w:lineRule="auto"/>
        <w:ind w:right="-159"/>
        <w:jc w:val="both"/>
        <w:rPr>
          <w:rFonts w:eastAsia="Calibri"/>
          <w:sz w:val="26"/>
          <w:szCs w:val="26"/>
          <w:lang w:val="es-ES" w:eastAsia="en-US"/>
        </w:rPr>
      </w:pPr>
      <w:r w:rsidRPr="009E3AAD">
        <w:rPr>
          <w:rFonts w:eastAsia="Calibri"/>
          <w:sz w:val="26"/>
          <w:szCs w:val="26"/>
          <w:lang w:val="es-ES" w:eastAsia="en-US"/>
        </w:rPr>
        <w:lastRenderedPageBreak/>
        <w:t>Hay dos factores clave, no los únicos, en la larga expansión global que terminó con la crisis de 2008-2009. El primero, el aumento de la deuda hasta niveles a la postre insostenibles en las economías avanzadas. El segundo, el dinamismo del comercio internacional de bienes y servicios, que desde mediados de los años 80 crecía a un promedio anual del 7%, tres puntos más que el Producto Interno Bruto (PIB). Sin embargo, desde 2008</w:t>
      </w:r>
      <w:r w:rsidR="002753B3">
        <w:rPr>
          <w:rFonts w:eastAsia="Calibri"/>
          <w:sz w:val="26"/>
          <w:szCs w:val="26"/>
          <w:lang w:val="es-ES" w:eastAsia="en-US"/>
        </w:rPr>
        <w:t>,</w:t>
      </w:r>
      <w:r w:rsidRPr="009E3AAD">
        <w:rPr>
          <w:rFonts w:eastAsia="Calibri"/>
          <w:sz w:val="26"/>
          <w:szCs w:val="26"/>
          <w:lang w:val="es-ES" w:eastAsia="en-US"/>
        </w:rPr>
        <w:t xml:space="preserve"> el comercio crece mucho más lentamente, sólo el 3% con un PIB mundial que se ha frenado menos de un punto porcentual. ¿Ha supuesto la recesión de 2008 un cambio persistente en el proceso de globalización de los intercambios comerciales? La respuesta corta es que no hay evidencia de ello porque hay factores de impacto más profundo; la respuesta larga es el resto del artículo.</w:t>
      </w:r>
    </w:p>
    <w:p w:rsidR="009E3AAD" w:rsidRPr="009E3AAD" w:rsidRDefault="009E3AAD" w:rsidP="009E3AAD">
      <w:pPr>
        <w:spacing w:after="360" w:line="360" w:lineRule="auto"/>
        <w:ind w:right="-159"/>
        <w:jc w:val="both"/>
        <w:rPr>
          <w:rFonts w:eastAsia="Calibri"/>
          <w:sz w:val="26"/>
          <w:szCs w:val="26"/>
          <w:lang w:val="es-ES" w:eastAsia="en-US"/>
        </w:rPr>
      </w:pPr>
      <w:r w:rsidRPr="009E3AAD">
        <w:rPr>
          <w:rFonts w:eastAsia="Calibri"/>
          <w:sz w:val="26"/>
          <w:szCs w:val="26"/>
          <w:lang w:val="es-ES" w:eastAsia="en-US"/>
        </w:rPr>
        <w:t>La globalización, el aumento de intercambios económicos, es resultado de los avances en el transporte y en la transmisión de información, un proceso de largo aliento. La llegada de la fuerza del vapor al transporte marítimo o del teléfono a la comunicación son ejemplos de eventos realmente disruptivos, cambios estructurales que produjeron efectos permanentes en el dinamismo del comercio. En todo caso, sí parece que dos elementos que ayudaron en su expansión anterior no lo están haciendo ahora, y no como consecuencia al menos exclusiva de la crisis, a la que sí se puede achacar por ejemplo la menor disponibilidad de financiamiento.</w:t>
      </w:r>
    </w:p>
    <w:p w:rsidR="009E3AAD" w:rsidRPr="009E3AAD" w:rsidRDefault="009E3AAD" w:rsidP="009E3AAD">
      <w:pPr>
        <w:spacing w:after="360" w:line="360" w:lineRule="auto"/>
        <w:ind w:right="-159"/>
        <w:jc w:val="both"/>
        <w:rPr>
          <w:rFonts w:eastAsia="Calibri"/>
          <w:sz w:val="26"/>
          <w:szCs w:val="26"/>
          <w:lang w:val="es-ES" w:eastAsia="en-US"/>
        </w:rPr>
      </w:pPr>
      <w:r w:rsidRPr="009E3AAD">
        <w:rPr>
          <w:rFonts w:eastAsia="Calibri"/>
          <w:sz w:val="26"/>
          <w:szCs w:val="26"/>
          <w:lang w:val="es-ES" w:eastAsia="en-US"/>
        </w:rPr>
        <w:t>En primer lugar, el mero desarrollo de China, protagonista del dinamismo comercial previo, hace que su modelo productivo se oriente hacia el consumo interno, facilitando procesos de producción integrados verticalmente en el país. Y el desarrollo de China está siendo muy rápido: si en 2004</w:t>
      </w:r>
      <w:r w:rsidR="002753B3">
        <w:rPr>
          <w:rFonts w:eastAsia="Calibri"/>
          <w:sz w:val="26"/>
          <w:szCs w:val="26"/>
          <w:lang w:val="es-ES" w:eastAsia="en-US"/>
        </w:rPr>
        <w:t>,</w:t>
      </w:r>
      <w:r w:rsidRPr="009E3AAD">
        <w:rPr>
          <w:rFonts w:eastAsia="Calibri"/>
          <w:sz w:val="26"/>
          <w:szCs w:val="26"/>
          <w:lang w:val="es-ES" w:eastAsia="en-US"/>
        </w:rPr>
        <w:t xml:space="preserve"> China tenía una renta per cápita que era una décima parte de la de Estados Unidos de Norteamérica, en 2014 era una cuarta parte.</w:t>
      </w:r>
    </w:p>
    <w:p w:rsidR="009E3AAD" w:rsidRPr="009E3AAD" w:rsidRDefault="009E3AAD" w:rsidP="009E3AAD">
      <w:pPr>
        <w:spacing w:after="360" w:line="360" w:lineRule="auto"/>
        <w:ind w:right="-159"/>
        <w:jc w:val="both"/>
        <w:rPr>
          <w:rFonts w:eastAsia="Calibri"/>
          <w:sz w:val="26"/>
          <w:szCs w:val="26"/>
          <w:lang w:val="es-ES" w:eastAsia="en-US"/>
        </w:rPr>
      </w:pPr>
      <w:r w:rsidRPr="009E3AAD">
        <w:rPr>
          <w:rFonts w:eastAsia="Calibri"/>
          <w:sz w:val="26"/>
          <w:szCs w:val="26"/>
          <w:lang w:val="es-ES" w:eastAsia="en-US"/>
        </w:rPr>
        <w:t xml:space="preserve">Un segundo elemento es el de unas políticas comerciales que tienen más difícil lograr reducciones adicionales de tarifas a la importación, ya bajas en general, o sin los incentivos apropiados para llegar a acuerdos multilaterales en el seno de la </w:t>
      </w:r>
      <w:r w:rsidRPr="009E3AAD">
        <w:rPr>
          <w:rFonts w:eastAsia="Calibri"/>
          <w:sz w:val="26"/>
          <w:szCs w:val="26"/>
          <w:lang w:val="es-ES" w:eastAsia="en-US"/>
        </w:rPr>
        <w:lastRenderedPageBreak/>
        <w:t>Organización Mundial del Comercio (OMC). Estos acuerdos exigen consenso de todos los países para una agenda amplia (desde agricultura a comercio de servicios) y sin posibilidad de “desenganche”. Así, la OMC tardó 10 años, de 2004 a 2013, en alcanzar un acuerdo de facilitación aduanera que aún no se ha implementado.</w:t>
      </w:r>
    </w:p>
    <w:p w:rsidR="009E3AAD" w:rsidRPr="009E3AAD" w:rsidRDefault="009E3AAD" w:rsidP="009E3AAD">
      <w:pPr>
        <w:spacing w:after="360" w:line="360" w:lineRule="auto"/>
        <w:ind w:right="-159"/>
        <w:jc w:val="both"/>
        <w:rPr>
          <w:rFonts w:eastAsia="Calibri"/>
          <w:sz w:val="26"/>
          <w:szCs w:val="26"/>
          <w:lang w:val="es-ES" w:eastAsia="en-US"/>
        </w:rPr>
      </w:pPr>
      <w:r w:rsidRPr="009E3AAD">
        <w:rPr>
          <w:rFonts w:eastAsia="Calibri"/>
          <w:sz w:val="26"/>
          <w:szCs w:val="26"/>
          <w:lang w:val="es-ES" w:eastAsia="en-US"/>
        </w:rPr>
        <w:t>El impulso al comercio puede venir de acuerdos regionales, como la Alianza del Pacífico (TTIP, por sus siglas en inglés) en marcha desde 2011, o el que se negocia entre la Unión Europea y Estados Unidos de Norteamérica desde 2013. De hecho, los acuerdos comerciales bilaterales o de ámbito regional fueron cada vez más numerosos desde comienzos de la década pasada y hasta el comienzo de la crisis. De un promedio de siete acuerdos regionales al año en la década de los años 90 se ha pasado a un promedio de 14 desde 2001.</w:t>
      </w:r>
    </w:p>
    <w:p w:rsidR="009E3AAD" w:rsidRPr="009E3AAD" w:rsidRDefault="009E3AAD" w:rsidP="009E3AAD">
      <w:pPr>
        <w:spacing w:after="360" w:line="360" w:lineRule="auto"/>
        <w:ind w:right="-159"/>
        <w:jc w:val="both"/>
        <w:rPr>
          <w:rFonts w:eastAsia="Calibri"/>
          <w:sz w:val="26"/>
          <w:szCs w:val="26"/>
          <w:lang w:val="es-ES" w:eastAsia="en-US"/>
        </w:rPr>
      </w:pPr>
      <w:r w:rsidRPr="009E3AAD">
        <w:rPr>
          <w:rFonts w:eastAsia="Calibri"/>
          <w:sz w:val="26"/>
          <w:szCs w:val="26"/>
          <w:lang w:val="es-ES" w:eastAsia="en-US"/>
        </w:rPr>
        <w:t>Los acuerdos regionales recogen el desarrollo de cadenas globales de valor, que van más allá del flujo físico de bienes o de la transacción de servicios y que requieren de más facilidades que la de la tarifa en frontera. Necesitan de un entorno apropiado para los flujos inversionistas, de libertad de entrada en actividades protegidas domésticamente, de un marco regulatorio no discriminatorio para los inversionistas extranjeros. En definitiva, se necesita de unas reglas de juego equilibradas entre áreas económicas distintas. Y estas cadenas de valor, crecientes, son tanto más importantes además cuanto mayor es el desarrollo de las economías. Las economías más desarrolladas son las más complejas por la cantidad de conocimiento incorporado en los muy diversos productos que elaboran y, por lo tanto, necesitan de las mínimas barreras al intercambio, de las mismas reglas de juego para todo su catálogo de produc</w:t>
      </w:r>
      <w:r w:rsidR="002753B3">
        <w:rPr>
          <w:rFonts w:eastAsia="Calibri"/>
          <w:sz w:val="26"/>
          <w:szCs w:val="26"/>
          <w:lang w:val="es-ES" w:eastAsia="en-US"/>
        </w:rPr>
        <w:t>tos. És</w:t>
      </w:r>
      <w:r w:rsidRPr="009E3AAD">
        <w:rPr>
          <w:rFonts w:eastAsia="Calibri"/>
          <w:sz w:val="26"/>
          <w:szCs w:val="26"/>
          <w:lang w:val="es-ES" w:eastAsia="en-US"/>
        </w:rPr>
        <w:t xml:space="preserve">te es el porqué de la negociación entre Estados Unidos de Norteamérica y la Unión Europea para alcanzar un acuerdo de libre comercio. Un asunto importante porque la eliminación de barreras comerciales produce ganancias de bienestar en el largo plazo, mayores cuanto más amplios sean los cambios y los sectores y economías </w:t>
      </w:r>
      <w:r w:rsidRPr="009E3AAD">
        <w:rPr>
          <w:rFonts w:eastAsia="Calibri"/>
          <w:sz w:val="26"/>
          <w:szCs w:val="26"/>
          <w:lang w:val="es-ES" w:eastAsia="en-US"/>
        </w:rPr>
        <w:lastRenderedPageBreak/>
        <w:t>afectados. Esas mejoras reflejarán el ritmo al que seguirá avanzando la globalización económica en el largo plazo, más allá de crisis cíclicas más o menos intensas.</w:t>
      </w:r>
    </w:p>
    <w:p w:rsidR="009E3AAD" w:rsidRPr="009E3AAD" w:rsidRDefault="009E3AAD" w:rsidP="009E3AAD">
      <w:pPr>
        <w:spacing w:before="360"/>
        <w:ind w:right="-159"/>
        <w:jc w:val="both"/>
        <w:rPr>
          <w:rFonts w:eastAsia="Calibri"/>
          <w:b/>
          <w:sz w:val="20"/>
          <w:szCs w:val="20"/>
          <w:lang w:val="es-ES" w:eastAsia="en-US"/>
        </w:rPr>
      </w:pPr>
      <w:r w:rsidRPr="009E3AAD">
        <w:rPr>
          <w:rFonts w:eastAsia="Calibri"/>
          <w:b/>
          <w:sz w:val="20"/>
          <w:szCs w:val="20"/>
          <w:lang w:val="es-ES" w:eastAsia="en-US"/>
        </w:rPr>
        <w:t>Fuente de información:</w:t>
      </w:r>
    </w:p>
    <w:p w:rsidR="009E3AAD" w:rsidRPr="002753B3" w:rsidRDefault="004638E5" w:rsidP="002753B3">
      <w:pPr>
        <w:spacing w:after="720"/>
        <w:ind w:right="-159"/>
        <w:jc w:val="both"/>
        <w:rPr>
          <w:rFonts w:eastAsia="Calibri"/>
          <w:color w:val="0000FF"/>
          <w:sz w:val="20"/>
          <w:szCs w:val="20"/>
          <w:lang w:eastAsia="en-US"/>
        </w:rPr>
      </w:pPr>
      <w:hyperlink r:id="rId66" w:history="1">
        <w:r w:rsidR="009E3AAD" w:rsidRPr="002753B3">
          <w:rPr>
            <w:rFonts w:eastAsia="Calibri"/>
            <w:color w:val="0000FF"/>
            <w:sz w:val="20"/>
            <w:szCs w:val="20"/>
            <w:u w:val="single"/>
            <w:lang w:eastAsia="en-US"/>
          </w:rPr>
          <w:t>https://www.bbvaresearch.com/wp-content/plugins/custom-pdf-generator/generate.php?post=68325</w:t>
        </w:r>
      </w:hyperlink>
    </w:p>
    <w:p w:rsidR="00551864" w:rsidRPr="00551864" w:rsidRDefault="00551864" w:rsidP="00551864">
      <w:pPr>
        <w:spacing w:after="360" w:line="360" w:lineRule="auto"/>
        <w:ind w:right="-159"/>
        <w:jc w:val="both"/>
        <w:rPr>
          <w:rFonts w:eastAsia="Calibri"/>
          <w:b/>
          <w:sz w:val="26"/>
          <w:szCs w:val="26"/>
          <w:lang w:eastAsia="en-US"/>
        </w:rPr>
      </w:pPr>
      <w:r w:rsidRPr="00551864">
        <w:rPr>
          <w:rFonts w:eastAsia="Calibri"/>
          <w:b/>
          <w:sz w:val="26"/>
          <w:szCs w:val="26"/>
          <w:lang w:eastAsia="en-US"/>
        </w:rPr>
        <w:t>Examen de las Políticas Comerciales: Japón (OMC)</w:t>
      </w:r>
    </w:p>
    <w:p w:rsidR="00551864" w:rsidRPr="00551864" w:rsidRDefault="00551864" w:rsidP="00551864">
      <w:pPr>
        <w:spacing w:after="360" w:line="360" w:lineRule="auto"/>
        <w:ind w:right="-159"/>
        <w:jc w:val="both"/>
        <w:rPr>
          <w:rFonts w:eastAsia="Calibri"/>
          <w:sz w:val="26"/>
          <w:szCs w:val="26"/>
          <w:lang w:eastAsia="en-US"/>
        </w:rPr>
      </w:pPr>
      <w:r w:rsidRPr="00551864">
        <w:rPr>
          <w:rFonts w:eastAsia="Calibri"/>
          <w:sz w:val="26"/>
          <w:szCs w:val="26"/>
          <w:lang w:eastAsia="en-US"/>
        </w:rPr>
        <w:t>El 9 de marzo de 2015, la Organización Mundial del Comercio (OMC) presentó el “Examen de las Políticas Comerciales: Japón”. A continuación se presenta el Resumen del Informe de la Secretaría de la OMC.</w:t>
      </w:r>
    </w:p>
    <w:p w:rsidR="00551864" w:rsidRPr="00551864" w:rsidRDefault="00551864" w:rsidP="00551864">
      <w:pPr>
        <w:spacing w:after="360" w:line="360" w:lineRule="auto"/>
        <w:ind w:right="-159"/>
        <w:jc w:val="both"/>
        <w:rPr>
          <w:rFonts w:eastAsia="Calibri"/>
          <w:b/>
          <w:bCs/>
          <w:sz w:val="26"/>
          <w:szCs w:val="26"/>
          <w:lang w:eastAsia="en-US"/>
        </w:rPr>
      </w:pPr>
      <w:r w:rsidRPr="00551864">
        <w:rPr>
          <w:rFonts w:eastAsia="Calibri"/>
          <w:b/>
          <w:bCs/>
          <w:sz w:val="26"/>
          <w:szCs w:val="26"/>
          <w:lang w:eastAsia="en-US"/>
        </w:rPr>
        <w:t>Resumen</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Japón ha venido aplicando desde diciembre de 2012 un ambicioso programa de reformas para superar la deflación y revitalizar su economía, después de más de un decenio de desaceleración. El programa consiste en una estrategia que gira en torno a “tres ejes”: expansión monetaria (un objetivo de 2% de inflación a alcanzar a la mayor brevedad posible, principalmente mediante la expansión de la base monetaria); introducción de estímulos fiscales (alrededor de 100 mil millones de dólares estadounidenses en enero de 2013 y otros 53 mil millones de dólares en diciembre de 2013 en un intento por impulsar el crecimiento); y aplicación de reformas estructurales en esferas como la agricultura, la energía y la atención sanitaria que tardarán más tiempo en llevarse a cabo, entre otras cosas porque requieren cambios legislativos y administrativos cuya preparación lleva tiempo.</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 xml:space="preserve">Las medidas expansivas de política monetaria y fiscal adoptadas desde el último examen han reforzado la economía japonesa pero no han sido suficientes para lograr un crecimiento económico vigoroso. De hecho, se estima que en 2014 la tasa de crecimiento real del PIB de Japón será de 0.9% (frente al 1.5% en 2012 y en 2013). </w:t>
      </w:r>
      <w:r w:rsidRPr="00551864">
        <w:rPr>
          <w:rFonts w:eastAsia="Calibri"/>
          <w:sz w:val="26"/>
          <w:szCs w:val="26"/>
          <w:lang w:eastAsia="en-US"/>
        </w:rPr>
        <w:lastRenderedPageBreak/>
        <w:t>Las autoridades reconocen que hay que acometer reformas estructurales profundas para hacer frente a los problemas estructurales que se arrastran desde hace largo tiempo y para lograr un crecimiento sostenible en el futuro. Aunque se ha avanzado un tanto en este sentido, es necesario dar otros pasos, por ejemplo, adoptando nuevas medidas de liberalización del comercio y la inversión a fin de estimular la inversión privada y aumentar la productividad y la competitividad.</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Desde 2011, Japón sufre un déficit comercial persistente, el más largo desde que se empezó a registrar datos comparables. En 2013, Japón registró su mayor déficit comercial anual (118 mil millones de dólares); aunque aumentó el valor de las exportaciones en dólares estadounidense, las importaciones crecieron hasta alcanzar el máximo histórico. Un factor importante que puede contribuir a explicar el incremento de las importaciones fue el aumento de las importaciones de combustibles fósiles, que sustituyeron a la energía nuclear tras el accidente de la central nuclear de Fukushima en 2011 y el cierre posterior de otras centrales nucleares.</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Las entradas de inversión extranjera directa a Japón siguen siendo inferiores a las de otras grandes economías desarrolladas. En la Estrategia de Revitalización de Japón se ha establecido el objetivo de duplicar la inversión extranjera directa para 2020. Para lograr este objetivo, Japón va a intensificar el recurso a las asociaciones público-privadas. Además, está previsto llevar a cabo proyectos de infraestructura con financiamiento privado en el curso de los próximos 10 años. Por otra parte, Japón es el segundo mayor inversionista directo del mundo en el exterior, particularmente en algunos países de la Asociación de Naciones del Asia Sudoriental (ASEAN), donde las filiales de empresas japonesas desempeñan a menudo un papel de liderazgo en sectores como el del automóvil y el de los productos electrónicos.</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lastRenderedPageBreak/>
        <w:t>La actual red de 13 acuerdos comerciales regionales de Japón es idéntica a la que existía cuando se realizó el examen anterior. Japón ha excluido de estos acuerdos algunos productos agropecuarios y productos conexos sensibles, más concretamente, determinadas líneas arancelarias correspondientes a la carne y los productos cárnicos, el pescado y los productos de la pesca, los productos lácteos, el arroz, los productos de la molinería, la madera contrachapada, el cuero y sus manufacturas y el calzado. Algunos de estos productos también están excluidos del Sistema Generalizado de Preferencias (SGP) de Japón.</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Durante el período objeto de examen se firmó un acuerdo comercial regional con Australia y se alcanzó en principio otro con Mongolia. Además, Japón está en negociaciones con Canadá, Colombia, China, el Consejo de Cooperación del Golfo (CCG), la República de Corea, la Unión Europea y Turquía. Además, Japón participa en las negociaciones del Acuerdo de Asociación Transpacífico y es parte en la Asociación Económica Regional Amplia. El objetivo del Japón es aumentar el comercio que realiza en el marco de acuerdos comerciales regionales de una cifra cercana a 19% en 2013 a 70% en 2018.</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En general, las políticas comerciales de Japón no han experimentado grandes cambios durante el período objeto de examen, durante el cual ha mantenido intensas negociaciones para la conclusión de acuerdos comerciales regionales, ha acometido reformas internas para aumentar su competitividad y ha participado en los trabajos de la OMC.</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 xml:space="preserve">El promedio aritmético global del tipo arancelario NMF aplicado en Japón disminuyó de 6.3% en el ejercicio económico de 2012 a 5.8% en el ejercicio económico de 2014 a causa del aumento de los precios unitarios de muchos productos agrícolas, que redujo los equivalentes </w:t>
      </w:r>
      <w:r w:rsidRPr="00551864">
        <w:rPr>
          <w:rFonts w:eastAsia="Calibri"/>
          <w:i/>
          <w:iCs/>
          <w:sz w:val="26"/>
          <w:szCs w:val="26"/>
          <w:lang w:eastAsia="en-US"/>
        </w:rPr>
        <w:t xml:space="preserve">ad </w:t>
      </w:r>
      <w:proofErr w:type="spellStart"/>
      <w:r w:rsidRPr="00551864">
        <w:rPr>
          <w:rFonts w:eastAsia="Calibri"/>
          <w:i/>
          <w:iCs/>
          <w:sz w:val="26"/>
          <w:szCs w:val="26"/>
          <w:lang w:eastAsia="en-US"/>
        </w:rPr>
        <w:t>valorem</w:t>
      </w:r>
      <w:proofErr w:type="spellEnd"/>
      <w:r w:rsidRPr="00551864">
        <w:rPr>
          <w:rFonts w:eastAsia="Calibri"/>
          <w:sz w:val="26"/>
          <w:szCs w:val="26"/>
          <w:lang w:eastAsia="en-US"/>
        </w:rPr>
        <w:t xml:space="preserve">. Debido a ello, el promedio simple de los productos agrícolas (definición de la OMC) es de 14.9% </w:t>
      </w:r>
      <w:r w:rsidRPr="00551864">
        <w:rPr>
          <w:rFonts w:eastAsia="Calibri"/>
          <w:sz w:val="26"/>
          <w:szCs w:val="26"/>
          <w:lang w:eastAsia="en-US"/>
        </w:rPr>
        <w:lastRenderedPageBreak/>
        <w:t>(frente al 17.5% en el ejercicio económico de 2012), mientras que el correspondiente a los productos no agrícolas es de 3.7% (el mismo que en el ejercicio económico de 2012).</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Japón ha consolidado el 98.3% de sus líneas arancelarias (quedan por consolidar 159 líneas). En el ejercicio económico de 2014, la diferencia entre el promedio de los aranceles NMF consolidados (5.9%) y el promedio de los aranceles NMF aplicados (5.8%) fue insignificante, lo que refleja un alto grado de previsibilidad del Arancel. No obstante, el tipo consolidado medio que grava los productos agrícolas (15.2%) sigue siendo mucho más elevado que el que se aplica a los productos no agrícolas (3.7%).</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Japón hace relativamente poco uso de medidas comerciales correctivas especiales. Durante el período examinado no ha aplicado medidas compensatorias o de salvaguardia y solo mantiene en vigor un derecho antidumping sobre el dióxido de manganeso electrolítico procedente de China, Sudáfrica y España. El plazo de aplicación de este derecho se ha prorrogado cinco años y expirará el 5 de marzo de 2019. En 2014, Japón inició una investigación antidumping sobre el diisocianato de tolueno procedente de China.</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Por diversas razones, las prescripciones de Japón relativas a las cuestiones sanitarias y fitosanitarias y los obstáculos técnicos al comercio son a menudo más estrictas que las normas internacionales, y el costo que supone el cumplimiento de sus normas de calidad y seguridad puede ser elevado. El 31 de marzo de 2014 estaban en vigor 10 mil 525 normas industriales de Japón, 5 mil 823 de las cuales se corresponden con normas internacionales; el 97% de dichas normas han sido armonizadas con normas internacionales idénticas o modificadas. Japón prohíbe las importaciones de carne de bovino y aves de corral procedentes de diversos países para impedir la propagación de la EEB y la gripe aviar.</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lastRenderedPageBreak/>
        <w:t>Japón ha introducido algunos cambios en su régimen de contratación pública, básicamente para excluir de la participación en las licitaciones públicas a aquellas partes que, entre otras cosas, intencionadamente efectúen trabajos de construcción o presten servicios de calidad deficiente, o facturen una cantidad excesiva por una documentación falsa relativa a los contratos. Japón también ha reducido recientemente algunos de sus umbrales para la contratación de bienes y servicios en el marco del Acuerdo sobre Contratación Pública.</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En diciembre de 2013 se modificó la Ley Antimonopolio, entre otras cosas para eliminar el trámite de audiencia de la Comisión de Comercio Leal de Japón en el caso de los recursos administrativos. Una vez que la Ley haya entrado en vigor, todos los recursos relacionados con resoluciones de la Comisión se someterán a la jurisdicción exclusiva del Tribunal de Distrito de Tokio con el objetivo de garantizar la competencia técnica y mejorar la equidad procesal.</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Las principales novedades que se han registrado en el marco de los derechos de propiedad intelectual de Japón han consistido en el reforzamiento de la protección del derecho de autor en el entorno digital, la introducción de la protección de las marcas de fábrica o de comercio no tradicionales, la mejora de la eficiencia del sistema de patentes y una importante resolución judicial sobre la protección de las patentes esenciales. Japón continúa participando activamente en los foros multilaterales que se han conformado para armonizar los regímenes de protección de los derechos de propiedad intelectual.</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 xml:space="preserve">A pesar de los cambios introducidos en los programas agrícolas durante los últimos años, las ayudas y la protección al sector agrícola en Japón siguen siendo elevadas en comparación con otros países y se otorgan a través de un amplio conjunto de políticas. Aunque el gobierno ha seguido prestando una atención cada vez mayor a los programas de sostenimiento de los ingresos, el componente principal son los </w:t>
      </w:r>
      <w:r w:rsidRPr="00551864">
        <w:rPr>
          <w:rFonts w:eastAsia="Calibri"/>
          <w:sz w:val="26"/>
          <w:szCs w:val="26"/>
          <w:lang w:eastAsia="en-US"/>
        </w:rPr>
        <w:lastRenderedPageBreak/>
        <w:t>programas de sostenimiento de los precios que, junto con otras transferencias con base en la producción y los insumos, constituyen una de las formas de ayuda que más pueden distorsionar la producción y el comercio.</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Habida cuenta de que es uno de los mayores consumidores de pescado y marisco del mundo, Japón ofrece distintas medidas de ayuda a la pesca. Las ayudas presupuestarias al sector aumentaron después de los graves daños causados por el tsunami de 2011 con el objetivo de completar la recuperación de las instalaciones portuarias de pesca antes de que haya concluido el ejercicio económico de 2015. Aunque el promedio de los aranceles NMF aplicados al pescado y los productos de la pesca fue de 6.2% en el ejercicio económico de 2014 (el mismo que en el ejercicio económico de 2012), varias especies de peces están sujetas a contingentes de importación.</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El cierre de centrales nucleares tras el accidente de Fukushima de 2011 se ha traducido en un importante programa de reconstrucción. Aunque el sector eléctrico ha sido objeto de una reforma gradual durante los últimos 20 años, los servicios públicos regionales siguen siendo los principales productores, transmisores, distribuidores y vendedores minoristas, y los intercambios entre algunas de las regiones continúan siendo limitados. El objetivo de las modificaciones que se han hecho recientemente en la Ley sobre las Compañías de Electricidad es garantizar un suministro estable de electricidad, eliminar las tarifas eléctricas en la mayor medida posible y ampliar las posibilidades de elección de los consumidores y las oportunidades empresariales.</w:t>
      </w:r>
    </w:p>
    <w:p w:rsidR="00551864" w:rsidRPr="00551864" w:rsidRDefault="00551864" w:rsidP="00276F3E">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 xml:space="preserve">En el sector de los servicios financieros, el Organismo de Servicios Financieros de Japón ha modificado las normas relativas a las operaciones de gran riesgo en consonancia con las normas internacionales; la reforma entrará en vigor en diciembre de 2014. Por lo que se refiere a las directrices en materia de supervisión </w:t>
      </w:r>
      <w:r w:rsidRPr="00551864">
        <w:rPr>
          <w:rFonts w:eastAsia="Calibri"/>
          <w:sz w:val="26"/>
          <w:szCs w:val="26"/>
          <w:lang w:eastAsia="en-US"/>
        </w:rPr>
        <w:lastRenderedPageBreak/>
        <w:t>y medidas conexas, el Organismo de Servicios Financieros ha revisado los requisitos de capital mínimo de los bancos activos en el plano internacional y tiene previsto introducir otras reservas de capital y medidas relacionadas con la liquidez de conformidad con el Acuerdo de Basilea III. La legislación y las políticas de Japón en los sectores de telecomunicaciones y de transporte no han experimentado grandes cambios.</w:t>
      </w:r>
    </w:p>
    <w:p w:rsidR="00551864" w:rsidRPr="00551864" w:rsidRDefault="00551864" w:rsidP="00CB7B3D">
      <w:pPr>
        <w:numPr>
          <w:ilvl w:val="0"/>
          <w:numId w:val="135"/>
        </w:numPr>
        <w:spacing w:after="360" w:line="360" w:lineRule="auto"/>
        <w:ind w:left="357" w:right="-159" w:hanging="357"/>
        <w:jc w:val="both"/>
        <w:rPr>
          <w:rFonts w:eastAsia="Calibri"/>
          <w:sz w:val="26"/>
          <w:szCs w:val="26"/>
          <w:lang w:eastAsia="en-US"/>
        </w:rPr>
      </w:pPr>
      <w:r w:rsidRPr="00551864">
        <w:rPr>
          <w:rFonts w:eastAsia="Calibri"/>
          <w:sz w:val="26"/>
          <w:szCs w:val="26"/>
          <w:lang w:eastAsia="en-US"/>
        </w:rPr>
        <w:t>En general, y a pesar de un largo período de resultados económicos relativamente poco satisfactorios y de que ha sufrido algunas perturbaciones importantes en la economía durante los últimos años, Japón continúa siendo una economía abierta y transparente (si bien las ayudas y la protección en algunas esferas, en particular en el sector agrícola, siguen siendo elevadas). Japón tiene numerosas características singulares. Algunas de ellas han contribuido a hacer de él el tercer país más rico del mundo, pero otras provocan un aumento de los costos asociados a las importaciones, las exportaciones, la inversión y la actividad empresarial. El objetivo del tercer eje del actual programa de reformas es afrontar muchos de estos obstáculos al crecimiento, una condición necesaria para lograr un nivel de crecimiento más elevado y sostenible.</w:t>
      </w:r>
    </w:p>
    <w:p w:rsidR="00551864" w:rsidRPr="00551864" w:rsidRDefault="00551864" w:rsidP="00551864">
      <w:pPr>
        <w:ind w:right="-159"/>
        <w:jc w:val="both"/>
        <w:rPr>
          <w:rFonts w:eastAsia="Calibri"/>
          <w:b/>
          <w:sz w:val="20"/>
          <w:szCs w:val="20"/>
          <w:lang w:eastAsia="en-US"/>
        </w:rPr>
      </w:pPr>
      <w:r w:rsidRPr="00551864">
        <w:rPr>
          <w:rFonts w:eastAsia="Calibri"/>
          <w:b/>
          <w:sz w:val="20"/>
          <w:szCs w:val="20"/>
          <w:lang w:eastAsia="en-US"/>
        </w:rPr>
        <w:t>Fuente de información:</w:t>
      </w:r>
    </w:p>
    <w:p w:rsidR="00551864" w:rsidRPr="002753B3" w:rsidRDefault="004638E5" w:rsidP="00551864">
      <w:pPr>
        <w:ind w:right="-159"/>
        <w:jc w:val="both"/>
        <w:rPr>
          <w:rFonts w:eastAsia="Calibri"/>
          <w:color w:val="0000FF"/>
          <w:sz w:val="20"/>
          <w:szCs w:val="20"/>
          <w:lang w:eastAsia="en-US"/>
        </w:rPr>
      </w:pPr>
      <w:hyperlink r:id="rId67" w:history="1">
        <w:r w:rsidR="00551864" w:rsidRPr="002753B3">
          <w:rPr>
            <w:rFonts w:eastAsia="Calibri"/>
            <w:color w:val="0000FF"/>
            <w:sz w:val="20"/>
            <w:szCs w:val="20"/>
            <w:u w:val="single"/>
            <w:lang w:eastAsia="en-US"/>
          </w:rPr>
          <w:t>https://www.wto.org/spanish/tratop_s/tpr_s/s310_sum_s.pdf</w:t>
        </w:r>
      </w:hyperlink>
      <w:r w:rsidR="00551864" w:rsidRPr="002753B3">
        <w:rPr>
          <w:rFonts w:eastAsia="Calibri"/>
          <w:color w:val="0000FF"/>
          <w:sz w:val="20"/>
          <w:szCs w:val="20"/>
          <w:lang w:eastAsia="en-US"/>
        </w:rPr>
        <w:t xml:space="preserve"> </w:t>
      </w:r>
    </w:p>
    <w:p w:rsidR="00551864" w:rsidRPr="002753B3" w:rsidRDefault="00551864" w:rsidP="00551864">
      <w:pPr>
        <w:ind w:right="-159"/>
        <w:jc w:val="both"/>
        <w:rPr>
          <w:rFonts w:eastAsia="Calibri"/>
          <w:sz w:val="20"/>
          <w:szCs w:val="20"/>
          <w:lang w:eastAsia="en-US"/>
        </w:rPr>
      </w:pPr>
      <w:r w:rsidRPr="002753B3">
        <w:rPr>
          <w:rFonts w:eastAsia="Calibri"/>
          <w:sz w:val="20"/>
          <w:szCs w:val="20"/>
          <w:lang w:eastAsia="en-US"/>
        </w:rPr>
        <w:t>Para tener acceso a información relacionada visite:</w:t>
      </w:r>
    </w:p>
    <w:p w:rsidR="00551864" w:rsidRPr="002753B3" w:rsidRDefault="004638E5" w:rsidP="00551864">
      <w:pPr>
        <w:ind w:right="-159"/>
        <w:jc w:val="both"/>
        <w:rPr>
          <w:rFonts w:eastAsia="Calibri"/>
          <w:color w:val="0000FF"/>
          <w:sz w:val="20"/>
          <w:szCs w:val="20"/>
          <w:lang w:eastAsia="en-US"/>
        </w:rPr>
      </w:pPr>
      <w:hyperlink r:id="rId68" w:history="1">
        <w:r w:rsidR="00551864" w:rsidRPr="002753B3">
          <w:rPr>
            <w:rFonts w:eastAsia="Calibri"/>
            <w:color w:val="0000FF"/>
            <w:sz w:val="20"/>
            <w:szCs w:val="20"/>
            <w:u w:val="single"/>
            <w:lang w:eastAsia="en-US"/>
          </w:rPr>
          <w:t>https://www.wto.org/spanish/tratop_s/tpr_s/tp410_s.htm</w:t>
        </w:r>
      </w:hyperlink>
      <w:r w:rsidR="00551864" w:rsidRPr="002753B3">
        <w:rPr>
          <w:rFonts w:eastAsia="Calibri"/>
          <w:color w:val="0000FF"/>
          <w:sz w:val="20"/>
          <w:szCs w:val="20"/>
          <w:lang w:eastAsia="en-US"/>
        </w:rPr>
        <w:t xml:space="preserve"> </w:t>
      </w:r>
    </w:p>
    <w:p w:rsidR="00551864" w:rsidRPr="002753B3" w:rsidRDefault="004638E5" w:rsidP="00551864">
      <w:pPr>
        <w:ind w:right="-159"/>
        <w:jc w:val="both"/>
        <w:rPr>
          <w:rFonts w:eastAsia="Calibri"/>
          <w:color w:val="0000FF"/>
          <w:sz w:val="20"/>
          <w:szCs w:val="20"/>
          <w:u w:val="single"/>
          <w:lang w:eastAsia="en-US"/>
        </w:rPr>
      </w:pPr>
      <w:hyperlink r:id="rId69" w:history="1">
        <w:r w:rsidR="00551864" w:rsidRPr="002753B3">
          <w:rPr>
            <w:rFonts w:eastAsia="Calibri"/>
            <w:color w:val="0000FF"/>
            <w:sz w:val="20"/>
            <w:szCs w:val="20"/>
            <w:u w:val="single"/>
            <w:lang w:eastAsia="en-US"/>
          </w:rPr>
          <w:t>http://www.sagarpa.gob.mx/saladeprensa/2012/Paginas/2015B181.aspx</w:t>
        </w:r>
      </w:hyperlink>
    </w:p>
    <w:p w:rsidR="00551864" w:rsidRPr="002753B3" w:rsidRDefault="004638E5" w:rsidP="002753B3">
      <w:pPr>
        <w:spacing w:after="720"/>
        <w:ind w:right="-159"/>
        <w:jc w:val="both"/>
        <w:rPr>
          <w:rFonts w:eastAsia="Calibri"/>
          <w:color w:val="0000FF"/>
          <w:sz w:val="20"/>
          <w:szCs w:val="20"/>
          <w:u w:val="single"/>
          <w:lang w:eastAsia="en-US"/>
        </w:rPr>
      </w:pPr>
      <w:hyperlink r:id="rId70" w:history="1">
        <w:r w:rsidR="00551864" w:rsidRPr="002753B3">
          <w:rPr>
            <w:rFonts w:eastAsia="Calibri"/>
            <w:color w:val="0000FF"/>
            <w:sz w:val="20"/>
            <w:szCs w:val="20"/>
            <w:u w:val="single"/>
            <w:lang w:eastAsia="en-US"/>
          </w:rPr>
          <w:t>http://www.imf.org/external/pubs/cat/longres.aspx?sk=42784.0</w:t>
        </w:r>
      </w:hyperlink>
      <w:r w:rsidR="00551864" w:rsidRPr="002753B3">
        <w:rPr>
          <w:rFonts w:eastAsia="Calibri"/>
          <w:color w:val="0000FF"/>
          <w:sz w:val="20"/>
          <w:szCs w:val="20"/>
          <w:u w:val="single"/>
          <w:lang w:eastAsia="en-US"/>
        </w:rPr>
        <w:t xml:space="preserve"> </w:t>
      </w:r>
    </w:p>
    <w:p w:rsidR="00B8222A" w:rsidRPr="00B8222A" w:rsidRDefault="00B8222A" w:rsidP="00B8222A">
      <w:pPr>
        <w:spacing w:after="360" w:line="360" w:lineRule="auto"/>
        <w:ind w:right="-159"/>
        <w:jc w:val="both"/>
        <w:rPr>
          <w:b/>
          <w:sz w:val="26"/>
          <w:szCs w:val="26"/>
          <w:lang w:val="es-ES"/>
        </w:rPr>
      </w:pPr>
      <w:r w:rsidRPr="00B8222A">
        <w:rPr>
          <w:b/>
          <w:sz w:val="26"/>
          <w:szCs w:val="26"/>
          <w:lang w:val="es-ES"/>
        </w:rPr>
        <w:t>Turismo (Banxico-</w:t>
      </w:r>
      <w:proofErr w:type="spellStart"/>
      <w:r w:rsidRPr="00B8222A">
        <w:rPr>
          <w:b/>
          <w:sz w:val="26"/>
          <w:szCs w:val="26"/>
          <w:lang w:val="es-ES"/>
        </w:rPr>
        <w:t>Sectur</w:t>
      </w:r>
      <w:proofErr w:type="spellEnd"/>
      <w:r w:rsidRPr="00B8222A">
        <w:rPr>
          <w:b/>
          <w:sz w:val="26"/>
          <w:szCs w:val="26"/>
          <w:lang w:val="es-ES"/>
        </w:rPr>
        <w:t>)</w:t>
      </w:r>
    </w:p>
    <w:p w:rsidR="00B8222A" w:rsidRPr="00B8222A" w:rsidRDefault="00B8222A" w:rsidP="00B8222A">
      <w:pPr>
        <w:spacing w:after="360" w:line="360" w:lineRule="auto"/>
        <w:ind w:right="-159"/>
        <w:jc w:val="both"/>
        <w:rPr>
          <w:sz w:val="26"/>
          <w:szCs w:val="26"/>
          <w:lang w:val="es-ES"/>
        </w:rPr>
      </w:pPr>
      <w:bookmarkStart w:id="12" w:name="OLE_LINK88"/>
      <w:bookmarkStart w:id="13" w:name="OLE_LINK89"/>
      <w:r w:rsidRPr="00B8222A">
        <w:rPr>
          <w:sz w:val="26"/>
          <w:szCs w:val="26"/>
          <w:lang w:val="es-ES"/>
        </w:rPr>
        <w:t>El 10 de marzo de 2015, el Banco de México (Banxico) y la Secretaría de Turismo (</w:t>
      </w:r>
      <w:proofErr w:type="spellStart"/>
      <w:r w:rsidRPr="00B8222A">
        <w:rPr>
          <w:sz w:val="26"/>
          <w:szCs w:val="26"/>
          <w:lang w:val="es-ES"/>
        </w:rPr>
        <w:t>Sectur</w:t>
      </w:r>
      <w:proofErr w:type="spellEnd"/>
      <w:r w:rsidRPr="00B8222A">
        <w:rPr>
          <w:sz w:val="26"/>
          <w:szCs w:val="26"/>
          <w:lang w:val="es-ES"/>
        </w:rPr>
        <w:t xml:space="preserve">) informaron que, con base en la Cuenta de Viajeros Internacionales, que sustenta los Resultados Acumulados de la Actividad Turística, </w:t>
      </w:r>
      <w:bookmarkEnd w:id="12"/>
      <w:bookmarkEnd w:id="13"/>
      <w:r w:rsidRPr="00B8222A">
        <w:rPr>
          <w:sz w:val="26"/>
          <w:szCs w:val="26"/>
          <w:lang w:val="es-ES"/>
        </w:rPr>
        <w:t xml:space="preserve">durante enero de 2015 </w:t>
      </w:r>
      <w:r w:rsidRPr="00B8222A">
        <w:rPr>
          <w:sz w:val="26"/>
          <w:szCs w:val="26"/>
          <w:lang w:val="es-ES"/>
        </w:rPr>
        <w:lastRenderedPageBreak/>
        <w:t xml:space="preserve">se registraron ingresos turísticos por 1 mil 583 millones 759.55 mil dólares, monto que significó un aumento de 14.01% con respecto al mismo </w:t>
      </w:r>
      <w:r w:rsidR="00E017B6">
        <w:rPr>
          <w:sz w:val="26"/>
          <w:szCs w:val="26"/>
          <w:lang w:val="es-ES"/>
        </w:rPr>
        <w:t>mes</w:t>
      </w:r>
      <w:r w:rsidRPr="00B8222A">
        <w:rPr>
          <w:sz w:val="26"/>
          <w:szCs w:val="26"/>
          <w:lang w:val="es-ES"/>
        </w:rPr>
        <w:t xml:space="preserve"> de 2014.</w:t>
      </w:r>
    </w:p>
    <w:p w:rsidR="00B8222A" w:rsidRPr="00B8222A" w:rsidRDefault="00B8222A" w:rsidP="00B8222A">
      <w:pPr>
        <w:spacing w:after="360" w:line="360" w:lineRule="auto"/>
        <w:ind w:right="-159"/>
        <w:jc w:val="center"/>
        <w:rPr>
          <w:sz w:val="26"/>
          <w:szCs w:val="26"/>
          <w:lang w:val="es-ES"/>
        </w:rPr>
      </w:pPr>
      <w:r w:rsidRPr="00B8222A">
        <w:rPr>
          <w:rFonts w:ascii="Calibri" w:eastAsia="Calibri" w:hAnsi="Calibri"/>
          <w:sz w:val="22"/>
          <w:szCs w:val="22"/>
          <w:lang w:eastAsia="en-US"/>
        </w:rPr>
        <w:fldChar w:fldCharType="begin"/>
      </w:r>
      <w:r w:rsidRPr="00B8222A">
        <w:rPr>
          <w:rFonts w:ascii="Calibri" w:eastAsia="Calibri" w:hAnsi="Calibri"/>
          <w:sz w:val="22"/>
          <w:szCs w:val="22"/>
          <w:lang w:eastAsia="en-US"/>
        </w:rPr>
        <w:instrText xml:space="preserve"> LINK PowerPoint.Slide.8 "D:\\2015\\MARZO 2014\\GRÁFICAS EN POWER POINT\\20.- GRÁFICAS BALANZA TURISTICA II.pptx!275" "" \a \p </w:instrText>
      </w:r>
      <w:r w:rsidRPr="00B8222A">
        <w:rPr>
          <w:rFonts w:ascii="Calibri" w:eastAsia="Calibri" w:hAnsi="Calibri"/>
          <w:sz w:val="22"/>
          <w:szCs w:val="22"/>
          <w:lang w:eastAsia="en-US"/>
        </w:rPr>
        <w:fldChar w:fldCharType="separate"/>
      </w:r>
      <w:r w:rsidRPr="00B8222A">
        <w:rPr>
          <w:rFonts w:ascii="Calibri" w:eastAsia="Calibri" w:hAnsi="Calibri"/>
          <w:noProof/>
          <w:sz w:val="22"/>
          <w:szCs w:val="22"/>
          <w:lang w:eastAsia="es-MX"/>
        </w:rPr>
        <w:drawing>
          <wp:inline distT="0" distB="0" distL="0" distR="0" wp14:anchorId="7A401CD3" wp14:editId="089EB8E0">
            <wp:extent cx="4794250" cy="3070860"/>
            <wp:effectExtent l="0" t="0" r="635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71" cstate="print">
                      <a:extLst>
                        <a:ext uri="{28A0092B-C50C-407E-A947-70E740481C1C}">
                          <a14:useLocalDpi xmlns:a14="http://schemas.microsoft.com/office/drawing/2010/main" val="0"/>
                        </a:ext>
                      </a:extLst>
                    </a:blip>
                    <a:srcRect l="9859" t="6944" r="11424" b="3612"/>
                    <a:stretch>
                      <a:fillRect/>
                    </a:stretch>
                  </pic:blipFill>
                  <pic:spPr bwMode="auto">
                    <a:xfrm>
                      <a:off x="0" y="0"/>
                      <a:ext cx="4794250" cy="3070860"/>
                    </a:xfrm>
                    <a:prstGeom prst="rect">
                      <a:avLst/>
                    </a:prstGeom>
                    <a:noFill/>
                    <a:ln>
                      <a:noFill/>
                    </a:ln>
                  </pic:spPr>
                </pic:pic>
              </a:graphicData>
            </a:graphic>
          </wp:inline>
        </w:drawing>
      </w:r>
      <w:r w:rsidRPr="00B8222A">
        <w:rPr>
          <w:rFonts w:ascii="Calibri" w:eastAsia="Calibri" w:hAnsi="Calibri"/>
          <w:sz w:val="22"/>
          <w:szCs w:val="22"/>
          <w:lang w:eastAsia="en-US"/>
        </w:rPr>
        <w:fldChar w:fldCharType="end"/>
      </w:r>
    </w:p>
    <w:p w:rsidR="00B8222A" w:rsidRPr="00B8222A" w:rsidRDefault="00B8222A" w:rsidP="00B8222A">
      <w:pPr>
        <w:spacing w:after="360" w:line="360" w:lineRule="auto"/>
        <w:ind w:right="-159"/>
        <w:jc w:val="both"/>
        <w:rPr>
          <w:sz w:val="26"/>
          <w:szCs w:val="26"/>
          <w:lang w:val="es-ES"/>
        </w:rPr>
      </w:pPr>
      <w:r w:rsidRPr="00B8222A">
        <w:rPr>
          <w:sz w:val="26"/>
          <w:szCs w:val="26"/>
          <w:lang w:val="es-ES"/>
        </w:rPr>
        <w:t>Durante enero de 2015, llegaron al interior del país 1 millón 482 mil 540 turistas de internación, lo que representó un aumento de 7.69% con relación al mismo período del año anterior y significó un ingreso de 1 mil 349 millones 832.07 mil dólares, lo que se tradujo en una derrama económica mayor en 16.10%, a la reportada en el lapso de referencia.</w:t>
      </w:r>
    </w:p>
    <w:p w:rsidR="00B8222A" w:rsidRPr="00B8222A" w:rsidRDefault="00B8222A" w:rsidP="00B8222A">
      <w:pPr>
        <w:spacing w:after="360" w:line="360" w:lineRule="auto"/>
        <w:ind w:right="-159"/>
        <w:jc w:val="both"/>
        <w:rPr>
          <w:sz w:val="26"/>
          <w:szCs w:val="26"/>
          <w:lang w:val="es-ES"/>
        </w:rPr>
      </w:pPr>
      <w:r w:rsidRPr="00B8222A">
        <w:rPr>
          <w:sz w:val="26"/>
          <w:szCs w:val="26"/>
          <w:lang w:val="es-ES"/>
        </w:rPr>
        <w:t>Cabe señalar que los excursionistas en cruceros, durante enero de 2015, sumaron un total de 694 mil 440 turistas, cifra 21.33% mayor a la observada en igual lapso de 2014. Asimismo, por este concepto se registró un ingreso de 47 millones 907 mil 50 dólares por este rubro, lo que significó un aumento de 11.85 por ciento.</w:t>
      </w:r>
    </w:p>
    <w:p w:rsidR="00B8222A" w:rsidRDefault="00B8222A" w:rsidP="00D80D27">
      <w:pPr>
        <w:spacing w:after="360" w:line="360" w:lineRule="auto"/>
        <w:ind w:right="-159"/>
        <w:jc w:val="both"/>
        <w:rPr>
          <w:sz w:val="26"/>
          <w:szCs w:val="26"/>
          <w:lang w:val="es-ES"/>
        </w:rPr>
      </w:pPr>
      <w:r w:rsidRPr="00B8222A">
        <w:rPr>
          <w:sz w:val="26"/>
          <w:szCs w:val="26"/>
          <w:lang w:val="es-ES"/>
        </w:rPr>
        <w:t xml:space="preserve">Por su parte, el gasto medio de los turistas de internación que se internaron en el país, durante enero de 2015, ascendió a 910.48 dólares, cantidad 7.80% mayor a la observada en el mismo lapso de 2014. Asimismo, se registró un aumento de 12.18% en el gasto </w:t>
      </w:r>
      <w:r w:rsidRPr="00B8222A">
        <w:rPr>
          <w:sz w:val="26"/>
          <w:szCs w:val="26"/>
          <w:lang w:val="es-ES"/>
        </w:rPr>
        <w:lastRenderedPageBreak/>
        <w:t>medio de los turistas fronterizos, y una disminución de 7.81% de los excursionistas en crucero.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6"/>
        <w:gridCol w:w="1805"/>
        <w:gridCol w:w="1653"/>
        <w:gridCol w:w="1457"/>
      </w:tblGrid>
      <w:tr w:rsidR="00B8222A" w:rsidRPr="00B8222A" w:rsidTr="004F1C40">
        <w:trPr>
          <w:jc w:val="center"/>
        </w:trPr>
        <w:tc>
          <w:tcPr>
            <w:tcW w:w="7821" w:type="dxa"/>
            <w:gridSpan w:val="4"/>
            <w:tcBorders>
              <w:top w:val="nil"/>
              <w:left w:val="nil"/>
              <w:bottom w:val="single" w:sz="4" w:space="0" w:color="auto"/>
              <w:right w:val="nil"/>
            </w:tcBorders>
            <w:hideMark/>
          </w:tcPr>
          <w:p w:rsidR="00B8222A" w:rsidRPr="00B8222A" w:rsidRDefault="00B8222A" w:rsidP="00B8222A">
            <w:pPr>
              <w:widowControl w:val="0"/>
              <w:adjustRightInd w:val="0"/>
              <w:spacing w:line="276" w:lineRule="auto"/>
              <w:jc w:val="center"/>
              <w:textAlignment w:val="baseline"/>
              <w:rPr>
                <w:b/>
              </w:rPr>
            </w:pPr>
            <w:r w:rsidRPr="00B8222A">
              <w:rPr>
                <w:sz w:val="26"/>
                <w:szCs w:val="26"/>
              </w:rPr>
              <w:br w:type="page"/>
            </w:r>
            <w:r w:rsidRPr="00B8222A">
              <w:rPr>
                <w:b/>
                <w:sz w:val="22"/>
                <w:szCs w:val="22"/>
              </w:rPr>
              <w:t>VIAJEROS INTERNACIONALES</w:t>
            </w:r>
          </w:p>
          <w:p w:rsidR="00B8222A" w:rsidRPr="00B8222A" w:rsidRDefault="00B8222A" w:rsidP="00B8222A">
            <w:pPr>
              <w:widowControl w:val="0"/>
              <w:adjustRightInd w:val="0"/>
              <w:spacing w:line="276" w:lineRule="auto"/>
              <w:jc w:val="center"/>
              <w:textAlignment w:val="baseline"/>
              <w:rPr>
                <w:b/>
              </w:rPr>
            </w:pPr>
            <w:r w:rsidRPr="00B8222A">
              <w:rPr>
                <w:b/>
                <w:sz w:val="22"/>
                <w:szCs w:val="22"/>
              </w:rPr>
              <w:t>-Saldo e ingresos-</w:t>
            </w:r>
          </w:p>
        </w:tc>
      </w:tr>
      <w:tr w:rsidR="00B8222A" w:rsidRPr="00B8222A" w:rsidTr="004F1C40">
        <w:trPr>
          <w:jc w:val="center"/>
        </w:trPr>
        <w:tc>
          <w:tcPr>
            <w:tcW w:w="2906" w:type="dxa"/>
            <w:vMerge w:val="restart"/>
            <w:tcBorders>
              <w:top w:val="single" w:sz="4" w:space="0" w:color="auto"/>
              <w:left w:val="single" w:sz="4" w:space="0" w:color="auto"/>
              <w:bottom w:val="single" w:sz="4" w:space="0" w:color="auto"/>
              <w:right w:val="nil"/>
            </w:tcBorders>
            <w:vAlign w:val="center"/>
            <w:hideMark/>
          </w:tcPr>
          <w:p w:rsidR="00B8222A" w:rsidRPr="00B8222A" w:rsidRDefault="00B8222A" w:rsidP="00B8222A">
            <w:pPr>
              <w:widowControl w:val="0"/>
              <w:adjustRightInd w:val="0"/>
              <w:spacing w:line="276" w:lineRule="auto"/>
              <w:jc w:val="center"/>
              <w:textAlignment w:val="baseline"/>
              <w:rPr>
                <w:b/>
                <w:sz w:val="20"/>
                <w:szCs w:val="20"/>
              </w:rPr>
            </w:pPr>
            <w:r w:rsidRPr="00B8222A">
              <w:rPr>
                <w:b/>
                <w:sz w:val="20"/>
                <w:szCs w:val="20"/>
              </w:rPr>
              <w:t>Concepto</w:t>
            </w:r>
          </w:p>
        </w:tc>
        <w:tc>
          <w:tcPr>
            <w:tcW w:w="3458" w:type="dxa"/>
            <w:gridSpan w:val="2"/>
            <w:tcBorders>
              <w:top w:val="single" w:sz="4" w:space="0" w:color="auto"/>
              <w:left w:val="nil"/>
              <w:bottom w:val="single" w:sz="4" w:space="0" w:color="auto"/>
              <w:right w:val="nil"/>
            </w:tcBorders>
            <w:hideMark/>
          </w:tcPr>
          <w:p w:rsidR="00B8222A" w:rsidRPr="00B8222A" w:rsidRDefault="00B8222A" w:rsidP="00B8222A">
            <w:pPr>
              <w:widowControl w:val="0"/>
              <w:adjustRightInd w:val="0"/>
              <w:spacing w:line="276" w:lineRule="auto"/>
              <w:jc w:val="center"/>
              <w:textAlignment w:val="baseline"/>
              <w:rPr>
                <w:b/>
                <w:spacing w:val="30"/>
                <w:sz w:val="20"/>
                <w:szCs w:val="20"/>
              </w:rPr>
            </w:pPr>
            <w:r w:rsidRPr="00B8222A">
              <w:rPr>
                <w:b/>
                <w:spacing w:val="30"/>
                <w:sz w:val="20"/>
                <w:szCs w:val="20"/>
              </w:rPr>
              <w:t>Enero</w:t>
            </w:r>
          </w:p>
        </w:tc>
        <w:tc>
          <w:tcPr>
            <w:tcW w:w="1457" w:type="dxa"/>
            <w:tcBorders>
              <w:top w:val="single" w:sz="4" w:space="0" w:color="auto"/>
              <w:left w:val="nil"/>
              <w:bottom w:val="nil"/>
              <w:right w:val="single" w:sz="4" w:space="0" w:color="auto"/>
            </w:tcBorders>
            <w:hideMark/>
          </w:tcPr>
          <w:p w:rsidR="00B8222A" w:rsidRPr="00B8222A" w:rsidRDefault="00B8222A" w:rsidP="00B8222A">
            <w:pPr>
              <w:widowControl w:val="0"/>
              <w:adjustRightInd w:val="0"/>
              <w:spacing w:line="276" w:lineRule="auto"/>
              <w:jc w:val="center"/>
              <w:textAlignment w:val="baseline"/>
              <w:rPr>
                <w:b/>
                <w:sz w:val="20"/>
                <w:szCs w:val="20"/>
              </w:rPr>
            </w:pPr>
            <w:r w:rsidRPr="00B8222A">
              <w:rPr>
                <w:b/>
                <w:sz w:val="20"/>
                <w:szCs w:val="20"/>
              </w:rPr>
              <w:t>Variación</w:t>
            </w:r>
          </w:p>
        </w:tc>
      </w:tr>
      <w:tr w:rsidR="00B8222A" w:rsidRPr="00B8222A" w:rsidTr="004F1C40">
        <w:trPr>
          <w:jc w:val="center"/>
        </w:trPr>
        <w:tc>
          <w:tcPr>
            <w:tcW w:w="0" w:type="auto"/>
            <w:vMerge/>
            <w:tcBorders>
              <w:top w:val="single" w:sz="4" w:space="0" w:color="auto"/>
              <w:left w:val="single" w:sz="4" w:space="0" w:color="auto"/>
              <w:bottom w:val="single" w:sz="4" w:space="0" w:color="auto"/>
              <w:right w:val="nil"/>
            </w:tcBorders>
            <w:vAlign w:val="center"/>
            <w:hideMark/>
          </w:tcPr>
          <w:p w:rsidR="00B8222A" w:rsidRPr="00B8222A" w:rsidRDefault="00B8222A" w:rsidP="00B8222A">
            <w:pPr>
              <w:rPr>
                <w:b/>
                <w:sz w:val="20"/>
                <w:szCs w:val="20"/>
              </w:rPr>
            </w:pPr>
          </w:p>
        </w:tc>
        <w:tc>
          <w:tcPr>
            <w:tcW w:w="1805" w:type="dxa"/>
            <w:tcBorders>
              <w:top w:val="single" w:sz="4" w:space="0" w:color="auto"/>
              <w:left w:val="nil"/>
              <w:bottom w:val="nil"/>
              <w:right w:val="nil"/>
            </w:tcBorders>
            <w:hideMark/>
          </w:tcPr>
          <w:p w:rsidR="00B8222A" w:rsidRPr="00B8222A" w:rsidRDefault="00B8222A" w:rsidP="00B8222A">
            <w:pPr>
              <w:widowControl w:val="0"/>
              <w:adjustRightInd w:val="0"/>
              <w:spacing w:line="276" w:lineRule="auto"/>
              <w:jc w:val="center"/>
              <w:textAlignment w:val="baseline"/>
              <w:rPr>
                <w:b/>
                <w:sz w:val="20"/>
                <w:szCs w:val="20"/>
              </w:rPr>
            </w:pPr>
            <w:r w:rsidRPr="00B8222A">
              <w:rPr>
                <w:b/>
                <w:sz w:val="20"/>
                <w:szCs w:val="20"/>
              </w:rPr>
              <w:t>2014</w:t>
            </w:r>
          </w:p>
        </w:tc>
        <w:tc>
          <w:tcPr>
            <w:tcW w:w="1653" w:type="dxa"/>
            <w:tcBorders>
              <w:top w:val="single" w:sz="4" w:space="0" w:color="auto"/>
              <w:left w:val="nil"/>
              <w:bottom w:val="nil"/>
              <w:right w:val="nil"/>
            </w:tcBorders>
            <w:hideMark/>
          </w:tcPr>
          <w:p w:rsidR="00B8222A" w:rsidRPr="00B8222A" w:rsidRDefault="00B8222A" w:rsidP="00B8222A">
            <w:pPr>
              <w:widowControl w:val="0"/>
              <w:adjustRightInd w:val="0"/>
              <w:spacing w:line="276" w:lineRule="auto"/>
              <w:jc w:val="center"/>
              <w:textAlignment w:val="baseline"/>
              <w:rPr>
                <w:b/>
                <w:sz w:val="20"/>
                <w:szCs w:val="20"/>
              </w:rPr>
            </w:pPr>
            <w:r w:rsidRPr="00B8222A">
              <w:rPr>
                <w:b/>
                <w:sz w:val="20"/>
                <w:szCs w:val="20"/>
              </w:rPr>
              <w:t>2015</w:t>
            </w:r>
          </w:p>
        </w:tc>
        <w:tc>
          <w:tcPr>
            <w:tcW w:w="1457" w:type="dxa"/>
            <w:tcBorders>
              <w:top w:val="nil"/>
              <w:left w:val="nil"/>
              <w:bottom w:val="nil"/>
              <w:right w:val="single" w:sz="4" w:space="0" w:color="auto"/>
            </w:tcBorders>
            <w:hideMark/>
          </w:tcPr>
          <w:p w:rsidR="00B8222A" w:rsidRPr="00B8222A" w:rsidRDefault="00B8222A" w:rsidP="00B8222A">
            <w:pPr>
              <w:widowControl w:val="0"/>
              <w:adjustRightInd w:val="0"/>
              <w:spacing w:line="276" w:lineRule="auto"/>
              <w:jc w:val="center"/>
              <w:textAlignment w:val="baseline"/>
              <w:rPr>
                <w:b/>
                <w:sz w:val="20"/>
                <w:szCs w:val="20"/>
              </w:rPr>
            </w:pPr>
            <w:r w:rsidRPr="00B8222A">
              <w:rPr>
                <w:b/>
                <w:sz w:val="20"/>
                <w:szCs w:val="20"/>
              </w:rPr>
              <w:t>Relativa (%)</w:t>
            </w:r>
          </w:p>
        </w:tc>
      </w:tr>
      <w:tr w:rsidR="00B8222A" w:rsidRPr="00B8222A" w:rsidTr="004F1C40">
        <w:trPr>
          <w:jc w:val="center"/>
        </w:trPr>
        <w:tc>
          <w:tcPr>
            <w:tcW w:w="0" w:type="auto"/>
            <w:vMerge/>
            <w:tcBorders>
              <w:top w:val="single" w:sz="4" w:space="0" w:color="auto"/>
              <w:left w:val="single" w:sz="4" w:space="0" w:color="auto"/>
              <w:bottom w:val="single" w:sz="4" w:space="0" w:color="auto"/>
              <w:right w:val="nil"/>
            </w:tcBorders>
            <w:vAlign w:val="center"/>
            <w:hideMark/>
          </w:tcPr>
          <w:p w:rsidR="00B8222A" w:rsidRPr="00B8222A" w:rsidRDefault="00B8222A" w:rsidP="00B8222A">
            <w:pPr>
              <w:rPr>
                <w:b/>
                <w:sz w:val="20"/>
                <w:szCs w:val="20"/>
              </w:rPr>
            </w:pPr>
          </w:p>
        </w:tc>
        <w:tc>
          <w:tcPr>
            <w:tcW w:w="1805" w:type="dxa"/>
            <w:tcBorders>
              <w:top w:val="nil"/>
              <w:left w:val="nil"/>
              <w:bottom w:val="single" w:sz="4" w:space="0" w:color="auto"/>
              <w:right w:val="nil"/>
            </w:tcBorders>
            <w:hideMark/>
          </w:tcPr>
          <w:p w:rsidR="00B8222A" w:rsidRPr="00B8222A" w:rsidRDefault="00B8222A" w:rsidP="00B8222A">
            <w:pPr>
              <w:widowControl w:val="0"/>
              <w:adjustRightInd w:val="0"/>
              <w:spacing w:line="276" w:lineRule="auto"/>
              <w:jc w:val="center"/>
              <w:textAlignment w:val="baseline"/>
              <w:rPr>
                <w:b/>
                <w:sz w:val="20"/>
                <w:szCs w:val="20"/>
              </w:rPr>
            </w:pPr>
            <w:r w:rsidRPr="00B8222A">
              <w:rPr>
                <w:b/>
                <w:sz w:val="20"/>
                <w:szCs w:val="20"/>
              </w:rPr>
              <w:t>(A)</w:t>
            </w:r>
          </w:p>
        </w:tc>
        <w:tc>
          <w:tcPr>
            <w:tcW w:w="1653" w:type="dxa"/>
            <w:tcBorders>
              <w:top w:val="nil"/>
              <w:left w:val="nil"/>
              <w:bottom w:val="single" w:sz="4" w:space="0" w:color="auto"/>
              <w:right w:val="nil"/>
            </w:tcBorders>
            <w:hideMark/>
          </w:tcPr>
          <w:p w:rsidR="00B8222A" w:rsidRPr="00B8222A" w:rsidRDefault="00B8222A" w:rsidP="00B8222A">
            <w:pPr>
              <w:widowControl w:val="0"/>
              <w:adjustRightInd w:val="0"/>
              <w:spacing w:line="276" w:lineRule="auto"/>
              <w:jc w:val="center"/>
              <w:textAlignment w:val="baseline"/>
              <w:rPr>
                <w:b/>
                <w:sz w:val="20"/>
                <w:szCs w:val="20"/>
              </w:rPr>
            </w:pPr>
            <w:r w:rsidRPr="00B8222A">
              <w:rPr>
                <w:b/>
                <w:sz w:val="20"/>
                <w:szCs w:val="20"/>
              </w:rPr>
              <w:t>(B)</w:t>
            </w:r>
          </w:p>
        </w:tc>
        <w:tc>
          <w:tcPr>
            <w:tcW w:w="1457" w:type="dxa"/>
            <w:tcBorders>
              <w:top w:val="nil"/>
              <w:left w:val="nil"/>
              <w:bottom w:val="single" w:sz="4" w:space="0" w:color="auto"/>
              <w:right w:val="single" w:sz="4" w:space="0" w:color="auto"/>
            </w:tcBorders>
            <w:hideMark/>
          </w:tcPr>
          <w:p w:rsidR="00B8222A" w:rsidRPr="00B8222A" w:rsidRDefault="00B8222A" w:rsidP="00B8222A">
            <w:pPr>
              <w:widowControl w:val="0"/>
              <w:adjustRightInd w:val="0"/>
              <w:spacing w:line="276" w:lineRule="auto"/>
              <w:jc w:val="center"/>
              <w:textAlignment w:val="baseline"/>
              <w:rPr>
                <w:b/>
                <w:sz w:val="20"/>
                <w:szCs w:val="20"/>
              </w:rPr>
            </w:pPr>
            <w:r w:rsidRPr="00B8222A">
              <w:rPr>
                <w:b/>
                <w:sz w:val="20"/>
                <w:szCs w:val="20"/>
              </w:rPr>
              <w:t>(B/A)</w:t>
            </w:r>
          </w:p>
        </w:tc>
      </w:tr>
      <w:tr w:rsidR="00B8222A" w:rsidRPr="00B8222A" w:rsidTr="004F1C40">
        <w:trPr>
          <w:jc w:val="center"/>
        </w:trPr>
        <w:tc>
          <w:tcPr>
            <w:tcW w:w="2906" w:type="dxa"/>
            <w:tcBorders>
              <w:top w:val="single" w:sz="4" w:space="0" w:color="auto"/>
              <w:left w:val="single" w:sz="4" w:space="0" w:color="auto"/>
              <w:bottom w:val="nil"/>
              <w:right w:val="nil"/>
            </w:tcBorders>
            <w:hideMark/>
          </w:tcPr>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rPr>
              <w:t>Saldo</w:t>
            </w:r>
            <w:r w:rsidRPr="00B8222A">
              <w:rPr>
                <w:sz w:val="20"/>
                <w:szCs w:val="20"/>
                <w:u w:val="single"/>
                <w:vertAlign w:val="superscript"/>
              </w:rPr>
              <w:t>1</w:t>
            </w:r>
            <w:r w:rsidRPr="00B8222A">
              <w:rPr>
                <w:sz w:val="20"/>
                <w:szCs w:val="20"/>
                <w:vertAlign w:val="superscript"/>
              </w:rPr>
              <w:t>/</w:t>
            </w:r>
          </w:p>
        </w:tc>
        <w:tc>
          <w:tcPr>
            <w:tcW w:w="1805" w:type="dxa"/>
            <w:tcBorders>
              <w:top w:val="single" w:sz="4" w:space="0" w:color="auto"/>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581 615.03</w:t>
            </w:r>
          </w:p>
        </w:tc>
        <w:tc>
          <w:tcPr>
            <w:tcW w:w="1653" w:type="dxa"/>
            <w:tcBorders>
              <w:top w:val="single" w:sz="4" w:space="0" w:color="auto"/>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724 256.39</w:t>
            </w:r>
          </w:p>
        </w:tc>
        <w:tc>
          <w:tcPr>
            <w:tcW w:w="1457" w:type="dxa"/>
            <w:tcBorders>
              <w:top w:val="single" w:sz="4" w:space="0" w:color="auto"/>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24.53</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113"/>
              <w:jc w:val="both"/>
              <w:textAlignment w:val="baseline"/>
              <w:rPr>
                <w:sz w:val="20"/>
                <w:szCs w:val="20"/>
              </w:rPr>
            </w:pPr>
            <w:r w:rsidRPr="00B8222A">
              <w:rPr>
                <w:sz w:val="20"/>
                <w:szCs w:val="20"/>
              </w:rPr>
              <w:t>Ingresos</w:t>
            </w:r>
            <w:r w:rsidRPr="00B8222A">
              <w:rPr>
                <w:sz w:val="20"/>
                <w:szCs w:val="20"/>
                <w:u w:val="single"/>
                <w:vertAlign w:val="superscript"/>
              </w:rPr>
              <w:t>1</w:t>
            </w:r>
            <w:r w:rsidRPr="00B8222A">
              <w:rPr>
                <w:sz w:val="20"/>
                <w:szCs w:val="20"/>
                <w:vertAlign w:val="superscript"/>
              </w:rPr>
              <w:t>/</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1 389 147.46</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1 583 759.55</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14.01</w:t>
            </w:r>
          </w:p>
        </w:tc>
      </w:tr>
      <w:tr w:rsidR="00B8222A" w:rsidRPr="00B8222A" w:rsidTr="004F1C40">
        <w:trPr>
          <w:jc w:val="center"/>
        </w:trPr>
        <w:tc>
          <w:tcPr>
            <w:tcW w:w="2906" w:type="dxa"/>
            <w:tcBorders>
              <w:top w:val="nil"/>
              <w:left w:val="single" w:sz="4" w:space="0" w:color="auto"/>
              <w:bottom w:val="nil"/>
              <w:right w:val="nil"/>
            </w:tcBorders>
          </w:tcPr>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rPr>
              <w:t xml:space="preserve">    Turistas internacionales</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1 207 936.63</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1 412 995.82</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16.98</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Turistas de internación</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1 162 682.96</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1 349 832.07</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16.10</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Turistas fronterizos</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45 253.67</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63 163.75</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39.58</w:t>
            </w:r>
          </w:p>
        </w:tc>
      </w:tr>
      <w:tr w:rsidR="00B8222A" w:rsidRPr="00B8222A" w:rsidTr="004F1C40">
        <w:trPr>
          <w:jc w:val="center"/>
        </w:trPr>
        <w:tc>
          <w:tcPr>
            <w:tcW w:w="2906" w:type="dxa"/>
            <w:tcBorders>
              <w:top w:val="nil"/>
              <w:left w:val="single" w:sz="4" w:space="0" w:color="auto"/>
              <w:bottom w:val="nil"/>
              <w:right w:val="nil"/>
            </w:tcBorders>
          </w:tcPr>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rPr>
              <w:t xml:space="preserve">    Excursionistas internacionales</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181 210.83</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170 763.73</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-5.77</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Excursionistas fronterizos</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138 378.83</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122 856.68</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-11.22</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Excursionistas en cruceros</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42 832.00</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47 907.05</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11.85</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113"/>
              <w:jc w:val="both"/>
              <w:textAlignment w:val="baseline"/>
              <w:rPr>
                <w:sz w:val="20"/>
                <w:szCs w:val="20"/>
              </w:rPr>
            </w:pPr>
            <w:r w:rsidRPr="00B8222A">
              <w:rPr>
                <w:sz w:val="20"/>
                <w:szCs w:val="20"/>
              </w:rPr>
              <w:t>Número de viajeros</w:t>
            </w:r>
            <w:r w:rsidRPr="00B8222A">
              <w:rPr>
                <w:sz w:val="20"/>
                <w:szCs w:val="20"/>
                <w:u w:val="single"/>
                <w:vertAlign w:val="superscript"/>
              </w:rPr>
              <w:t>2</w:t>
            </w:r>
            <w:r w:rsidRPr="00B8222A">
              <w:rPr>
                <w:sz w:val="20"/>
                <w:szCs w:val="20"/>
                <w:vertAlign w:val="superscript"/>
              </w:rPr>
              <w:t>/</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6 558.77</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7 250.43</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10.55</w:t>
            </w:r>
          </w:p>
        </w:tc>
      </w:tr>
      <w:tr w:rsidR="00B8222A" w:rsidRPr="00B8222A" w:rsidTr="004F1C40">
        <w:trPr>
          <w:jc w:val="center"/>
        </w:trPr>
        <w:tc>
          <w:tcPr>
            <w:tcW w:w="2906" w:type="dxa"/>
            <w:tcBorders>
              <w:top w:val="nil"/>
              <w:left w:val="single" w:sz="4" w:space="0" w:color="auto"/>
              <w:bottom w:val="nil"/>
              <w:right w:val="nil"/>
            </w:tcBorders>
          </w:tcPr>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rPr>
              <w:t xml:space="preserve">    Turistas internacionales</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2 274.37</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2 599.47</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14.29</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Turistas de internación</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1 376.64</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1 482.54</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7.69</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Turistas fronterizos</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897.73</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1 116.93</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24.42</w:t>
            </w:r>
          </w:p>
        </w:tc>
      </w:tr>
      <w:tr w:rsidR="00B8222A" w:rsidRPr="00B8222A" w:rsidTr="004F1C40">
        <w:trPr>
          <w:jc w:val="center"/>
        </w:trPr>
        <w:tc>
          <w:tcPr>
            <w:tcW w:w="2906" w:type="dxa"/>
            <w:tcBorders>
              <w:top w:val="nil"/>
              <w:left w:val="single" w:sz="4" w:space="0" w:color="auto"/>
              <w:bottom w:val="nil"/>
              <w:right w:val="nil"/>
            </w:tcBorders>
          </w:tcPr>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rPr>
              <w:t xml:space="preserve">    Excursionistas internacionales</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4 284.40</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4 650.96</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8.56</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Excursionistas fronterizos</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3 712.04</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3 956.52</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6.59</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Excursionistas en cruceros</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572.36</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694.44</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21.33</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113"/>
              <w:jc w:val="both"/>
              <w:textAlignment w:val="baseline"/>
              <w:rPr>
                <w:sz w:val="20"/>
                <w:szCs w:val="20"/>
              </w:rPr>
            </w:pPr>
            <w:r w:rsidRPr="00B8222A">
              <w:rPr>
                <w:sz w:val="20"/>
                <w:szCs w:val="20"/>
              </w:rPr>
              <w:t>Gasto medio</w:t>
            </w:r>
            <w:r w:rsidRPr="00B8222A">
              <w:rPr>
                <w:sz w:val="20"/>
                <w:szCs w:val="20"/>
                <w:u w:val="single"/>
                <w:vertAlign w:val="superscript"/>
              </w:rPr>
              <w:t>3</w:t>
            </w:r>
            <w:r w:rsidRPr="00B8222A">
              <w:rPr>
                <w:sz w:val="20"/>
                <w:szCs w:val="20"/>
                <w:vertAlign w:val="superscript"/>
              </w:rPr>
              <w:t>/</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211.80</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218.44</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3.13</w:t>
            </w:r>
          </w:p>
        </w:tc>
      </w:tr>
      <w:tr w:rsidR="00B8222A" w:rsidRPr="00B8222A" w:rsidTr="004F1C40">
        <w:trPr>
          <w:jc w:val="center"/>
        </w:trPr>
        <w:tc>
          <w:tcPr>
            <w:tcW w:w="2906" w:type="dxa"/>
            <w:tcBorders>
              <w:top w:val="nil"/>
              <w:left w:val="single" w:sz="4" w:space="0" w:color="auto"/>
              <w:bottom w:val="nil"/>
              <w:right w:val="nil"/>
            </w:tcBorders>
          </w:tcPr>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rPr>
              <w:t xml:space="preserve">    Turistas internacionales</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531.11</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543.57</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2.35</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Turistas de internación</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844.58</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910.48</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7.80</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Turistas fronterizos</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50.41</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56.55</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12.18</w:t>
            </w:r>
          </w:p>
        </w:tc>
      </w:tr>
      <w:tr w:rsidR="00B8222A" w:rsidRPr="00B8222A" w:rsidTr="004F1C40">
        <w:trPr>
          <w:jc w:val="center"/>
        </w:trPr>
        <w:tc>
          <w:tcPr>
            <w:tcW w:w="2906" w:type="dxa"/>
            <w:tcBorders>
              <w:top w:val="nil"/>
              <w:left w:val="single" w:sz="4" w:space="0" w:color="auto"/>
              <w:bottom w:val="nil"/>
              <w:right w:val="nil"/>
            </w:tcBorders>
          </w:tcPr>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rPr>
              <w:t xml:space="preserve">    Excursionistas internacionales</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42.30</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36.72</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-13.19</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Excursionistas fronterizos</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37.28</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31.05</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-16.70</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Excursionistas en cruceros</w:t>
            </w:r>
          </w:p>
        </w:tc>
        <w:tc>
          <w:tcPr>
            <w:tcW w:w="1805"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74.83</w:t>
            </w:r>
          </w:p>
        </w:tc>
        <w:tc>
          <w:tcPr>
            <w:tcW w:w="165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68.99</w:t>
            </w:r>
          </w:p>
        </w:tc>
        <w:tc>
          <w:tcPr>
            <w:tcW w:w="1457"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-7.81</w:t>
            </w:r>
          </w:p>
        </w:tc>
      </w:tr>
      <w:tr w:rsidR="00B8222A" w:rsidRPr="00B8222A" w:rsidTr="004F1C40">
        <w:trPr>
          <w:jc w:val="center"/>
        </w:trPr>
        <w:tc>
          <w:tcPr>
            <w:tcW w:w="7821" w:type="dxa"/>
            <w:gridSpan w:val="4"/>
            <w:tcBorders>
              <w:top w:val="single" w:sz="4" w:space="0" w:color="auto"/>
              <w:left w:val="nil"/>
              <w:bottom w:val="nil"/>
              <w:right w:val="nil"/>
            </w:tcBorders>
            <w:hideMark/>
          </w:tcPr>
          <w:p w:rsidR="00B8222A" w:rsidRPr="00B8222A" w:rsidRDefault="00B8222A" w:rsidP="00B8222A">
            <w:pPr>
              <w:widowControl w:val="0"/>
              <w:adjustRightInd w:val="0"/>
              <w:spacing w:line="276" w:lineRule="auto"/>
              <w:ind w:left="510" w:hanging="510"/>
              <w:jc w:val="both"/>
              <w:textAlignment w:val="baseline"/>
              <w:rPr>
                <w:sz w:val="20"/>
                <w:szCs w:val="20"/>
              </w:rPr>
            </w:pPr>
            <w:r w:rsidRPr="00B8222A">
              <w:rPr>
                <w:sz w:val="20"/>
                <w:szCs w:val="20"/>
              </w:rPr>
              <w:t>Nota: Con la finalidad de disponer de una estadística más precisa de las entradas al país de mexicanos residentes en el exterior, el Comité Técnico Especializado de Estadísticas Económicas del Sector Turismo acordó incorporar como fuente de información complementaria a la estadística de viajeros internacionales a partir de 2013, el número de mexicanos con residencia en el extranjero que ingresaron al interior del país en vehículos con placas foráneas importados temporalmente, el cual se obtiene a partir de registros administrativos recabados por el Banco Nacional del Ejército Fuerza Aérea y Armada (BANJERCITO).</w:t>
            </w:r>
          </w:p>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u w:val="single"/>
              </w:rPr>
              <w:t>1</w:t>
            </w:r>
            <w:r w:rsidRPr="00B8222A">
              <w:rPr>
                <w:sz w:val="20"/>
                <w:szCs w:val="20"/>
              </w:rPr>
              <w:t>/ Los conceptos referentes a saldo e ingresos se expresan en miles de dólares.</w:t>
            </w:r>
          </w:p>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u w:val="single"/>
              </w:rPr>
              <w:t>2</w:t>
            </w:r>
            <w:r w:rsidRPr="00B8222A">
              <w:rPr>
                <w:sz w:val="20"/>
                <w:szCs w:val="20"/>
              </w:rPr>
              <w:t>/ Los conceptos referentes a número de viajeros se expresan en miles.</w:t>
            </w:r>
          </w:p>
          <w:p w:rsidR="00B8222A" w:rsidRPr="00B8222A" w:rsidRDefault="00B8222A" w:rsidP="00B8222A">
            <w:pPr>
              <w:widowControl w:val="0"/>
              <w:adjustRightInd w:val="0"/>
              <w:spacing w:line="276" w:lineRule="auto"/>
              <w:ind w:left="284" w:hanging="284"/>
              <w:jc w:val="both"/>
              <w:textAlignment w:val="baseline"/>
              <w:rPr>
                <w:sz w:val="20"/>
                <w:szCs w:val="20"/>
              </w:rPr>
            </w:pPr>
            <w:r w:rsidRPr="00B8222A">
              <w:rPr>
                <w:sz w:val="20"/>
                <w:szCs w:val="20"/>
                <w:u w:val="single"/>
              </w:rPr>
              <w:t>3</w:t>
            </w:r>
            <w:r w:rsidRPr="00B8222A">
              <w:rPr>
                <w:sz w:val="20"/>
                <w:szCs w:val="20"/>
              </w:rPr>
              <w:t>/ Los conceptos referentes a gasto medio se expresan en dólares.</w:t>
            </w:r>
          </w:p>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rPr>
              <w:t>FUENTE: Banco de México y Secretaría de Turismo.</w:t>
            </w:r>
          </w:p>
        </w:tc>
      </w:tr>
    </w:tbl>
    <w:p w:rsidR="00B8222A" w:rsidRPr="00B8222A" w:rsidRDefault="00B8222A" w:rsidP="00B8222A">
      <w:pPr>
        <w:spacing w:after="360" w:line="360" w:lineRule="auto"/>
        <w:ind w:right="-159"/>
        <w:jc w:val="both"/>
        <w:rPr>
          <w:sz w:val="26"/>
          <w:szCs w:val="26"/>
          <w:lang w:val="es-ES"/>
        </w:rPr>
      </w:pPr>
    </w:p>
    <w:p w:rsidR="00B8222A" w:rsidRPr="00B8222A" w:rsidRDefault="00B8222A" w:rsidP="00B8222A">
      <w:pPr>
        <w:spacing w:after="360" w:line="360" w:lineRule="auto"/>
        <w:ind w:right="-159"/>
        <w:jc w:val="both"/>
        <w:rPr>
          <w:sz w:val="26"/>
          <w:szCs w:val="26"/>
          <w:lang w:val="es-ES"/>
        </w:rPr>
      </w:pPr>
      <w:r w:rsidRPr="00B8222A">
        <w:rPr>
          <w:sz w:val="26"/>
          <w:szCs w:val="26"/>
          <w:lang w:val="es-ES"/>
        </w:rPr>
        <w:lastRenderedPageBreak/>
        <w:t xml:space="preserve">En lo que respecta al turismo </w:t>
      </w:r>
      <w:proofErr w:type="spellStart"/>
      <w:r w:rsidRPr="00B8222A">
        <w:rPr>
          <w:sz w:val="26"/>
          <w:szCs w:val="26"/>
          <w:lang w:val="es-ES"/>
        </w:rPr>
        <w:t>egresivo</w:t>
      </w:r>
      <w:proofErr w:type="spellEnd"/>
      <w:r w:rsidRPr="00B8222A">
        <w:rPr>
          <w:sz w:val="26"/>
          <w:szCs w:val="26"/>
          <w:lang w:val="es-ES"/>
        </w:rPr>
        <w:t>, éste realizó erogaciones por 859 millones 503.16 mil dólares en enero de 2015, lo que representó un aumento de 6.44% con relación a lo observado en el mismo lapso de 2014. Asimismo, el gasto medio que realizó el turismo de internación en el exterior fue de 612.27 dólares, lo que evidenció un aumento de 9.19%; mientras que el gasto medio de los turistas fronterizos fue de 66.24 dólares, cifra 29.98% por arriba de la registrada en el período de referencia.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6"/>
        <w:gridCol w:w="1623"/>
        <w:gridCol w:w="1800"/>
        <w:gridCol w:w="1440"/>
      </w:tblGrid>
      <w:tr w:rsidR="00B8222A" w:rsidRPr="00B8222A" w:rsidTr="004F1C40">
        <w:trPr>
          <w:jc w:val="center"/>
        </w:trPr>
        <w:tc>
          <w:tcPr>
            <w:tcW w:w="7769" w:type="dxa"/>
            <w:gridSpan w:val="4"/>
            <w:tcBorders>
              <w:top w:val="nil"/>
              <w:left w:val="nil"/>
              <w:bottom w:val="single" w:sz="4" w:space="0" w:color="auto"/>
              <w:right w:val="nil"/>
            </w:tcBorders>
            <w:hideMark/>
          </w:tcPr>
          <w:p w:rsidR="00B8222A" w:rsidRPr="00B8222A" w:rsidRDefault="00B8222A" w:rsidP="00B8222A">
            <w:pPr>
              <w:widowControl w:val="0"/>
              <w:adjustRightInd w:val="0"/>
              <w:spacing w:line="276" w:lineRule="auto"/>
              <w:jc w:val="center"/>
              <w:textAlignment w:val="baseline"/>
              <w:rPr>
                <w:b/>
              </w:rPr>
            </w:pPr>
            <w:r w:rsidRPr="00B8222A">
              <w:rPr>
                <w:b/>
                <w:sz w:val="22"/>
                <w:szCs w:val="22"/>
              </w:rPr>
              <w:t>VIAJEROS INTERNACIONALES</w:t>
            </w:r>
          </w:p>
          <w:p w:rsidR="00B8222A" w:rsidRPr="00B8222A" w:rsidRDefault="00B8222A" w:rsidP="00B8222A">
            <w:pPr>
              <w:widowControl w:val="0"/>
              <w:adjustRightInd w:val="0"/>
              <w:spacing w:line="276" w:lineRule="auto"/>
              <w:jc w:val="center"/>
              <w:textAlignment w:val="baseline"/>
              <w:rPr>
                <w:b/>
              </w:rPr>
            </w:pPr>
            <w:r w:rsidRPr="00B8222A">
              <w:rPr>
                <w:b/>
                <w:sz w:val="22"/>
                <w:szCs w:val="22"/>
              </w:rPr>
              <w:t>-Egresos-</w:t>
            </w:r>
          </w:p>
        </w:tc>
      </w:tr>
      <w:tr w:rsidR="00B8222A" w:rsidRPr="00B8222A" w:rsidTr="004F1C40">
        <w:trPr>
          <w:jc w:val="center"/>
        </w:trPr>
        <w:tc>
          <w:tcPr>
            <w:tcW w:w="2906" w:type="dxa"/>
            <w:vMerge w:val="restart"/>
            <w:tcBorders>
              <w:top w:val="single" w:sz="4" w:space="0" w:color="auto"/>
              <w:left w:val="single" w:sz="4" w:space="0" w:color="auto"/>
              <w:bottom w:val="single" w:sz="4" w:space="0" w:color="auto"/>
              <w:right w:val="nil"/>
            </w:tcBorders>
            <w:vAlign w:val="center"/>
            <w:hideMark/>
          </w:tcPr>
          <w:p w:rsidR="00B8222A" w:rsidRPr="00B8222A" w:rsidRDefault="00B8222A" w:rsidP="00B8222A">
            <w:pPr>
              <w:widowControl w:val="0"/>
              <w:adjustRightInd w:val="0"/>
              <w:spacing w:line="276" w:lineRule="auto"/>
              <w:jc w:val="center"/>
              <w:textAlignment w:val="baseline"/>
              <w:rPr>
                <w:b/>
                <w:sz w:val="20"/>
                <w:szCs w:val="20"/>
              </w:rPr>
            </w:pPr>
            <w:r w:rsidRPr="00B8222A">
              <w:rPr>
                <w:b/>
                <w:sz w:val="20"/>
                <w:szCs w:val="20"/>
              </w:rPr>
              <w:t>Concepto</w:t>
            </w:r>
          </w:p>
        </w:tc>
        <w:tc>
          <w:tcPr>
            <w:tcW w:w="3423" w:type="dxa"/>
            <w:gridSpan w:val="2"/>
            <w:tcBorders>
              <w:top w:val="single" w:sz="4" w:space="0" w:color="auto"/>
              <w:left w:val="nil"/>
              <w:bottom w:val="single" w:sz="4" w:space="0" w:color="auto"/>
              <w:right w:val="nil"/>
            </w:tcBorders>
            <w:hideMark/>
          </w:tcPr>
          <w:p w:rsidR="00B8222A" w:rsidRPr="00B8222A" w:rsidRDefault="00B8222A" w:rsidP="00B8222A">
            <w:pPr>
              <w:widowControl w:val="0"/>
              <w:adjustRightInd w:val="0"/>
              <w:spacing w:line="276" w:lineRule="auto"/>
              <w:jc w:val="center"/>
              <w:textAlignment w:val="baseline"/>
              <w:rPr>
                <w:b/>
                <w:spacing w:val="30"/>
                <w:sz w:val="20"/>
                <w:szCs w:val="20"/>
              </w:rPr>
            </w:pPr>
            <w:r w:rsidRPr="00B8222A">
              <w:rPr>
                <w:b/>
                <w:spacing w:val="30"/>
                <w:sz w:val="20"/>
                <w:szCs w:val="20"/>
              </w:rPr>
              <w:t>Enero</w:t>
            </w:r>
          </w:p>
        </w:tc>
        <w:tc>
          <w:tcPr>
            <w:tcW w:w="1440" w:type="dxa"/>
            <w:tcBorders>
              <w:top w:val="single" w:sz="4" w:space="0" w:color="auto"/>
              <w:left w:val="nil"/>
              <w:bottom w:val="nil"/>
              <w:right w:val="single" w:sz="4" w:space="0" w:color="auto"/>
            </w:tcBorders>
            <w:hideMark/>
          </w:tcPr>
          <w:p w:rsidR="00B8222A" w:rsidRPr="00B8222A" w:rsidRDefault="00B8222A" w:rsidP="00B8222A">
            <w:pPr>
              <w:widowControl w:val="0"/>
              <w:adjustRightInd w:val="0"/>
              <w:spacing w:line="276" w:lineRule="auto"/>
              <w:jc w:val="center"/>
              <w:textAlignment w:val="baseline"/>
              <w:rPr>
                <w:b/>
                <w:sz w:val="20"/>
                <w:szCs w:val="20"/>
              </w:rPr>
            </w:pPr>
            <w:r w:rsidRPr="00B8222A">
              <w:rPr>
                <w:b/>
                <w:sz w:val="20"/>
                <w:szCs w:val="20"/>
              </w:rPr>
              <w:t>Variación</w:t>
            </w:r>
          </w:p>
        </w:tc>
      </w:tr>
      <w:tr w:rsidR="00B8222A" w:rsidRPr="00B8222A" w:rsidTr="004F1C40">
        <w:trPr>
          <w:jc w:val="center"/>
        </w:trPr>
        <w:tc>
          <w:tcPr>
            <w:tcW w:w="0" w:type="auto"/>
            <w:vMerge/>
            <w:tcBorders>
              <w:top w:val="single" w:sz="4" w:space="0" w:color="auto"/>
              <w:left w:val="single" w:sz="4" w:space="0" w:color="auto"/>
              <w:bottom w:val="single" w:sz="4" w:space="0" w:color="auto"/>
              <w:right w:val="nil"/>
            </w:tcBorders>
            <w:vAlign w:val="center"/>
            <w:hideMark/>
          </w:tcPr>
          <w:p w:rsidR="00B8222A" w:rsidRPr="00B8222A" w:rsidRDefault="00B8222A" w:rsidP="00B8222A">
            <w:pPr>
              <w:rPr>
                <w:b/>
                <w:sz w:val="20"/>
                <w:szCs w:val="20"/>
              </w:rPr>
            </w:pPr>
          </w:p>
        </w:tc>
        <w:tc>
          <w:tcPr>
            <w:tcW w:w="1623" w:type="dxa"/>
            <w:tcBorders>
              <w:top w:val="single" w:sz="4" w:space="0" w:color="auto"/>
              <w:left w:val="nil"/>
              <w:bottom w:val="nil"/>
              <w:right w:val="nil"/>
            </w:tcBorders>
            <w:hideMark/>
          </w:tcPr>
          <w:p w:rsidR="00B8222A" w:rsidRPr="00B8222A" w:rsidRDefault="00B8222A" w:rsidP="00B8222A">
            <w:pPr>
              <w:widowControl w:val="0"/>
              <w:adjustRightInd w:val="0"/>
              <w:spacing w:line="276" w:lineRule="auto"/>
              <w:jc w:val="center"/>
              <w:textAlignment w:val="baseline"/>
              <w:rPr>
                <w:b/>
                <w:sz w:val="20"/>
                <w:szCs w:val="20"/>
              </w:rPr>
            </w:pPr>
            <w:r w:rsidRPr="00B8222A">
              <w:rPr>
                <w:b/>
                <w:sz w:val="20"/>
                <w:szCs w:val="20"/>
              </w:rPr>
              <w:t>2014</w:t>
            </w:r>
          </w:p>
        </w:tc>
        <w:tc>
          <w:tcPr>
            <w:tcW w:w="1800" w:type="dxa"/>
            <w:tcBorders>
              <w:top w:val="single" w:sz="4" w:space="0" w:color="auto"/>
              <w:left w:val="nil"/>
              <w:bottom w:val="nil"/>
              <w:right w:val="nil"/>
            </w:tcBorders>
            <w:hideMark/>
          </w:tcPr>
          <w:p w:rsidR="00B8222A" w:rsidRPr="00B8222A" w:rsidRDefault="00B8222A" w:rsidP="00B8222A">
            <w:pPr>
              <w:widowControl w:val="0"/>
              <w:adjustRightInd w:val="0"/>
              <w:spacing w:line="276" w:lineRule="auto"/>
              <w:jc w:val="center"/>
              <w:textAlignment w:val="baseline"/>
              <w:rPr>
                <w:b/>
                <w:sz w:val="20"/>
                <w:szCs w:val="20"/>
              </w:rPr>
            </w:pPr>
            <w:r w:rsidRPr="00B8222A">
              <w:rPr>
                <w:b/>
                <w:sz w:val="20"/>
                <w:szCs w:val="20"/>
              </w:rPr>
              <w:t>2015</w:t>
            </w:r>
          </w:p>
        </w:tc>
        <w:tc>
          <w:tcPr>
            <w:tcW w:w="1440" w:type="dxa"/>
            <w:tcBorders>
              <w:top w:val="nil"/>
              <w:left w:val="nil"/>
              <w:bottom w:val="nil"/>
              <w:right w:val="single" w:sz="4" w:space="0" w:color="auto"/>
            </w:tcBorders>
            <w:hideMark/>
          </w:tcPr>
          <w:p w:rsidR="00B8222A" w:rsidRPr="00B8222A" w:rsidRDefault="00B8222A" w:rsidP="00B8222A">
            <w:pPr>
              <w:widowControl w:val="0"/>
              <w:adjustRightInd w:val="0"/>
              <w:spacing w:line="276" w:lineRule="auto"/>
              <w:jc w:val="center"/>
              <w:textAlignment w:val="baseline"/>
              <w:rPr>
                <w:b/>
                <w:sz w:val="20"/>
                <w:szCs w:val="20"/>
              </w:rPr>
            </w:pPr>
            <w:r w:rsidRPr="00B8222A">
              <w:rPr>
                <w:b/>
                <w:sz w:val="20"/>
                <w:szCs w:val="20"/>
              </w:rPr>
              <w:t>Relativa (%)</w:t>
            </w:r>
          </w:p>
        </w:tc>
      </w:tr>
      <w:tr w:rsidR="00B8222A" w:rsidRPr="00B8222A" w:rsidTr="004F1C40">
        <w:trPr>
          <w:jc w:val="center"/>
        </w:trPr>
        <w:tc>
          <w:tcPr>
            <w:tcW w:w="0" w:type="auto"/>
            <w:vMerge/>
            <w:tcBorders>
              <w:top w:val="single" w:sz="4" w:space="0" w:color="auto"/>
              <w:left w:val="single" w:sz="4" w:space="0" w:color="auto"/>
              <w:bottom w:val="single" w:sz="4" w:space="0" w:color="auto"/>
              <w:right w:val="nil"/>
            </w:tcBorders>
            <w:vAlign w:val="center"/>
            <w:hideMark/>
          </w:tcPr>
          <w:p w:rsidR="00B8222A" w:rsidRPr="00B8222A" w:rsidRDefault="00B8222A" w:rsidP="00B8222A">
            <w:pPr>
              <w:rPr>
                <w:b/>
                <w:sz w:val="20"/>
                <w:szCs w:val="20"/>
              </w:rPr>
            </w:pPr>
          </w:p>
        </w:tc>
        <w:tc>
          <w:tcPr>
            <w:tcW w:w="1623" w:type="dxa"/>
            <w:tcBorders>
              <w:top w:val="nil"/>
              <w:left w:val="nil"/>
              <w:bottom w:val="single" w:sz="4" w:space="0" w:color="auto"/>
              <w:right w:val="nil"/>
            </w:tcBorders>
            <w:hideMark/>
          </w:tcPr>
          <w:p w:rsidR="00B8222A" w:rsidRPr="00B8222A" w:rsidRDefault="00B8222A" w:rsidP="00B8222A">
            <w:pPr>
              <w:widowControl w:val="0"/>
              <w:adjustRightInd w:val="0"/>
              <w:spacing w:line="276" w:lineRule="auto"/>
              <w:jc w:val="center"/>
              <w:textAlignment w:val="baseline"/>
              <w:rPr>
                <w:b/>
                <w:sz w:val="20"/>
                <w:szCs w:val="20"/>
              </w:rPr>
            </w:pPr>
            <w:r w:rsidRPr="00B8222A">
              <w:rPr>
                <w:b/>
                <w:sz w:val="20"/>
                <w:szCs w:val="20"/>
              </w:rPr>
              <w:t>(A)</w:t>
            </w:r>
          </w:p>
        </w:tc>
        <w:tc>
          <w:tcPr>
            <w:tcW w:w="1800" w:type="dxa"/>
            <w:tcBorders>
              <w:top w:val="nil"/>
              <w:left w:val="nil"/>
              <w:bottom w:val="single" w:sz="4" w:space="0" w:color="auto"/>
              <w:right w:val="nil"/>
            </w:tcBorders>
            <w:hideMark/>
          </w:tcPr>
          <w:p w:rsidR="00B8222A" w:rsidRPr="00B8222A" w:rsidRDefault="00B8222A" w:rsidP="00B8222A">
            <w:pPr>
              <w:widowControl w:val="0"/>
              <w:adjustRightInd w:val="0"/>
              <w:spacing w:line="276" w:lineRule="auto"/>
              <w:jc w:val="center"/>
              <w:textAlignment w:val="baseline"/>
              <w:rPr>
                <w:b/>
                <w:sz w:val="20"/>
                <w:szCs w:val="20"/>
              </w:rPr>
            </w:pPr>
            <w:r w:rsidRPr="00B8222A">
              <w:rPr>
                <w:b/>
                <w:sz w:val="20"/>
                <w:szCs w:val="20"/>
              </w:rPr>
              <w:t>(B)</w:t>
            </w:r>
          </w:p>
        </w:tc>
        <w:tc>
          <w:tcPr>
            <w:tcW w:w="1440" w:type="dxa"/>
            <w:tcBorders>
              <w:top w:val="nil"/>
              <w:left w:val="nil"/>
              <w:bottom w:val="single" w:sz="4" w:space="0" w:color="auto"/>
              <w:right w:val="single" w:sz="4" w:space="0" w:color="auto"/>
            </w:tcBorders>
            <w:hideMark/>
          </w:tcPr>
          <w:p w:rsidR="00B8222A" w:rsidRPr="00B8222A" w:rsidRDefault="00B8222A" w:rsidP="00B8222A">
            <w:pPr>
              <w:widowControl w:val="0"/>
              <w:adjustRightInd w:val="0"/>
              <w:spacing w:line="276" w:lineRule="auto"/>
              <w:jc w:val="center"/>
              <w:textAlignment w:val="baseline"/>
              <w:rPr>
                <w:b/>
                <w:sz w:val="20"/>
                <w:szCs w:val="20"/>
              </w:rPr>
            </w:pPr>
            <w:r w:rsidRPr="00B8222A">
              <w:rPr>
                <w:b/>
                <w:sz w:val="20"/>
                <w:szCs w:val="20"/>
              </w:rPr>
              <w:t>(B/A)</w:t>
            </w:r>
          </w:p>
        </w:tc>
      </w:tr>
      <w:tr w:rsidR="00B8222A" w:rsidRPr="00B8222A" w:rsidTr="004F1C40">
        <w:trPr>
          <w:jc w:val="center"/>
        </w:trPr>
        <w:tc>
          <w:tcPr>
            <w:tcW w:w="2906" w:type="dxa"/>
            <w:tcBorders>
              <w:top w:val="single" w:sz="4" w:space="0" w:color="auto"/>
              <w:left w:val="single" w:sz="4" w:space="0" w:color="auto"/>
              <w:bottom w:val="nil"/>
              <w:right w:val="nil"/>
            </w:tcBorders>
            <w:hideMark/>
          </w:tcPr>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rPr>
              <w:t>Egresos</w:t>
            </w:r>
            <w:r w:rsidRPr="00B8222A">
              <w:rPr>
                <w:sz w:val="20"/>
                <w:szCs w:val="20"/>
                <w:u w:val="single"/>
                <w:vertAlign w:val="superscript"/>
              </w:rPr>
              <w:t>1</w:t>
            </w:r>
            <w:r w:rsidRPr="00B8222A">
              <w:rPr>
                <w:sz w:val="20"/>
                <w:szCs w:val="20"/>
                <w:vertAlign w:val="superscript"/>
              </w:rPr>
              <w:t>/</w:t>
            </w:r>
          </w:p>
        </w:tc>
        <w:tc>
          <w:tcPr>
            <w:tcW w:w="1623" w:type="dxa"/>
            <w:tcBorders>
              <w:top w:val="single" w:sz="4" w:space="0" w:color="auto"/>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807 532.43</w:t>
            </w:r>
          </w:p>
        </w:tc>
        <w:tc>
          <w:tcPr>
            <w:tcW w:w="1800" w:type="dxa"/>
            <w:tcBorders>
              <w:top w:val="single" w:sz="4" w:space="0" w:color="auto"/>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859 503.16</w:t>
            </w:r>
          </w:p>
        </w:tc>
        <w:tc>
          <w:tcPr>
            <w:tcW w:w="1440" w:type="dxa"/>
            <w:tcBorders>
              <w:top w:val="single" w:sz="4" w:space="0" w:color="auto"/>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6.44</w:t>
            </w:r>
          </w:p>
        </w:tc>
      </w:tr>
      <w:tr w:rsidR="00B8222A" w:rsidRPr="00B8222A" w:rsidTr="004F1C40">
        <w:trPr>
          <w:jc w:val="center"/>
        </w:trPr>
        <w:tc>
          <w:tcPr>
            <w:tcW w:w="2906" w:type="dxa"/>
            <w:tcBorders>
              <w:top w:val="nil"/>
              <w:left w:val="single" w:sz="4" w:space="0" w:color="auto"/>
              <w:bottom w:val="nil"/>
              <w:right w:val="nil"/>
            </w:tcBorders>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Turistas internacionales</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571 138.04</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602 546.15</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5.50</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Turistas de internación</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546 728.62</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559 992.52</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2.43</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Turistas fronterizos</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24 409.42</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42 553.63</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74.33</w:t>
            </w:r>
          </w:p>
        </w:tc>
      </w:tr>
      <w:tr w:rsidR="00B8222A" w:rsidRPr="00B8222A" w:rsidTr="004F1C40">
        <w:trPr>
          <w:jc w:val="center"/>
        </w:trPr>
        <w:tc>
          <w:tcPr>
            <w:tcW w:w="2906" w:type="dxa"/>
            <w:tcBorders>
              <w:top w:val="nil"/>
              <w:left w:val="single" w:sz="4" w:space="0" w:color="auto"/>
              <w:bottom w:val="nil"/>
              <w:right w:val="nil"/>
            </w:tcBorders>
          </w:tcPr>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rPr>
              <w:t xml:space="preserve">    Excursionistas internacionales</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236 394.39</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256 957.02</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8.70</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Excursionistas fronterizos</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236 394.39</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256 957.02</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8.70</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113"/>
              <w:jc w:val="both"/>
              <w:textAlignment w:val="baseline"/>
              <w:rPr>
                <w:sz w:val="20"/>
                <w:szCs w:val="20"/>
              </w:rPr>
            </w:pPr>
            <w:r w:rsidRPr="00B8222A">
              <w:rPr>
                <w:sz w:val="20"/>
                <w:szCs w:val="20"/>
              </w:rPr>
              <w:t>Número de viajeros</w:t>
            </w:r>
            <w:r w:rsidRPr="00B8222A">
              <w:rPr>
                <w:sz w:val="20"/>
                <w:szCs w:val="20"/>
                <w:u w:val="single"/>
                <w:vertAlign w:val="superscript"/>
              </w:rPr>
              <w:t>2</w:t>
            </w:r>
            <w:r w:rsidRPr="00B8222A">
              <w:rPr>
                <w:sz w:val="20"/>
                <w:szCs w:val="20"/>
                <w:vertAlign w:val="superscript"/>
              </w:rPr>
              <w:t>/</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7 412.30</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7 834.95</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5.70</w:t>
            </w:r>
          </w:p>
        </w:tc>
      </w:tr>
      <w:tr w:rsidR="00B8222A" w:rsidRPr="00B8222A" w:rsidTr="004F1C40">
        <w:trPr>
          <w:jc w:val="center"/>
        </w:trPr>
        <w:tc>
          <w:tcPr>
            <w:tcW w:w="2906" w:type="dxa"/>
            <w:tcBorders>
              <w:top w:val="nil"/>
              <w:left w:val="single" w:sz="4" w:space="0" w:color="auto"/>
              <w:bottom w:val="nil"/>
              <w:right w:val="nil"/>
            </w:tcBorders>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Turistas internacionales</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1 454.03</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1 557.04</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7.08</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Turistas de internación</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975.06</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914.62</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-6.20</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Turistas fronterizos</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478.97</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642.42</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34.13</w:t>
            </w:r>
          </w:p>
        </w:tc>
      </w:tr>
      <w:tr w:rsidR="00B8222A" w:rsidRPr="00B8222A" w:rsidTr="004F1C40">
        <w:trPr>
          <w:jc w:val="center"/>
        </w:trPr>
        <w:tc>
          <w:tcPr>
            <w:tcW w:w="2906" w:type="dxa"/>
            <w:tcBorders>
              <w:top w:val="nil"/>
              <w:left w:val="single" w:sz="4" w:space="0" w:color="auto"/>
              <w:bottom w:val="nil"/>
              <w:right w:val="nil"/>
            </w:tcBorders>
          </w:tcPr>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rPr>
              <w:t xml:space="preserve">    Excursionistas internacionales</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5 958.28</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6 277.91</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5.36</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Excursionistas fronterizos</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5 958.28</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6 277.91</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5.36</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113"/>
              <w:jc w:val="both"/>
              <w:textAlignment w:val="baseline"/>
              <w:rPr>
                <w:sz w:val="20"/>
                <w:szCs w:val="20"/>
              </w:rPr>
            </w:pPr>
            <w:r w:rsidRPr="00B8222A">
              <w:rPr>
                <w:sz w:val="20"/>
                <w:szCs w:val="20"/>
              </w:rPr>
              <w:t>Gasto medio</w:t>
            </w:r>
            <w:r w:rsidRPr="00B8222A">
              <w:rPr>
                <w:sz w:val="20"/>
                <w:szCs w:val="20"/>
                <w:u w:val="single"/>
                <w:vertAlign w:val="superscript"/>
              </w:rPr>
              <w:t>3</w:t>
            </w:r>
            <w:r w:rsidRPr="00B8222A">
              <w:rPr>
                <w:sz w:val="20"/>
                <w:szCs w:val="20"/>
                <w:vertAlign w:val="superscript"/>
              </w:rPr>
              <w:t>/</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108.94</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109.70</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0.69</w:t>
            </w:r>
          </w:p>
        </w:tc>
      </w:tr>
      <w:tr w:rsidR="00B8222A" w:rsidRPr="00B8222A" w:rsidTr="004F1C40">
        <w:trPr>
          <w:jc w:val="center"/>
        </w:trPr>
        <w:tc>
          <w:tcPr>
            <w:tcW w:w="2906" w:type="dxa"/>
            <w:tcBorders>
              <w:top w:val="nil"/>
              <w:left w:val="single" w:sz="4" w:space="0" w:color="auto"/>
              <w:bottom w:val="nil"/>
              <w:right w:val="nil"/>
            </w:tcBorders>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Turistas internacionales</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392.80</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386.98</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-1.48</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Turistas de internación</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560.72</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612.27</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9.19</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Turistas fronterizos</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50.96</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66.24</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29.98</w:t>
            </w:r>
          </w:p>
        </w:tc>
      </w:tr>
      <w:tr w:rsidR="00B8222A" w:rsidRPr="00B8222A" w:rsidTr="004F1C40">
        <w:trPr>
          <w:jc w:val="center"/>
        </w:trPr>
        <w:tc>
          <w:tcPr>
            <w:tcW w:w="2906" w:type="dxa"/>
            <w:tcBorders>
              <w:top w:val="nil"/>
              <w:left w:val="single" w:sz="4" w:space="0" w:color="auto"/>
              <w:bottom w:val="nil"/>
              <w:right w:val="nil"/>
            </w:tcBorders>
          </w:tcPr>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rPr>
              <w:t xml:space="preserve">    Excursionistas internacionales</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39.67</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40.93</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3.16</w:t>
            </w:r>
          </w:p>
        </w:tc>
      </w:tr>
      <w:tr w:rsidR="00B8222A" w:rsidRPr="00B8222A" w:rsidTr="004F1C40">
        <w:trPr>
          <w:jc w:val="center"/>
        </w:trPr>
        <w:tc>
          <w:tcPr>
            <w:tcW w:w="2906" w:type="dxa"/>
            <w:tcBorders>
              <w:top w:val="nil"/>
              <w:left w:val="single" w:sz="4" w:space="0" w:color="auto"/>
              <w:bottom w:val="nil"/>
              <w:right w:val="nil"/>
            </w:tcBorders>
            <w:hideMark/>
          </w:tcPr>
          <w:p w:rsidR="00B8222A" w:rsidRPr="00B8222A" w:rsidRDefault="00B8222A" w:rsidP="00B8222A">
            <w:pPr>
              <w:widowControl w:val="0"/>
              <w:adjustRightInd w:val="0"/>
              <w:spacing w:line="276" w:lineRule="auto"/>
              <w:ind w:left="227"/>
              <w:jc w:val="both"/>
              <w:textAlignment w:val="baseline"/>
              <w:rPr>
                <w:sz w:val="20"/>
                <w:szCs w:val="20"/>
              </w:rPr>
            </w:pPr>
            <w:r w:rsidRPr="00B8222A">
              <w:rPr>
                <w:sz w:val="20"/>
                <w:szCs w:val="20"/>
              </w:rPr>
              <w:t xml:space="preserve">  Excursionistas fronterizos</w:t>
            </w:r>
          </w:p>
        </w:tc>
        <w:tc>
          <w:tcPr>
            <w:tcW w:w="1623"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39.67</w:t>
            </w:r>
          </w:p>
        </w:tc>
        <w:tc>
          <w:tcPr>
            <w:tcW w:w="1800" w:type="dxa"/>
            <w:tcBorders>
              <w:top w:val="nil"/>
              <w:left w:val="nil"/>
              <w:bottom w:val="nil"/>
              <w:right w:val="nil"/>
            </w:tcBorders>
          </w:tcPr>
          <w:p w:rsidR="00B8222A" w:rsidRPr="00B8222A" w:rsidRDefault="00B8222A" w:rsidP="00B8222A">
            <w:pPr>
              <w:widowControl w:val="0"/>
              <w:adjustRightInd w:val="0"/>
              <w:spacing w:line="276" w:lineRule="auto"/>
              <w:ind w:right="284"/>
              <w:jc w:val="right"/>
              <w:textAlignment w:val="baseline"/>
              <w:rPr>
                <w:sz w:val="20"/>
                <w:szCs w:val="20"/>
              </w:rPr>
            </w:pPr>
            <w:r w:rsidRPr="00B8222A">
              <w:rPr>
                <w:sz w:val="20"/>
                <w:szCs w:val="20"/>
              </w:rPr>
              <w:t>40.93</w:t>
            </w:r>
          </w:p>
        </w:tc>
        <w:tc>
          <w:tcPr>
            <w:tcW w:w="1440" w:type="dxa"/>
            <w:tcBorders>
              <w:top w:val="nil"/>
              <w:left w:val="nil"/>
              <w:bottom w:val="nil"/>
              <w:right w:val="single" w:sz="4" w:space="0" w:color="auto"/>
            </w:tcBorders>
          </w:tcPr>
          <w:p w:rsidR="00B8222A" w:rsidRPr="00B8222A" w:rsidRDefault="00B8222A" w:rsidP="00B8222A">
            <w:pPr>
              <w:widowControl w:val="0"/>
              <w:adjustRightInd w:val="0"/>
              <w:spacing w:line="276" w:lineRule="auto"/>
              <w:ind w:right="397"/>
              <w:jc w:val="right"/>
              <w:textAlignment w:val="baseline"/>
              <w:rPr>
                <w:sz w:val="20"/>
                <w:szCs w:val="20"/>
              </w:rPr>
            </w:pPr>
            <w:r w:rsidRPr="00B8222A">
              <w:rPr>
                <w:sz w:val="20"/>
                <w:szCs w:val="20"/>
              </w:rPr>
              <w:t>3.16</w:t>
            </w:r>
          </w:p>
        </w:tc>
      </w:tr>
      <w:tr w:rsidR="00B8222A" w:rsidRPr="00B8222A" w:rsidTr="004F1C40">
        <w:trPr>
          <w:jc w:val="center"/>
        </w:trPr>
        <w:tc>
          <w:tcPr>
            <w:tcW w:w="7769" w:type="dxa"/>
            <w:gridSpan w:val="4"/>
            <w:tcBorders>
              <w:top w:val="single" w:sz="4" w:space="0" w:color="auto"/>
              <w:left w:val="nil"/>
              <w:bottom w:val="nil"/>
              <w:right w:val="nil"/>
            </w:tcBorders>
            <w:hideMark/>
          </w:tcPr>
          <w:p w:rsidR="00B8222A" w:rsidRPr="00B8222A" w:rsidRDefault="00B8222A" w:rsidP="00B8222A">
            <w:pPr>
              <w:widowControl w:val="0"/>
              <w:adjustRightInd w:val="0"/>
              <w:spacing w:line="276" w:lineRule="auto"/>
              <w:ind w:left="510" w:hanging="510"/>
              <w:jc w:val="both"/>
              <w:textAlignment w:val="baseline"/>
              <w:rPr>
                <w:sz w:val="20"/>
                <w:szCs w:val="20"/>
              </w:rPr>
            </w:pPr>
            <w:r w:rsidRPr="00B8222A">
              <w:rPr>
                <w:sz w:val="20"/>
                <w:szCs w:val="20"/>
              </w:rPr>
              <w:t>Nota: Con la finalidad de disponer de una estadística más precisa de las entradas al país de mexicanos residentes en el exterior, el Comité Técnico Especializado de Estadísticas Económicas del Sector Turismo acordó incorporar como fuente de información complementaria a la estadística de viajeros internacionales a partir de 2013, el número de mexicanos con residencia en el extranjero que ingresaron al interior del país en vehículos con placas foráneas importados temporalmente, el cual se obtiene a partir de registros administrativos recabados por el Banco Nacional del Ejército Fuerza Aérea y Armada (BANJERCITO).</w:t>
            </w:r>
          </w:p>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u w:val="single"/>
              </w:rPr>
              <w:t>1</w:t>
            </w:r>
            <w:r w:rsidRPr="00B8222A">
              <w:rPr>
                <w:sz w:val="20"/>
                <w:szCs w:val="20"/>
              </w:rPr>
              <w:t>/ Los conceptos referentes a los egresos se expresan en miles de dólares.</w:t>
            </w:r>
          </w:p>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u w:val="single"/>
              </w:rPr>
              <w:t>2</w:t>
            </w:r>
            <w:r w:rsidRPr="00B8222A">
              <w:rPr>
                <w:sz w:val="20"/>
                <w:szCs w:val="20"/>
              </w:rPr>
              <w:t>/ Los conceptos referentes a número de viajeros se expresan en miles.</w:t>
            </w:r>
          </w:p>
          <w:p w:rsidR="00B8222A" w:rsidRPr="00B8222A" w:rsidRDefault="00B8222A" w:rsidP="00B8222A">
            <w:pPr>
              <w:widowControl w:val="0"/>
              <w:adjustRightInd w:val="0"/>
              <w:spacing w:line="276" w:lineRule="auto"/>
              <w:ind w:left="284" w:hanging="284"/>
              <w:jc w:val="both"/>
              <w:textAlignment w:val="baseline"/>
              <w:rPr>
                <w:sz w:val="20"/>
                <w:szCs w:val="20"/>
              </w:rPr>
            </w:pPr>
            <w:r w:rsidRPr="00B8222A">
              <w:rPr>
                <w:sz w:val="20"/>
                <w:szCs w:val="20"/>
                <w:u w:val="single"/>
              </w:rPr>
              <w:t>3</w:t>
            </w:r>
            <w:r w:rsidRPr="00B8222A">
              <w:rPr>
                <w:sz w:val="20"/>
                <w:szCs w:val="20"/>
              </w:rPr>
              <w:t>/ Los conceptos referentes a gasto medio se expresan en dólares.</w:t>
            </w:r>
          </w:p>
          <w:p w:rsidR="00B8222A" w:rsidRPr="00B8222A" w:rsidRDefault="00B8222A" w:rsidP="00B8222A">
            <w:pPr>
              <w:widowControl w:val="0"/>
              <w:adjustRightInd w:val="0"/>
              <w:spacing w:line="276" w:lineRule="auto"/>
              <w:jc w:val="both"/>
              <w:textAlignment w:val="baseline"/>
              <w:rPr>
                <w:sz w:val="20"/>
                <w:szCs w:val="20"/>
              </w:rPr>
            </w:pPr>
            <w:r w:rsidRPr="00B8222A">
              <w:rPr>
                <w:sz w:val="20"/>
                <w:szCs w:val="20"/>
              </w:rPr>
              <w:t>FUENTE: Banco de México y Secretaría de Turismo.</w:t>
            </w:r>
          </w:p>
        </w:tc>
      </w:tr>
    </w:tbl>
    <w:p w:rsidR="00B8222A" w:rsidRPr="00B8222A" w:rsidRDefault="00B8222A" w:rsidP="00B8222A">
      <w:pPr>
        <w:spacing w:after="360" w:line="360" w:lineRule="auto"/>
        <w:ind w:right="-159"/>
        <w:jc w:val="center"/>
        <w:rPr>
          <w:noProof/>
          <w:lang w:eastAsia="es-MX"/>
        </w:rPr>
      </w:pPr>
    </w:p>
    <w:p w:rsidR="00B8222A" w:rsidRPr="00B8222A" w:rsidRDefault="00B8222A" w:rsidP="00B8222A">
      <w:pPr>
        <w:spacing w:after="360" w:line="360" w:lineRule="auto"/>
        <w:ind w:right="-159"/>
        <w:jc w:val="center"/>
      </w:pPr>
    </w:p>
    <w:p w:rsidR="00B8222A" w:rsidRPr="00B8222A" w:rsidRDefault="00B8222A" w:rsidP="00B8222A">
      <w:pPr>
        <w:spacing w:after="360" w:line="360" w:lineRule="auto"/>
        <w:ind w:right="-159"/>
        <w:jc w:val="center"/>
      </w:pPr>
      <w:r w:rsidRPr="00B8222A">
        <w:rPr>
          <w:rFonts w:ascii="Calibri" w:eastAsia="Calibri" w:hAnsi="Calibri"/>
          <w:sz w:val="22"/>
          <w:szCs w:val="22"/>
          <w:lang w:eastAsia="en-US"/>
        </w:rPr>
        <w:fldChar w:fldCharType="begin"/>
      </w:r>
      <w:r w:rsidRPr="00B8222A">
        <w:rPr>
          <w:rFonts w:ascii="Calibri" w:eastAsia="Calibri" w:hAnsi="Calibri"/>
          <w:sz w:val="22"/>
          <w:szCs w:val="22"/>
          <w:lang w:eastAsia="en-US"/>
        </w:rPr>
        <w:instrText xml:space="preserve"> LINK PowerPoint.Slide.8 "D:\\2015\\MARZO 2014\\GRÁFICAS EN POWER POINT\\20.- GRÁFICAS BALANZA TURISTICA II.pptx!276" "" \a \p </w:instrText>
      </w:r>
      <w:r w:rsidRPr="00B8222A">
        <w:rPr>
          <w:rFonts w:ascii="Calibri" w:eastAsia="Calibri" w:hAnsi="Calibri"/>
          <w:sz w:val="22"/>
          <w:szCs w:val="22"/>
          <w:lang w:eastAsia="en-US"/>
        </w:rPr>
        <w:fldChar w:fldCharType="separate"/>
      </w:r>
      <w:r w:rsidRPr="00B8222A">
        <w:rPr>
          <w:rFonts w:ascii="Calibri" w:eastAsia="Calibri" w:hAnsi="Calibri"/>
          <w:noProof/>
          <w:sz w:val="22"/>
          <w:szCs w:val="22"/>
          <w:lang w:eastAsia="es-MX"/>
        </w:rPr>
        <w:drawing>
          <wp:inline distT="0" distB="0" distL="0" distR="0" wp14:anchorId="4C272458" wp14:editId="14AA1BF0">
            <wp:extent cx="5715000" cy="3429000"/>
            <wp:effectExtent l="0" t="0" r="0" b="0"/>
            <wp:docPr id="1562" name="Imagen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72" cstate="print">
                      <a:extLst>
                        <a:ext uri="{28A0092B-C50C-407E-A947-70E740481C1C}">
                          <a14:useLocalDpi xmlns:a14="http://schemas.microsoft.com/office/drawing/2010/main" val="0"/>
                        </a:ext>
                      </a:extLst>
                    </a:blip>
                    <a:srcRect l="3600" r="2504"/>
                    <a:stretch>
                      <a:fillRect/>
                    </a:stretch>
                  </pic:blipFill>
                  <pic:spPr bwMode="auto">
                    <a:xfrm>
                      <a:off x="0" y="0"/>
                      <a:ext cx="5715000" cy="3429000"/>
                    </a:xfrm>
                    <a:prstGeom prst="rect">
                      <a:avLst/>
                    </a:prstGeom>
                    <a:noFill/>
                    <a:ln>
                      <a:noFill/>
                    </a:ln>
                  </pic:spPr>
                </pic:pic>
              </a:graphicData>
            </a:graphic>
          </wp:inline>
        </w:drawing>
      </w:r>
      <w:r w:rsidRPr="00B8222A">
        <w:rPr>
          <w:rFonts w:ascii="Calibri" w:eastAsia="Calibri" w:hAnsi="Calibri"/>
          <w:sz w:val="22"/>
          <w:szCs w:val="22"/>
          <w:lang w:eastAsia="en-US"/>
        </w:rPr>
        <w:fldChar w:fldCharType="end"/>
      </w:r>
    </w:p>
    <w:p w:rsidR="00B8222A" w:rsidRDefault="00B8222A" w:rsidP="00B8222A">
      <w:pPr>
        <w:spacing w:after="360" w:line="360" w:lineRule="auto"/>
        <w:ind w:right="-159"/>
        <w:jc w:val="both"/>
        <w:rPr>
          <w:sz w:val="26"/>
          <w:szCs w:val="26"/>
          <w:lang w:val="es-ES"/>
        </w:rPr>
      </w:pPr>
      <w:bookmarkStart w:id="14" w:name="OLE_LINK101"/>
      <w:bookmarkStart w:id="15" w:name="OLE_LINK96"/>
      <w:r w:rsidRPr="00B8222A">
        <w:rPr>
          <w:sz w:val="26"/>
          <w:szCs w:val="26"/>
          <w:lang w:val="es-ES"/>
        </w:rPr>
        <w:t xml:space="preserve">En este entorno, durante enero de 2015, la balanza turística de México reportó un saldo de 724 millones 256 mil 390 dólares, cantidad 24.53% superior con respecto al mismo </w:t>
      </w:r>
      <w:r w:rsidR="005F4641">
        <w:rPr>
          <w:sz w:val="26"/>
          <w:szCs w:val="26"/>
          <w:lang w:val="es-ES"/>
        </w:rPr>
        <w:t>mes</w:t>
      </w:r>
      <w:r w:rsidRPr="00B8222A">
        <w:rPr>
          <w:sz w:val="26"/>
          <w:szCs w:val="26"/>
          <w:lang w:val="es-ES"/>
        </w:rPr>
        <w:t xml:space="preserve"> del año anterior.</w:t>
      </w:r>
      <w:bookmarkEnd w:id="14"/>
      <w:bookmarkEnd w:id="15"/>
    </w:p>
    <w:p w:rsidR="003757CD" w:rsidRPr="00B8222A" w:rsidRDefault="003757CD" w:rsidP="00B8222A">
      <w:pPr>
        <w:spacing w:after="360" w:line="360" w:lineRule="auto"/>
        <w:ind w:right="-159"/>
        <w:jc w:val="both"/>
        <w:rPr>
          <w:sz w:val="26"/>
          <w:szCs w:val="26"/>
          <w:lang w:val="es-ES"/>
        </w:rPr>
      </w:pPr>
    </w:p>
    <w:p w:rsidR="00B8222A" w:rsidRPr="00B8222A" w:rsidRDefault="00B8222A" w:rsidP="00B8222A">
      <w:pPr>
        <w:spacing w:after="360" w:line="360" w:lineRule="auto"/>
        <w:ind w:right="-159"/>
        <w:jc w:val="center"/>
        <w:rPr>
          <w:sz w:val="26"/>
          <w:szCs w:val="26"/>
          <w:lang w:val="es-ES"/>
        </w:rPr>
      </w:pPr>
      <w:r w:rsidRPr="00B8222A">
        <w:rPr>
          <w:rFonts w:ascii="Calibri" w:eastAsia="Calibri" w:hAnsi="Calibri"/>
          <w:sz w:val="22"/>
          <w:szCs w:val="22"/>
          <w:lang w:eastAsia="en-US"/>
        </w:rPr>
        <w:lastRenderedPageBreak/>
        <w:fldChar w:fldCharType="begin"/>
      </w:r>
      <w:r w:rsidRPr="00B8222A">
        <w:rPr>
          <w:rFonts w:ascii="Calibri" w:eastAsia="Calibri" w:hAnsi="Calibri"/>
          <w:sz w:val="22"/>
          <w:szCs w:val="22"/>
          <w:lang w:eastAsia="en-US"/>
        </w:rPr>
        <w:instrText xml:space="preserve"> LINK PowerPoint.Slide.8 "D:\\2015\\MARZO 2014\\GRÁFICAS EN POWER POINT\\20.- GRÁFICAS BALANZA TURISTICA II.pptx!274" "" \a \p </w:instrText>
      </w:r>
      <w:r w:rsidRPr="00B8222A">
        <w:rPr>
          <w:rFonts w:ascii="Calibri" w:eastAsia="Calibri" w:hAnsi="Calibri"/>
          <w:sz w:val="22"/>
          <w:szCs w:val="22"/>
          <w:lang w:eastAsia="en-US"/>
        </w:rPr>
        <w:fldChar w:fldCharType="separate"/>
      </w:r>
      <w:r w:rsidRPr="00B8222A">
        <w:rPr>
          <w:rFonts w:ascii="Calibri" w:eastAsia="Calibri" w:hAnsi="Calibri"/>
          <w:noProof/>
          <w:sz w:val="22"/>
          <w:szCs w:val="22"/>
          <w:lang w:eastAsia="es-MX"/>
        </w:rPr>
        <w:drawing>
          <wp:inline distT="0" distB="0" distL="0" distR="0" wp14:anchorId="5CFE831A" wp14:editId="2AF87023">
            <wp:extent cx="4726305" cy="2990215"/>
            <wp:effectExtent l="0" t="0" r="0" b="635"/>
            <wp:docPr id="1563" name="Imagen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73" cstate="print">
                      <a:extLst>
                        <a:ext uri="{28A0092B-C50C-407E-A947-70E740481C1C}">
                          <a14:useLocalDpi xmlns:a14="http://schemas.microsoft.com/office/drawing/2010/main" val="0"/>
                        </a:ext>
                      </a:extLst>
                    </a:blip>
                    <a:srcRect l="7042" t="9166" r="15337" b="3612"/>
                    <a:stretch>
                      <a:fillRect/>
                    </a:stretch>
                  </pic:blipFill>
                  <pic:spPr bwMode="auto">
                    <a:xfrm>
                      <a:off x="0" y="0"/>
                      <a:ext cx="4726305" cy="2990215"/>
                    </a:xfrm>
                    <a:prstGeom prst="rect">
                      <a:avLst/>
                    </a:prstGeom>
                    <a:noFill/>
                    <a:ln>
                      <a:noFill/>
                    </a:ln>
                  </pic:spPr>
                </pic:pic>
              </a:graphicData>
            </a:graphic>
          </wp:inline>
        </w:drawing>
      </w:r>
      <w:r w:rsidRPr="00B8222A">
        <w:rPr>
          <w:rFonts w:ascii="Calibri" w:eastAsia="Calibri" w:hAnsi="Calibri"/>
          <w:sz w:val="22"/>
          <w:szCs w:val="22"/>
          <w:lang w:eastAsia="en-US"/>
        </w:rPr>
        <w:fldChar w:fldCharType="end"/>
      </w:r>
    </w:p>
    <w:p w:rsidR="00B8222A" w:rsidRPr="00B8222A" w:rsidRDefault="00B8222A" w:rsidP="00B8222A">
      <w:pPr>
        <w:ind w:right="-159"/>
        <w:jc w:val="both"/>
        <w:rPr>
          <w:b/>
          <w:sz w:val="20"/>
          <w:szCs w:val="20"/>
          <w:lang w:val="es-ES"/>
        </w:rPr>
      </w:pPr>
      <w:r w:rsidRPr="00B8222A">
        <w:rPr>
          <w:b/>
          <w:sz w:val="20"/>
          <w:szCs w:val="20"/>
          <w:lang w:val="es-ES"/>
        </w:rPr>
        <w:t xml:space="preserve">Fuente de información: </w:t>
      </w:r>
    </w:p>
    <w:p w:rsidR="00B8222A" w:rsidRPr="002753B3" w:rsidRDefault="004638E5" w:rsidP="00B8222A">
      <w:pPr>
        <w:rPr>
          <w:color w:val="0000FF"/>
          <w:sz w:val="20"/>
          <w:szCs w:val="20"/>
        </w:rPr>
      </w:pPr>
      <w:hyperlink r:id="rId74" w:history="1">
        <w:r w:rsidR="00B8222A" w:rsidRPr="002753B3">
          <w:rPr>
            <w:color w:val="0000FF"/>
            <w:sz w:val="20"/>
            <w:szCs w:val="20"/>
            <w:u w:val="single"/>
          </w:rPr>
          <w:t>http://www.banxico.org.mx/SieInternet/consultarDirectorioInternetAction.do?accion=consultarCuadroAnalitico&amp;idCuadro=CA198&amp;sector=1&amp;locale=es</w:t>
        </w:r>
      </w:hyperlink>
    </w:p>
    <w:p w:rsidR="00B8222A" w:rsidRPr="002753B3" w:rsidRDefault="004638E5" w:rsidP="002753B3">
      <w:pPr>
        <w:spacing w:after="720"/>
        <w:rPr>
          <w:color w:val="0000FF"/>
          <w:sz w:val="20"/>
          <w:szCs w:val="20"/>
          <w:lang w:val="es-ES"/>
        </w:rPr>
      </w:pPr>
      <w:hyperlink r:id="rId75" w:history="1">
        <w:r w:rsidR="00B8222A" w:rsidRPr="002753B3">
          <w:rPr>
            <w:color w:val="0000FF"/>
            <w:sz w:val="20"/>
            <w:szCs w:val="20"/>
            <w:u w:val="single"/>
          </w:rPr>
          <w:t>http://www.banxico.org.mx/SieInternet/consultarDirectorioInternetAction.do?accion=consultarCuadroAnalitico&amp;idCuadro=CA199&amp;sector=1&amp;locale=es</w:t>
        </w:r>
      </w:hyperlink>
      <w:r w:rsidR="00B8222A" w:rsidRPr="002753B3">
        <w:rPr>
          <w:color w:val="0000FF"/>
          <w:sz w:val="20"/>
          <w:szCs w:val="20"/>
        </w:rPr>
        <w:t xml:space="preserve"> </w:t>
      </w:r>
    </w:p>
    <w:p w:rsidR="00BE2877" w:rsidRPr="00BE2877" w:rsidRDefault="00BE2877" w:rsidP="00BE2877">
      <w:pPr>
        <w:rPr>
          <w:rFonts w:eastAsia="Calibri"/>
          <w:b/>
          <w:sz w:val="26"/>
          <w:szCs w:val="26"/>
          <w:lang w:eastAsia="en-US"/>
        </w:rPr>
      </w:pPr>
      <w:r w:rsidRPr="00BE2877">
        <w:rPr>
          <w:rFonts w:eastAsia="Calibri"/>
          <w:b/>
          <w:sz w:val="26"/>
          <w:szCs w:val="26"/>
          <w:lang w:eastAsia="en-US"/>
        </w:rPr>
        <w:t>Crece arribo de turistas internacionales</w:t>
      </w:r>
    </w:p>
    <w:p w:rsidR="00BE2877" w:rsidRPr="00BE2877" w:rsidRDefault="00BE2877" w:rsidP="00BE2877">
      <w:pPr>
        <w:spacing w:after="360" w:line="360" w:lineRule="auto"/>
        <w:ind w:right="-159"/>
        <w:jc w:val="both"/>
        <w:rPr>
          <w:rFonts w:eastAsia="Calibri"/>
          <w:b/>
          <w:sz w:val="26"/>
          <w:szCs w:val="26"/>
          <w:lang w:eastAsia="en-US"/>
        </w:rPr>
      </w:pPr>
      <w:r w:rsidRPr="00BE2877">
        <w:rPr>
          <w:rFonts w:eastAsia="Calibri"/>
          <w:b/>
          <w:sz w:val="26"/>
          <w:szCs w:val="26"/>
          <w:lang w:eastAsia="en-US"/>
        </w:rPr>
        <w:t xml:space="preserve">vía </w:t>
      </w:r>
      <w:r w:rsidR="005F4641">
        <w:rPr>
          <w:rFonts w:eastAsia="Calibri"/>
          <w:b/>
          <w:sz w:val="26"/>
          <w:szCs w:val="26"/>
          <w:lang w:eastAsia="en-US"/>
        </w:rPr>
        <w:t xml:space="preserve"> </w:t>
      </w:r>
      <w:r w:rsidRPr="00BE2877">
        <w:rPr>
          <w:rFonts w:eastAsia="Calibri"/>
          <w:b/>
          <w:sz w:val="26"/>
          <w:szCs w:val="26"/>
          <w:lang w:eastAsia="en-US"/>
        </w:rPr>
        <w:t xml:space="preserve">aérea </w:t>
      </w:r>
      <w:r w:rsidR="005F4641">
        <w:rPr>
          <w:rFonts w:eastAsia="Calibri"/>
          <w:b/>
          <w:sz w:val="26"/>
          <w:szCs w:val="26"/>
          <w:lang w:eastAsia="en-US"/>
        </w:rPr>
        <w:t xml:space="preserve"> </w:t>
      </w:r>
      <w:r w:rsidRPr="00BE2877">
        <w:rPr>
          <w:rFonts w:eastAsia="Calibri"/>
          <w:b/>
          <w:sz w:val="26"/>
          <w:szCs w:val="26"/>
          <w:lang w:eastAsia="en-US"/>
        </w:rPr>
        <w:t xml:space="preserve">en </w:t>
      </w:r>
      <w:r w:rsidR="005F4641">
        <w:rPr>
          <w:rFonts w:eastAsia="Calibri"/>
          <w:b/>
          <w:sz w:val="26"/>
          <w:szCs w:val="26"/>
          <w:lang w:eastAsia="en-US"/>
        </w:rPr>
        <w:t xml:space="preserve"> </w:t>
      </w:r>
      <w:r w:rsidRPr="00BE2877">
        <w:rPr>
          <w:rFonts w:eastAsia="Calibri"/>
          <w:b/>
          <w:sz w:val="26"/>
          <w:szCs w:val="26"/>
          <w:lang w:eastAsia="en-US"/>
        </w:rPr>
        <w:t xml:space="preserve">enero </w:t>
      </w:r>
      <w:r w:rsidR="005F4641">
        <w:rPr>
          <w:rFonts w:eastAsia="Calibri"/>
          <w:b/>
          <w:sz w:val="26"/>
          <w:szCs w:val="26"/>
          <w:lang w:eastAsia="en-US"/>
        </w:rPr>
        <w:t xml:space="preserve">  </w:t>
      </w:r>
      <w:r w:rsidRPr="00BE2877">
        <w:rPr>
          <w:rFonts w:eastAsia="Calibri"/>
          <w:b/>
          <w:sz w:val="26"/>
          <w:szCs w:val="26"/>
          <w:lang w:eastAsia="en-US"/>
        </w:rPr>
        <w:t xml:space="preserve">de </w:t>
      </w:r>
      <w:r w:rsidR="005F4641">
        <w:rPr>
          <w:rFonts w:eastAsia="Calibri"/>
          <w:b/>
          <w:sz w:val="26"/>
          <w:szCs w:val="26"/>
          <w:lang w:eastAsia="en-US"/>
        </w:rPr>
        <w:t xml:space="preserve">  </w:t>
      </w:r>
      <w:r w:rsidRPr="00BE2877">
        <w:rPr>
          <w:rFonts w:eastAsia="Calibri"/>
          <w:b/>
          <w:sz w:val="26"/>
          <w:szCs w:val="26"/>
          <w:lang w:eastAsia="en-US"/>
        </w:rPr>
        <w:t>2015</w:t>
      </w:r>
      <w:r w:rsidR="005F4641">
        <w:rPr>
          <w:rFonts w:eastAsia="Calibri"/>
          <w:b/>
          <w:sz w:val="26"/>
          <w:szCs w:val="26"/>
          <w:lang w:eastAsia="en-US"/>
        </w:rPr>
        <w:t xml:space="preserve"> </w:t>
      </w:r>
      <w:r w:rsidRPr="00BE2877">
        <w:rPr>
          <w:rFonts w:eastAsia="Calibri"/>
          <w:b/>
          <w:sz w:val="26"/>
          <w:szCs w:val="26"/>
          <w:lang w:eastAsia="en-US"/>
        </w:rPr>
        <w:t xml:space="preserve"> (</w:t>
      </w:r>
      <w:proofErr w:type="spellStart"/>
      <w:r w:rsidRPr="00BE2877">
        <w:rPr>
          <w:rFonts w:eastAsia="Calibri"/>
          <w:b/>
          <w:sz w:val="26"/>
          <w:szCs w:val="26"/>
          <w:lang w:eastAsia="en-US"/>
        </w:rPr>
        <w:t>S</w:t>
      </w:r>
      <w:r w:rsidR="005F4641">
        <w:rPr>
          <w:rFonts w:eastAsia="Calibri"/>
          <w:b/>
          <w:sz w:val="26"/>
          <w:szCs w:val="26"/>
          <w:lang w:eastAsia="en-US"/>
        </w:rPr>
        <w:t>ectur</w:t>
      </w:r>
      <w:proofErr w:type="spellEnd"/>
      <w:r w:rsidR="005F4641">
        <w:rPr>
          <w:rFonts w:eastAsia="Calibri"/>
          <w:b/>
          <w:sz w:val="26"/>
          <w:szCs w:val="26"/>
          <w:lang w:eastAsia="en-US"/>
        </w:rPr>
        <w:t>)</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El 10 de marzo de 2015, la Secretaría de Turismo (</w:t>
      </w:r>
      <w:proofErr w:type="spellStart"/>
      <w:r w:rsidRPr="00BE2877">
        <w:rPr>
          <w:rFonts w:eastAsia="Calibri"/>
          <w:sz w:val="26"/>
          <w:szCs w:val="26"/>
          <w:lang w:eastAsia="en-US"/>
        </w:rPr>
        <w:t>S</w:t>
      </w:r>
      <w:r w:rsidR="005F4641">
        <w:rPr>
          <w:rFonts w:eastAsia="Calibri"/>
          <w:sz w:val="26"/>
          <w:szCs w:val="26"/>
          <w:lang w:eastAsia="en-US"/>
        </w:rPr>
        <w:t>ectur</w:t>
      </w:r>
      <w:proofErr w:type="spellEnd"/>
      <w:r w:rsidRPr="00BE2877">
        <w:rPr>
          <w:rFonts w:eastAsia="Calibri"/>
          <w:sz w:val="26"/>
          <w:szCs w:val="26"/>
          <w:lang w:eastAsia="en-US"/>
        </w:rPr>
        <w:t>) informó que de acuerdo con el informe más reciente del Sistema Integral de Operación Migratoria (SIOM), del Instituto Nacional de Migración (INM), el arribo de visitantes internacionales por vía aérea a México en enero de 2015, registró un crecimiento de 8.9% con respecto a igual mes de 2014. A continuación se presenta la información.</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El arribo de visitantes internacionales por vía aérea a México en enero de este año registró un crecimiento de 8.9% con respecto a igual mes de 2014, reveló el informe más reciente del Sistema Integral de Operación Migratoria (SIOM), del INM.</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lastRenderedPageBreak/>
        <w:t>Con respecto a enero de 2013, las cifras del SIOM revelan que el repunte de este segmento fue de 21.7 por ciento.</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La llegada de visitantes procedentes de Estados Unidos de Norteamérica se incrementó 11.3%, con lo cual se mantuvo el buen desempeño de este mercado, en tanto que el arribo de turistas canadienses observó un incremento de 6.8 por ciento.</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De acuerdo con las estadísticas del SIOM, de los países europeos, destaca la llegada de visitantes de Reino Unido que creció 14.9%, mientras que en los otros mercados el repunte en enero de este año fue más moderado:</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España con 8.1%, Francia 7.7%, Italia 5.8% y Alemania 4.9%, en línea con lo esperado, dada la lenta evolución económica de la región europea.</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Por su parte, la llegada de visitantes procedentes de Rusia profundizó su caída, ya que en el primer mes de 2015 se redujo en 51.4%, con respecto a enero del año anterior.</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El informe del SIOM del INM, dependencia de la Secretaría de Gobernación, precisó un alto crecimiento en la llegada de visitantes internacionales por vía aérea de algunos países de Asia, tales como Corea y China con 21.7 y 19.5%, respectivamente.</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Por parte de Japón, el aumento fue de 10.1%, una tasa muy razonable considerando que este mercado se encuentra atravesando una situación de debilidad económica.</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Por cuanto a América del Sur, se refiere que los mercados de Colombia y Brasil continuaron registrando gran dinamismo con repuntes en sus tasas de 26.5 y 22.8 por ciento.</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Chile y Perú, aunque registraron repuntes menores, sus tasas también fueron positivas con crecimientos de 10.9 y 16.5% en cada uno de los casos.</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lastRenderedPageBreak/>
        <w:t>Por último, reveló el SIOM, en Argentina se observaron nuevamente resultados negativos, ya que la llegada de visitantes internacionales por vía aérea disminuyó 4.2 por ciento.</w:t>
      </w:r>
    </w:p>
    <w:p w:rsidR="00BE2877" w:rsidRPr="00BE2877" w:rsidRDefault="00BE2877" w:rsidP="00BE2877">
      <w:pPr>
        <w:ind w:right="-159"/>
        <w:jc w:val="both"/>
        <w:rPr>
          <w:rFonts w:eastAsia="Calibri"/>
          <w:b/>
          <w:sz w:val="20"/>
          <w:szCs w:val="20"/>
          <w:lang w:eastAsia="en-US"/>
        </w:rPr>
      </w:pPr>
      <w:r w:rsidRPr="00BE2877">
        <w:rPr>
          <w:rFonts w:eastAsia="Calibri"/>
          <w:b/>
          <w:sz w:val="20"/>
          <w:szCs w:val="20"/>
          <w:lang w:eastAsia="en-US"/>
        </w:rPr>
        <w:t>Fuente de información:</w:t>
      </w:r>
    </w:p>
    <w:p w:rsidR="00BE2877" w:rsidRPr="002753B3" w:rsidRDefault="004638E5" w:rsidP="002753B3">
      <w:pPr>
        <w:spacing w:after="720"/>
        <w:ind w:right="-159"/>
        <w:jc w:val="both"/>
        <w:rPr>
          <w:rFonts w:eastAsia="Calibri"/>
          <w:color w:val="0000FF"/>
          <w:sz w:val="20"/>
          <w:szCs w:val="20"/>
          <w:lang w:eastAsia="en-US"/>
        </w:rPr>
      </w:pPr>
      <w:hyperlink r:id="rId76" w:history="1">
        <w:r w:rsidR="00BE2877" w:rsidRPr="002753B3">
          <w:rPr>
            <w:rFonts w:eastAsia="Calibri"/>
            <w:color w:val="0000FF"/>
            <w:sz w:val="20"/>
            <w:szCs w:val="20"/>
            <w:u w:val="single"/>
            <w:lang w:eastAsia="en-US"/>
          </w:rPr>
          <w:t>http://www.sectur.gob.mx/2015/03/10/boletin-48-crece-8-9-arribo-de-turistas-internacionales-por-via-aerea-en-enero-de-2015-respecto-a-igual-mes-del-2014/</w:t>
        </w:r>
      </w:hyperlink>
    </w:p>
    <w:p w:rsidR="00BE2877" w:rsidRPr="00BE2877" w:rsidRDefault="00BE2877" w:rsidP="00BE2877">
      <w:pPr>
        <w:spacing w:after="360" w:line="360" w:lineRule="auto"/>
        <w:ind w:right="-159"/>
        <w:jc w:val="both"/>
        <w:rPr>
          <w:rFonts w:eastAsia="Calibri"/>
          <w:b/>
          <w:sz w:val="26"/>
          <w:szCs w:val="26"/>
          <w:lang w:eastAsia="en-US"/>
        </w:rPr>
      </w:pPr>
      <w:r w:rsidRPr="00BE2877">
        <w:rPr>
          <w:rFonts w:eastAsia="Calibri"/>
          <w:b/>
          <w:sz w:val="26"/>
          <w:szCs w:val="26"/>
          <w:lang w:eastAsia="en-US"/>
        </w:rPr>
        <w:t>Firman agenda de cooperación (</w:t>
      </w:r>
      <w:proofErr w:type="spellStart"/>
      <w:r w:rsidRPr="00BE2877">
        <w:rPr>
          <w:rFonts w:eastAsia="Calibri"/>
          <w:b/>
          <w:sz w:val="26"/>
          <w:szCs w:val="26"/>
          <w:lang w:eastAsia="en-US"/>
        </w:rPr>
        <w:t>S</w:t>
      </w:r>
      <w:r w:rsidR="005F4641">
        <w:rPr>
          <w:rFonts w:eastAsia="Calibri"/>
          <w:b/>
          <w:sz w:val="26"/>
          <w:szCs w:val="26"/>
          <w:lang w:eastAsia="en-US"/>
        </w:rPr>
        <w:t>ectrur</w:t>
      </w:r>
      <w:proofErr w:type="spellEnd"/>
      <w:r w:rsidRPr="00BE2877">
        <w:rPr>
          <w:rFonts w:eastAsia="Calibri"/>
          <w:b/>
          <w:sz w:val="26"/>
          <w:szCs w:val="26"/>
          <w:lang w:eastAsia="en-US"/>
        </w:rPr>
        <w:t>)</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El 9 de marzo de 2015, la Secretaría de Turismo (</w:t>
      </w:r>
      <w:proofErr w:type="spellStart"/>
      <w:r w:rsidRPr="00BE2877">
        <w:rPr>
          <w:rFonts w:eastAsia="Calibri"/>
          <w:sz w:val="26"/>
          <w:szCs w:val="26"/>
          <w:lang w:eastAsia="en-US"/>
        </w:rPr>
        <w:t>S</w:t>
      </w:r>
      <w:r w:rsidR="005F4641">
        <w:rPr>
          <w:rFonts w:eastAsia="Calibri"/>
          <w:sz w:val="26"/>
          <w:szCs w:val="26"/>
          <w:lang w:eastAsia="en-US"/>
        </w:rPr>
        <w:t>ectur</w:t>
      </w:r>
      <w:proofErr w:type="spellEnd"/>
      <w:r w:rsidRPr="00BE2877">
        <w:rPr>
          <w:rFonts w:eastAsia="Calibri"/>
          <w:sz w:val="26"/>
          <w:szCs w:val="26"/>
          <w:lang w:eastAsia="en-US"/>
        </w:rPr>
        <w:t>) y la Entidad Mexicana de Acreditación (EMA) firmaron una Agenda de Cooperación para fortalecer el Sistema Mexicano de Normalización y Evaluación de la Conformidad (SISMENEC). A continuación</w:t>
      </w:r>
      <w:r w:rsidR="00AB0D99">
        <w:rPr>
          <w:rFonts w:eastAsia="Calibri"/>
          <w:sz w:val="26"/>
          <w:szCs w:val="26"/>
          <w:lang w:eastAsia="en-US"/>
        </w:rPr>
        <w:t xml:space="preserve"> se presentan</w:t>
      </w:r>
      <w:r w:rsidRPr="00BE2877">
        <w:rPr>
          <w:rFonts w:eastAsia="Calibri"/>
          <w:sz w:val="26"/>
          <w:szCs w:val="26"/>
          <w:lang w:eastAsia="en-US"/>
        </w:rPr>
        <w:t xml:space="preserve"> los detalles.</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 xml:space="preserve">La </w:t>
      </w:r>
      <w:proofErr w:type="spellStart"/>
      <w:r w:rsidRPr="00BE2877">
        <w:rPr>
          <w:rFonts w:eastAsia="Calibri"/>
          <w:sz w:val="26"/>
          <w:szCs w:val="26"/>
          <w:lang w:eastAsia="en-US"/>
        </w:rPr>
        <w:t>S</w:t>
      </w:r>
      <w:r w:rsidR="005F4641">
        <w:rPr>
          <w:rFonts w:eastAsia="Calibri"/>
          <w:sz w:val="26"/>
          <w:szCs w:val="26"/>
          <w:lang w:eastAsia="en-US"/>
        </w:rPr>
        <w:t>ectrur</w:t>
      </w:r>
      <w:proofErr w:type="spellEnd"/>
      <w:r w:rsidRPr="00BE2877">
        <w:rPr>
          <w:rFonts w:eastAsia="Calibri"/>
          <w:sz w:val="26"/>
          <w:szCs w:val="26"/>
          <w:lang w:eastAsia="en-US"/>
        </w:rPr>
        <w:t xml:space="preserve"> y la Entidad Mexicana de Acreditación (EMA) firmaron una Agenda de Cooperación para fortalecer el Sistema Mexicano de Normalización y Evaluación de la Conformidad (SISMENEC).</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 xml:space="preserve">El Subsecretario de Calidad y Regulación de la </w:t>
      </w:r>
      <w:proofErr w:type="spellStart"/>
      <w:r w:rsidRPr="00BE2877">
        <w:rPr>
          <w:rFonts w:eastAsia="Calibri"/>
          <w:sz w:val="26"/>
          <w:szCs w:val="26"/>
          <w:lang w:eastAsia="en-US"/>
        </w:rPr>
        <w:t>S</w:t>
      </w:r>
      <w:r w:rsidR="005F4641">
        <w:rPr>
          <w:rFonts w:eastAsia="Calibri"/>
          <w:sz w:val="26"/>
          <w:szCs w:val="26"/>
          <w:lang w:eastAsia="en-US"/>
        </w:rPr>
        <w:t>ectur</w:t>
      </w:r>
      <w:proofErr w:type="spellEnd"/>
      <w:r w:rsidRPr="00BE2877">
        <w:rPr>
          <w:rFonts w:eastAsia="Calibri"/>
          <w:sz w:val="26"/>
          <w:szCs w:val="26"/>
          <w:lang w:eastAsia="en-US"/>
        </w:rPr>
        <w:t xml:space="preserve"> y el Presidente de la EMA formalizaron el documento que establece la nueva política en materia de normalización que están impulsando, para elevar la calidad y competitividad del sector turístico nacional.</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 xml:space="preserve">A través de este marco de cooperación, la </w:t>
      </w:r>
      <w:proofErr w:type="spellStart"/>
      <w:r w:rsidRPr="00BE2877">
        <w:rPr>
          <w:rFonts w:eastAsia="Calibri"/>
          <w:sz w:val="26"/>
          <w:szCs w:val="26"/>
          <w:lang w:eastAsia="en-US"/>
        </w:rPr>
        <w:t>Se</w:t>
      </w:r>
      <w:r w:rsidR="005F4641">
        <w:rPr>
          <w:rFonts w:eastAsia="Calibri"/>
          <w:sz w:val="26"/>
          <w:szCs w:val="26"/>
          <w:lang w:eastAsia="en-US"/>
        </w:rPr>
        <w:t>ctur</w:t>
      </w:r>
      <w:proofErr w:type="spellEnd"/>
      <w:r w:rsidRPr="00BE2877">
        <w:rPr>
          <w:rFonts w:eastAsia="Calibri"/>
          <w:sz w:val="26"/>
          <w:szCs w:val="26"/>
          <w:lang w:eastAsia="en-US"/>
        </w:rPr>
        <w:t xml:space="preserve"> y la EMA también trabajarán en esquemas de colaboración para lograr procesos transparentes y eficientes en la elaboración y observancia de las normas, particularmente con respecto a acreditación y aprobación de  unidades de verificación.</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 xml:space="preserve">El Subsecretario de Calidad y Regulación de la </w:t>
      </w:r>
      <w:proofErr w:type="spellStart"/>
      <w:r w:rsidRPr="00BE2877">
        <w:rPr>
          <w:rFonts w:eastAsia="Calibri"/>
          <w:sz w:val="26"/>
          <w:szCs w:val="26"/>
          <w:lang w:eastAsia="en-US"/>
        </w:rPr>
        <w:t>S</w:t>
      </w:r>
      <w:r w:rsidR="005F4641">
        <w:rPr>
          <w:rFonts w:eastAsia="Calibri"/>
          <w:sz w:val="26"/>
          <w:szCs w:val="26"/>
          <w:lang w:eastAsia="en-US"/>
        </w:rPr>
        <w:t>ectur</w:t>
      </w:r>
      <w:proofErr w:type="spellEnd"/>
      <w:r w:rsidRPr="00BE2877">
        <w:rPr>
          <w:rFonts w:eastAsia="Calibri"/>
          <w:sz w:val="26"/>
          <w:szCs w:val="26"/>
          <w:lang w:eastAsia="en-US"/>
        </w:rPr>
        <w:t xml:space="preserve"> destacó, por su parte, la importancia de las acciones de coordinación, las cuales “hacen de las normas </w:t>
      </w:r>
      <w:r w:rsidRPr="00BE2877">
        <w:rPr>
          <w:rFonts w:eastAsia="Calibri"/>
          <w:sz w:val="26"/>
          <w:szCs w:val="26"/>
          <w:lang w:eastAsia="en-US"/>
        </w:rPr>
        <w:lastRenderedPageBreak/>
        <w:t>instrumentos garantes de la eficiencia del sector; es decir, refuerzan las labores que contribuyen a que turistas nacionales y extranjeros accedan a bienes y servicios con los más altos estándares de calidad”.</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 xml:space="preserve">Actualmente, la </w:t>
      </w:r>
      <w:proofErr w:type="spellStart"/>
      <w:r w:rsidRPr="00BE2877">
        <w:rPr>
          <w:rFonts w:eastAsia="Calibri"/>
          <w:sz w:val="26"/>
          <w:szCs w:val="26"/>
          <w:lang w:eastAsia="en-US"/>
        </w:rPr>
        <w:t>S</w:t>
      </w:r>
      <w:r w:rsidR="005F4641">
        <w:rPr>
          <w:rFonts w:eastAsia="Calibri"/>
          <w:sz w:val="26"/>
          <w:szCs w:val="26"/>
          <w:lang w:eastAsia="en-US"/>
        </w:rPr>
        <w:t>ectur</w:t>
      </w:r>
      <w:proofErr w:type="spellEnd"/>
      <w:r w:rsidRPr="00BE2877">
        <w:rPr>
          <w:rFonts w:eastAsia="Calibri"/>
          <w:sz w:val="26"/>
          <w:szCs w:val="26"/>
          <w:lang w:eastAsia="en-US"/>
        </w:rPr>
        <w:t xml:space="preserve"> forma parte del Consejo Directivo de la EMA, por lo que la firma de este instrumento permitirá consolidar las acciones conjuntas que ya se llevan a cabo en materia de acreditación, reconocimiento y fortalecimiento de las medidas de normalización y metrología.</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Con la firma de Cooperación, explicó, se prevén medidas para fomentar el cumplimiento y difusión de las Normas Oficiales Mexicanas y Normas Mexicanas Turísticas para compartir información y buenas prácticas en la materia; impulsar al nuevo Sistema de Gestión de la Normalización Turística, así como al Sistema Nacional de Certificación Turística (SNCT) además de acciones de difusión y vinculación en la materia.</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A través de este marco de cooperación, la Secretaría de Turismo y la EMA también trabajarán en esquemas de colaboración para lograr procesos transparentes y eficientes en la elaboración y observancia de las normas, particularmente con respecto a acreditación y aprobación de unidades de verificación.</w:t>
      </w:r>
    </w:p>
    <w:p w:rsidR="00BE2877" w:rsidRPr="00BE2877" w:rsidRDefault="00BE2877" w:rsidP="00BE2877">
      <w:pPr>
        <w:spacing w:after="360" w:line="360" w:lineRule="auto"/>
        <w:ind w:right="-159"/>
        <w:jc w:val="both"/>
        <w:rPr>
          <w:rFonts w:eastAsia="Calibri"/>
          <w:sz w:val="26"/>
          <w:szCs w:val="26"/>
          <w:lang w:eastAsia="en-US"/>
        </w:rPr>
      </w:pPr>
      <w:r w:rsidRPr="00BE2877">
        <w:rPr>
          <w:rFonts w:eastAsia="Calibri"/>
          <w:sz w:val="26"/>
          <w:szCs w:val="26"/>
          <w:lang w:eastAsia="en-US"/>
        </w:rPr>
        <w:t>A la fecha, la SECTUR cuenta con siete Normas Oficiales Mexicanas, cuyo objetivo es establecer requisitos técnicos que brinden seguridad, información y protección al turista.</w:t>
      </w:r>
    </w:p>
    <w:p w:rsidR="00BE2877" w:rsidRPr="00BE2877" w:rsidRDefault="00BE2877" w:rsidP="00BE2877">
      <w:pPr>
        <w:ind w:right="-159"/>
        <w:jc w:val="both"/>
        <w:rPr>
          <w:rFonts w:eastAsia="Calibri"/>
          <w:sz w:val="20"/>
          <w:szCs w:val="20"/>
          <w:lang w:eastAsia="en-US"/>
        </w:rPr>
      </w:pPr>
      <w:r w:rsidRPr="00BE2877">
        <w:rPr>
          <w:rFonts w:eastAsia="Calibri"/>
          <w:b/>
          <w:sz w:val="20"/>
          <w:szCs w:val="20"/>
          <w:lang w:eastAsia="en-US"/>
        </w:rPr>
        <w:t>Fuente de información</w:t>
      </w:r>
      <w:r w:rsidRPr="00BE2877">
        <w:rPr>
          <w:rFonts w:eastAsia="Calibri"/>
          <w:sz w:val="20"/>
          <w:szCs w:val="20"/>
          <w:lang w:eastAsia="en-US"/>
        </w:rPr>
        <w:t>:</w:t>
      </w:r>
    </w:p>
    <w:p w:rsidR="00BE2877" w:rsidRPr="002753B3" w:rsidRDefault="004638E5" w:rsidP="00BE2877">
      <w:pPr>
        <w:ind w:right="-159"/>
        <w:jc w:val="both"/>
        <w:rPr>
          <w:rFonts w:eastAsia="Calibri"/>
          <w:color w:val="0000FF"/>
          <w:sz w:val="20"/>
          <w:szCs w:val="20"/>
          <w:lang w:eastAsia="en-US"/>
        </w:rPr>
      </w:pPr>
      <w:hyperlink r:id="rId77" w:history="1">
        <w:r w:rsidR="00BE2877" w:rsidRPr="002753B3">
          <w:rPr>
            <w:rFonts w:eastAsia="Calibri"/>
            <w:color w:val="0000FF"/>
            <w:sz w:val="20"/>
            <w:szCs w:val="20"/>
            <w:u w:val="single"/>
            <w:lang w:eastAsia="en-US"/>
          </w:rPr>
          <w:t>http://www.sectur.gob.mx/2015/03/09/boletin-47-firman-agenda-de-cooperacion-la-secretaria-de-turismo-y-la-entidad-mexicana-de-acreditacion/</w:t>
        </w:r>
      </w:hyperlink>
    </w:p>
    <w:p w:rsidR="00BE2877" w:rsidRPr="00BE2877" w:rsidRDefault="00BE2877" w:rsidP="00BE2877">
      <w:pPr>
        <w:spacing w:after="360" w:line="360" w:lineRule="auto"/>
        <w:ind w:right="-159"/>
        <w:jc w:val="both"/>
        <w:rPr>
          <w:rFonts w:eastAsia="Calibri"/>
          <w:sz w:val="26"/>
          <w:szCs w:val="26"/>
          <w:lang w:eastAsia="en-US"/>
        </w:rPr>
      </w:pPr>
    </w:p>
    <w:p w:rsidR="00BE2877" w:rsidRDefault="00BE2877" w:rsidP="00B42CAE">
      <w:pPr>
        <w:spacing w:after="360" w:line="360" w:lineRule="auto"/>
        <w:ind w:right="-159"/>
        <w:jc w:val="both"/>
        <w:rPr>
          <w:sz w:val="26"/>
          <w:szCs w:val="26"/>
          <w:lang w:val="es-ES"/>
        </w:rPr>
      </w:pPr>
    </w:p>
    <w:p w:rsidR="00497C36" w:rsidRPr="00497C36" w:rsidRDefault="00497C36" w:rsidP="00497C36">
      <w:pPr>
        <w:ind w:right="-159"/>
        <w:jc w:val="both"/>
        <w:rPr>
          <w:rFonts w:eastAsia="Calibri"/>
          <w:b/>
          <w:sz w:val="26"/>
          <w:szCs w:val="26"/>
          <w:lang w:eastAsia="en-US"/>
        </w:rPr>
      </w:pPr>
      <w:r w:rsidRPr="00497C36">
        <w:rPr>
          <w:rFonts w:eastAsia="Calibri"/>
          <w:b/>
          <w:sz w:val="26"/>
          <w:szCs w:val="26"/>
          <w:lang w:eastAsia="en-US"/>
        </w:rPr>
        <w:lastRenderedPageBreak/>
        <w:t>Pronostica la OMT crecimiento del Turismo</w:t>
      </w:r>
    </w:p>
    <w:p w:rsidR="00497C36" w:rsidRPr="00497C36" w:rsidRDefault="00497C36" w:rsidP="00497C36">
      <w:pPr>
        <w:spacing w:after="360" w:line="360" w:lineRule="auto"/>
        <w:ind w:right="-159"/>
        <w:jc w:val="both"/>
        <w:rPr>
          <w:rFonts w:eastAsia="Calibri"/>
          <w:b/>
          <w:sz w:val="26"/>
          <w:szCs w:val="26"/>
          <w:lang w:eastAsia="en-US"/>
        </w:rPr>
      </w:pPr>
      <w:r w:rsidRPr="00497C36">
        <w:rPr>
          <w:rFonts w:eastAsia="Calibri"/>
          <w:b/>
          <w:sz w:val="26"/>
          <w:szCs w:val="26"/>
          <w:lang w:eastAsia="en-US"/>
        </w:rPr>
        <w:t>Internacional  de  3 a 4%  este  año  (</w:t>
      </w:r>
      <w:proofErr w:type="spellStart"/>
      <w:r w:rsidRPr="00497C36">
        <w:rPr>
          <w:rFonts w:eastAsia="Calibri"/>
          <w:b/>
          <w:sz w:val="26"/>
          <w:szCs w:val="26"/>
          <w:lang w:eastAsia="en-US"/>
        </w:rPr>
        <w:t>Sectur</w:t>
      </w:r>
      <w:proofErr w:type="spellEnd"/>
      <w:r w:rsidRPr="00497C36">
        <w:rPr>
          <w:rFonts w:eastAsia="Calibri"/>
          <w:b/>
          <w:sz w:val="26"/>
          <w:szCs w:val="26"/>
          <w:lang w:eastAsia="en-US"/>
        </w:rPr>
        <w:t>)</w:t>
      </w:r>
    </w:p>
    <w:p w:rsidR="00497C36" w:rsidRPr="00497C36" w:rsidRDefault="00497C36" w:rsidP="00497C36">
      <w:pPr>
        <w:spacing w:after="360" w:line="360" w:lineRule="auto"/>
        <w:ind w:right="-159"/>
        <w:jc w:val="both"/>
        <w:rPr>
          <w:rFonts w:eastAsia="Calibri"/>
          <w:sz w:val="26"/>
          <w:szCs w:val="26"/>
          <w:lang w:eastAsia="en-US"/>
        </w:rPr>
      </w:pPr>
      <w:r w:rsidRPr="00497C36">
        <w:rPr>
          <w:rFonts w:eastAsia="Calibri"/>
          <w:sz w:val="26"/>
          <w:szCs w:val="26"/>
          <w:lang w:eastAsia="en-US"/>
        </w:rPr>
        <w:t>El 23 de febrero de 2015, la Secretaría de Turismo (</w:t>
      </w:r>
      <w:proofErr w:type="spellStart"/>
      <w:r w:rsidRPr="00497C36">
        <w:rPr>
          <w:rFonts w:eastAsia="Calibri"/>
          <w:sz w:val="26"/>
          <w:szCs w:val="26"/>
          <w:lang w:eastAsia="en-US"/>
        </w:rPr>
        <w:t>Sectur</w:t>
      </w:r>
      <w:proofErr w:type="spellEnd"/>
      <w:r w:rsidRPr="00497C36">
        <w:rPr>
          <w:rFonts w:eastAsia="Calibri"/>
          <w:sz w:val="26"/>
          <w:szCs w:val="26"/>
          <w:lang w:eastAsia="en-US"/>
        </w:rPr>
        <w:t xml:space="preserve">) informó que pronostica la </w:t>
      </w:r>
      <w:r w:rsidR="0024224F" w:rsidRPr="00497C36">
        <w:rPr>
          <w:rFonts w:eastAsia="Calibri"/>
          <w:sz w:val="26"/>
          <w:szCs w:val="26"/>
          <w:lang w:eastAsia="en-US"/>
        </w:rPr>
        <w:t xml:space="preserve">Organización Mundial del Turismo </w:t>
      </w:r>
      <w:r w:rsidR="0024224F">
        <w:rPr>
          <w:rFonts w:eastAsia="Calibri"/>
          <w:sz w:val="26"/>
          <w:szCs w:val="26"/>
          <w:lang w:eastAsia="en-US"/>
        </w:rPr>
        <w:t>(</w:t>
      </w:r>
      <w:r w:rsidRPr="00497C36">
        <w:rPr>
          <w:rFonts w:eastAsia="Calibri"/>
          <w:sz w:val="26"/>
          <w:szCs w:val="26"/>
          <w:lang w:eastAsia="en-US"/>
        </w:rPr>
        <w:t>OMT</w:t>
      </w:r>
      <w:r w:rsidR="0024224F">
        <w:rPr>
          <w:rFonts w:eastAsia="Calibri"/>
          <w:sz w:val="26"/>
          <w:szCs w:val="26"/>
          <w:lang w:eastAsia="en-US"/>
        </w:rPr>
        <w:t>)</w:t>
      </w:r>
      <w:r w:rsidRPr="00497C36">
        <w:rPr>
          <w:rFonts w:eastAsia="Calibri"/>
          <w:sz w:val="26"/>
          <w:szCs w:val="26"/>
          <w:lang w:eastAsia="en-US"/>
        </w:rPr>
        <w:t xml:space="preserve"> crecimiento del Turismo Internacional de </w:t>
      </w:r>
      <w:r w:rsidR="00515767">
        <w:rPr>
          <w:rFonts w:eastAsia="Calibri"/>
          <w:sz w:val="26"/>
          <w:szCs w:val="26"/>
          <w:lang w:eastAsia="en-US"/>
        </w:rPr>
        <w:t xml:space="preserve"> </w:t>
      </w:r>
      <w:r w:rsidRPr="00497C36">
        <w:rPr>
          <w:rFonts w:eastAsia="Calibri"/>
          <w:sz w:val="26"/>
          <w:szCs w:val="26"/>
          <w:lang w:eastAsia="en-US"/>
        </w:rPr>
        <w:t>3 a 4% este año. A continuación se presenta la información.</w:t>
      </w:r>
    </w:p>
    <w:p w:rsidR="00497C36" w:rsidRPr="00497C36" w:rsidRDefault="00497C36" w:rsidP="00497C36">
      <w:pPr>
        <w:spacing w:after="360" w:line="360" w:lineRule="auto"/>
        <w:ind w:right="-159"/>
        <w:jc w:val="both"/>
        <w:rPr>
          <w:rFonts w:eastAsia="Calibri"/>
          <w:sz w:val="26"/>
          <w:szCs w:val="26"/>
          <w:lang w:eastAsia="en-US"/>
        </w:rPr>
      </w:pPr>
      <w:r w:rsidRPr="00497C36">
        <w:rPr>
          <w:rFonts w:eastAsia="Calibri"/>
          <w:sz w:val="26"/>
          <w:szCs w:val="26"/>
          <w:lang w:eastAsia="en-US"/>
        </w:rPr>
        <w:t>La (OMT) pronosticó que el crecimiento del turismo internacional para este año oscilará entre 3 y 4%, lo que garantizará que el sector siga contribuyendo a la recuperación económica de muchas naciones.</w:t>
      </w:r>
    </w:p>
    <w:p w:rsidR="00497C36" w:rsidRPr="00497C36" w:rsidRDefault="00497C36" w:rsidP="00497C36">
      <w:pPr>
        <w:spacing w:after="360" w:line="360" w:lineRule="auto"/>
        <w:ind w:right="-159"/>
        <w:jc w:val="both"/>
        <w:rPr>
          <w:rFonts w:eastAsia="Calibri"/>
          <w:sz w:val="26"/>
          <w:szCs w:val="26"/>
          <w:lang w:eastAsia="en-US"/>
        </w:rPr>
      </w:pPr>
      <w:r w:rsidRPr="00497C36">
        <w:rPr>
          <w:rFonts w:eastAsia="Calibri"/>
          <w:sz w:val="26"/>
          <w:szCs w:val="26"/>
          <w:lang w:eastAsia="en-US"/>
        </w:rPr>
        <w:t>El Organismo especializado de las Naciones Unidas proyectó también que para 2015 el turismo internacional continuará repuntando en las regiones de Asia, Pacífico y las Américas.</w:t>
      </w:r>
    </w:p>
    <w:p w:rsidR="00497C36" w:rsidRPr="00497C36" w:rsidRDefault="00497C36" w:rsidP="00497C36">
      <w:pPr>
        <w:spacing w:after="360" w:line="360" w:lineRule="auto"/>
        <w:ind w:right="-159"/>
        <w:jc w:val="both"/>
        <w:rPr>
          <w:rFonts w:eastAsia="Calibri"/>
          <w:sz w:val="26"/>
          <w:szCs w:val="26"/>
          <w:lang w:eastAsia="en-US"/>
        </w:rPr>
      </w:pPr>
      <w:r w:rsidRPr="00497C36">
        <w:rPr>
          <w:rFonts w:eastAsia="Calibri"/>
          <w:sz w:val="26"/>
          <w:szCs w:val="26"/>
          <w:lang w:eastAsia="en-US"/>
        </w:rPr>
        <w:t>De acuerdo con el último número del Barómetro del Turismo Mundial, la demanda continuará creciendo en 2015 a medida que la situación económica mundial mejore, aunque admitió que todavía hay muchas dificultades en el camino.</w:t>
      </w:r>
    </w:p>
    <w:p w:rsidR="00497C36" w:rsidRPr="00497C36" w:rsidRDefault="00497C36" w:rsidP="00497C36">
      <w:pPr>
        <w:spacing w:after="360" w:line="360" w:lineRule="auto"/>
        <w:ind w:right="-159"/>
        <w:jc w:val="both"/>
        <w:rPr>
          <w:rFonts w:eastAsia="Calibri"/>
          <w:sz w:val="26"/>
          <w:szCs w:val="26"/>
          <w:lang w:eastAsia="en-US"/>
        </w:rPr>
      </w:pPr>
      <w:r w:rsidRPr="00497C36">
        <w:rPr>
          <w:rFonts w:eastAsia="Calibri"/>
          <w:sz w:val="26"/>
          <w:szCs w:val="26"/>
          <w:lang w:eastAsia="en-US"/>
        </w:rPr>
        <w:t>Como aspecto positivo, se refirió al descenso en los precios del petróleo que reducirán los costos de transporte e impulsarán el crecimiento económico en las economías importadoras de crudo.</w:t>
      </w:r>
    </w:p>
    <w:p w:rsidR="00497C36" w:rsidRPr="00497C36" w:rsidRDefault="00497C36" w:rsidP="00497C36">
      <w:pPr>
        <w:spacing w:after="360" w:line="360" w:lineRule="auto"/>
        <w:ind w:right="-159"/>
        <w:jc w:val="both"/>
        <w:rPr>
          <w:rFonts w:eastAsia="Calibri"/>
          <w:sz w:val="26"/>
          <w:szCs w:val="26"/>
          <w:lang w:eastAsia="en-US"/>
        </w:rPr>
      </w:pPr>
      <w:r w:rsidRPr="00497C36">
        <w:rPr>
          <w:rFonts w:eastAsia="Calibri"/>
          <w:sz w:val="26"/>
          <w:szCs w:val="26"/>
          <w:lang w:eastAsia="en-US"/>
        </w:rPr>
        <w:t>Estas perspectivas positivas se vieron confirmadas por el Índice de Confianza de la Organización Mundial de Turismo.</w:t>
      </w:r>
    </w:p>
    <w:p w:rsidR="00497C36" w:rsidRPr="00497C36" w:rsidRDefault="00497C36" w:rsidP="00497C36">
      <w:pPr>
        <w:spacing w:after="360" w:line="360" w:lineRule="auto"/>
        <w:ind w:right="-159"/>
        <w:jc w:val="both"/>
        <w:rPr>
          <w:rFonts w:eastAsia="Calibri"/>
          <w:sz w:val="26"/>
          <w:szCs w:val="26"/>
          <w:lang w:eastAsia="en-US"/>
        </w:rPr>
      </w:pPr>
      <w:r w:rsidRPr="00497C36">
        <w:rPr>
          <w:rFonts w:eastAsia="Calibri"/>
          <w:sz w:val="26"/>
          <w:szCs w:val="26"/>
          <w:lang w:eastAsia="en-US"/>
        </w:rPr>
        <w:t>Según los 300 expertos en turismo de todo el mundo consultados para elaborar el Índice, se espera que el comportamiento de la actividad turística mejore, aunque las expectativas son menos optimistas que hace un año.</w:t>
      </w:r>
    </w:p>
    <w:p w:rsidR="00497C36" w:rsidRPr="00497C36" w:rsidRDefault="00497C36" w:rsidP="00497C36">
      <w:pPr>
        <w:spacing w:after="360" w:line="360" w:lineRule="auto"/>
        <w:ind w:right="-159"/>
        <w:jc w:val="both"/>
        <w:rPr>
          <w:rFonts w:eastAsia="Calibri"/>
          <w:sz w:val="26"/>
          <w:szCs w:val="26"/>
          <w:lang w:eastAsia="en-US"/>
        </w:rPr>
      </w:pPr>
      <w:r w:rsidRPr="00497C36">
        <w:rPr>
          <w:rFonts w:eastAsia="Calibri"/>
          <w:sz w:val="26"/>
          <w:szCs w:val="26"/>
          <w:lang w:eastAsia="en-US"/>
        </w:rPr>
        <w:lastRenderedPageBreak/>
        <w:t>El documento destacó que en 2014, las llegadas de turistas internacionales sumaron mil 138 millones, 51 millones más que en 2013. Un incremento de 4.7% que, por quinto año consecutivo, supera la media desde la crisis económica de 2009, reveló el último número del Barómetro.</w:t>
      </w:r>
    </w:p>
    <w:p w:rsidR="00497C36" w:rsidRPr="00497C36" w:rsidRDefault="00497C36" w:rsidP="00497C36">
      <w:pPr>
        <w:spacing w:after="360" w:line="360" w:lineRule="auto"/>
        <w:ind w:right="-159"/>
        <w:jc w:val="both"/>
        <w:rPr>
          <w:rFonts w:eastAsia="Calibri"/>
          <w:sz w:val="26"/>
          <w:szCs w:val="26"/>
          <w:lang w:eastAsia="en-US"/>
        </w:rPr>
      </w:pPr>
      <w:r w:rsidRPr="00497C36">
        <w:rPr>
          <w:rFonts w:eastAsia="Calibri"/>
          <w:sz w:val="26"/>
          <w:szCs w:val="26"/>
          <w:lang w:eastAsia="en-US"/>
        </w:rPr>
        <w:t>De acuerdo con la publicación, que monitorea la evolución de la actividad turística a nivel global, en 2014</w:t>
      </w:r>
      <w:r w:rsidR="00115A8C">
        <w:rPr>
          <w:rFonts w:eastAsia="Calibri"/>
          <w:sz w:val="26"/>
          <w:szCs w:val="26"/>
          <w:lang w:eastAsia="en-US"/>
        </w:rPr>
        <w:t>,</w:t>
      </w:r>
      <w:r w:rsidRPr="00497C36">
        <w:rPr>
          <w:rFonts w:eastAsia="Calibri"/>
          <w:sz w:val="26"/>
          <w:szCs w:val="26"/>
          <w:lang w:eastAsia="en-US"/>
        </w:rPr>
        <w:t xml:space="preserve"> la región de las Américas registró un aumento del 7% en el ingreso de turistas internacionales; las subregiones América del Norte (8%), América Central y del Sur (6 % en ambos casos), se duplicaron con respecto a 2013 y se situaron muy por encima de la media mundial.</w:t>
      </w:r>
    </w:p>
    <w:p w:rsidR="00497C36" w:rsidRPr="00497C36" w:rsidRDefault="00497C36" w:rsidP="00497C36">
      <w:pPr>
        <w:spacing w:after="360" w:line="360" w:lineRule="auto"/>
        <w:ind w:right="-159"/>
        <w:jc w:val="both"/>
        <w:rPr>
          <w:rFonts w:eastAsia="Calibri"/>
          <w:sz w:val="26"/>
          <w:szCs w:val="26"/>
          <w:lang w:eastAsia="en-US"/>
        </w:rPr>
      </w:pPr>
      <w:r w:rsidRPr="00497C36">
        <w:rPr>
          <w:rFonts w:eastAsia="Calibri"/>
          <w:sz w:val="26"/>
          <w:szCs w:val="26"/>
          <w:lang w:eastAsia="en-US"/>
        </w:rPr>
        <w:t>En los últimos años el turismo ha demostrado ser una actividad económica fuerte y resistente, con una gran capacidad para contribuir a la recuperación económica, ya que genera miles de millones de dólares en exportaciones y crea millones de puestos de trabajo, subrayó el informe de la OMT.</w:t>
      </w:r>
    </w:p>
    <w:p w:rsidR="00497C36" w:rsidRPr="00497C36" w:rsidRDefault="00497C36" w:rsidP="00497C36">
      <w:pPr>
        <w:spacing w:after="360" w:line="360" w:lineRule="auto"/>
        <w:ind w:right="-159"/>
        <w:jc w:val="both"/>
        <w:rPr>
          <w:rFonts w:eastAsia="Calibri"/>
          <w:sz w:val="26"/>
          <w:szCs w:val="26"/>
          <w:lang w:eastAsia="en-US"/>
        </w:rPr>
      </w:pPr>
      <w:r w:rsidRPr="00497C36">
        <w:rPr>
          <w:rFonts w:eastAsia="Calibri"/>
          <w:sz w:val="26"/>
          <w:szCs w:val="26"/>
          <w:lang w:eastAsia="en-US"/>
        </w:rPr>
        <w:t>La región de Europa se consolidó como la región más visitada del mundo, con un incremento de 4%, lo que significó un aumento de 22 millones de visitantes en 2014, registrando un total de 588 millones.</w:t>
      </w:r>
    </w:p>
    <w:p w:rsidR="00497C36" w:rsidRPr="00497C36" w:rsidRDefault="00497C36" w:rsidP="00497C36">
      <w:pPr>
        <w:spacing w:after="360" w:line="360" w:lineRule="auto"/>
        <w:ind w:right="-159"/>
        <w:jc w:val="both"/>
        <w:rPr>
          <w:rFonts w:eastAsia="Calibri"/>
          <w:sz w:val="26"/>
          <w:szCs w:val="26"/>
          <w:lang w:eastAsia="en-US"/>
        </w:rPr>
      </w:pPr>
      <w:r w:rsidRPr="00497C36">
        <w:rPr>
          <w:rFonts w:eastAsia="Calibri"/>
          <w:sz w:val="26"/>
          <w:szCs w:val="26"/>
          <w:lang w:eastAsia="en-US"/>
        </w:rPr>
        <w:t>Se espera que, como en años anteriores, el incremento de los ingresos por turismo internacional en 2014 haya seguido muy de cerca al de las llegadas de visitantes, los resultados sobre los ingresos por turismo internacional en 2014 se publicarán en abril de 2015.</w:t>
      </w:r>
    </w:p>
    <w:p w:rsidR="00497C36" w:rsidRPr="00497C36" w:rsidRDefault="00497C36" w:rsidP="00497C36">
      <w:pPr>
        <w:ind w:right="-159"/>
        <w:jc w:val="both"/>
        <w:rPr>
          <w:rFonts w:eastAsia="Calibri"/>
          <w:b/>
          <w:sz w:val="20"/>
          <w:szCs w:val="20"/>
          <w:lang w:eastAsia="en-US"/>
        </w:rPr>
      </w:pPr>
      <w:r w:rsidRPr="00497C36">
        <w:rPr>
          <w:rFonts w:eastAsia="Calibri"/>
          <w:b/>
          <w:sz w:val="20"/>
          <w:szCs w:val="20"/>
          <w:lang w:eastAsia="en-US"/>
        </w:rPr>
        <w:t>Fuente de información:</w:t>
      </w:r>
    </w:p>
    <w:p w:rsidR="00497C36" w:rsidRPr="002753B3" w:rsidRDefault="004638E5" w:rsidP="00497C36">
      <w:pPr>
        <w:ind w:right="-159"/>
        <w:jc w:val="both"/>
        <w:rPr>
          <w:rFonts w:eastAsia="Calibri"/>
          <w:color w:val="0000FF"/>
          <w:sz w:val="20"/>
          <w:szCs w:val="20"/>
          <w:lang w:eastAsia="en-US"/>
        </w:rPr>
      </w:pPr>
      <w:hyperlink r:id="rId78" w:history="1">
        <w:r w:rsidR="00497C36" w:rsidRPr="002753B3">
          <w:rPr>
            <w:rFonts w:eastAsia="Calibri"/>
            <w:color w:val="0000FF"/>
            <w:sz w:val="20"/>
            <w:szCs w:val="20"/>
            <w:u w:val="single"/>
            <w:lang w:eastAsia="en-US"/>
          </w:rPr>
          <w:t>http://www.sectur.gob.mx/2015/02/23/boletin-38-pronostica-la-omt-crecimiento-del-turismo-internacional-de-tres-a-cuatro-por-ciento-este-ano/</w:t>
        </w:r>
      </w:hyperlink>
      <w:r w:rsidR="00497C36" w:rsidRPr="002753B3">
        <w:rPr>
          <w:rFonts w:eastAsia="Calibri"/>
          <w:color w:val="0000FF"/>
          <w:sz w:val="20"/>
          <w:szCs w:val="20"/>
          <w:lang w:eastAsia="en-US"/>
        </w:rPr>
        <w:t xml:space="preserve"> </w:t>
      </w:r>
    </w:p>
    <w:p w:rsidR="00A05F62" w:rsidRPr="00A05F62" w:rsidRDefault="00A05F62" w:rsidP="00A05F62">
      <w:pPr>
        <w:spacing w:after="360" w:line="360" w:lineRule="auto"/>
        <w:ind w:right="-159"/>
        <w:jc w:val="both"/>
        <w:rPr>
          <w:rFonts w:eastAsia="Calibri"/>
          <w:sz w:val="26"/>
          <w:szCs w:val="26"/>
          <w:lang w:eastAsia="en-US"/>
        </w:rPr>
      </w:pPr>
    </w:p>
    <w:p w:rsidR="00304A53" w:rsidRDefault="00304A53" w:rsidP="00B3666F">
      <w:pPr>
        <w:spacing w:after="360" w:line="360" w:lineRule="auto"/>
        <w:ind w:right="-159"/>
        <w:jc w:val="both"/>
        <w:rPr>
          <w:b/>
          <w:sz w:val="26"/>
          <w:szCs w:val="26"/>
        </w:rPr>
      </w:pPr>
      <w:bookmarkStart w:id="16" w:name="OLE_LINK83"/>
    </w:p>
    <w:p w:rsidR="00B3666F" w:rsidRPr="00B3666F" w:rsidRDefault="00B3666F" w:rsidP="00B3666F">
      <w:pPr>
        <w:spacing w:after="360" w:line="360" w:lineRule="auto"/>
        <w:ind w:right="-159"/>
        <w:jc w:val="both"/>
        <w:rPr>
          <w:b/>
          <w:sz w:val="26"/>
          <w:szCs w:val="26"/>
        </w:rPr>
      </w:pPr>
      <w:r w:rsidRPr="00B3666F">
        <w:rPr>
          <w:b/>
          <w:sz w:val="26"/>
          <w:szCs w:val="26"/>
        </w:rPr>
        <w:lastRenderedPageBreak/>
        <w:t>Remesas Familiares (Banxico)</w:t>
      </w:r>
    </w:p>
    <w:p w:rsidR="00B3666F" w:rsidRPr="00B3666F" w:rsidRDefault="00B3666F" w:rsidP="00B3666F">
      <w:pPr>
        <w:spacing w:after="360" w:line="360" w:lineRule="auto"/>
        <w:ind w:right="-159"/>
        <w:jc w:val="both"/>
        <w:rPr>
          <w:sz w:val="26"/>
          <w:szCs w:val="26"/>
          <w:lang w:val="es-ES"/>
        </w:rPr>
      </w:pPr>
      <w:r w:rsidRPr="00B3666F">
        <w:rPr>
          <w:sz w:val="26"/>
          <w:szCs w:val="26"/>
          <w:lang w:val="es-ES"/>
        </w:rPr>
        <w:t xml:space="preserve">El 2 de marzo de 2015, el Banco de México (Banxico) informó que, durante enero de 2015, las remesas del exterior de los residentes mexicanos en el extranjero sumaron       1 mil 630.72 millones de dólares, monto 0.70% inferior al reportado en el mismo </w:t>
      </w:r>
      <w:r w:rsidR="00E017B6">
        <w:rPr>
          <w:sz w:val="26"/>
          <w:szCs w:val="26"/>
          <w:lang w:val="es-ES"/>
        </w:rPr>
        <w:t>mes</w:t>
      </w:r>
      <w:r w:rsidRPr="00B3666F">
        <w:rPr>
          <w:sz w:val="26"/>
          <w:szCs w:val="26"/>
          <w:lang w:val="es-ES"/>
        </w:rPr>
        <w:t xml:space="preserve"> de 2014 (1 mil 642.15 millones de dólares).</w:t>
      </w:r>
    </w:p>
    <w:p w:rsidR="00B3666F" w:rsidRPr="00B3666F" w:rsidRDefault="00E4484F" w:rsidP="00B3666F">
      <w:pPr>
        <w:spacing w:after="360" w:line="360" w:lineRule="auto"/>
        <w:ind w:right="-159"/>
        <w:jc w:val="center"/>
        <w:rPr>
          <w:sz w:val="26"/>
          <w:szCs w:val="26"/>
          <w:lang w:val="es-ES"/>
        </w:rPr>
      </w:pPr>
      <w:r w:rsidRPr="00E4484F">
        <w:rPr>
          <w:rFonts w:ascii="Calibri" w:eastAsia="Calibri" w:hAnsi="Calibri"/>
          <w:sz w:val="22"/>
          <w:szCs w:val="22"/>
          <w:lang w:eastAsia="en-US"/>
        </w:rPr>
        <w:fldChar w:fldCharType="begin"/>
      </w:r>
      <w:r w:rsidRPr="00E4484F">
        <w:rPr>
          <w:rFonts w:ascii="Calibri" w:eastAsia="Calibri" w:hAnsi="Calibri"/>
          <w:sz w:val="22"/>
          <w:szCs w:val="22"/>
          <w:lang w:eastAsia="en-US"/>
        </w:rPr>
        <w:instrText xml:space="preserve"> LINK PowerPoint.Slide.8 "D:\\2015\\MARZO 2014\\GRÁFICAS EN POWER POINT\\6.- GRÁFICAS DE REMESAS.pptx!267" "" \a \p </w:instrText>
      </w:r>
      <w:r w:rsidRPr="00E4484F">
        <w:rPr>
          <w:rFonts w:ascii="Calibri" w:eastAsia="Calibri" w:hAnsi="Calibri"/>
          <w:sz w:val="22"/>
          <w:szCs w:val="22"/>
          <w:lang w:eastAsia="en-US"/>
        </w:rPr>
        <w:fldChar w:fldCharType="separate"/>
      </w:r>
      <w:r w:rsidRPr="00E4484F">
        <w:rPr>
          <w:rFonts w:ascii="Calibri" w:eastAsia="Calibri" w:hAnsi="Calibri"/>
          <w:noProof/>
          <w:sz w:val="22"/>
          <w:szCs w:val="22"/>
          <w:lang w:eastAsia="es-MX"/>
        </w:rPr>
        <w:drawing>
          <wp:inline distT="0" distB="0" distL="0" distR="0" wp14:anchorId="17F2B394" wp14:editId="54DFE578">
            <wp:extent cx="4015740" cy="3237230"/>
            <wp:effectExtent l="0" t="0" r="3810" b="127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79" cstate="print">
                      <a:extLst>
                        <a:ext uri="{28A0092B-C50C-407E-A947-70E740481C1C}">
                          <a14:useLocalDpi xmlns:a14="http://schemas.microsoft.com/office/drawing/2010/main" val="0"/>
                        </a:ext>
                      </a:extLst>
                    </a:blip>
                    <a:srcRect l="5086" r="6882" b="5376"/>
                    <a:stretch>
                      <a:fillRect/>
                    </a:stretch>
                  </pic:blipFill>
                  <pic:spPr bwMode="auto">
                    <a:xfrm>
                      <a:off x="0" y="0"/>
                      <a:ext cx="4015740" cy="3237230"/>
                    </a:xfrm>
                    <a:prstGeom prst="rect">
                      <a:avLst/>
                    </a:prstGeom>
                    <a:noFill/>
                    <a:ln>
                      <a:noFill/>
                    </a:ln>
                  </pic:spPr>
                </pic:pic>
              </a:graphicData>
            </a:graphic>
          </wp:inline>
        </w:drawing>
      </w:r>
      <w:r w:rsidRPr="00E4484F">
        <w:rPr>
          <w:rFonts w:ascii="Calibri" w:eastAsia="Calibri" w:hAnsi="Calibri"/>
          <w:sz w:val="22"/>
          <w:szCs w:val="22"/>
          <w:lang w:eastAsia="en-US"/>
        </w:rPr>
        <w:fldChar w:fldCharType="end"/>
      </w:r>
    </w:p>
    <w:p w:rsidR="00B3666F" w:rsidRPr="00B3666F" w:rsidRDefault="00B3666F" w:rsidP="00B3666F">
      <w:pPr>
        <w:spacing w:after="360" w:line="360" w:lineRule="auto"/>
        <w:ind w:right="-159"/>
        <w:jc w:val="both"/>
        <w:rPr>
          <w:sz w:val="26"/>
          <w:szCs w:val="26"/>
          <w:lang w:val="es-ES"/>
        </w:rPr>
      </w:pPr>
      <w:r w:rsidRPr="00B3666F">
        <w:rPr>
          <w:sz w:val="26"/>
          <w:szCs w:val="26"/>
          <w:lang w:val="es-ES"/>
        </w:rPr>
        <w:t xml:space="preserve">Durante </w:t>
      </w:r>
      <w:r w:rsidR="00E4484F">
        <w:rPr>
          <w:sz w:val="26"/>
          <w:szCs w:val="26"/>
          <w:lang w:val="es-ES"/>
        </w:rPr>
        <w:t xml:space="preserve">el primer mes </w:t>
      </w:r>
      <w:r w:rsidRPr="00B3666F">
        <w:rPr>
          <w:sz w:val="26"/>
          <w:szCs w:val="26"/>
          <w:lang w:val="es-ES"/>
        </w:rPr>
        <w:t xml:space="preserve">de 2015, del total de remesas del exterior, el 96.04% se realizó a través de transferencias electrónicas, lo que significó un aumento de 0.08% con respecto al mismo período de 2014. Asimismo, el 1.25% de ellas se efectuó mediante Money </w:t>
      </w:r>
      <w:proofErr w:type="spellStart"/>
      <w:r w:rsidRPr="00B3666F">
        <w:rPr>
          <w:sz w:val="26"/>
          <w:szCs w:val="26"/>
          <w:lang w:val="es-ES"/>
        </w:rPr>
        <w:t>Orders</w:t>
      </w:r>
      <w:proofErr w:type="spellEnd"/>
      <w:r w:rsidRPr="00B3666F">
        <w:rPr>
          <w:sz w:val="26"/>
          <w:szCs w:val="26"/>
          <w:lang w:val="es-ES"/>
        </w:rPr>
        <w:t xml:space="preserve">, mismas que registraron una disminución de 51.74%; </w:t>
      </w:r>
      <w:r w:rsidR="007B7E95">
        <w:rPr>
          <w:sz w:val="26"/>
          <w:szCs w:val="26"/>
          <w:lang w:val="es-ES"/>
        </w:rPr>
        <w:t>en tanto que</w:t>
      </w:r>
      <w:r w:rsidRPr="00B3666F">
        <w:rPr>
          <w:sz w:val="26"/>
          <w:szCs w:val="26"/>
          <w:lang w:val="es-ES"/>
        </w:rPr>
        <w:t xml:space="preserve"> el 2.71% se realizó en efectivo y especie, lo que representó un aumento de 26.51 por ciento.</w:t>
      </w:r>
    </w:p>
    <w:p w:rsidR="00B3666F" w:rsidRDefault="00B3666F" w:rsidP="00B3666F">
      <w:pPr>
        <w:spacing w:after="360" w:line="360" w:lineRule="auto"/>
        <w:ind w:right="-159"/>
        <w:jc w:val="both"/>
        <w:rPr>
          <w:sz w:val="26"/>
          <w:szCs w:val="26"/>
          <w:lang w:val="es-ES"/>
        </w:rPr>
      </w:pPr>
      <w:r w:rsidRPr="00B3666F">
        <w:rPr>
          <w:sz w:val="26"/>
          <w:szCs w:val="26"/>
          <w:lang w:val="es-ES"/>
        </w:rPr>
        <w:t>Por otra parte, durante enero de 2015, el promedio de las remesas se ubicó en          279.18 dólares, cantidad 3.97% inferior a la registrada en el mismo lapso de 2014 (290.71 dólares).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6"/>
        <w:gridCol w:w="1489"/>
        <w:gridCol w:w="1417"/>
        <w:gridCol w:w="1559"/>
      </w:tblGrid>
      <w:tr w:rsidR="00B3666F" w:rsidRPr="00B3666F" w:rsidTr="00F723CA">
        <w:trPr>
          <w:jc w:val="center"/>
        </w:trPr>
        <w:tc>
          <w:tcPr>
            <w:tcW w:w="7371" w:type="dxa"/>
            <w:gridSpan w:val="4"/>
            <w:tcBorders>
              <w:top w:val="nil"/>
              <w:left w:val="nil"/>
              <w:bottom w:val="single" w:sz="4" w:space="0" w:color="auto"/>
              <w:right w:val="nil"/>
            </w:tcBorders>
          </w:tcPr>
          <w:p w:rsidR="00B3666F" w:rsidRPr="00B3666F" w:rsidRDefault="00B3666F" w:rsidP="00B3666F">
            <w:pPr>
              <w:widowControl w:val="0"/>
              <w:adjustRightInd w:val="0"/>
              <w:jc w:val="center"/>
              <w:textAlignment w:val="baseline"/>
              <w:rPr>
                <w:b/>
                <w:sz w:val="22"/>
                <w:szCs w:val="22"/>
              </w:rPr>
            </w:pPr>
            <w:bookmarkStart w:id="17" w:name="_Hlk303150958"/>
            <w:r w:rsidRPr="00B3666F">
              <w:rPr>
                <w:b/>
                <w:sz w:val="22"/>
                <w:szCs w:val="22"/>
              </w:rPr>
              <w:lastRenderedPageBreak/>
              <w:t>REMESAS FAMILIARES</w:t>
            </w:r>
          </w:p>
          <w:p w:rsidR="00B3666F" w:rsidRPr="00B3666F" w:rsidRDefault="00B3666F" w:rsidP="00B3666F">
            <w:pPr>
              <w:widowControl w:val="0"/>
              <w:adjustRightInd w:val="0"/>
              <w:jc w:val="center"/>
              <w:textAlignment w:val="baseline"/>
              <w:rPr>
                <w:b/>
                <w:sz w:val="22"/>
                <w:szCs w:val="22"/>
              </w:rPr>
            </w:pPr>
            <w:r w:rsidRPr="00B3666F">
              <w:rPr>
                <w:b/>
                <w:sz w:val="22"/>
                <w:szCs w:val="22"/>
              </w:rPr>
              <w:t>-Millones de dólares-</w:t>
            </w:r>
          </w:p>
        </w:tc>
      </w:tr>
      <w:tr w:rsidR="00B3666F" w:rsidRPr="00B3666F" w:rsidTr="00F723CA">
        <w:trPr>
          <w:jc w:val="center"/>
        </w:trPr>
        <w:tc>
          <w:tcPr>
            <w:tcW w:w="2906" w:type="dxa"/>
            <w:vMerge w:val="restart"/>
            <w:tcBorders>
              <w:top w:val="single" w:sz="4" w:space="0" w:color="auto"/>
              <w:left w:val="single" w:sz="4" w:space="0" w:color="auto"/>
              <w:bottom w:val="single" w:sz="4" w:space="0" w:color="auto"/>
              <w:right w:val="single" w:sz="4" w:space="0" w:color="auto"/>
            </w:tcBorders>
            <w:vAlign w:val="center"/>
          </w:tcPr>
          <w:p w:rsidR="00B3666F" w:rsidRPr="00B3666F" w:rsidRDefault="00B3666F" w:rsidP="00B3666F">
            <w:pPr>
              <w:widowControl w:val="0"/>
              <w:adjustRightInd w:val="0"/>
              <w:jc w:val="center"/>
              <w:textAlignment w:val="baseline"/>
              <w:rPr>
                <w:b/>
                <w:sz w:val="20"/>
                <w:szCs w:val="20"/>
              </w:rPr>
            </w:pPr>
            <w:r w:rsidRPr="00B3666F">
              <w:rPr>
                <w:b/>
                <w:sz w:val="20"/>
                <w:szCs w:val="20"/>
              </w:rPr>
              <w:t>Concepto</w:t>
            </w:r>
          </w:p>
        </w:tc>
        <w:tc>
          <w:tcPr>
            <w:tcW w:w="2906" w:type="dxa"/>
            <w:gridSpan w:val="2"/>
            <w:tcBorders>
              <w:top w:val="single" w:sz="4" w:space="0" w:color="auto"/>
              <w:left w:val="single" w:sz="4" w:space="0" w:color="auto"/>
              <w:bottom w:val="single" w:sz="4" w:space="0" w:color="auto"/>
              <w:right w:val="single" w:sz="4" w:space="0" w:color="auto"/>
            </w:tcBorders>
          </w:tcPr>
          <w:p w:rsidR="00B3666F" w:rsidRPr="00B3666F" w:rsidRDefault="00B3666F" w:rsidP="00B3666F">
            <w:pPr>
              <w:widowControl w:val="0"/>
              <w:adjustRightInd w:val="0"/>
              <w:jc w:val="center"/>
              <w:textAlignment w:val="baseline"/>
              <w:rPr>
                <w:rFonts w:ascii="Times" w:hAnsi="Times"/>
                <w:b/>
                <w:spacing w:val="30"/>
                <w:sz w:val="20"/>
                <w:szCs w:val="20"/>
              </w:rPr>
            </w:pPr>
            <w:r w:rsidRPr="00B3666F">
              <w:rPr>
                <w:rFonts w:ascii="Times" w:hAnsi="Times"/>
                <w:b/>
                <w:spacing w:val="30"/>
                <w:sz w:val="20"/>
                <w:szCs w:val="20"/>
              </w:rPr>
              <w:t>Enero</w:t>
            </w:r>
          </w:p>
        </w:tc>
        <w:tc>
          <w:tcPr>
            <w:tcW w:w="1559" w:type="dxa"/>
            <w:tcBorders>
              <w:top w:val="single" w:sz="4" w:space="0" w:color="auto"/>
              <w:left w:val="single" w:sz="4" w:space="0" w:color="auto"/>
              <w:bottom w:val="single" w:sz="4" w:space="0" w:color="auto"/>
              <w:right w:val="single" w:sz="4" w:space="0" w:color="auto"/>
            </w:tcBorders>
          </w:tcPr>
          <w:p w:rsidR="00B3666F" w:rsidRPr="00B3666F" w:rsidRDefault="00B3666F" w:rsidP="00B3666F">
            <w:pPr>
              <w:widowControl w:val="0"/>
              <w:adjustRightInd w:val="0"/>
              <w:jc w:val="center"/>
              <w:textAlignment w:val="baseline"/>
              <w:rPr>
                <w:b/>
                <w:sz w:val="20"/>
                <w:szCs w:val="20"/>
              </w:rPr>
            </w:pPr>
            <w:r w:rsidRPr="00B3666F">
              <w:rPr>
                <w:b/>
                <w:sz w:val="20"/>
                <w:szCs w:val="20"/>
              </w:rPr>
              <w:t>Variación</w:t>
            </w:r>
          </w:p>
        </w:tc>
      </w:tr>
      <w:tr w:rsidR="00B3666F" w:rsidRPr="00B3666F" w:rsidTr="00F723CA">
        <w:trPr>
          <w:jc w:val="center"/>
        </w:trPr>
        <w:tc>
          <w:tcPr>
            <w:tcW w:w="2906" w:type="dxa"/>
            <w:vMerge/>
            <w:tcBorders>
              <w:top w:val="single" w:sz="4" w:space="0" w:color="auto"/>
              <w:left w:val="single" w:sz="4" w:space="0" w:color="auto"/>
              <w:bottom w:val="single" w:sz="4" w:space="0" w:color="auto"/>
              <w:right w:val="single" w:sz="4" w:space="0" w:color="auto"/>
            </w:tcBorders>
          </w:tcPr>
          <w:p w:rsidR="00B3666F" w:rsidRPr="00B3666F" w:rsidRDefault="00B3666F" w:rsidP="00B3666F">
            <w:pPr>
              <w:widowControl w:val="0"/>
              <w:adjustRightInd w:val="0"/>
              <w:jc w:val="center"/>
              <w:textAlignment w:val="baseline"/>
              <w:rPr>
                <w:b/>
                <w:sz w:val="20"/>
                <w:szCs w:val="20"/>
              </w:rPr>
            </w:pPr>
          </w:p>
        </w:tc>
        <w:tc>
          <w:tcPr>
            <w:tcW w:w="1489" w:type="dxa"/>
            <w:tcBorders>
              <w:top w:val="single" w:sz="4" w:space="0" w:color="auto"/>
              <w:left w:val="single" w:sz="4" w:space="0" w:color="auto"/>
              <w:bottom w:val="single" w:sz="4" w:space="0" w:color="auto"/>
              <w:right w:val="single" w:sz="4" w:space="0" w:color="auto"/>
            </w:tcBorders>
          </w:tcPr>
          <w:p w:rsidR="00B3666F" w:rsidRPr="00B3666F" w:rsidRDefault="00B3666F" w:rsidP="00B3666F">
            <w:pPr>
              <w:widowControl w:val="0"/>
              <w:adjustRightInd w:val="0"/>
              <w:jc w:val="center"/>
              <w:textAlignment w:val="baseline"/>
              <w:rPr>
                <w:b/>
                <w:sz w:val="20"/>
                <w:szCs w:val="20"/>
              </w:rPr>
            </w:pPr>
            <w:r w:rsidRPr="00B3666F">
              <w:rPr>
                <w:b/>
                <w:sz w:val="20"/>
                <w:szCs w:val="20"/>
              </w:rPr>
              <w:t>2014</w:t>
            </w:r>
          </w:p>
        </w:tc>
        <w:tc>
          <w:tcPr>
            <w:tcW w:w="1417" w:type="dxa"/>
            <w:tcBorders>
              <w:top w:val="single" w:sz="4" w:space="0" w:color="auto"/>
              <w:left w:val="single" w:sz="4" w:space="0" w:color="auto"/>
              <w:bottom w:val="single" w:sz="4" w:space="0" w:color="auto"/>
              <w:right w:val="single" w:sz="4" w:space="0" w:color="auto"/>
            </w:tcBorders>
          </w:tcPr>
          <w:p w:rsidR="00B3666F" w:rsidRPr="00B3666F" w:rsidRDefault="00B3666F" w:rsidP="00B3666F">
            <w:pPr>
              <w:widowControl w:val="0"/>
              <w:adjustRightInd w:val="0"/>
              <w:jc w:val="center"/>
              <w:textAlignment w:val="baseline"/>
              <w:rPr>
                <w:b/>
                <w:sz w:val="20"/>
                <w:szCs w:val="20"/>
              </w:rPr>
            </w:pPr>
            <w:r w:rsidRPr="00B3666F">
              <w:rPr>
                <w:b/>
                <w:sz w:val="20"/>
                <w:szCs w:val="20"/>
              </w:rPr>
              <w:t>2015</w:t>
            </w:r>
          </w:p>
        </w:tc>
        <w:tc>
          <w:tcPr>
            <w:tcW w:w="1559" w:type="dxa"/>
            <w:tcBorders>
              <w:top w:val="single" w:sz="4" w:space="0" w:color="auto"/>
              <w:left w:val="single" w:sz="4" w:space="0" w:color="auto"/>
              <w:bottom w:val="single" w:sz="4" w:space="0" w:color="auto"/>
              <w:right w:val="single" w:sz="4" w:space="0" w:color="auto"/>
            </w:tcBorders>
          </w:tcPr>
          <w:p w:rsidR="00B3666F" w:rsidRPr="00B3666F" w:rsidRDefault="00B3666F" w:rsidP="00B3666F">
            <w:pPr>
              <w:widowControl w:val="0"/>
              <w:adjustRightInd w:val="0"/>
              <w:jc w:val="center"/>
              <w:textAlignment w:val="baseline"/>
              <w:rPr>
                <w:b/>
                <w:sz w:val="20"/>
                <w:szCs w:val="20"/>
              </w:rPr>
            </w:pPr>
            <w:r w:rsidRPr="00B3666F">
              <w:rPr>
                <w:b/>
                <w:sz w:val="20"/>
                <w:szCs w:val="20"/>
              </w:rPr>
              <w:t>Relativa</w:t>
            </w:r>
          </w:p>
        </w:tc>
      </w:tr>
      <w:tr w:rsidR="00B3666F" w:rsidRPr="00B3666F" w:rsidTr="00F723CA">
        <w:trPr>
          <w:jc w:val="center"/>
        </w:trPr>
        <w:tc>
          <w:tcPr>
            <w:tcW w:w="2906" w:type="dxa"/>
            <w:vMerge/>
            <w:tcBorders>
              <w:top w:val="single" w:sz="4" w:space="0" w:color="auto"/>
              <w:left w:val="single" w:sz="4" w:space="0" w:color="auto"/>
              <w:bottom w:val="single" w:sz="4" w:space="0" w:color="auto"/>
              <w:right w:val="single" w:sz="4" w:space="0" w:color="auto"/>
            </w:tcBorders>
          </w:tcPr>
          <w:p w:rsidR="00B3666F" w:rsidRPr="00B3666F" w:rsidRDefault="00B3666F" w:rsidP="00B3666F">
            <w:pPr>
              <w:widowControl w:val="0"/>
              <w:adjustRightInd w:val="0"/>
              <w:jc w:val="center"/>
              <w:textAlignment w:val="baseline"/>
              <w:rPr>
                <w:b/>
                <w:sz w:val="20"/>
                <w:szCs w:val="20"/>
              </w:rPr>
            </w:pPr>
          </w:p>
        </w:tc>
        <w:tc>
          <w:tcPr>
            <w:tcW w:w="1489" w:type="dxa"/>
            <w:tcBorders>
              <w:top w:val="single" w:sz="4" w:space="0" w:color="auto"/>
              <w:left w:val="single" w:sz="4" w:space="0" w:color="auto"/>
              <w:bottom w:val="single" w:sz="4" w:space="0" w:color="auto"/>
              <w:right w:val="single" w:sz="4" w:space="0" w:color="auto"/>
            </w:tcBorders>
          </w:tcPr>
          <w:p w:rsidR="00B3666F" w:rsidRPr="00B3666F" w:rsidRDefault="00B3666F" w:rsidP="00B3666F">
            <w:pPr>
              <w:widowControl w:val="0"/>
              <w:adjustRightInd w:val="0"/>
              <w:jc w:val="center"/>
              <w:textAlignment w:val="baseline"/>
              <w:rPr>
                <w:b/>
                <w:sz w:val="20"/>
                <w:szCs w:val="20"/>
              </w:rPr>
            </w:pPr>
            <w:r w:rsidRPr="00B3666F">
              <w:rPr>
                <w:b/>
                <w:sz w:val="20"/>
                <w:szCs w:val="20"/>
              </w:rPr>
              <w:t>(A)</w:t>
            </w:r>
          </w:p>
        </w:tc>
        <w:tc>
          <w:tcPr>
            <w:tcW w:w="1417" w:type="dxa"/>
            <w:tcBorders>
              <w:top w:val="single" w:sz="4" w:space="0" w:color="auto"/>
              <w:left w:val="single" w:sz="4" w:space="0" w:color="auto"/>
              <w:bottom w:val="single" w:sz="4" w:space="0" w:color="auto"/>
              <w:right w:val="single" w:sz="4" w:space="0" w:color="auto"/>
            </w:tcBorders>
          </w:tcPr>
          <w:p w:rsidR="00B3666F" w:rsidRPr="00B3666F" w:rsidRDefault="00B3666F" w:rsidP="00B3666F">
            <w:pPr>
              <w:widowControl w:val="0"/>
              <w:adjustRightInd w:val="0"/>
              <w:jc w:val="center"/>
              <w:textAlignment w:val="baseline"/>
              <w:rPr>
                <w:b/>
                <w:sz w:val="20"/>
                <w:szCs w:val="20"/>
              </w:rPr>
            </w:pPr>
            <w:r w:rsidRPr="00B3666F">
              <w:rPr>
                <w:b/>
                <w:sz w:val="20"/>
                <w:szCs w:val="20"/>
              </w:rPr>
              <w:t>(B)</w:t>
            </w:r>
          </w:p>
        </w:tc>
        <w:tc>
          <w:tcPr>
            <w:tcW w:w="1559" w:type="dxa"/>
            <w:tcBorders>
              <w:top w:val="single" w:sz="4" w:space="0" w:color="auto"/>
              <w:left w:val="single" w:sz="4" w:space="0" w:color="auto"/>
              <w:bottom w:val="single" w:sz="4" w:space="0" w:color="auto"/>
              <w:right w:val="single" w:sz="4" w:space="0" w:color="auto"/>
            </w:tcBorders>
          </w:tcPr>
          <w:p w:rsidR="00B3666F" w:rsidRPr="00B3666F" w:rsidRDefault="00B3666F" w:rsidP="00B3666F">
            <w:pPr>
              <w:widowControl w:val="0"/>
              <w:adjustRightInd w:val="0"/>
              <w:jc w:val="center"/>
              <w:textAlignment w:val="baseline"/>
              <w:rPr>
                <w:b/>
                <w:sz w:val="20"/>
                <w:szCs w:val="20"/>
              </w:rPr>
            </w:pPr>
            <w:r w:rsidRPr="00B3666F">
              <w:rPr>
                <w:b/>
                <w:sz w:val="20"/>
                <w:szCs w:val="20"/>
              </w:rPr>
              <w:t>(B/A)</w:t>
            </w:r>
          </w:p>
        </w:tc>
      </w:tr>
      <w:tr w:rsidR="00B3666F" w:rsidRPr="00B3666F" w:rsidTr="00F723CA">
        <w:trPr>
          <w:jc w:val="center"/>
        </w:trPr>
        <w:tc>
          <w:tcPr>
            <w:tcW w:w="2906" w:type="dxa"/>
            <w:tcBorders>
              <w:top w:val="single" w:sz="4" w:space="0" w:color="auto"/>
              <w:left w:val="single" w:sz="4" w:space="0" w:color="auto"/>
              <w:bottom w:val="nil"/>
              <w:right w:val="single" w:sz="4" w:space="0" w:color="auto"/>
            </w:tcBorders>
          </w:tcPr>
          <w:p w:rsidR="00B3666F" w:rsidRPr="00B3666F" w:rsidRDefault="00B3666F" w:rsidP="00B3666F">
            <w:pPr>
              <w:widowControl w:val="0"/>
              <w:adjustRightInd w:val="0"/>
              <w:ind w:right="-159"/>
              <w:jc w:val="both"/>
              <w:textAlignment w:val="baseline"/>
              <w:rPr>
                <w:sz w:val="20"/>
                <w:szCs w:val="20"/>
              </w:rPr>
            </w:pPr>
            <w:r w:rsidRPr="00B3666F">
              <w:rPr>
                <w:sz w:val="20"/>
                <w:szCs w:val="20"/>
              </w:rPr>
              <w:t>Remesas Totales</w:t>
            </w:r>
            <w:r w:rsidRPr="00B3666F">
              <w:rPr>
                <w:rFonts w:ascii="Times" w:hAnsi="Times"/>
                <w:sz w:val="20"/>
                <w:szCs w:val="20"/>
                <w:u w:val="single"/>
                <w:vertAlign w:val="superscript"/>
              </w:rPr>
              <w:t>1</w:t>
            </w:r>
            <w:r w:rsidRPr="00B3666F">
              <w:rPr>
                <w:rFonts w:ascii="Times" w:hAnsi="Times"/>
                <w:sz w:val="20"/>
                <w:szCs w:val="20"/>
                <w:vertAlign w:val="superscript"/>
              </w:rPr>
              <w:t>/</w:t>
            </w:r>
          </w:p>
        </w:tc>
        <w:tc>
          <w:tcPr>
            <w:tcW w:w="1489" w:type="dxa"/>
            <w:tcBorders>
              <w:top w:val="single" w:sz="4" w:space="0" w:color="auto"/>
              <w:left w:val="single" w:sz="4" w:space="0" w:color="auto"/>
              <w:bottom w:val="nil"/>
              <w:right w:val="single" w:sz="4" w:space="0" w:color="auto"/>
            </w:tcBorders>
          </w:tcPr>
          <w:p w:rsidR="00B3666F" w:rsidRPr="00B3666F" w:rsidRDefault="00B3666F" w:rsidP="00B3666F">
            <w:pPr>
              <w:widowControl w:val="0"/>
              <w:adjustRightInd w:val="0"/>
              <w:ind w:right="340"/>
              <w:jc w:val="right"/>
              <w:textAlignment w:val="baseline"/>
              <w:rPr>
                <w:sz w:val="20"/>
                <w:szCs w:val="20"/>
              </w:rPr>
            </w:pPr>
            <w:r w:rsidRPr="00B3666F">
              <w:rPr>
                <w:sz w:val="20"/>
                <w:szCs w:val="20"/>
              </w:rPr>
              <w:t>1 642.15</w:t>
            </w:r>
          </w:p>
        </w:tc>
        <w:tc>
          <w:tcPr>
            <w:tcW w:w="1417" w:type="dxa"/>
            <w:tcBorders>
              <w:top w:val="single" w:sz="4" w:space="0" w:color="auto"/>
              <w:left w:val="single" w:sz="4" w:space="0" w:color="auto"/>
              <w:bottom w:val="nil"/>
              <w:right w:val="single" w:sz="4" w:space="0" w:color="auto"/>
            </w:tcBorders>
          </w:tcPr>
          <w:p w:rsidR="00B3666F" w:rsidRPr="00B3666F" w:rsidRDefault="00B3666F" w:rsidP="00B3666F">
            <w:pPr>
              <w:widowControl w:val="0"/>
              <w:adjustRightInd w:val="0"/>
              <w:ind w:right="227"/>
              <w:jc w:val="right"/>
              <w:textAlignment w:val="baseline"/>
              <w:rPr>
                <w:sz w:val="20"/>
                <w:szCs w:val="20"/>
              </w:rPr>
            </w:pPr>
            <w:r w:rsidRPr="00B3666F">
              <w:rPr>
                <w:sz w:val="20"/>
                <w:szCs w:val="20"/>
              </w:rPr>
              <w:t>1 630.72</w:t>
            </w:r>
          </w:p>
        </w:tc>
        <w:tc>
          <w:tcPr>
            <w:tcW w:w="1559" w:type="dxa"/>
            <w:tcBorders>
              <w:top w:val="single" w:sz="4" w:space="0" w:color="auto"/>
              <w:left w:val="single" w:sz="4" w:space="0" w:color="auto"/>
              <w:bottom w:val="nil"/>
              <w:right w:val="single" w:sz="4" w:space="0" w:color="auto"/>
            </w:tcBorders>
          </w:tcPr>
          <w:p w:rsidR="00B3666F" w:rsidRPr="00B3666F" w:rsidRDefault="00B3666F" w:rsidP="00B3666F">
            <w:pPr>
              <w:widowControl w:val="0"/>
              <w:adjustRightInd w:val="0"/>
              <w:ind w:right="454"/>
              <w:jc w:val="right"/>
              <w:textAlignment w:val="baseline"/>
              <w:rPr>
                <w:sz w:val="20"/>
                <w:szCs w:val="20"/>
              </w:rPr>
            </w:pPr>
            <w:r w:rsidRPr="00B3666F">
              <w:rPr>
                <w:sz w:val="20"/>
                <w:szCs w:val="20"/>
              </w:rPr>
              <w:t>-0.70</w:t>
            </w:r>
          </w:p>
        </w:tc>
      </w:tr>
      <w:tr w:rsidR="00B3666F" w:rsidRPr="00B3666F" w:rsidTr="00F723CA">
        <w:trPr>
          <w:jc w:val="center"/>
        </w:trPr>
        <w:tc>
          <w:tcPr>
            <w:tcW w:w="2906" w:type="dxa"/>
            <w:tcBorders>
              <w:top w:val="nil"/>
              <w:left w:val="single" w:sz="4" w:space="0" w:color="auto"/>
              <w:bottom w:val="nil"/>
              <w:right w:val="single" w:sz="4" w:space="0" w:color="auto"/>
            </w:tcBorders>
          </w:tcPr>
          <w:p w:rsidR="00B3666F" w:rsidRPr="00B3666F" w:rsidRDefault="00B3666F" w:rsidP="00B3666F">
            <w:pPr>
              <w:widowControl w:val="0"/>
              <w:adjustRightInd w:val="0"/>
              <w:ind w:left="113" w:right="-159"/>
              <w:jc w:val="both"/>
              <w:textAlignment w:val="baseline"/>
              <w:rPr>
                <w:sz w:val="20"/>
                <w:szCs w:val="20"/>
              </w:rPr>
            </w:pPr>
            <w:r w:rsidRPr="00B3666F">
              <w:rPr>
                <w:sz w:val="20"/>
                <w:szCs w:val="20"/>
              </w:rPr>
              <w:t>Transferencias Electrónicas</w:t>
            </w:r>
          </w:p>
        </w:tc>
        <w:tc>
          <w:tcPr>
            <w:tcW w:w="148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340"/>
              <w:jc w:val="right"/>
              <w:textAlignment w:val="baseline"/>
              <w:rPr>
                <w:sz w:val="20"/>
                <w:szCs w:val="20"/>
              </w:rPr>
            </w:pPr>
            <w:r w:rsidRPr="00B3666F">
              <w:rPr>
                <w:sz w:val="20"/>
                <w:szCs w:val="20"/>
              </w:rPr>
              <w:t>1 564.88</w:t>
            </w:r>
          </w:p>
        </w:tc>
        <w:tc>
          <w:tcPr>
            <w:tcW w:w="1417"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227"/>
              <w:jc w:val="right"/>
              <w:textAlignment w:val="baseline"/>
              <w:rPr>
                <w:sz w:val="20"/>
                <w:szCs w:val="20"/>
              </w:rPr>
            </w:pPr>
            <w:r w:rsidRPr="00B3666F">
              <w:rPr>
                <w:sz w:val="20"/>
                <w:szCs w:val="20"/>
              </w:rPr>
              <w:t>1 566.08</w:t>
            </w:r>
          </w:p>
        </w:tc>
        <w:tc>
          <w:tcPr>
            <w:tcW w:w="155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454"/>
              <w:jc w:val="right"/>
              <w:textAlignment w:val="baseline"/>
              <w:rPr>
                <w:sz w:val="20"/>
                <w:szCs w:val="20"/>
              </w:rPr>
            </w:pPr>
            <w:r w:rsidRPr="00B3666F">
              <w:rPr>
                <w:sz w:val="20"/>
                <w:szCs w:val="20"/>
              </w:rPr>
              <w:t>0.08</w:t>
            </w:r>
          </w:p>
        </w:tc>
      </w:tr>
      <w:tr w:rsidR="00B3666F" w:rsidRPr="00B3666F" w:rsidTr="00F723CA">
        <w:trPr>
          <w:jc w:val="center"/>
        </w:trPr>
        <w:tc>
          <w:tcPr>
            <w:tcW w:w="2906" w:type="dxa"/>
            <w:tcBorders>
              <w:top w:val="nil"/>
              <w:left w:val="single" w:sz="4" w:space="0" w:color="auto"/>
              <w:bottom w:val="nil"/>
              <w:right w:val="single" w:sz="4" w:space="0" w:color="auto"/>
            </w:tcBorders>
          </w:tcPr>
          <w:p w:rsidR="00B3666F" w:rsidRPr="00B3666F" w:rsidRDefault="00B3666F" w:rsidP="00B3666F">
            <w:pPr>
              <w:widowControl w:val="0"/>
              <w:adjustRightInd w:val="0"/>
              <w:ind w:left="113" w:right="-159"/>
              <w:jc w:val="both"/>
              <w:textAlignment w:val="baseline"/>
              <w:rPr>
                <w:sz w:val="20"/>
                <w:szCs w:val="20"/>
              </w:rPr>
            </w:pPr>
            <w:r w:rsidRPr="00B3666F">
              <w:rPr>
                <w:sz w:val="20"/>
                <w:szCs w:val="20"/>
              </w:rPr>
              <w:t xml:space="preserve">Money </w:t>
            </w:r>
            <w:proofErr w:type="spellStart"/>
            <w:r w:rsidRPr="00B3666F">
              <w:rPr>
                <w:sz w:val="20"/>
                <w:szCs w:val="20"/>
              </w:rPr>
              <w:t>Orders</w:t>
            </w:r>
            <w:proofErr w:type="spellEnd"/>
          </w:p>
        </w:tc>
        <w:tc>
          <w:tcPr>
            <w:tcW w:w="148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340"/>
              <w:jc w:val="right"/>
              <w:textAlignment w:val="baseline"/>
              <w:rPr>
                <w:sz w:val="20"/>
                <w:szCs w:val="20"/>
              </w:rPr>
            </w:pPr>
            <w:r w:rsidRPr="00B3666F">
              <w:rPr>
                <w:sz w:val="20"/>
                <w:szCs w:val="20"/>
              </w:rPr>
              <w:t>42.32</w:t>
            </w:r>
          </w:p>
        </w:tc>
        <w:tc>
          <w:tcPr>
            <w:tcW w:w="1417"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227"/>
              <w:jc w:val="right"/>
              <w:textAlignment w:val="baseline"/>
              <w:rPr>
                <w:sz w:val="20"/>
                <w:szCs w:val="20"/>
              </w:rPr>
            </w:pPr>
            <w:r w:rsidRPr="00B3666F">
              <w:rPr>
                <w:sz w:val="20"/>
                <w:szCs w:val="20"/>
              </w:rPr>
              <w:t>20.42</w:t>
            </w:r>
          </w:p>
        </w:tc>
        <w:tc>
          <w:tcPr>
            <w:tcW w:w="155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454"/>
              <w:jc w:val="right"/>
              <w:textAlignment w:val="baseline"/>
              <w:rPr>
                <w:sz w:val="20"/>
                <w:szCs w:val="20"/>
              </w:rPr>
            </w:pPr>
            <w:r w:rsidRPr="00B3666F">
              <w:rPr>
                <w:sz w:val="20"/>
                <w:szCs w:val="20"/>
              </w:rPr>
              <w:t>-51.74</w:t>
            </w:r>
          </w:p>
        </w:tc>
      </w:tr>
      <w:tr w:rsidR="00B3666F" w:rsidRPr="00B3666F" w:rsidTr="00F723CA">
        <w:trPr>
          <w:jc w:val="center"/>
        </w:trPr>
        <w:tc>
          <w:tcPr>
            <w:tcW w:w="2906" w:type="dxa"/>
            <w:tcBorders>
              <w:top w:val="nil"/>
              <w:left w:val="single" w:sz="4" w:space="0" w:color="auto"/>
              <w:bottom w:val="nil"/>
              <w:right w:val="single" w:sz="4" w:space="0" w:color="auto"/>
            </w:tcBorders>
          </w:tcPr>
          <w:p w:rsidR="00B3666F" w:rsidRPr="00B3666F" w:rsidRDefault="00B3666F" w:rsidP="00B3666F">
            <w:pPr>
              <w:widowControl w:val="0"/>
              <w:adjustRightInd w:val="0"/>
              <w:ind w:left="113" w:right="-159"/>
              <w:jc w:val="both"/>
              <w:textAlignment w:val="baseline"/>
              <w:rPr>
                <w:sz w:val="20"/>
                <w:szCs w:val="20"/>
              </w:rPr>
            </w:pPr>
            <w:r w:rsidRPr="00B3666F">
              <w:rPr>
                <w:sz w:val="20"/>
                <w:szCs w:val="20"/>
              </w:rPr>
              <w:t>Cheques Personales</w:t>
            </w:r>
          </w:p>
        </w:tc>
        <w:tc>
          <w:tcPr>
            <w:tcW w:w="148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340"/>
              <w:jc w:val="right"/>
              <w:textAlignment w:val="baseline"/>
              <w:rPr>
                <w:sz w:val="20"/>
                <w:szCs w:val="20"/>
              </w:rPr>
            </w:pPr>
            <w:r w:rsidRPr="00B3666F">
              <w:rPr>
                <w:sz w:val="20"/>
                <w:szCs w:val="20"/>
              </w:rPr>
              <w:t>0.00</w:t>
            </w:r>
          </w:p>
        </w:tc>
        <w:tc>
          <w:tcPr>
            <w:tcW w:w="1417"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227"/>
              <w:jc w:val="right"/>
              <w:textAlignment w:val="baseline"/>
              <w:rPr>
                <w:sz w:val="20"/>
                <w:szCs w:val="20"/>
              </w:rPr>
            </w:pPr>
            <w:r w:rsidRPr="00B3666F">
              <w:rPr>
                <w:sz w:val="20"/>
                <w:szCs w:val="20"/>
              </w:rPr>
              <w:t>0.00</w:t>
            </w:r>
          </w:p>
        </w:tc>
        <w:tc>
          <w:tcPr>
            <w:tcW w:w="155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454"/>
              <w:jc w:val="right"/>
              <w:textAlignment w:val="baseline"/>
              <w:rPr>
                <w:sz w:val="20"/>
                <w:szCs w:val="20"/>
              </w:rPr>
            </w:pPr>
            <w:r w:rsidRPr="00B3666F">
              <w:rPr>
                <w:sz w:val="20"/>
                <w:szCs w:val="20"/>
              </w:rPr>
              <w:t>N/E</w:t>
            </w:r>
          </w:p>
        </w:tc>
      </w:tr>
      <w:tr w:rsidR="00B3666F" w:rsidRPr="00B3666F" w:rsidTr="00F723CA">
        <w:trPr>
          <w:jc w:val="center"/>
        </w:trPr>
        <w:tc>
          <w:tcPr>
            <w:tcW w:w="2906" w:type="dxa"/>
            <w:tcBorders>
              <w:top w:val="nil"/>
              <w:left w:val="single" w:sz="4" w:space="0" w:color="auto"/>
              <w:bottom w:val="nil"/>
              <w:right w:val="single" w:sz="4" w:space="0" w:color="auto"/>
            </w:tcBorders>
          </w:tcPr>
          <w:p w:rsidR="00B3666F" w:rsidRPr="00B3666F" w:rsidRDefault="00B3666F" w:rsidP="00B3666F">
            <w:pPr>
              <w:widowControl w:val="0"/>
              <w:adjustRightInd w:val="0"/>
              <w:ind w:left="113" w:right="-159"/>
              <w:jc w:val="both"/>
              <w:textAlignment w:val="baseline"/>
              <w:rPr>
                <w:sz w:val="20"/>
                <w:szCs w:val="20"/>
              </w:rPr>
            </w:pPr>
            <w:r w:rsidRPr="00B3666F">
              <w:rPr>
                <w:sz w:val="20"/>
                <w:szCs w:val="20"/>
              </w:rPr>
              <w:t>Efectivo y Especie</w:t>
            </w:r>
          </w:p>
        </w:tc>
        <w:tc>
          <w:tcPr>
            <w:tcW w:w="148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340"/>
              <w:jc w:val="right"/>
              <w:textAlignment w:val="baseline"/>
              <w:rPr>
                <w:sz w:val="20"/>
                <w:szCs w:val="20"/>
              </w:rPr>
            </w:pPr>
            <w:r w:rsidRPr="00B3666F">
              <w:rPr>
                <w:sz w:val="20"/>
                <w:szCs w:val="20"/>
              </w:rPr>
              <w:t>34.96</w:t>
            </w:r>
          </w:p>
        </w:tc>
        <w:tc>
          <w:tcPr>
            <w:tcW w:w="1417"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227"/>
              <w:jc w:val="right"/>
              <w:textAlignment w:val="baseline"/>
              <w:rPr>
                <w:sz w:val="20"/>
                <w:szCs w:val="20"/>
              </w:rPr>
            </w:pPr>
            <w:r w:rsidRPr="00B3666F">
              <w:rPr>
                <w:sz w:val="20"/>
                <w:szCs w:val="20"/>
              </w:rPr>
              <w:t>44.22</w:t>
            </w:r>
          </w:p>
        </w:tc>
        <w:tc>
          <w:tcPr>
            <w:tcW w:w="155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454"/>
              <w:jc w:val="right"/>
              <w:textAlignment w:val="baseline"/>
              <w:rPr>
                <w:sz w:val="20"/>
                <w:szCs w:val="20"/>
              </w:rPr>
            </w:pPr>
            <w:r w:rsidRPr="00B3666F">
              <w:rPr>
                <w:sz w:val="20"/>
                <w:szCs w:val="20"/>
              </w:rPr>
              <w:t>26.51</w:t>
            </w:r>
          </w:p>
        </w:tc>
      </w:tr>
      <w:tr w:rsidR="00B3666F" w:rsidRPr="00B3666F" w:rsidTr="00F723CA">
        <w:trPr>
          <w:jc w:val="center"/>
        </w:trPr>
        <w:tc>
          <w:tcPr>
            <w:tcW w:w="2906"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159"/>
              <w:jc w:val="both"/>
              <w:textAlignment w:val="baseline"/>
              <w:rPr>
                <w:sz w:val="20"/>
                <w:szCs w:val="20"/>
              </w:rPr>
            </w:pPr>
            <w:r w:rsidRPr="00B3666F">
              <w:rPr>
                <w:sz w:val="20"/>
                <w:szCs w:val="20"/>
              </w:rPr>
              <w:t>Número de Remesas Totales</w:t>
            </w:r>
            <w:r w:rsidRPr="00B3666F">
              <w:rPr>
                <w:rFonts w:ascii="Times" w:hAnsi="Times"/>
                <w:sz w:val="20"/>
                <w:szCs w:val="20"/>
                <w:u w:val="single"/>
                <w:vertAlign w:val="superscript"/>
              </w:rPr>
              <w:t>2</w:t>
            </w:r>
            <w:r w:rsidRPr="00B3666F">
              <w:rPr>
                <w:rFonts w:ascii="Times" w:hAnsi="Times"/>
                <w:sz w:val="20"/>
                <w:szCs w:val="20"/>
                <w:vertAlign w:val="superscript"/>
              </w:rPr>
              <w:t>/</w:t>
            </w:r>
          </w:p>
        </w:tc>
        <w:tc>
          <w:tcPr>
            <w:tcW w:w="148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340"/>
              <w:jc w:val="right"/>
              <w:textAlignment w:val="baseline"/>
              <w:rPr>
                <w:sz w:val="20"/>
                <w:szCs w:val="20"/>
              </w:rPr>
            </w:pPr>
            <w:r w:rsidRPr="00B3666F">
              <w:rPr>
                <w:sz w:val="20"/>
                <w:szCs w:val="20"/>
              </w:rPr>
              <w:t>5.65</w:t>
            </w:r>
          </w:p>
        </w:tc>
        <w:tc>
          <w:tcPr>
            <w:tcW w:w="1417"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227"/>
              <w:jc w:val="right"/>
              <w:textAlignment w:val="baseline"/>
              <w:rPr>
                <w:sz w:val="20"/>
                <w:szCs w:val="20"/>
              </w:rPr>
            </w:pPr>
            <w:r w:rsidRPr="00B3666F">
              <w:rPr>
                <w:sz w:val="20"/>
                <w:szCs w:val="20"/>
              </w:rPr>
              <w:t>5.84</w:t>
            </w:r>
          </w:p>
        </w:tc>
        <w:tc>
          <w:tcPr>
            <w:tcW w:w="155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454"/>
              <w:jc w:val="right"/>
              <w:textAlignment w:val="baseline"/>
              <w:rPr>
                <w:sz w:val="20"/>
                <w:szCs w:val="20"/>
              </w:rPr>
            </w:pPr>
            <w:r w:rsidRPr="00B3666F">
              <w:rPr>
                <w:sz w:val="20"/>
                <w:szCs w:val="20"/>
              </w:rPr>
              <w:t>3.40</w:t>
            </w:r>
          </w:p>
        </w:tc>
      </w:tr>
      <w:tr w:rsidR="00B3666F" w:rsidRPr="00B3666F" w:rsidTr="00F723CA">
        <w:trPr>
          <w:jc w:val="center"/>
        </w:trPr>
        <w:tc>
          <w:tcPr>
            <w:tcW w:w="2906" w:type="dxa"/>
            <w:tcBorders>
              <w:top w:val="nil"/>
              <w:left w:val="single" w:sz="4" w:space="0" w:color="auto"/>
              <w:bottom w:val="nil"/>
              <w:right w:val="single" w:sz="4" w:space="0" w:color="auto"/>
            </w:tcBorders>
          </w:tcPr>
          <w:p w:rsidR="00B3666F" w:rsidRPr="00B3666F" w:rsidRDefault="00B3666F" w:rsidP="00B3666F">
            <w:pPr>
              <w:widowControl w:val="0"/>
              <w:adjustRightInd w:val="0"/>
              <w:ind w:left="113" w:right="-159"/>
              <w:jc w:val="both"/>
              <w:textAlignment w:val="baseline"/>
              <w:rPr>
                <w:sz w:val="20"/>
                <w:szCs w:val="20"/>
              </w:rPr>
            </w:pPr>
            <w:r w:rsidRPr="00B3666F">
              <w:rPr>
                <w:sz w:val="20"/>
                <w:szCs w:val="20"/>
              </w:rPr>
              <w:t>Transferencias Electrónicas</w:t>
            </w:r>
          </w:p>
        </w:tc>
        <w:tc>
          <w:tcPr>
            <w:tcW w:w="148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340"/>
              <w:jc w:val="right"/>
              <w:textAlignment w:val="baseline"/>
              <w:rPr>
                <w:sz w:val="20"/>
                <w:szCs w:val="20"/>
              </w:rPr>
            </w:pPr>
            <w:r w:rsidRPr="00B3666F">
              <w:rPr>
                <w:sz w:val="20"/>
                <w:szCs w:val="20"/>
              </w:rPr>
              <w:t>5.49</w:t>
            </w:r>
          </w:p>
        </w:tc>
        <w:tc>
          <w:tcPr>
            <w:tcW w:w="1417"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227"/>
              <w:jc w:val="right"/>
              <w:textAlignment w:val="baseline"/>
              <w:rPr>
                <w:sz w:val="20"/>
                <w:szCs w:val="20"/>
              </w:rPr>
            </w:pPr>
            <w:r w:rsidRPr="00B3666F">
              <w:rPr>
                <w:sz w:val="20"/>
                <w:szCs w:val="20"/>
              </w:rPr>
              <w:t>5.71</w:t>
            </w:r>
          </w:p>
        </w:tc>
        <w:tc>
          <w:tcPr>
            <w:tcW w:w="155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454"/>
              <w:jc w:val="right"/>
              <w:textAlignment w:val="baseline"/>
              <w:rPr>
                <w:sz w:val="20"/>
                <w:szCs w:val="20"/>
              </w:rPr>
            </w:pPr>
            <w:r w:rsidRPr="00B3666F">
              <w:rPr>
                <w:sz w:val="20"/>
                <w:szCs w:val="20"/>
              </w:rPr>
              <w:t>3.93</w:t>
            </w:r>
          </w:p>
        </w:tc>
      </w:tr>
      <w:tr w:rsidR="00B3666F" w:rsidRPr="00B3666F" w:rsidTr="00F723CA">
        <w:trPr>
          <w:jc w:val="center"/>
        </w:trPr>
        <w:tc>
          <w:tcPr>
            <w:tcW w:w="2906" w:type="dxa"/>
            <w:tcBorders>
              <w:top w:val="nil"/>
              <w:left w:val="single" w:sz="4" w:space="0" w:color="auto"/>
              <w:bottom w:val="nil"/>
              <w:right w:val="single" w:sz="4" w:space="0" w:color="auto"/>
            </w:tcBorders>
          </w:tcPr>
          <w:p w:rsidR="00B3666F" w:rsidRPr="00B3666F" w:rsidRDefault="00B3666F" w:rsidP="00B3666F">
            <w:pPr>
              <w:widowControl w:val="0"/>
              <w:adjustRightInd w:val="0"/>
              <w:ind w:left="113" w:right="-159"/>
              <w:jc w:val="both"/>
              <w:textAlignment w:val="baseline"/>
              <w:rPr>
                <w:sz w:val="20"/>
                <w:szCs w:val="20"/>
              </w:rPr>
            </w:pPr>
            <w:r w:rsidRPr="00B3666F">
              <w:rPr>
                <w:sz w:val="20"/>
                <w:szCs w:val="20"/>
              </w:rPr>
              <w:t xml:space="preserve">Money </w:t>
            </w:r>
            <w:proofErr w:type="spellStart"/>
            <w:r w:rsidRPr="00B3666F">
              <w:rPr>
                <w:sz w:val="20"/>
                <w:szCs w:val="20"/>
              </w:rPr>
              <w:t>Orders</w:t>
            </w:r>
            <w:proofErr w:type="spellEnd"/>
          </w:p>
        </w:tc>
        <w:tc>
          <w:tcPr>
            <w:tcW w:w="148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340"/>
              <w:jc w:val="right"/>
              <w:textAlignment w:val="baseline"/>
              <w:rPr>
                <w:sz w:val="20"/>
                <w:szCs w:val="20"/>
              </w:rPr>
            </w:pPr>
            <w:r w:rsidRPr="00B3666F">
              <w:rPr>
                <w:sz w:val="20"/>
                <w:szCs w:val="20"/>
              </w:rPr>
              <w:t>0.08</w:t>
            </w:r>
          </w:p>
        </w:tc>
        <w:tc>
          <w:tcPr>
            <w:tcW w:w="1417"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227"/>
              <w:jc w:val="right"/>
              <w:textAlignment w:val="baseline"/>
              <w:rPr>
                <w:sz w:val="20"/>
                <w:szCs w:val="20"/>
              </w:rPr>
            </w:pPr>
            <w:r w:rsidRPr="00B3666F">
              <w:rPr>
                <w:sz w:val="20"/>
                <w:szCs w:val="20"/>
              </w:rPr>
              <w:t>0.04</w:t>
            </w:r>
          </w:p>
        </w:tc>
        <w:tc>
          <w:tcPr>
            <w:tcW w:w="155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454"/>
              <w:jc w:val="right"/>
              <w:textAlignment w:val="baseline"/>
              <w:rPr>
                <w:sz w:val="20"/>
                <w:szCs w:val="20"/>
              </w:rPr>
            </w:pPr>
            <w:r w:rsidRPr="00B3666F">
              <w:rPr>
                <w:sz w:val="20"/>
                <w:szCs w:val="20"/>
              </w:rPr>
              <w:t>-51.27</w:t>
            </w:r>
          </w:p>
        </w:tc>
      </w:tr>
      <w:tr w:rsidR="00B3666F" w:rsidRPr="00B3666F" w:rsidTr="00F723CA">
        <w:trPr>
          <w:jc w:val="center"/>
        </w:trPr>
        <w:tc>
          <w:tcPr>
            <w:tcW w:w="2906" w:type="dxa"/>
            <w:tcBorders>
              <w:top w:val="nil"/>
              <w:left w:val="single" w:sz="4" w:space="0" w:color="auto"/>
              <w:bottom w:val="nil"/>
              <w:right w:val="single" w:sz="4" w:space="0" w:color="auto"/>
            </w:tcBorders>
          </w:tcPr>
          <w:p w:rsidR="00B3666F" w:rsidRPr="00B3666F" w:rsidRDefault="00B3666F" w:rsidP="00B3666F">
            <w:pPr>
              <w:widowControl w:val="0"/>
              <w:adjustRightInd w:val="0"/>
              <w:ind w:left="113" w:right="-159"/>
              <w:jc w:val="both"/>
              <w:textAlignment w:val="baseline"/>
              <w:rPr>
                <w:sz w:val="20"/>
                <w:szCs w:val="20"/>
              </w:rPr>
            </w:pPr>
            <w:r w:rsidRPr="00B3666F">
              <w:rPr>
                <w:sz w:val="20"/>
                <w:szCs w:val="20"/>
              </w:rPr>
              <w:t>Cheques Personales</w:t>
            </w:r>
          </w:p>
        </w:tc>
        <w:tc>
          <w:tcPr>
            <w:tcW w:w="148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340"/>
              <w:jc w:val="right"/>
              <w:textAlignment w:val="baseline"/>
              <w:rPr>
                <w:sz w:val="20"/>
                <w:szCs w:val="20"/>
              </w:rPr>
            </w:pPr>
            <w:r w:rsidRPr="00B3666F">
              <w:rPr>
                <w:sz w:val="20"/>
                <w:szCs w:val="20"/>
              </w:rPr>
              <w:t>0.00</w:t>
            </w:r>
          </w:p>
        </w:tc>
        <w:tc>
          <w:tcPr>
            <w:tcW w:w="1417"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227"/>
              <w:jc w:val="right"/>
              <w:textAlignment w:val="baseline"/>
              <w:rPr>
                <w:sz w:val="20"/>
                <w:szCs w:val="20"/>
              </w:rPr>
            </w:pPr>
            <w:r w:rsidRPr="00B3666F">
              <w:rPr>
                <w:sz w:val="20"/>
                <w:szCs w:val="20"/>
              </w:rPr>
              <w:t>0.00</w:t>
            </w:r>
          </w:p>
        </w:tc>
        <w:tc>
          <w:tcPr>
            <w:tcW w:w="155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454"/>
              <w:jc w:val="right"/>
              <w:textAlignment w:val="baseline"/>
              <w:rPr>
                <w:sz w:val="20"/>
                <w:szCs w:val="20"/>
              </w:rPr>
            </w:pPr>
            <w:r w:rsidRPr="00B3666F">
              <w:rPr>
                <w:sz w:val="20"/>
                <w:szCs w:val="20"/>
              </w:rPr>
              <w:t>N/E</w:t>
            </w:r>
          </w:p>
        </w:tc>
      </w:tr>
      <w:tr w:rsidR="00B3666F" w:rsidRPr="00B3666F" w:rsidTr="00F723CA">
        <w:trPr>
          <w:jc w:val="center"/>
        </w:trPr>
        <w:tc>
          <w:tcPr>
            <w:tcW w:w="2906" w:type="dxa"/>
            <w:tcBorders>
              <w:top w:val="nil"/>
              <w:left w:val="single" w:sz="4" w:space="0" w:color="auto"/>
              <w:bottom w:val="nil"/>
              <w:right w:val="single" w:sz="4" w:space="0" w:color="auto"/>
            </w:tcBorders>
          </w:tcPr>
          <w:p w:rsidR="00B3666F" w:rsidRPr="00B3666F" w:rsidRDefault="00B3666F" w:rsidP="00B3666F">
            <w:pPr>
              <w:widowControl w:val="0"/>
              <w:adjustRightInd w:val="0"/>
              <w:ind w:left="113" w:right="-159"/>
              <w:jc w:val="both"/>
              <w:textAlignment w:val="baseline"/>
              <w:rPr>
                <w:sz w:val="20"/>
                <w:szCs w:val="20"/>
              </w:rPr>
            </w:pPr>
            <w:r w:rsidRPr="00B3666F">
              <w:rPr>
                <w:sz w:val="20"/>
                <w:szCs w:val="20"/>
              </w:rPr>
              <w:t>Efectivo y Especie</w:t>
            </w:r>
          </w:p>
        </w:tc>
        <w:tc>
          <w:tcPr>
            <w:tcW w:w="148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340"/>
              <w:jc w:val="right"/>
              <w:textAlignment w:val="baseline"/>
              <w:rPr>
                <w:sz w:val="20"/>
                <w:szCs w:val="20"/>
              </w:rPr>
            </w:pPr>
            <w:r w:rsidRPr="00B3666F">
              <w:rPr>
                <w:sz w:val="20"/>
                <w:szCs w:val="20"/>
              </w:rPr>
              <w:t>0.08</w:t>
            </w:r>
          </w:p>
        </w:tc>
        <w:tc>
          <w:tcPr>
            <w:tcW w:w="1417"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227"/>
              <w:jc w:val="right"/>
              <w:textAlignment w:val="baseline"/>
              <w:rPr>
                <w:sz w:val="20"/>
                <w:szCs w:val="20"/>
              </w:rPr>
            </w:pPr>
            <w:r w:rsidRPr="00B3666F">
              <w:rPr>
                <w:sz w:val="20"/>
                <w:szCs w:val="20"/>
              </w:rPr>
              <w:t>0.09</w:t>
            </w:r>
          </w:p>
        </w:tc>
        <w:tc>
          <w:tcPr>
            <w:tcW w:w="155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454"/>
              <w:jc w:val="right"/>
              <w:textAlignment w:val="baseline"/>
              <w:rPr>
                <w:sz w:val="20"/>
                <w:szCs w:val="20"/>
              </w:rPr>
            </w:pPr>
            <w:r w:rsidRPr="00B3666F">
              <w:rPr>
                <w:sz w:val="20"/>
                <w:szCs w:val="20"/>
              </w:rPr>
              <w:t>24.61</w:t>
            </w:r>
          </w:p>
        </w:tc>
      </w:tr>
      <w:tr w:rsidR="00B3666F" w:rsidRPr="00B3666F" w:rsidTr="00F723CA">
        <w:trPr>
          <w:jc w:val="center"/>
        </w:trPr>
        <w:tc>
          <w:tcPr>
            <w:tcW w:w="2906"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159"/>
              <w:jc w:val="both"/>
              <w:textAlignment w:val="baseline"/>
              <w:rPr>
                <w:sz w:val="20"/>
                <w:szCs w:val="20"/>
              </w:rPr>
            </w:pPr>
            <w:r w:rsidRPr="00B3666F">
              <w:rPr>
                <w:sz w:val="20"/>
                <w:szCs w:val="20"/>
              </w:rPr>
              <w:t>Remesa promedio</w:t>
            </w:r>
            <w:r w:rsidRPr="00B3666F">
              <w:rPr>
                <w:rFonts w:ascii="Times" w:hAnsi="Times"/>
                <w:sz w:val="20"/>
                <w:szCs w:val="20"/>
                <w:u w:val="single"/>
                <w:vertAlign w:val="superscript"/>
              </w:rPr>
              <w:t>3</w:t>
            </w:r>
            <w:r w:rsidRPr="00B3666F">
              <w:rPr>
                <w:rFonts w:ascii="Times" w:hAnsi="Times"/>
                <w:sz w:val="20"/>
                <w:szCs w:val="20"/>
                <w:vertAlign w:val="superscript"/>
              </w:rPr>
              <w:t>/</w:t>
            </w:r>
          </w:p>
        </w:tc>
        <w:tc>
          <w:tcPr>
            <w:tcW w:w="148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340"/>
              <w:jc w:val="right"/>
              <w:textAlignment w:val="baseline"/>
              <w:rPr>
                <w:sz w:val="20"/>
                <w:szCs w:val="20"/>
              </w:rPr>
            </w:pPr>
            <w:r w:rsidRPr="00B3666F">
              <w:rPr>
                <w:sz w:val="20"/>
                <w:szCs w:val="20"/>
              </w:rPr>
              <w:t>290.71</w:t>
            </w:r>
          </w:p>
        </w:tc>
        <w:tc>
          <w:tcPr>
            <w:tcW w:w="1417"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227"/>
              <w:jc w:val="right"/>
              <w:textAlignment w:val="baseline"/>
              <w:rPr>
                <w:sz w:val="20"/>
                <w:szCs w:val="20"/>
              </w:rPr>
            </w:pPr>
            <w:r w:rsidRPr="00B3666F">
              <w:rPr>
                <w:sz w:val="20"/>
                <w:szCs w:val="20"/>
              </w:rPr>
              <w:t>279.18</w:t>
            </w:r>
          </w:p>
        </w:tc>
        <w:tc>
          <w:tcPr>
            <w:tcW w:w="155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454"/>
              <w:jc w:val="right"/>
              <w:textAlignment w:val="baseline"/>
              <w:rPr>
                <w:sz w:val="20"/>
                <w:szCs w:val="20"/>
              </w:rPr>
            </w:pPr>
            <w:r w:rsidRPr="00B3666F">
              <w:rPr>
                <w:sz w:val="20"/>
                <w:szCs w:val="20"/>
              </w:rPr>
              <w:t>-3.97</w:t>
            </w:r>
          </w:p>
        </w:tc>
      </w:tr>
      <w:tr w:rsidR="00B3666F" w:rsidRPr="00B3666F" w:rsidTr="00F723CA">
        <w:trPr>
          <w:jc w:val="center"/>
        </w:trPr>
        <w:tc>
          <w:tcPr>
            <w:tcW w:w="2906" w:type="dxa"/>
            <w:tcBorders>
              <w:top w:val="nil"/>
              <w:left w:val="single" w:sz="4" w:space="0" w:color="auto"/>
              <w:bottom w:val="nil"/>
              <w:right w:val="single" w:sz="4" w:space="0" w:color="auto"/>
            </w:tcBorders>
          </w:tcPr>
          <w:p w:rsidR="00B3666F" w:rsidRPr="00B3666F" w:rsidRDefault="00B3666F" w:rsidP="00B3666F">
            <w:pPr>
              <w:widowControl w:val="0"/>
              <w:adjustRightInd w:val="0"/>
              <w:ind w:left="113" w:right="-159"/>
              <w:jc w:val="both"/>
              <w:textAlignment w:val="baseline"/>
              <w:rPr>
                <w:sz w:val="20"/>
                <w:szCs w:val="20"/>
              </w:rPr>
            </w:pPr>
            <w:r w:rsidRPr="00B3666F">
              <w:rPr>
                <w:sz w:val="20"/>
                <w:szCs w:val="20"/>
              </w:rPr>
              <w:t>Transferencias Electrónicas</w:t>
            </w:r>
          </w:p>
        </w:tc>
        <w:tc>
          <w:tcPr>
            <w:tcW w:w="148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340"/>
              <w:jc w:val="right"/>
              <w:textAlignment w:val="baseline"/>
              <w:rPr>
                <w:sz w:val="20"/>
                <w:szCs w:val="20"/>
              </w:rPr>
            </w:pPr>
            <w:r w:rsidRPr="00B3666F">
              <w:rPr>
                <w:sz w:val="20"/>
                <w:szCs w:val="20"/>
              </w:rPr>
              <w:t>284.94</w:t>
            </w:r>
          </w:p>
        </w:tc>
        <w:tc>
          <w:tcPr>
            <w:tcW w:w="1417"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227"/>
              <w:jc w:val="right"/>
              <w:textAlignment w:val="baseline"/>
              <w:rPr>
                <w:sz w:val="20"/>
                <w:szCs w:val="20"/>
              </w:rPr>
            </w:pPr>
            <w:r w:rsidRPr="00B3666F">
              <w:rPr>
                <w:sz w:val="20"/>
                <w:szCs w:val="20"/>
              </w:rPr>
              <w:t>274.38</w:t>
            </w:r>
          </w:p>
        </w:tc>
        <w:tc>
          <w:tcPr>
            <w:tcW w:w="155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454"/>
              <w:jc w:val="right"/>
              <w:textAlignment w:val="baseline"/>
              <w:rPr>
                <w:sz w:val="20"/>
                <w:szCs w:val="20"/>
              </w:rPr>
            </w:pPr>
            <w:r w:rsidRPr="00B3666F">
              <w:rPr>
                <w:sz w:val="20"/>
                <w:szCs w:val="20"/>
              </w:rPr>
              <w:t>-3.71</w:t>
            </w:r>
          </w:p>
        </w:tc>
      </w:tr>
      <w:tr w:rsidR="00B3666F" w:rsidRPr="00B3666F" w:rsidTr="00F723CA">
        <w:trPr>
          <w:jc w:val="center"/>
        </w:trPr>
        <w:tc>
          <w:tcPr>
            <w:tcW w:w="2906" w:type="dxa"/>
            <w:tcBorders>
              <w:top w:val="nil"/>
              <w:left w:val="single" w:sz="4" w:space="0" w:color="auto"/>
              <w:bottom w:val="nil"/>
              <w:right w:val="single" w:sz="4" w:space="0" w:color="auto"/>
            </w:tcBorders>
          </w:tcPr>
          <w:p w:rsidR="00B3666F" w:rsidRPr="00B3666F" w:rsidRDefault="00B3666F" w:rsidP="00B3666F">
            <w:pPr>
              <w:widowControl w:val="0"/>
              <w:adjustRightInd w:val="0"/>
              <w:ind w:left="113" w:right="-159"/>
              <w:jc w:val="both"/>
              <w:textAlignment w:val="baseline"/>
              <w:rPr>
                <w:sz w:val="20"/>
                <w:szCs w:val="20"/>
              </w:rPr>
            </w:pPr>
            <w:r w:rsidRPr="00B3666F">
              <w:rPr>
                <w:sz w:val="20"/>
                <w:szCs w:val="20"/>
              </w:rPr>
              <w:t xml:space="preserve">Money </w:t>
            </w:r>
            <w:proofErr w:type="spellStart"/>
            <w:r w:rsidRPr="00B3666F">
              <w:rPr>
                <w:sz w:val="20"/>
                <w:szCs w:val="20"/>
              </w:rPr>
              <w:t>Orders</w:t>
            </w:r>
            <w:proofErr w:type="spellEnd"/>
          </w:p>
        </w:tc>
        <w:tc>
          <w:tcPr>
            <w:tcW w:w="148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340"/>
              <w:jc w:val="right"/>
              <w:textAlignment w:val="baseline"/>
              <w:rPr>
                <w:sz w:val="20"/>
                <w:szCs w:val="20"/>
              </w:rPr>
            </w:pPr>
            <w:r w:rsidRPr="00B3666F">
              <w:rPr>
                <w:sz w:val="20"/>
                <w:szCs w:val="20"/>
              </w:rPr>
              <w:t>517.26</w:t>
            </w:r>
          </w:p>
        </w:tc>
        <w:tc>
          <w:tcPr>
            <w:tcW w:w="1417"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227"/>
              <w:jc w:val="right"/>
              <w:textAlignment w:val="baseline"/>
              <w:rPr>
                <w:sz w:val="20"/>
                <w:szCs w:val="20"/>
              </w:rPr>
            </w:pPr>
            <w:r w:rsidRPr="00B3666F">
              <w:rPr>
                <w:sz w:val="20"/>
                <w:szCs w:val="20"/>
              </w:rPr>
              <w:t>512.29</w:t>
            </w:r>
          </w:p>
        </w:tc>
        <w:tc>
          <w:tcPr>
            <w:tcW w:w="155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454"/>
              <w:jc w:val="right"/>
              <w:textAlignment w:val="baseline"/>
              <w:rPr>
                <w:sz w:val="20"/>
                <w:szCs w:val="20"/>
              </w:rPr>
            </w:pPr>
            <w:r w:rsidRPr="00B3666F">
              <w:rPr>
                <w:sz w:val="20"/>
                <w:szCs w:val="20"/>
              </w:rPr>
              <w:t>-0.96</w:t>
            </w:r>
          </w:p>
        </w:tc>
      </w:tr>
      <w:tr w:rsidR="00B3666F" w:rsidRPr="00B3666F" w:rsidTr="00F723CA">
        <w:trPr>
          <w:jc w:val="center"/>
        </w:trPr>
        <w:tc>
          <w:tcPr>
            <w:tcW w:w="2906" w:type="dxa"/>
            <w:tcBorders>
              <w:top w:val="nil"/>
              <w:left w:val="single" w:sz="4" w:space="0" w:color="auto"/>
              <w:bottom w:val="nil"/>
              <w:right w:val="single" w:sz="4" w:space="0" w:color="auto"/>
            </w:tcBorders>
          </w:tcPr>
          <w:p w:rsidR="00B3666F" w:rsidRPr="00B3666F" w:rsidRDefault="00B3666F" w:rsidP="00B3666F">
            <w:pPr>
              <w:widowControl w:val="0"/>
              <w:adjustRightInd w:val="0"/>
              <w:ind w:left="113" w:right="-159"/>
              <w:jc w:val="both"/>
              <w:textAlignment w:val="baseline"/>
              <w:rPr>
                <w:sz w:val="20"/>
                <w:szCs w:val="20"/>
              </w:rPr>
            </w:pPr>
            <w:r w:rsidRPr="00B3666F">
              <w:rPr>
                <w:sz w:val="20"/>
                <w:szCs w:val="20"/>
              </w:rPr>
              <w:t>Cheques Personales</w:t>
            </w:r>
          </w:p>
        </w:tc>
        <w:tc>
          <w:tcPr>
            <w:tcW w:w="148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340"/>
              <w:jc w:val="right"/>
              <w:textAlignment w:val="baseline"/>
              <w:rPr>
                <w:sz w:val="20"/>
                <w:szCs w:val="20"/>
              </w:rPr>
            </w:pPr>
            <w:r w:rsidRPr="00B3666F">
              <w:rPr>
                <w:sz w:val="20"/>
                <w:szCs w:val="20"/>
              </w:rPr>
              <w:t>0.00</w:t>
            </w:r>
          </w:p>
        </w:tc>
        <w:tc>
          <w:tcPr>
            <w:tcW w:w="1417"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227"/>
              <w:jc w:val="right"/>
              <w:textAlignment w:val="baseline"/>
              <w:rPr>
                <w:sz w:val="20"/>
                <w:szCs w:val="20"/>
              </w:rPr>
            </w:pPr>
            <w:r w:rsidRPr="00B3666F">
              <w:rPr>
                <w:sz w:val="20"/>
                <w:szCs w:val="20"/>
              </w:rPr>
              <w:t>0.00</w:t>
            </w:r>
          </w:p>
        </w:tc>
        <w:tc>
          <w:tcPr>
            <w:tcW w:w="1559" w:type="dxa"/>
            <w:tcBorders>
              <w:top w:val="nil"/>
              <w:left w:val="single" w:sz="4" w:space="0" w:color="auto"/>
              <w:bottom w:val="nil"/>
              <w:right w:val="single" w:sz="4" w:space="0" w:color="auto"/>
            </w:tcBorders>
          </w:tcPr>
          <w:p w:rsidR="00B3666F" w:rsidRPr="00B3666F" w:rsidRDefault="00B3666F" w:rsidP="00B3666F">
            <w:pPr>
              <w:widowControl w:val="0"/>
              <w:adjustRightInd w:val="0"/>
              <w:ind w:right="454"/>
              <w:jc w:val="right"/>
              <w:textAlignment w:val="baseline"/>
              <w:rPr>
                <w:sz w:val="20"/>
                <w:szCs w:val="20"/>
              </w:rPr>
            </w:pPr>
            <w:r w:rsidRPr="00B3666F">
              <w:rPr>
                <w:sz w:val="20"/>
                <w:szCs w:val="20"/>
              </w:rPr>
              <w:t>N/E</w:t>
            </w:r>
          </w:p>
        </w:tc>
      </w:tr>
      <w:tr w:rsidR="00B3666F" w:rsidRPr="00B3666F" w:rsidTr="00F723CA">
        <w:trPr>
          <w:jc w:val="center"/>
        </w:trPr>
        <w:tc>
          <w:tcPr>
            <w:tcW w:w="2906" w:type="dxa"/>
            <w:tcBorders>
              <w:top w:val="nil"/>
              <w:left w:val="single" w:sz="4" w:space="0" w:color="auto"/>
              <w:bottom w:val="single" w:sz="4" w:space="0" w:color="auto"/>
              <w:right w:val="single" w:sz="4" w:space="0" w:color="auto"/>
            </w:tcBorders>
          </w:tcPr>
          <w:p w:rsidR="00B3666F" w:rsidRPr="00B3666F" w:rsidRDefault="00B3666F" w:rsidP="00B3666F">
            <w:pPr>
              <w:widowControl w:val="0"/>
              <w:adjustRightInd w:val="0"/>
              <w:ind w:left="113" w:right="-159"/>
              <w:jc w:val="both"/>
              <w:textAlignment w:val="baseline"/>
              <w:rPr>
                <w:sz w:val="20"/>
                <w:szCs w:val="20"/>
              </w:rPr>
            </w:pPr>
            <w:r w:rsidRPr="00B3666F">
              <w:rPr>
                <w:sz w:val="20"/>
                <w:szCs w:val="20"/>
              </w:rPr>
              <w:t>Efectivo y Especie</w:t>
            </w:r>
          </w:p>
        </w:tc>
        <w:tc>
          <w:tcPr>
            <w:tcW w:w="1489" w:type="dxa"/>
            <w:tcBorders>
              <w:top w:val="nil"/>
              <w:left w:val="single" w:sz="4" w:space="0" w:color="auto"/>
              <w:bottom w:val="single" w:sz="4" w:space="0" w:color="auto"/>
              <w:right w:val="single" w:sz="4" w:space="0" w:color="auto"/>
            </w:tcBorders>
          </w:tcPr>
          <w:p w:rsidR="00B3666F" w:rsidRPr="00B3666F" w:rsidRDefault="00B3666F" w:rsidP="00B3666F">
            <w:pPr>
              <w:widowControl w:val="0"/>
              <w:adjustRightInd w:val="0"/>
              <w:ind w:right="340"/>
              <w:jc w:val="right"/>
              <w:textAlignment w:val="baseline"/>
              <w:rPr>
                <w:sz w:val="20"/>
                <w:szCs w:val="20"/>
              </w:rPr>
            </w:pPr>
            <w:r w:rsidRPr="00B3666F">
              <w:rPr>
                <w:sz w:val="20"/>
                <w:szCs w:val="20"/>
              </w:rPr>
              <w:t>465.62</w:t>
            </w:r>
          </w:p>
        </w:tc>
        <w:tc>
          <w:tcPr>
            <w:tcW w:w="1417" w:type="dxa"/>
            <w:tcBorders>
              <w:top w:val="nil"/>
              <w:left w:val="single" w:sz="4" w:space="0" w:color="auto"/>
              <w:bottom w:val="single" w:sz="4" w:space="0" w:color="auto"/>
              <w:right w:val="single" w:sz="4" w:space="0" w:color="auto"/>
            </w:tcBorders>
          </w:tcPr>
          <w:p w:rsidR="00B3666F" w:rsidRPr="00B3666F" w:rsidRDefault="00B3666F" w:rsidP="00B3666F">
            <w:pPr>
              <w:widowControl w:val="0"/>
              <w:adjustRightInd w:val="0"/>
              <w:ind w:right="227"/>
              <w:jc w:val="right"/>
              <w:textAlignment w:val="baseline"/>
              <w:rPr>
                <w:sz w:val="20"/>
                <w:szCs w:val="20"/>
              </w:rPr>
            </w:pPr>
            <w:r w:rsidRPr="00B3666F">
              <w:rPr>
                <w:sz w:val="20"/>
                <w:szCs w:val="20"/>
              </w:rPr>
              <w:t>472.72</w:t>
            </w:r>
          </w:p>
        </w:tc>
        <w:tc>
          <w:tcPr>
            <w:tcW w:w="1559" w:type="dxa"/>
            <w:tcBorders>
              <w:top w:val="nil"/>
              <w:left w:val="single" w:sz="4" w:space="0" w:color="auto"/>
              <w:bottom w:val="single" w:sz="4" w:space="0" w:color="auto"/>
              <w:right w:val="single" w:sz="4" w:space="0" w:color="auto"/>
            </w:tcBorders>
          </w:tcPr>
          <w:p w:rsidR="00B3666F" w:rsidRPr="00B3666F" w:rsidRDefault="00B3666F" w:rsidP="00B3666F">
            <w:pPr>
              <w:widowControl w:val="0"/>
              <w:adjustRightInd w:val="0"/>
              <w:ind w:right="454"/>
              <w:jc w:val="right"/>
              <w:textAlignment w:val="baseline"/>
              <w:rPr>
                <w:sz w:val="20"/>
                <w:szCs w:val="20"/>
              </w:rPr>
            </w:pPr>
            <w:r w:rsidRPr="00B3666F">
              <w:rPr>
                <w:sz w:val="20"/>
                <w:szCs w:val="20"/>
              </w:rPr>
              <w:t>1.52</w:t>
            </w:r>
          </w:p>
        </w:tc>
      </w:tr>
      <w:tr w:rsidR="00B3666F" w:rsidRPr="00B3666F" w:rsidTr="00E4484F">
        <w:trPr>
          <w:jc w:val="center"/>
        </w:trPr>
        <w:tc>
          <w:tcPr>
            <w:tcW w:w="7371" w:type="dxa"/>
            <w:gridSpan w:val="4"/>
            <w:tcBorders>
              <w:top w:val="single" w:sz="4" w:space="0" w:color="auto"/>
              <w:left w:val="nil"/>
              <w:bottom w:val="nil"/>
              <w:right w:val="nil"/>
            </w:tcBorders>
          </w:tcPr>
          <w:p w:rsidR="00B3666F" w:rsidRPr="00B3666F" w:rsidRDefault="00B3666F" w:rsidP="00B3666F">
            <w:pPr>
              <w:widowControl w:val="0"/>
              <w:adjustRightInd w:val="0"/>
              <w:ind w:left="510" w:hanging="510"/>
              <w:jc w:val="both"/>
              <w:textAlignment w:val="baseline"/>
              <w:rPr>
                <w:rFonts w:ascii="Times" w:hAnsi="Times"/>
                <w:sz w:val="20"/>
                <w:szCs w:val="20"/>
              </w:rPr>
            </w:pPr>
            <w:r w:rsidRPr="00B3666F">
              <w:rPr>
                <w:rFonts w:ascii="Times" w:hAnsi="Times"/>
                <w:sz w:val="20"/>
                <w:szCs w:val="20"/>
              </w:rPr>
              <w:t>Nota: Las cifras de remesas familiares tienen el carácter de preliminar y están sujetas a revisiones posteriores.</w:t>
            </w:r>
          </w:p>
          <w:p w:rsidR="00B3666F" w:rsidRPr="00B3666F" w:rsidRDefault="00B3666F" w:rsidP="00B3666F">
            <w:pPr>
              <w:widowControl w:val="0"/>
              <w:adjustRightInd w:val="0"/>
              <w:jc w:val="both"/>
              <w:textAlignment w:val="baseline"/>
              <w:rPr>
                <w:rFonts w:ascii="Times" w:hAnsi="Times"/>
                <w:sz w:val="20"/>
                <w:szCs w:val="20"/>
              </w:rPr>
            </w:pPr>
            <w:r w:rsidRPr="00B3666F">
              <w:rPr>
                <w:rFonts w:ascii="Times" w:hAnsi="Times"/>
                <w:sz w:val="20"/>
                <w:szCs w:val="20"/>
                <w:u w:val="single"/>
              </w:rPr>
              <w:t>1</w:t>
            </w:r>
            <w:r w:rsidRPr="00B3666F">
              <w:rPr>
                <w:rFonts w:ascii="Times" w:hAnsi="Times"/>
                <w:sz w:val="20"/>
                <w:szCs w:val="20"/>
              </w:rPr>
              <w:t>/ Los conceptos referentes a remesas totales se expresan en millones de dólares.</w:t>
            </w:r>
          </w:p>
          <w:p w:rsidR="00B3666F" w:rsidRPr="00B3666F" w:rsidRDefault="00B3666F" w:rsidP="00B3666F">
            <w:pPr>
              <w:widowControl w:val="0"/>
              <w:adjustRightInd w:val="0"/>
              <w:jc w:val="both"/>
              <w:textAlignment w:val="baseline"/>
              <w:rPr>
                <w:rFonts w:ascii="Times" w:hAnsi="Times"/>
                <w:sz w:val="20"/>
                <w:szCs w:val="20"/>
              </w:rPr>
            </w:pPr>
            <w:r w:rsidRPr="00B3666F">
              <w:rPr>
                <w:rFonts w:ascii="Times" w:hAnsi="Times"/>
                <w:sz w:val="20"/>
                <w:szCs w:val="20"/>
                <w:u w:val="single"/>
              </w:rPr>
              <w:t>2</w:t>
            </w:r>
            <w:r w:rsidRPr="00B3666F">
              <w:rPr>
                <w:rFonts w:ascii="Times" w:hAnsi="Times"/>
                <w:sz w:val="20"/>
                <w:szCs w:val="20"/>
              </w:rPr>
              <w:t>/ Los conceptos referentes a número de remesas se expresan en millones de operaciones.</w:t>
            </w:r>
          </w:p>
          <w:p w:rsidR="00B3666F" w:rsidRPr="00B3666F" w:rsidRDefault="00B3666F" w:rsidP="00B3666F">
            <w:pPr>
              <w:widowControl w:val="0"/>
              <w:adjustRightInd w:val="0"/>
              <w:jc w:val="both"/>
              <w:textAlignment w:val="baseline"/>
              <w:rPr>
                <w:rFonts w:ascii="Times" w:hAnsi="Times"/>
                <w:sz w:val="20"/>
                <w:szCs w:val="20"/>
              </w:rPr>
            </w:pPr>
            <w:r w:rsidRPr="00B3666F">
              <w:rPr>
                <w:rFonts w:ascii="Times" w:hAnsi="Times"/>
                <w:sz w:val="20"/>
                <w:szCs w:val="20"/>
                <w:u w:val="single"/>
              </w:rPr>
              <w:t>3</w:t>
            </w:r>
            <w:r w:rsidRPr="00B3666F">
              <w:rPr>
                <w:rFonts w:ascii="Times" w:hAnsi="Times"/>
                <w:sz w:val="20"/>
                <w:szCs w:val="20"/>
              </w:rPr>
              <w:t>/ Los conceptos referentes a remesa promedio se expresan en dólares.</w:t>
            </w:r>
          </w:p>
          <w:p w:rsidR="00B3666F" w:rsidRPr="00B3666F" w:rsidRDefault="00B3666F" w:rsidP="00B3666F">
            <w:pPr>
              <w:widowControl w:val="0"/>
              <w:adjustRightInd w:val="0"/>
              <w:jc w:val="both"/>
              <w:textAlignment w:val="baseline"/>
              <w:rPr>
                <w:rFonts w:ascii="Times" w:hAnsi="Times"/>
                <w:sz w:val="20"/>
                <w:szCs w:val="20"/>
              </w:rPr>
            </w:pPr>
            <w:r w:rsidRPr="00B3666F">
              <w:rPr>
                <w:rFonts w:ascii="Times" w:hAnsi="Times"/>
                <w:sz w:val="20"/>
                <w:szCs w:val="20"/>
              </w:rPr>
              <w:t>N/E = No existe.</w:t>
            </w:r>
          </w:p>
          <w:p w:rsidR="00B3666F" w:rsidRPr="00B3666F" w:rsidRDefault="00B3666F" w:rsidP="00B3666F">
            <w:pPr>
              <w:widowControl w:val="0"/>
              <w:adjustRightInd w:val="0"/>
              <w:jc w:val="both"/>
              <w:textAlignment w:val="baseline"/>
              <w:rPr>
                <w:sz w:val="20"/>
                <w:szCs w:val="20"/>
              </w:rPr>
            </w:pPr>
            <w:r w:rsidRPr="00B3666F">
              <w:rPr>
                <w:rFonts w:ascii="Times" w:hAnsi="Times"/>
                <w:sz w:val="20"/>
                <w:szCs w:val="20"/>
              </w:rPr>
              <w:t>FUENTE: Banco de México.</w:t>
            </w:r>
          </w:p>
        </w:tc>
      </w:tr>
      <w:bookmarkEnd w:id="17"/>
    </w:tbl>
    <w:p w:rsidR="00B3666F" w:rsidRPr="00B3666F" w:rsidRDefault="00B3666F" w:rsidP="00B3666F">
      <w:pPr>
        <w:spacing w:after="360" w:line="360" w:lineRule="auto"/>
        <w:ind w:right="-159"/>
        <w:jc w:val="both"/>
        <w:rPr>
          <w:sz w:val="26"/>
          <w:szCs w:val="26"/>
          <w:lang w:val="es-ES"/>
        </w:rPr>
      </w:pPr>
    </w:p>
    <w:p w:rsidR="00B3666F" w:rsidRPr="00B3666F" w:rsidRDefault="00B3666F" w:rsidP="00B3666F">
      <w:pPr>
        <w:spacing w:after="360" w:line="360" w:lineRule="auto"/>
        <w:ind w:right="-159"/>
        <w:jc w:val="both"/>
        <w:rPr>
          <w:b/>
          <w:sz w:val="26"/>
          <w:szCs w:val="26"/>
          <w:lang w:val="es-ES"/>
        </w:rPr>
      </w:pPr>
      <w:r w:rsidRPr="00B3666F">
        <w:rPr>
          <w:b/>
          <w:sz w:val="26"/>
          <w:szCs w:val="26"/>
          <w:lang w:val="es-ES"/>
        </w:rPr>
        <w:t>Remesas mensuales</w:t>
      </w:r>
    </w:p>
    <w:p w:rsidR="00B3666F" w:rsidRDefault="00B3666F" w:rsidP="00B3666F">
      <w:pPr>
        <w:spacing w:after="360" w:line="360" w:lineRule="auto"/>
        <w:ind w:right="-159"/>
        <w:jc w:val="both"/>
        <w:rPr>
          <w:sz w:val="26"/>
          <w:szCs w:val="26"/>
          <w:lang w:val="es-ES"/>
        </w:rPr>
      </w:pPr>
      <w:r w:rsidRPr="00B3666F">
        <w:rPr>
          <w:sz w:val="26"/>
          <w:szCs w:val="26"/>
        </w:rPr>
        <w:t xml:space="preserve">Durante enero de 2015, las remesas del exterior ascendieron a 1 mil 630.72 millones de dólares, cifra 27.02% menor a la observada en el mes inmediato anterior </w:t>
      </w:r>
      <w:r w:rsidRPr="00B3666F">
        <w:rPr>
          <w:sz w:val="26"/>
          <w:szCs w:val="26"/>
          <w:lang w:val="es-ES"/>
        </w:rPr>
        <w:t>(2 mil 234.59 millones de dólares).</w:t>
      </w:r>
    </w:p>
    <w:p w:rsidR="00E4484F" w:rsidRPr="00B3666F" w:rsidRDefault="00E4484F" w:rsidP="00E4484F">
      <w:pPr>
        <w:spacing w:after="360" w:line="360" w:lineRule="auto"/>
        <w:ind w:right="-159"/>
        <w:jc w:val="center"/>
        <w:rPr>
          <w:sz w:val="26"/>
          <w:szCs w:val="26"/>
        </w:rPr>
      </w:pPr>
      <w:r w:rsidRPr="00E4484F">
        <w:rPr>
          <w:rFonts w:ascii="Calibri" w:eastAsia="Calibri" w:hAnsi="Calibri"/>
          <w:sz w:val="22"/>
          <w:szCs w:val="22"/>
          <w:lang w:eastAsia="en-US"/>
        </w:rPr>
        <w:lastRenderedPageBreak/>
        <w:fldChar w:fldCharType="begin"/>
      </w:r>
      <w:r w:rsidRPr="00E4484F">
        <w:rPr>
          <w:rFonts w:ascii="Calibri" w:eastAsia="Calibri" w:hAnsi="Calibri"/>
          <w:sz w:val="22"/>
          <w:szCs w:val="22"/>
          <w:lang w:eastAsia="en-US"/>
        </w:rPr>
        <w:instrText xml:space="preserve"> LINK PowerPoint.Slide.8 "D:\\2015\\MARZO 2014\\GRÁFICAS EN POWER POINT\\6.- GRÁFICAS DE REMESAS.pptx!264" "" \a \p </w:instrText>
      </w:r>
      <w:r w:rsidRPr="00E4484F">
        <w:rPr>
          <w:rFonts w:ascii="Calibri" w:eastAsia="Calibri" w:hAnsi="Calibri"/>
          <w:sz w:val="22"/>
          <w:szCs w:val="22"/>
          <w:lang w:eastAsia="en-US"/>
        </w:rPr>
        <w:fldChar w:fldCharType="separate"/>
      </w:r>
      <w:r w:rsidRPr="00E4484F">
        <w:rPr>
          <w:rFonts w:ascii="Calibri" w:eastAsia="Calibri" w:hAnsi="Calibri"/>
          <w:noProof/>
          <w:sz w:val="22"/>
          <w:szCs w:val="22"/>
          <w:lang w:eastAsia="es-MX"/>
        </w:rPr>
        <w:drawing>
          <wp:inline distT="0" distB="0" distL="0" distR="0" wp14:anchorId="2C7308FB" wp14:editId="542C5D99">
            <wp:extent cx="4263390" cy="3237230"/>
            <wp:effectExtent l="0" t="0" r="3810" b="127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80" cstate="print">
                      <a:extLst>
                        <a:ext uri="{28A0092B-C50C-407E-A947-70E740481C1C}">
                          <a14:useLocalDpi xmlns:a14="http://schemas.microsoft.com/office/drawing/2010/main" val="0"/>
                        </a:ext>
                      </a:extLst>
                    </a:blip>
                    <a:srcRect l="3441" t="5376" r="3148"/>
                    <a:stretch>
                      <a:fillRect/>
                    </a:stretch>
                  </pic:blipFill>
                  <pic:spPr bwMode="auto">
                    <a:xfrm>
                      <a:off x="0" y="0"/>
                      <a:ext cx="4263390" cy="3237230"/>
                    </a:xfrm>
                    <a:prstGeom prst="rect">
                      <a:avLst/>
                    </a:prstGeom>
                    <a:noFill/>
                    <a:ln>
                      <a:noFill/>
                    </a:ln>
                  </pic:spPr>
                </pic:pic>
              </a:graphicData>
            </a:graphic>
          </wp:inline>
        </w:drawing>
      </w:r>
      <w:r w:rsidRPr="00E4484F">
        <w:rPr>
          <w:rFonts w:ascii="Calibri" w:eastAsia="Calibri" w:hAnsi="Calibri"/>
          <w:sz w:val="22"/>
          <w:szCs w:val="22"/>
          <w:lang w:eastAsia="en-US"/>
        </w:rPr>
        <w:fldChar w:fldCharType="end"/>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70"/>
        <w:gridCol w:w="1247"/>
        <w:gridCol w:w="1247"/>
        <w:gridCol w:w="1248"/>
        <w:gridCol w:w="1243"/>
        <w:gridCol w:w="1251"/>
      </w:tblGrid>
      <w:tr w:rsidR="00B3666F" w:rsidRPr="00B3666F" w:rsidTr="00E4484F">
        <w:trPr>
          <w:jc w:val="center"/>
        </w:trPr>
        <w:tc>
          <w:tcPr>
            <w:tcW w:w="8906" w:type="dxa"/>
            <w:gridSpan w:val="6"/>
            <w:tcBorders>
              <w:top w:val="nil"/>
              <w:left w:val="nil"/>
              <w:bottom w:val="single" w:sz="4" w:space="0" w:color="auto"/>
              <w:right w:val="nil"/>
            </w:tcBorders>
          </w:tcPr>
          <w:p w:rsidR="00B3666F" w:rsidRPr="00B3666F" w:rsidRDefault="00B3666F" w:rsidP="00B3666F">
            <w:pPr>
              <w:jc w:val="center"/>
              <w:rPr>
                <w:b/>
                <w:sz w:val="22"/>
                <w:szCs w:val="22"/>
              </w:rPr>
            </w:pPr>
            <w:r w:rsidRPr="00B3666F">
              <w:rPr>
                <w:b/>
                <w:sz w:val="22"/>
                <w:szCs w:val="22"/>
              </w:rPr>
              <w:t>INGRESOS POR REMESAS FAMILIARES</w:t>
            </w:r>
          </w:p>
        </w:tc>
      </w:tr>
      <w:tr w:rsidR="00B3666F" w:rsidRPr="00B3666F" w:rsidTr="00E4484F">
        <w:trPr>
          <w:jc w:val="center"/>
        </w:trPr>
        <w:tc>
          <w:tcPr>
            <w:tcW w:w="2670" w:type="dxa"/>
            <w:tcBorders>
              <w:top w:val="single" w:sz="4" w:space="0" w:color="auto"/>
              <w:left w:val="single" w:sz="4" w:space="0" w:color="auto"/>
              <w:bottom w:val="nil"/>
              <w:right w:val="single" w:sz="4" w:space="0" w:color="auto"/>
            </w:tcBorders>
          </w:tcPr>
          <w:p w:rsidR="00B3666F" w:rsidRPr="00B3666F" w:rsidRDefault="00B3666F" w:rsidP="00B3666F">
            <w:pPr>
              <w:jc w:val="center"/>
              <w:rPr>
                <w:b/>
                <w:sz w:val="20"/>
                <w:szCs w:val="20"/>
              </w:rPr>
            </w:pPr>
          </w:p>
        </w:tc>
        <w:tc>
          <w:tcPr>
            <w:tcW w:w="1247" w:type="dxa"/>
            <w:tcBorders>
              <w:top w:val="single" w:sz="4" w:space="0" w:color="auto"/>
              <w:left w:val="single" w:sz="4" w:space="0" w:color="auto"/>
              <w:bottom w:val="single" w:sz="4" w:space="0" w:color="auto"/>
              <w:right w:val="single" w:sz="4" w:space="0" w:color="auto"/>
            </w:tcBorders>
          </w:tcPr>
          <w:p w:rsidR="00B3666F" w:rsidRPr="00B3666F" w:rsidRDefault="00B3666F" w:rsidP="00B3666F">
            <w:pPr>
              <w:jc w:val="center"/>
              <w:rPr>
                <w:b/>
                <w:sz w:val="20"/>
                <w:szCs w:val="20"/>
              </w:rPr>
            </w:pPr>
            <w:r w:rsidRPr="00B3666F">
              <w:rPr>
                <w:b/>
                <w:sz w:val="20"/>
                <w:szCs w:val="20"/>
              </w:rPr>
              <w:t>2013</w:t>
            </w:r>
          </w:p>
        </w:tc>
        <w:tc>
          <w:tcPr>
            <w:tcW w:w="3738" w:type="dxa"/>
            <w:gridSpan w:val="3"/>
            <w:tcBorders>
              <w:top w:val="single" w:sz="4" w:space="0" w:color="auto"/>
              <w:left w:val="single" w:sz="4" w:space="0" w:color="auto"/>
              <w:bottom w:val="single" w:sz="4" w:space="0" w:color="auto"/>
              <w:right w:val="single" w:sz="4" w:space="0" w:color="auto"/>
            </w:tcBorders>
          </w:tcPr>
          <w:p w:rsidR="00B3666F" w:rsidRPr="00B3666F" w:rsidRDefault="00B3666F" w:rsidP="00B3666F">
            <w:pPr>
              <w:jc w:val="center"/>
              <w:rPr>
                <w:b/>
                <w:sz w:val="20"/>
                <w:szCs w:val="20"/>
              </w:rPr>
            </w:pPr>
            <w:r w:rsidRPr="00B3666F">
              <w:rPr>
                <w:b/>
                <w:sz w:val="20"/>
                <w:szCs w:val="20"/>
              </w:rPr>
              <w:t>2014</w:t>
            </w:r>
          </w:p>
        </w:tc>
        <w:tc>
          <w:tcPr>
            <w:tcW w:w="1251" w:type="dxa"/>
            <w:tcBorders>
              <w:top w:val="single" w:sz="4" w:space="0" w:color="auto"/>
              <w:left w:val="single" w:sz="4" w:space="0" w:color="auto"/>
              <w:bottom w:val="single" w:sz="4" w:space="0" w:color="auto"/>
              <w:right w:val="single" w:sz="4" w:space="0" w:color="auto"/>
            </w:tcBorders>
          </w:tcPr>
          <w:p w:rsidR="00B3666F" w:rsidRPr="00B3666F" w:rsidRDefault="00B3666F" w:rsidP="00B3666F">
            <w:pPr>
              <w:jc w:val="center"/>
              <w:rPr>
                <w:b/>
                <w:sz w:val="20"/>
                <w:szCs w:val="20"/>
              </w:rPr>
            </w:pPr>
            <w:r w:rsidRPr="00B3666F">
              <w:rPr>
                <w:b/>
                <w:sz w:val="20"/>
                <w:szCs w:val="20"/>
              </w:rPr>
              <w:t>2015</w:t>
            </w:r>
          </w:p>
        </w:tc>
      </w:tr>
      <w:tr w:rsidR="00B3666F" w:rsidRPr="00B3666F" w:rsidTr="00E4484F">
        <w:trPr>
          <w:jc w:val="center"/>
        </w:trPr>
        <w:tc>
          <w:tcPr>
            <w:tcW w:w="2670" w:type="dxa"/>
            <w:tcBorders>
              <w:top w:val="nil"/>
              <w:left w:val="single" w:sz="4" w:space="0" w:color="auto"/>
              <w:bottom w:val="single" w:sz="4" w:space="0" w:color="auto"/>
              <w:right w:val="single" w:sz="4" w:space="0" w:color="auto"/>
            </w:tcBorders>
          </w:tcPr>
          <w:p w:rsidR="00B3666F" w:rsidRPr="00B3666F" w:rsidRDefault="00B3666F" w:rsidP="00B3666F">
            <w:pPr>
              <w:jc w:val="center"/>
              <w:rPr>
                <w:b/>
                <w:sz w:val="20"/>
                <w:szCs w:val="20"/>
              </w:rPr>
            </w:pPr>
          </w:p>
        </w:tc>
        <w:tc>
          <w:tcPr>
            <w:tcW w:w="1247" w:type="dxa"/>
            <w:tcBorders>
              <w:top w:val="single" w:sz="4" w:space="0" w:color="auto"/>
              <w:left w:val="single" w:sz="4" w:space="0" w:color="auto"/>
              <w:bottom w:val="single" w:sz="4" w:space="0" w:color="auto"/>
              <w:right w:val="single" w:sz="4" w:space="0" w:color="auto"/>
            </w:tcBorders>
          </w:tcPr>
          <w:p w:rsidR="00B3666F" w:rsidRPr="00B3666F" w:rsidRDefault="00B3666F" w:rsidP="00B3666F">
            <w:pPr>
              <w:jc w:val="center"/>
              <w:rPr>
                <w:b/>
                <w:sz w:val="20"/>
                <w:szCs w:val="20"/>
              </w:rPr>
            </w:pPr>
            <w:r w:rsidRPr="00B3666F">
              <w:rPr>
                <w:b/>
                <w:sz w:val="20"/>
                <w:szCs w:val="20"/>
              </w:rPr>
              <w:t>Diciembre</w:t>
            </w:r>
          </w:p>
        </w:tc>
        <w:tc>
          <w:tcPr>
            <w:tcW w:w="1247" w:type="dxa"/>
            <w:tcBorders>
              <w:top w:val="single" w:sz="4" w:space="0" w:color="auto"/>
              <w:left w:val="single" w:sz="4" w:space="0" w:color="auto"/>
              <w:bottom w:val="single" w:sz="4" w:space="0" w:color="auto"/>
              <w:right w:val="single" w:sz="4" w:space="0" w:color="auto"/>
            </w:tcBorders>
          </w:tcPr>
          <w:p w:rsidR="00B3666F" w:rsidRPr="00B3666F" w:rsidRDefault="00B3666F" w:rsidP="00B3666F">
            <w:pPr>
              <w:jc w:val="center"/>
              <w:rPr>
                <w:b/>
                <w:sz w:val="20"/>
                <w:szCs w:val="20"/>
              </w:rPr>
            </w:pPr>
            <w:r w:rsidRPr="00B3666F">
              <w:rPr>
                <w:b/>
                <w:sz w:val="20"/>
                <w:szCs w:val="20"/>
              </w:rPr>
              <w:t>Octubre</w:t>
            </w:r>
          </w:p>
        </w:tc>
        <w:tc>
          <w:tcPr>
            <w:tcW w:w="1248" w:type="dxa"/>
            <w:tcBorders>
              <w:top w:val="single" w:sz="4" w:space="0" w:color="auto"/>
              <w:left w:val="single" w:sz="4" w:space="0" w:color="auto"/>
              <w:bottom w:val="single" w:sz="4" w:space="0" w:color="auto"/>
              <w:right w:val="single" w:sz="4" w:space="0" w:color="auto"/>
            </w:tcBorders>
          </w:tcPr>
          <w:p w:rsidR="00B3666F" w:rsidRPr="00B3666F" w:rsidRDefault="00B3666F" w:rsidP="00B3666F">
            <w:pPr>
              <w:jc w:val="center"/>
              <w:rPr>
                <w:b/>
                <w:sz w:val="20"/>
                <w:szCs w:val="20"/>
              </w:rPr>
            </w:pPr>
            <w:r w:rsidRPr="00B3666F">
              <w:rPr>
                <w:b/>
                <w:sz w:val="20"/>
                <w:szCs w:val="20"/>
              </w:rPr>
              <w:t>Noviembre</w:t>
            </w:r>
          </w:p>
        </w:tc>
        <w:tc>
          <w:tcPr>
            <w:tcW w:w="1243" w:type="dxa"/>
            <w:tcBorders>
              <w:top w:val="single" w:sz="4" w:space="0" w:color="auto"/>
              <w:left w:val="single" w:sz="4" w:space="0" w:color="auto"/>
              <w:bottom w:val="single" w:sz="4" w:space="0" w:color="auto"/>
              <w:right w:val="single" w:sz="4" w:space="0" w:color="auto"/>
            </w:tcBorders>
          </w:tcPr>
          <w:p w:rsidR="00B3666F" w:rsidRPr="00B3666F" w:rsidRDefault="00B3666F" w:rsidP="00B3666F">
            <w:pPr>
              <w:jc w:val="center"/>
              <w:rPr>
                <w:b/>
                <w:sz w:val="20"/>
                <w:szCs w:val="20"/>
              </w:rPr>
            </w:pPr>
            <w:r w:rsidRPr="00B3666F">
              <w:rPr>
                <w:b/>
                <w:sz w:val="20"/>
                <w:szCs w:val="20"/>
              </w:rPr>
              <w:t>Diciembre</w:t>
            </w:r>
          </w:p>
        </w:tc>
        <w:tc>
          <w:tcPr>
            <w:tcW w:w="1251" w:type="dxa"/>
            <w:tcBorders>
              <w:top w:val="single" w:sz="4" w:space="0" w:color="auto"/>
              <w:left w:val="single" w:sz="4" w:space="0" w:color="auto"/>
              <w:bottom w:val="single" w:sz="4" w:space="0" w:color="auto"/>
              <w:right w:val="single" w:sz="4" w:space="0" w:color="auto"/>
            </w:tcBorders>
          </w:tcPr>
          <w:p w:rsidR="00B3666F" w:rsidRPr="00B3666F" w:rsidRDefault="00B3666F" w:rsidP="00B3666F">
            <w:pPr>
              <w:jc w:val="center"/>
              <w:rPr>
                <w:b/>
                <w:sz w:val="20"/>
                <w:szCs w:val="20"/>
              </w:rPr>
            </w:pPr>
            <w:r w:rsidRPr="00B3666F">
              <w:rPr>
                <w:b/>
                <w:sz w:val="20"/>
                <w:szCs w:val="20"/>
              </w:rPr>
              <w:t>Enero</w:t>
            </w:r>
          </w:p>
        </w:tc>
      </w:tr>
      <w:tr w:rsidR="00B3666F" w:rsidRPr="00B3666F" w:rsidTr="00E4484F">
        <w:trPr>
          <w:jc w:val="center"/>
        </w:trPr>
        <w:tc>
          <w:tcPr>
            <w:tcW w:w="2670" w:type="dxa"/>
            <w:tcBorders>
              <w:top w:val="single" w:sz="4" w:space="0" w:color="auto"/>
              <w:left w:val="single" w:sz="4" w:space="0" w:color="auto"/>
              <w:bottom w:val="nil"/>
              <w:right w:val="single" w:sz="4" w:space="0" w:color="auto"/>
            </w:tcBorders>
          </w:tcPr>
          <w:p w:rsidR="00B3666F" w:rsidRPr="00B3666F" w:rsidRDefault="00B3666F" w:rsidP="00B3666F">
            <w:pPr>
              <w:rPr>
                <w:b/>
                <w:sz w:val="20"/>
                <w:szCs w:val="20"/>
              </w:rPr>
            </w:pPr>
            <w:r w:rsidRPr="00B3666F">
              <w:rPr>
                <w:b/>
                <w:sz w:val="20"/>
                <w:szCs w:val="20"/>
              </w:rPr>
              <w:t xml:space="preserve">Remesas Totales </w:t>
            </w:r>
          </w:p>
          <w:p w:rsidR="00B3666F" w:rsidRPr="00B3666F" w:rsidRDefault="00B3666F" w:rsidP="00B3666F">
            <w:pPr>
              <w:rPr>
                <w:b/>
                <w:sz w:val="20"/>
                <w:szCs w:val="20"/>
              </w:rPr>
            </w:pPr>
            <w:r w:rsidRPr="00B3666F">
              <w:rPr>
                <w:b/>
                <w:sz w:val="20"/>
                <w:szCs w:val="20"/>
              </w:rPr>
              <w:t>(Millones de dólares)</w:t>
            </w:r>
          </w:p>
        </w:tc>
        <w:tc>
          <w:tcPr>
            <w:tcW w:w="1247" w:type="dxa"/>
            <w:tcBorders>
              <w:top w:val="single" w:sz="4" w:space="0" w:color="auto"/>
              <w:left w:val="single" w:sz="4" w:space="0" w:color="auto"/>
              <w:bottom w:val="nil"/>
              <w:right w:val="single" w:sz="4" w:space="0" w:color="auto"/>
            </w:tcBorders>
            <w:vAlign w:val="center"/>
          </w:tcPr>
          <w:p w:rsidR="00B3666F" w:rsidRPr="00B3666F" w:rsidRDefault="00B3666F" w:rsidP="00B3666F">
            <w:pPr>
              <w:ind w:right="170"/>
              <w:jc w:val="right"/>
              <w:rPr>
                <w:b/>
                <w:sz w:val="20"/>
                <w:szCs w:val="20"/>
              </w:rPr>
            </w:pPr>
            <w:r w:rsidRPr="00B3666F">
              <w:rPr>
                <w:b/>
                <w:sz w:val="20"/>
                <w:szCs w:val="20"/>
              </w:rPr>
              <w:t>1 849.50</w:t>
            </w:r>
          </w:p>
        </w:tc>
        <w:tc>
          <w:tcPr>
            <w:tcW w:w="1247" w:type="dxa"/>
            <w:tcBorders>
              <w:top w:val="single" w:sz="4" w:space="0" w:color="auto"/>
              <w:left w:val="single" w:sz="4" w:space="0" w:color="auto"/>
              <w:bottom w:val="nil"/>
              <w:right w:val="single" w:sz="4" w:space="0" w:color="auto"/>
            </w:tcBorders>
            <w:vAlign w:val="center"/>
          </w:tcPr>
          <w:p w:rsidR="00B3666F" w:rsidRPr="00B3666F" w:rsidRDefault="00B3666F" w:rsidP="00B3666F">
            <w:pPr>
              <w:ind w:right="170"/>
              <w:jc w:val="right"/>
              <w:rPr>
                <w:b/>
                <w:sz w:val="20"/>
                <w:szCs w:val="20"/>
              </w:rPr>
            </w:pPr>
            <w:r w:rsidRPr="00B3666F">
              <w:rPr>
                <w:b/>
                <w:sz w:val="20"/>
                <w:szCs w:val="20"/>
              </w:rPr>
              <w:t>2 042.14</w:t>
            </w:r>
          </w:p>
        </w:tc>
        <w:tc>
          <w:tcPr>
            <w:tcW w:w="1248" w:type="dxa"/>
            <w:tcBorders>
              <w:top w:val="single" w:sz="4" w:space="0" w:color="auto"/>
              <w:left w:val="single" w:sz="4" w:space="0" w:color="auto"/>
              <w:bottom w:val="nil"/>
              <w:right w:val="single" w:sz="4" w:space="0" w:color="auto"/>
            </w:tcBorders>
            <w:vAlign w:val="center"/>
          </w:tcPr>
          <w:p w:rsidR="00B3666F" w:rsidRPr="00B3666F" w:rsidRDefault="00B3666F" w:rsidP="00B3666F">
            <w:pPr>
              <w:ind w:right="170"/>
              <w:jc w:val="right"/>
              <w:rPr>
                <w:b/>
                <w:sz w:val="20"/>
                <w:szCs w:val="20"/>
              </w:rPr>
            </w:pPr>
            <w:r w:rsidRPr="00B3666F">
              <w:rPr>
                <w:b/>
                <w:sz w:val="20"/>
                <w:szCs w:val="20"/>
              </w:rPr>
              <w:t>1 775.39</w:t>
            </w:r>
          </w:p>
        </w:tc>
        <w:tc>
          <w:tcPr>
            <w:tcW w:w="1243" w:type="dxa"/>
            <w:tcBorders>
              <w:top w:val="single" w:sz="4" w:space="0" w:color="auto"/>
              <w:left w:val="single" w:sz="4" w:space="0" w:color="auto"/>
              <w:bottom w:val="nil"/>
              <w:right w:val="single" w:sz="4" w:space="0" w:color="auto"/>
            </w:tcBorders>
            <w:vAlign w:val="center"/>
          </w:tcPr>
          <w:p w:rsidR="00B3666F" w:rsidRPr="00B3666F" w:rsidRDefault="00B3666F" w:rsidP="00B3666F">
            <w:pPr>
              <w:ind w:right="170"/>
              <w:jc w:val="right"/>
              <w:rPr>
                <w:b/>
                <w:sz w:val="20"/>
                <w:szCs w:val="20"/>
              </w:rPr>
            </w:pPr>
            <w:r w:rsidRPr="00B3666F">
              <w:rPr>
                <w:b/>
                <w:sz w:val="20"/>
                <w:szCs w:val="20"/>
              </w:rPr>
              <w:t>2 234.59</w:t>
            </w:r>
          </w:p>
        </w:tc>
        <w:tc>
          <w:tcPr>
            <w:tcW w:w="1251" w:type="dxa"/>
            <w:tcBorders>
              <w:top w:val="single" w:sz="4" w:space="0" w:color="auto"/>
              <w:left w:val="single" w:sz="4" w:space="0" w:color="auto"/>
              <w:bottom w:val="nil"/>
              <w:right w:val="single" w:sz="4" w:space="0" w:color="auto"/>
            </w:tcBorders>
            <w:vAlign w:val="center"/>
          </w:tcPr>
          <w:p w:rsidR="00B3666F" w:rsidRPr="00B3666F" w:rsidRDefault="00B3666F" w:rsidP="00B3666F">
            <w:pPr>
              <w:ind w:right="170"/>
              <w:jc w:val="right"/>
              <w:rPr>
                <w:b/>
                <w:sz w:val="20"/>
                <w:szCs w:val="20"/>
              </w:rPr>
            </w:pPr>
            <w:r w:rsidRPr="00B3666F">
              <w:rPr>
                <w:b/>
                <w:sz w:val="20"/>
                <w:szCs w:val="20"/>
              </w:rPr>
              <w:t>1 630.72</w:t>
            </w:r>
          </w:p>
        </w:tc>
      </w:tr>
      <w:tr w:rsidR="00B3666F" w:rsidRPr="00B3666F" w:rsidTr="00E4484F">
        <w:trPr>
          <w:jc w:val="center"/>
        </w:trPr>
        <w:tc>
          <w:tcPr>
            <w:tcW w:w="2670" w:type="dxa"/>
            <w:tcBorders>
              <w:top w:val="nil"/>
              <w:left w:val="single" w:sz="4" w:space="0" w:color="auto"/>
              <w:bottom w:val="nil"/>
              <w:right w:val="single" w:sz="4" w:space="0" w:color="auto"/>
            </w:tcBorders>
          </w:tcPr>
          <w:p w:rsidR="00B3666F" w:rsidRPr="00B3666F" w:rsidRDefault="00B3666F" w:rsidP="00B3666F">
            <w:pPr>
              <w:rPr>
                <w:sz w:val="20"/>
                <w:szCs w:val="20"/>
              </w:rPr>
            </w:pPr>
            <w:r w:rsidRPr="00B3666F">
              <w:rPr>
                <w:sz w:val="20"/>
                <w:szCs w:val="20"/>
              </w:rPr>
              <w:t xml:space="preserve">   Money </w:t>
            </w:r>
            <w:proofErr w:type="spellStart"/>
            <w:r w:rsidRPr="00B3666F">
              <w:rPr>
                <w:sz w:val="20"/>
                <w:szCs w:val="20"/>
              </w:rPr>
              <w:t>Orders</w:t>
            </w:r>
            <w:proofErr w:type="spellEnd"/>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42.08</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17.47</w:t>
            </w:r>
          </w:p>
        </w:tc>
        <w:tc>
          <w:tcPr>
            <w:tcW w:w="1248"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16.13</w:t>
            </w:r>
          </w:p>
        </w:tc>
        <w:tc>
          <w:tcPr>
            <w:tcW w:w="1243"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21.88</w:t>
            </w:r>
          </w:p>
        </w:tc>
        <w:tc>
          <w:tcPr>
            <w:tcW w:w="1251"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20.42</w:t>
            </w:r>
          </w:p>
        </w:tc>
      </w:tr>
      <w:tr w:rsidR="00B3666F" w:rsidRPr="00B3666F" w:rsidTr="00E4484F">
        <w:trPr>
          <w:jc w:val="center"/>
        </w:trPr>
        <w:tc>
          <w:tcPr>
            <w:tcW w:w="2670" w:type="dxa"/>
            <w:tcBorders>
              <w:top w:val="nil"/>
              <w:left w:val="single" w:sz="4" w:space="0" w:color="auto"/>
              <w:bottom w:val="nil"/>
              <w:right w:val="single" w:sz="4" w:space="0" w:color="auto"/>
            </w:tcBorders>
          </w:tcPr>
          <w:p w:rsidR="00B3666F" w:rsidRPr="00B3666F" w:rsidRDefault="00B3666F" w:rsidP="00B3666F">
            <w:pPr>
              <w:rPr>
                <w:sz w:val="20"/>
                <w:szCs w:val="20"/>
              </w:rPr>
            </w:pPr>
            <w:r w:rsidRPr="00B3666F">
              <w:rPr>
                <w:sz w:val="20"/>
                <w:szCs w:val="20"/>
              </w:rPr>
              <w:t xml:space="preserve">   Cheques Personales</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0.00</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0.00</w:t>
            </w:r>
          </w:p>
        </w:tc>
        <w:tc>
          <w:tcPr>
            <w:tcW w:w="1248"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0.00</w:t>
            </w:r>
          </w:p>
        </w:tc>
        <w:tc>
          <w:tcPr>
            <w:tcW w:w="1243"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0.00</w:t>
            </w:r>
          </w:p>
        </w:tc>
        <w:tc>
          <w:tcPr>
            <w:tcW w:w="1251"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0.00</w:t>
            </w:r>
          </w:p>
        </w:tc>
      </w:tr>
      <w:tr w:rsidR="00B3666F" w:rsidRPr="00B3666F" w:rsidTr="00E4484F">
        <w:trPr>
          <w:jc w:val="center"/>
        </w:trPr>
        <w:tc>
          <w:tcPr>
            <w:tcW w:w="2670" w:type="dxa"/>
            <w:tcBorders>
              <w:top w:val="nil"/>
              <w:left w:val="single" w:sz="4" w:space="0" w:color="auto"/>
              <w:bottom w:val="nil"/>
              <w:right w:val="single" w:sz="4" w:space="0" w:color="auto"/>
            </w:tcBorders>
          </w:tcPr>
          <w:p w:rsidR="00B3666F" w:rsidRPr="00B3666F" w:rsidRDefault="00B3666F" w:rsidP="00B3666F">
            <w:pPr>
              <w:rPr>
                <w:sz w:val="20"/>
                <w:szCs w:val="20"/>
              </w:rPr>
            </w:pPr>
            <w:r w:rsidRPr="00B3666F">
              <w:rPr>
                <w:sz w:val="20"/>
                <w:szCs w:val="20"/>
              </w:rPr>
              <w:t xml:space="preserve">   Transferencias Electrónicas</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1 755.54</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1 986.72</w:t>
            </w:r>
          </w:p>
        </w:tc>
        <w:tc>
          <w:tcPr>
            <w:tcW w:w="1248"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1 725.97</w:t>
            </w:r>
          </w:p>
        </w:tc>
        <w:tc>
          <w:tcPr>
            <w:tcW w:w="1243"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2 126.52</w:t>
            </w:r>
          </w:p>
        </w:tc>
        <w:tc>
          <w:tcPr>
            <w:tcW w:w="1251"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1 566.08</w:t>
            </w:r>
          </w:p>
        </w:tc>
      </w:tr>
      <w:tr w:rsidR="00B3666F" w:rsidRPr="00B3666F" w:rsidTr="00E4484F">
        <w:trPr>
          <w:jc w:val="center"/>
        </w:trPr>
        <w:tc>
          <w:tcPr>
            <w:tcW w:w="2670" w:type="dxa"/>
            <w:tcBorders>
              <w:top w:val="nil"/>
              <w:left w:val="single" w:sz="4" w:space="0" w:color="auto"/>
              <w:bottom w:val="nil"/>
              <w:right w:val="single" w:sz="4" w:space="0" w:color="auto"/>
            </w:tcBorders>
          </w:tcPr>
          <w:p w:rsidR="00B3666F" w:rsidRPr="00B3666F" w:rsidRDefault="00B3666F" w:rsidP="00B3666F">
            <w:pPr>
              <w:rPr>
                <w:sz w:val="20"/>
                <w:szCs w:val="20"/>
              </w:rPr>
            </w:pPr>
            <w:r w:rsidRPr="00B3666F">
              <w:rPr>
                <w:sz w:val="20"/>
                <w:szCs w:val="20"/>
              </w:rPr>
              <w:t xml:space="preserve">   Efectivo y Especie</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51.87</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37.95</w:t>
            </w:r>
          </w:p>
        </w:tc>
        <w:tc>
          <w:tcPr>
            <w:tcW w:w="1248"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33.29</w:t>
            </w:r>
          </w:p>
        </w:tc>
        <w:tc>
          <w:tcPr>
            <w:tcW w:w="1243"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86.18</w:t>
            </w:r>
          </w:p>
        </w:tc>
        <w:tc>
          <w:tcPr>
            <w:tcW w:w="1251"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44.22</w:t>
            </w:r>
          </w:p>
        </w:tc>
      </w:tr>
      <w:tr w:rsidR="00B3666F" w:rsidRPr="00B3666F" w:rsidTr="00E4484F">
        <w:trPr>
          <w:jc w:val="center"/>
        </w:trPr>
        <w:tc>
          <w:tcPr>
            <w:tcW w:w="2670" w:type="dxa"/>
            <w:tcBorders>
              <w:top w:val="nil"/>
              <w:left w:val="single" w:sz="4" w:space="0" w:color="auto"/>
              <w:bottom w:val="nil"/>
              <w:right w:val="single" w:sz="4" w:space="0" w:color="auto"/>
            </w:tcBorders>
          </w:tcPr>
          <w:p w:rsidR="00B3666F" w:rsidRPr="00B3666F" w:rsidRDefault="00B3666F" w:rsidP="00B3666F">
            <w:pPr>
              <w:rPr>
                <w:b/>
                <w:sz w:val="20"/>
                <w:szCs w:val="20"/>
              </w:rPr>
            </w:pPr>
            <w:r w:rsidRPr="00B3666F">
              <w:rPr>
                <w:b/>
                <w:sz w:val="20"/>
                <w:szCs w:val="20"/>
              </w:rPr>
              <w:t>Número de Remesas Totales (Miles de operaciones)</w:t>
            </w:r>
          </w:p>
        </w:tc>
        <w:tc>
          <w:tcPr>
            <w:tcW w:w="1247" w:type="dxa"/>
            <w:tcBorders>
              <w:top w:val="nil"/>
              <w:left w:val="single" w:sz="4" w:space="0" w:color="auto"/>
              <w:bottom w:val="nil"/>
              <w:right w:val="single" w:sz="4" w:space="0" w:color="auto"/>
            </w:tcBorders>
            <w:vAlign w:val="center"/>
          </w:tcPr>
          <w:p w:rsidR="00B3666F" w:rsidRPr="00B3666F" w:rsidRDefault="00B3666F" w:rsidP="00B3666F">
            <w:pPr>
              <w:ind w:right="170"/>
              <w:jc w:val="right"/>
              <w:rPr>
                <w:b/>
                <w:sz w:val="20"/>
                <w:szCs w:val="20"/>
              </w:rPr>
            </w:pPr>
            <w:r w:rsidRPr="00B3666F">
              <w:rPr>
                <w:b/>
                <w:sz w:val="20"/>
                <w:szCs w:val="20"/>
              </w:rPr>
              <w:t>6 549.82</w:t>
            </w:r>
          </w:p>
        </w:tc>
        <w:tc>
          <w:tcPr>
            <w:tcW w:w="1247" w:type="dxa"/>
            <w:tcBorders>
              <w:top w:val="nil"/>
              <w:left w:val="single" w:sz="4" w:space="0" w:color="auto"/>
              <w:bottom w:val="nil"/>
              <w:right w:val="single" w:sz="4" w:space="0" w:color="auto"/>
            </w:tcBorders>
            <w:vAlign w:val="center"/>
          </w:tcPr>
          <w:p w:rsidR="00B3666F" w:rsidRPr="00B3666F" w:rsidRDefault="00B3666F" w:rsidP="00B3666F">
            <w:pPr>
              <w:ind w:right="170"/>
              <w:jc w:val="right"/>
              <w:rPr>
                <w:b/>
                <w:sz w:val="20"/>
                <w:szCs w:val="20"/>
              </w:rPr>
            </w:pPr>
            <w:r w:rsidRPr="00B3666F">
              <w:rPr>
                <w:b/>
                <w:sz w:val="20"/>
                <w:szCs w:val="20"/>
              </w:rPr>
              <w:t>7 041.97</w:t>
            </w:r>
          </w:p>
        </w:tc>
        <w:tc>
          <w:tcPr>
            <w:tcW w:w="1248" w:type="dxa"/>
            <w:tcBorders>
              <w:top w:val="nil"/>
              <w:left w:val="single" w:sz="4" w:space="0" w:color="auto"/>
              <w:bottom w:val="nil"/>
              <w:right w:val="single" w:sz="4" w:space="0" w:color="auto"/>
            </w:tcBorders>
            <w:vAlign w:val="center"/>
          </w:tcPr>
          <w:p w:rsidR="00B3666F" w:rsidRPr="00B3666F" w:rsidRDefault="00B3666F" w:rsidP="00B3666F">
            <w:pPr>
              <w:ind w:right="170"/>
              <w:jc w:val="right"/>
              <w:rPr>
                <w:b/>
                <w:sz w:val="20"/>
                <w:szCs w:val="20"/>
              </w:rPr>
            </w:pPr>
            <w:r w:rsidRPr="00B3666F">
              <w:rPr>
                <w:b/>
                <w:sz w:val="20"/>
                <w:szCs w:val="20"/>
              </w:rPr>
              <w:t>6 206.48</w:t>
            </w:r>
          </w:p>
        </w:tc>
        <w:tc>
          <w:tcPr>
            <w:tcW w:w="1243" w:type="dxa"/>
            <w:tcBorders>
              <w:top w:val="nil"/>
              <w:left w:val="single" w:sz="4" w:space="0" w:color="auto"/>
              <w:bottom w:val="nil"/>
              <w:right w:val="single" w:sz="4" w:space="0" w:color="auto"/>
            </w:tcBorders>
            <w:vAlign w:val="center"/>
          </w:tcPr>
          <w:p w:rsidR="00B3666F" w:rsidRPr="00B3666F" w:rsidRDefault="00B3666F" w:rsidP="00B3666F">
            <w:pPr>
              <w:ind w:right="170"/>
              <w:jc w:val="right"/>
              <w:rPr>
                <w:b/>
                <w:sz w:val="20"/>
                <w:szCs w:val="20"/>
              </w:rPr>
            </w:pPr>
            <w:r w:rsidRPr="00B3666F">
              <w:rPr>
                <w:b/>
                <w:sz w:val="20"/>
                <w:szCs w:val="20"/>
              </w:rPr>
              <w:t>7 401.29</w:t>
            </w:r>
          </w:p>
        </w:tc>
        <w:tc>
          <w:tcPr>
            <w:tcW w:w="1251" w:type="dxa"/>
            <w:tcBorders>
              <w:top w:val="nil"/>
              <w:left w:val="single" w:sz="4" w:space="0" w:color="auto"/>
              <w:bottom w:val="nil"/>
              <w:right w:val="single" w:sz="4" w:space="0" w:color="auto"/>
            </w:tcBorders>
            <w:vAlign w:val="center"/>
          </w:tcPr>
          <w:p w:rsidR="00B3666F" w:rsidRPr="00B3666F" w:rsidRDefault="00B3666F" w:rsidP="00B3666F">
            <w:pPr>
              <w:ind w:right="170"/>
              <w:jc w:val="right"/>
              <w:rPr>
                <w:b/>
                <w:sz w:val="20"/>
                <w:szCs w:val="20"/>
              </w:rPr>
            </w:pPr>
            <w:r w:rsidRPr="00B3666F">
              <w:rPr>
                <w:b/>
                <w:sz w:val="20"/>
                <w:szCs w:val="20"/>
              </w:rPr>
              <w:t>5 841.13</w:t>
            </w:r>
          </w:p>
        </w:tc>
      </w:tr>
      <w:tr w:rsidR="00B3666F" w:rsidRPr="00B3666F" w:rsidTr="00E4484F">
        <w:trPr>
          <w:jc w:val="center"/>
        </w:trPr>
        <w:tc>
          <w:tcPr>
            <w:tcW w:w="2670" w:type="dxa"/>
            <w:tcBorders>
              <w:top w:val="nil"/>
              <w:left w:val="single" w:sz="4" w:space="0" w:color="auto"/>
              <w:bottom w:val="nil"/>
              <w:right w:val="single" w:sz="4" w:space="0" w:color="auto"/>
            </w:tcBorders>
          </w:tcPr>
          <w:p w:rsidR="00B3666F" w:rsidRPr="00B3666F" w:rsidRDefault="00B3666F" w:rsidP="00B3666F">
            <w:pPr>
              <w:rPr>
                <w:sz w:val="20"/>
                <w:szCs w:val="20"/>
              </w:rPr>
            </w:pPr>
            <w:r w:rsidRPr="00B3666F">
              <w:rPr>
                <w:sz w:val="20"/>
                <w:szCs w:val="20"/>
              </w:rPr>
              <w:t xml:space="preserve">   Money </w:t>
            </w:r>
            <w:proofErr w:type="spellStart"/>
            <w:r w:rsidRPr="00B3666F">
              <w:rPr>
                <w:sz w:val="20"/>
                <w:szCs w:val="20"/>
              </w:rPr>
              <w:t>Orders</w:t>
            </w:r>
            <w:proofErr w:type="spellEnd"/>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79.45</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34.20</w:t>
            </w:r>
          </w:p>
        </w:tc>
        <w:tc>
          <w:tcPr>
            <w:tcW w:w="1248"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31.34</w:t>
            </w:r>
          </w:p>
        </w:tc>
        <w:tc>
          <w:tcPr>
            <w:tcW w:w="1243"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40.25</w:t>
            </w:r>
          </w:p>
        </w:tc>
        <w:tc>
          <w:tcPr>
            <w:tcW w:w="1251"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39.87</w:t>
            </w:r>
          </w:p>
        </w:tc>
      </w:tr>
      <w:tr w:rsidR="00B3666F" w:rsidRPr="00B3666F" w:rsidTr="00E4484F">
        <w:trPr>
          <w:jc w:val="center"/>
        </w:trPr>
        <w:tc>
          <w:tcPr>
            <w:tcW w:w="2670" w:type="dxa"/>
            <w:tcBorders>
              <w:top w:val="nil"/>
              <w:left w:val="single" w:sz="4" w:space="0" w:color="auto"/>
              <w:bottom w:val="nil"/>
              <w:right w:val="single" w:sz="4" w:space="0" w:color="auto"/>
            </w:tcBorders>
          </w:tcPr>
          <w:p w:rsidR="00B3666F" w:rsidRPr="00B3666F" w:rsidRDefault="00B3666F" w:rsidP="00B3666F">
            <w:pPr>
              <w:rPr>
                <w:sz w:val="20"/>
                <w:szCs w:val="20"/>
              </w:rPr>
            </w:pPr>
            <w:r w:rsidRPr="00B3666F">
              <w:rPr>
                <w:sz w:val="20"/>
                <w:szCs w:val="20"/>
              </w:rPr>
              <w:t xml:space="preserve">   Cheques Personales</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0.00</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0.00</w:t>
            </w:r>
          </w:p>
        </w:tc>
        <w:tc>
          <w:tcPr>
            <w:tcW w:w="1248"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0.00</w:t>
            </w:r>
          </w:p>
        </w:tc>
        <w:tc>
          <w:tcPr>
            <w:tcW w:w="1243"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0.00</w:t>
            </w:r>
          </w:p>
        </w:tc>
        <w:tc>
          <w:tcPr>
            <w:tcW w:w="1251"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0.00</w:t>
            </w:r>
          </w:p>
        </w:tc>
      </w:tr>
      <w:tr w:rsidR="00B3666F" w:rsidRPr="00B3666F" w:rsidTr="00E4484F">
        <w:trPr>
          <w:jc w:val="center"/>
        </w:trPr>
        <w:tc>
          <w:tcPr>
            <w:tcW w:w="2670" w:type="dxa"/>
            <w:tcBorders>
              <w:top w:val="nil"/>
              <w:left w:val="single" w:sz="4" w:space="0" w:color="auto"/>
              <w:bottom w:val="nil"/>
              <w:right w:val="single" w:sz="4" w:space="0" w:color="auto"/>
            </w:tcBorders>
          </w:tcPr>
          <w:p w:rsidR="00B3666F" w:rsidRPr="00B3666F" w:rsidRDefault="00B3666F" w:rsidP="00B3666F">
            <w:pPr>
              <w:rPr>
                <w:sz w:val="20"/>
                <w:szCs w:val="20"/>
              </w:rPr>
            </w:pPr>
            <w:r w:rsidRPr="00B3666F">
              <w:rPr>
                <w:sz w:val="20"/>
                <w:szCs w:val="20"/>
              </w:rPr>
              <w:t xml:space="preserve">   Transferencias Electrónicas</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6 331.78</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6 923.27</w:t>
            </w:r>
          </w:p>
        </w:tc>
        <w:tc>
          <w:tcPr>
            <w:tcW w:w="1248"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6 091.34</w:t>
            </w:r>
          </w:p>
        </w:tc>
        <w:tc>
          <w:tcPr>
            <w:tcW w:w="1243"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7 163.02</w:t>
            </w:r>
          </w:p>
        </w:tc>
        <w:tc>
          <w:tcPr>
            <w:tcW w:w="1251"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5 707.71</w:t>
            </w:r>
          </w:p>
        </w:tc>
      </w:tr>
      <w:tr w:rsidR="00B3666F" w:rsidRPr="00B3666F" w:rsidTr="00E4484F">
        <w:trPr>
          <w:jc w:val="center"/>
        </w:trPr>
        <w:tc>
          <w:tcPr>
            <w:tcW w:w="2670" w:type="dxa"/>
            <w:tcBorders>
              <w:top w:val="nil"/>
              <w:left w:val="single" w:sz="4" w:space="0" w:color="auto"/>
              <w:bottom w:val="nil"/>
              <w:right w:val="single" w:sz="4" w:space="0" w:color="auto"/>
            </w:tcBorders>
          </w:tcPr>
          <w:p w:rsidR="00B3666F" w:rsidRPr="00B3666F" w:rsidRDefault="00B3666F" w:rsidP="00B3666F">
            <w:pPr>
              <w:rPr>
                <w:sz w:val="20"/>
                <w:szCs w:val="20"/>
              </w:rPr>
            </w:pPr>
            <w:r w:rsidRPr="00B3666F">
              <w:rPr>
                <w:sz w:val="20"/>
                <w:szCs w:val="20"/>
              </w:rPr>
              <w:t xml:space="preserve">   Efectivo y Especie</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138.59</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84.50</w:t>
            </w:r>
          </w:p>
        </w:tc>
        <w:tc>
          <w:tcPr>
            <w:tcW w:w="1248"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83.81</w:t>
            </w:r>
          </w:p>
        </w:tc>
        <w:tc>
          <w:tcPr>
            <w:tcW w:w="1243"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198.01</w:t>
            </w:r>
          </w:p>
        </w:tc>
        <w:tc>
          <w:tcPr>
            <w:tcW w:w="1251"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93.55</w:t>
            </w:r>
          </w:p>
        </w:tc>
      </w:tr>
      <w:tr w:rsidR="00B3666F" w:rsidRPr="00B3666F" w:rsidTr="00E4484F">
        <w:trPr>
          <w:jc w:val="center"/>
        </w:trPr>
        <w:tc>
          <w:tcPr>
            <w:tcW w:w="2670" w:type="dxa"/>
            <w:tcBorders>
              <w:top w:val="nil"/>
              <w:left w:val="single" w:sz="4" w:space="0" w:color="auto"/>
              <w:bottom w:val="nil"/>
              <w:right w:val="single" w:sz="4" w:space="0" w:color="auto"/>
            </w:tcBorders>
          </w:tcPr>
          <w:p w:rsidR="00B3666F" w:rsidRPr="00B3666F" w:rsidRDefault="00B3666F" w:rsidP="00B3666F">
            <w:pPr>
              <w:rPr>
                <w:b/>
                <w:sz w:val="20"/>
                <w:szCs w:val="20"/>
              </w:rPr>
            </w:pPr>
            <w:r w:rsidRPr="00B3666F">
              <w:rPr>
                <w:b/>
                <w:sz w:val="20"/>
                <w:szCs w:val="20"/>
              </w:rPr>
              <w:t>Remesa Promedio Total (Dólares)</w:t>
            </w:r>
          </w:p>
        </w:tc>
        <w:tc>
          <w:tcPr>
            <w:tcW w:w="1247" w:type="dxa"/>
            <w:tcBorders>
              <w:top w:val="nil"/>
              <w:left w:val="single" w:sz="4" w:space="0" w:color="auto"/>
              <w:bottom w:val="nil"/>
              <w:right w:val="single" w:sz="4" w:space="0" w:color="auto"/>
            </w:tcBorders>
            <w:vAlign w:val="center"/>
          </w:tcPr>
          <w:p w:rsidR="00B3666F" w:rsidRPr="00B3666F" w:rsidRDefault="00B3666F" w:rsidP="00B3666F">
            <w:pPr>
              <w:ind w:right="170"/>
              <w:jc w:val="right"/>
              <w:rPr>
                <w:b/>
                <w:sz w:val="20"/>
                <w:szCs w:val="20"/>
              </w:rPr>
            </w:pPr>
            <w:r w:rsidRPr="00B3666F">
              <w:rPr>
                <w:b/>
                <w:sz w:val="20"/>
                <w:szCs w:val="20"/>
              </w:rPr>
              <w:t>282.37</w:t>
            </w:r>
          </w:p>
        </w:tc>
        <w:tc>
          <w:tcPr>
            <w:tcW w:w="1247" w:type="dxa"/>
            <w:tcBorders>
              <w:top w:val="nil"/>
              <w:left w:val="single" w:sz="4" w:space="0" w:color="auto"/>
              <w:bottom w:val="nil"/>
              <w:right w:val="single" w:sz="4" w:space="0" w:color="auto"/>
            </w:tcBorders>
            <w:vAlign w:val="center"/>
          </w:tcPr>
          <w:p w:rsidR="00B3666F" w:rsidRPr="00B3666F" w:rsidRDefault="00B3666F" w:rsidP="00B3666F">
            <w:pPr>
              <w:ind w:right="170"/>
              <w:jc w:val="right"/>
              <w:rPr>
                <w:b/>
                <w:sz w:val="20"/>
                <w:szCs w:val="20"/>
              </w:rPr>
            </w:pPr>
            <w:r w:rsidRPr="00B3666F">
              <w:rPr>
                <w:b/>
                <w:sz w:val="20"/>
                <w:szCs w:val="20"/>
              </w:rPr>
              <w:t>290.00</w:t>
            </w:r>
          </w:p>
        </w:tc>
        <w:tc>
          <w:tcPr>
            <w:tcW w:w="1248" w:type="dxa"/>
            <w:tcBorders>
              <w:top w:val="nil"/>
              <w:left w:val="single" w:sz="4" w:space="0" w:color="auto"/>
              <w:bottom w:val="nil"/>
              <w:right w:val="single" w:sz="4" w:space="0" w:color="auto"/>
            </w:tcBorders>
            <w:vAlign w:val="center"/>
          </w:tcPr>
          <w:p w:rsidR="00B3666F" w:rsidRPr="00B3666F" w:rsidRDefault="00B3666F" w:rsidP="00B3666F">
            <w:pPr>
              <w:ind w:right="170"/>
              <w:jc w:val="right"/>
              <w:rPr>
                <w:b/>
                <w:sz w:val="20"/>
                <w:szCs w:val="20"/>
              </w:rPr>
            </w:pPr>
            <w:r w:rsidRPr="00B3666F">
              <w:rPr>
                <w:b/>
                <w:sz w:val="20"/>
                <w:szCs w:val="20"/>
              </w:rPr>
              <w:t>286.05</w:t>
            </w:r>
          </w:p>
        </w:tc>
        <w:tc>
          <w:tcPr>
            <w:tcW w:w="1243" w:type="dxa"/>
            <w:tcBorders>
              <w:top w:val="nil"/>
              <w:left w:val="single" w:sz="4" w:space="0" w:color="auto"/>
              <w:bottom w:val="nil"/>
              <w:right w:val="single" w:sz="4" w:space="0" w:color="auto"/>
            </w:tcBorders>
            <w:vAlign w:val="center"/>
          </w:tcPr>
          <w:p w:rsidR="00B3666F" w:rsidRPr="00B3666F" w:rsidRDefault="00B3666F" w:rsidP="00B3666F">
            <w:pPr>
              <w:ind w:right="170"/>
              <w:jc w:val="right"/>
              <w:rPr>
                <w:b/>
                <w:sz w:val="20"/>
                <w:szCs w:val="20"/>
              </w:rPr>
            </w:pPr>
            <w:r w:rsidRPr="00B3666F">
              <w:rPr>
                <w:b/>
                <w:sz w:val="20"/>
                <w:szCs w:val="20"/>
              </w:rPr>
              <w:t>301.92</w:t>
            </w:r>
          </w:p>
        </w:tc>
        <w:tc>
          <w:tcPr>
            <w:tcW w:w="1251" w:type="dxa"/>
            <w:tcBorders>
              <w:top w:val="nil"/>
              <w:left w:val="single" w:sz="4" w:space="0" w:color="auto"/>
              <w:bottom w:val="nil"/>
              <w:right w:val="single" w:sz="4" w:space="0" w:color="auto"/>
            </w:tcBorders>
            <w:vAlign w:val="center"/>
          </w:tcPr>
          <w:p w:rsidR="00B3666F" w:rsidRPr="00B3666F" w:rsidRDefault="00B3666F" w:rsidP="00B3666F">
            <w:pPr>
              <w:ind w:right="170"/>
              <w:jc w:val="right"/>
              <w:rPr>
                <w:b/>
                <w:sz w:val="20"/>
                <w:szCs w:val="20"/>
              </w:rPr>
            </w:pPr>
            <w:r w:rsidRPr="00B3666F">
              <w:rPr>
                <w:b/>
                <w:sz w:val="20"/>
                <w:szCs w:val="20"/>
              </w:rPr>
              <w:t>279.18</w:t>
            </w:r>
          </w:p>
        </w:tc>
      </w:tr>
      <w:tr w:rsidR="00B3666F" w:rsidRPr="00B3666F" w:rsidTr="00E4484F">
        <w:trPr>
          <w:jc w:val="center"/>
        </w:trPr>
        <w:tc>
          <w:tcPr>
            <w:tcW w:w="2670" w:type="dxa"/>
            <w:tcBorders>
              <w:top w:val="nil"/>
              <w:left w:val="single" w:sz="4" w:space="0" w:color="auto"/>
              <w:bottom w:val="nil"/>
              <w:right w:val="single" w:sz="4" w:space="0" w:color="auto"/>
            </w:tcBorders>
          </w:tcPr>
          <w:p w:rsidR="00B3666F" w:rsidRPr="00B3666F" w:rsidRDefault="00B3666F" w:rsidP="00B3666F">
            <w:pPr>
              <w:rPr>
                <w:sz w:val="20"/>
                <w:szCs w:val="20"/>
              </w:rPr>
            </w:pPr>
            <w:r w:rsidRPr="00B3666F">
              <w:rPr>
                <w:sz w:val="20"/>
                <w:szCs w:val="20"/>
              </w:rPr>
              <w:t xml:space="preserve">   Money </w:t>
            </w:r>
            <w:proofErr w:type="spellStart"/>
            <w:r w:rsidRPr="00B3666F">
              <w:rPr>
                <w:sz w:val="20"/>
                <w:szCs w:val="20"/>
              </w:rPr>
              <w:t>Orders</w:t>
            </w:r>
            <w:proofErr w:type="spellEnd"/>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529.70</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510.92</w:t>
            </w:r>
          </w:p>
        </w:tc>
        <w:tc>
          <w:tcPr>
            <w:tcW w:w="1248"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514.79</w:t>
            </w:r>
          </w:p>
        </w:tc>
        <w:tc>
          <w:tcPr>
            <w:tcW w:w="1243"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543.69</w:t>
            </w:r>
          </w:p>
        </w:tc>
        <w:tc>
          <w:tcPr>
            <w:tcW w:w="1251"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512.29</w:t>
            </w:r>
          </w:p>
        </w:tc>
      </w:tr>
      <w:tr w:rsidR="00B3666F" w:rsidRPr="00B3666F" w:rsidTr="00E4484F">
        <w:trPr>
          <w:jc w:val="center"/>
        </w:trPr>
        <w:tc>
          <w:tcPr>
            <w:tcW w:w="2670" w:type="dxa"/>
            <w:tcBorders>
              <w:top w:val="nil"/>
              <w:left w:val="single" w:sz="4" w:space="0" w:color="auto"/>
              <w:bottom w:val="nil"/>
              <w:right w:val="single" w:sz="4" w:space="0" w:color="auto"/>
            </w:tcBorders>
          </w:tcPr>
          <w:p w:rsidR="00B3666F" w:rsidRPr="00B3666F" w:rsidRDefault="00B3666F" w:rsidP="00B3666F">
            <w:pPr>
              <w:rPr>
                <w:sz w:val="20"/>
                <w:szCs w:val="20"/>
              </w:rPr>
            </w:pPr>
            <w:r w:rsidRPr="00B3666F">
              <w:rPr>
                <w:sz w:val="20"/>
                <w:szCs w:val="20"/>
              </w:rPr>
              <w:t xml:space="preserve">   Cheques Personales</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0.00</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0.00</w:t>
            </w:r>
          </w:p>
        </w:tc>
        <w:tc>
          <w:tcPr>
            <w:tcW w:w="1248"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0.00</w:t>
            </w:r>
          </w:p>
        </w:tc>
        <w:tc>
          <w:tcPr>
            <w:tcW w:w="1243"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0.00</w:t>
            </w:r>
          </w:p>
        </w:tc>
        <w:tc>
          <w:tcPr>
            <w:tcW w:w="1251"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0.00</w:t>
            </w:r>
          </w:p>
        </w:tc>
      </w:tr>
      <w:tr w:rsidR="00B3666F" w:rsidRPr="00B3666F" w:rsidTr="00E4484F">
        <w:trPr>
          <w:jc w:val="center"/>
        </w:trPr>
        <w:tc>
          <w:tcPr>
            <w:tcW w:w="2670" w:type="dxa"/>
            <w:tcBorders>
              <w:top w:val="nil"/>
              <w:left w:val="single" w:sz="4" w:space="0" w:color="auto"/>
              <w:bottom w:val="nil"/>
              <w:right w:val="single" w:sz="4" w:space="0" w:color="auto"/>
            </w:tcBorders>
          </w:tcPr>
          <w:p w:rsidR="00B3666F" w:rsidRPr="00B3666F" w:rsidRDefault="00B3666F" w:rsidP="00B3666F">
            <w:pPr>
              <w:rPr>
                <w:sz w:val="20"/>
                <w:szCs w:val="20"/>
              </w:rPr>
            </w:pPr>
            <w:r w:rsidRPr="00B3666F">
              <w:rPr>
                <w:sz w:val="20"/>
                <w:szCs w:val="20"/>
              </w:rPr>
              <w:t xml:space="preserve">   Transferencias Electrónicas</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277.26</w:t>
            </w:r>
          </w:p>
        </w:tc>
        <w:tc>
          <w:tcPr>
            <w:tcW w:w="1247"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286.96</w:t>
            </w:r>
          </w:p>
        </w:tc>
        <w:tc>
          <w:tcPr>
            <w:tcW w:w="1248"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283.35</w:t>
            </w:r>
          </w:p>
        </w:tc>
        <w:tc>
          <w:tcPr>
            <w:tcW w:w="1243"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296.88</w:t>
            </w:r>
          </w:p>
        </w:tc>
        <w:tc>
          <w:tcPr>
            <w:tcW w:w="1251" w:type="dxa"/>
            <w:tcBorders>
              <w:top w:val="nil"/>
              <w:left w:val="single" w:sz="4" w:space="0" w:color="auto"/>
              <w:bottom w:val="nil"/>
              <w:right w:val="single" w:sz="4" w:space="0" w:color="auto"/>
            </w:tcBorders>
          </w:tcPr>
          <w:p w:rsidR="00B3666F" w:rsidRPr="00B3666F" w:rsidRDefault="00B3666F" w:rsidP="00B3666F">
            <w:pPr>
              <w:ind w:right="170"/>
              <w:jc w:val="right"/>
              <w:rPr>
                <w:sz w:val="20"/>
                <w:szCs w:val="20"/>
              </w:rPr>
            </w:pPr>
            <w:r w:rsidRPr="00B3666F">
              <w:rPr>
                <w:sz w:val="20"/>
                <w:szCs w:val="20"/>
              </w:rPr>
              <w:t>274.38</w:t>
            </w:r>
          </w:p>
        </w:tc>
      </w:tr>
      <w:tr w:rsidR="00B3666F" w:rsidRPr="00B3666F" w:rsidTr="00E4484F">
        <w:trPr>
          <w:jc w:val="center"/>
        </w:trPr>
        <w:tc>
          <w:tcPr>
            <w:tcW w:w="2670" w:type="dxa"/>
            <w:tcBorders>
              <w:top w:val="nil"/>
              <w:left w:val="single" w:sz="4" w:space="0" w:color="auto"/>
              <w:bottom w:val="single" w:sz="4" w:space="0" w:color="auto"/>
              <w:right w:val="single" w:sz="4" w:space="0" w:color="auto"/>
            </w:tcBorders>
          </w:tcPr>
          <w:p w:rsidR="00B3666F" w:rsidRPr="00B3666F" w:rsidRDefault="00B3666F" w:rsidP="00B3666F">
            <w:pPr>
              <w:rPr>
                <w:sz w:val="20"/>
                <w:szCs w:val="20"/>
              </w:rPr>
            </w:pPr>
            <w:r w:rsidRPr="00B3666F">
              <w:rPr>
                <w:sz w:val="20"/>
                <w:szCs w:val="20"/>
              </w:rPr>
              <w:t xml:space="preserve">   Efectivo y Especie</w:t>
            </w:r>
          </w:p>
        </w:tc>
        <w:tc>
          <w:tcPr>
            <w:tcW w:w="1247" w:type="dxa"/>
            <w:tcBorders>
              <w:top w:val="nil"/>
              <w:left w:val="single" w:sz="4" w:space="0" w:color="auto"/>
              <w:bottom w:val="single" w:sz="4" w:space="0" w:color="auto"/>
              <w:right w:val="single" w:sz="4" w:space="0" w:color="auto"/>
            </w:tcBorders>
          </w:tcPr>
          <w:p w:rsidR="00B3666F" w:rsidRPr="00B3666F" w:rsidRDefault="00B3666F" w:rsidP="00B3666F">
            <w:pPr>
              <w:ind w:right="170"/>
              <w:jc w:val="right"/>
              <w:rPr>
                <w:sz w:val="20"/>
                <w:szCs w:val="20"/>
              </w:rPr>
            </w:pPr>
            <w:r w:rsidRPr="00B3666F">
              <w:rPr>
                <w:sz w:val="20"/>
                <w:szCs w:val="20"/>
              </w:rPr>
              <w:t>374.30</w:t>
            </w:r>
          </w:p>
        </w:tc>
        <w:tc>
          <w:tcPr>
            <w:tcW w:w="1247" w:type="dxa"/>
            <w:tcBorders>
              <w:top w:val="nil"/>
              <w:left w:val="single" w:sz="4" w:space="0" w:color="auto"/>
              <w:bottom w:val="single" w:sz="4" w:space="0" w:color="auto"/>
              <w:right w:val="single" w:sz="4" w:space="0" w:color="auto"/>
            </w:tcBorders>
          </w:tcPr>
          <w:p w:rsidR="00B3666F" w:rsidRPr="00B3666F" w:rsidRDefault="00B3666F" w:rsidP="00B3666F">
            <w:pPr>
              <w:ind w:right="170"/>
              <w:jc w:val="right"/>
              <w:rPr>
                <w:sz w:val="20"/>
                <w:szCs w:val="20"/>
              </w:rPr>
            </w:pPr>
            <w:r w:rsidRPr="00B3666F">
              <w:rPr>
                <w:sz w:val="20"/>
                <w:szCs w:val="20"/>
              </w:rPr>
              <w:t>449.09</w:t>
            </w:r>
          </w:p>
        </w:tc>
        <w:tc>
          <w:tcPr>
            <w:tcW w:w="1248" w:type="dxa"/>
            <w:tcBorders>
              <w:top w:val="nil"/>
              <w:left w:val="single" w:sz="4" w:space="0" w:color="auto"/>
              <w:bottom w:val="single" w:sz="4" w:space="0" w:color="auto"/>
              <w:right w:val="single" w:sz="4" w:space="0" w:color="auto"/>
            </w:tcBorders>
          </w:tcPr>
          <w:p w:rsidR="00B3666F" w:rsidRPr="00B3666F" w:rsidRDefault="00B3666F" w:rsidP="00B3666F">
            <w:pPr>
              <w:ind w:right="170"/>
              <w:jc w:val="right"/>
              <w:rPr>
                <w:sz w:val="20"/>
                <w:szCs w:val="20"/>
              </w:rPr>
            </w:pPr>
            <w:r w:rsidRPr="00B3666F">
              <w:rPr>
                <w:sz w:val="20"/>
                <w:szCs w:val="20"/>
              </w:rPr>
              <w:t>397.24</w:t>
            </w:r>
          </w:p>
        </w:tc>
        <w:tc>
          <w:tcPr>
            <w:tcW w:w="1243" w:type="dxa"/>
            <w:tcBorders>
              <w:top w:val="nil"/>
              <w:left w:val="single" w:sz="4" w:space="0" w:color="auto"/>
              <w:bottom w:val="single" w:sz="4" w:space="0" w:color="auto"/>
              <w:right w:val="single" w:sz="4" w:space="0" w:color="auto"/>
            </w:tcBorders>
          </w:tcPr>
          <w:p w:rsidR="00B3666F" w:rsidRPr="00B3666F" w:rsidRDefault="00B3666F" w:rsidP="00B3666F">
            <w:pPr>
              <w:ind w:right="170"/>
              <w:jc w:val="right"/>
              <w:rPr>
                <w:sz w:val="20"/>
                <w:szCs w:val="20"/>
              </w:rPr>
            </w:pPr>
            <w:r w:rsidRPr="00B3666F">
              <w:rPr>
                <w:sz w:val="20"/>
                <w:szCs w:val="20"/>
              </w:rPr>
              <w:t>435.23</w:t>
            </w:r>
          </w:p>
        </w:tc>
        <w:tc>
          <w:tcPr>
            <w:tcW w:w="1251" w:type="dxa"/>
            <w:tcBorders>
              <w:top w:val="nil"/>
              <w:left w:val="single" w:sz="4" w:space="0" w:color="auto"/>
              <w:bottom w:val="single" w:sz="4" w:space="0" w:color="auto"/>
              <w:right w:val="single" w:sz="4" w:space="0" w:color="auto"/>
            </w:tcBorders>
          </w:tcPr>
          <w:p w:rsidR="00B3666F" w:rsidRPr="00B3666F" w:rsidRDefault="00B3666F" w:rsidP="00B3666F">
            <w:pPr>
              <w:ind w:right="170"/>
              <w:jc w:val="right"/>
              <w:rPr>
                <w:sz w:val="20"/>
                <w:szCs w:val="20"/>
              </w:rPr>
            </w:pPr>
            <w:r w:rsidRPr="00B3666F">
              <w:rPr>
                <w:sz w:val="20"/>
                <w:szCs w:val="20"/>
              </w:rPr>
              <w:t>472.72</w:t>
            </w:r>
          </w:p>
        </w:tc>
      </w:tr>
      <w:tr w:rsidR="00B3666F" w:rsidRPr="00B3666F" w:rsidTr="00E4484F">
        <w:trPr>
          <w:jc w:val="center"/>
        </w:trPr>
        <w:tc>
          <w:tcPr>
            <w:tcW w:w="8906" w:type="dxa"/>
            <w:gridSpan w:val="6"/>
            <w:tcBorders>
              <w:top w:val="single" w:sz="4" w:space="0" w:color="auto"/>
              <w:left w:val="nil"/>
              <w:bottom w:val="nil"/>
              <w:right w:val="nil"/>
            </w:tcBorders>
          </w:tcPr>
          <w:p w:rsidR="00B3666F" w:rsidRPr="00B3666F" w:rsidRDefault="00B3666F" w:rsidP="00B3666F">
            <w:pPr>
              <w:ind w:left="567" w:right="284" w:hanging="567"/>
              <w:jc w:val="both"/>
              <w:rPr>
                <w:sz w:val="20"/>
                <w:szCs w:val="20"/>
              </w:rPr>
            </w:pPr>
            <w:r w:rsidRPr="00B3666F">
              <w:rPr>
                <w:sz w:val="20"/>
                <w:szCs w:val="20"/>
              </w:rPr>
              <w:t>Nota: Las cifras de remesas familiares tienen el carácter de preliminar y están sujetas a revisiones posteriores.</w:t>
            </w:r>
          </w:p>
          <w:p w:rsidR="00B3666F" w:rsidRPr="00B3666F" w:rsidRDefault="00B3666F" w:rsidP="00B3666F">
            <w:pPr>
              <w:ind w:right="284"/>
              <w:jc w:val="both"/>
              <w:rPr>
                <w:sz w:val="20"/>
                <w:szCs w:val="20"/>
              </w:rPr>
            </w:pPr>
            <w:r w:rsidRPr="00B3666F">
              <w:rPr>
                <w:sz w:val="20"/>
                <w:szCs w:val="20"/>
              </w:rPr>
              <w:t>FUENTE: Banco de México.</w:t>
            </w:r>
          </w:p>
        </w:tc>
      </w:tr>
    </w:tbl>
    <w:p w:rsidR="00B3666F" w:rsidRPr="00B3666F" w:rsidRDefault="00B3666F" w:rsidP="00B3666F">
      <w:pPr>
        <w:spacing w:line="360" w:lineRule="auto"/>
        <w:ind w:right="-159"/>
        <w:rPr>
          <w:sz w:val="26"/>
          <w:szCs w:val="26"/>
        </w:rPr>
      </w:pPr>
    </w:p>
    <w:p w:rsidR="00B3666F" w:rsidRPr="00B3666F" w:rsidRDefault="00B3666F" w:rsidP="00B3666F">
      <w:pPr>
        <w:ind w:right="-159"/>
        <w:jc w:val="both"/>
        <w:rPr>
          <w:rFonts w:eastAsia="Times New Roman"/>
          <w:b/>
          <w:sz w:val="20"/>
          <w:szCs w:val="20"/>
        </w:rPr>
      </w:pPr>
      <w:r w:rsidRPr="00B3666F">
        <w:rPr>
          <w:rFonts w:eastAsia="Times New Roman"/>
          <w:b/>
          <w:sz w:val="20"/>
          <w:szCs w:val="20"/>
        </w:rPr>
        <w:t>Fuente de información:</w:t>
      </w:r>
    </w:p>
    <w:p w:rsidR="00B3666F" w:rsidRPr="002753B3" w:rsidRDefault="004638E5" w:rsidP="00B3666F">
      <w:pPr>
        <w:ind w:right="-159"/>
        <w:jc w:val="both"/>
        <w:rPr>
          <w:rFonts w:eastAsia="Times New Roman"/>
          <w:color w:val="0000FF"/>
          <w:sz w:val="20"/>
          <w:szCs w:val="20"/>
        </w:rPr>
      </w:pPr>
      <w:hyperlink r:id="rId81" w:history="1">
        <w:r w:rsidR="00B3666F" w:rsidRPr="002753B3">
          <w:rPr>
            <w:rFonts w:eastAsia="Times New Roman"/>
            <w:color w:val="0000FF"/>
            <w:sz w:val="20"/>
            <w:szCs w:val="20"/>
            <w:u w:val="single"/>
          </w:rPr>
          <w:t>http://www.banxico.org.mx/SieInternet/consultarDirectorioInternetAction.do?accion=consultarCuadroAnalitico&amp;idCuadro=CA11&amp;sector=1&amp;locale=es</w:t>
        </w:r>
      </w:hyperlink>
    </w:p>
    <w:p w:rsidR="00B3666F" w:rsidRPr="002753B3" w:rsidRDefault="004638E5" w:rsidP="00B3666F">
      <w:pPr>
        <w:ind w:right="-159"/>
        <w:jc w:val="both"/>
        <w:rPr>
          <w:rFonts w:eastAsia="Times New Roman"/>
          <w:color w:val="0000FF"/>
          <w:sz w:val="20"/>
          <w:szCs w:val="20"/>
          <w:u w:val="single"/>
        </w:rPr>
      </w:pPr>
      <w:hyperlink r:id="rId82" w:history="1">
        <w:r w:rsidR="00B3666F" w:rsidRPr="002753B3">
          <w:rPr>
            <w:rFonts w:eastAsia="Times New Roman"/>
            <w:color w:val="0000FF"/>
            <w:sz w:val="20"/>
            <w:szCs w:val="20"/>
            <w:u w:val="single"/>
          </w:rPr>
          <w:t>http://www.banxico.org.mx/SieInternet/consultarDirectorioInternetAction.do?accion=consultarCuadro&amp;idCuadro=CE81&amp;sector=1&amp;locale=es</w:t>
        </w:r>
      </w:hyperlink>
    </w:p>
    <w:p w:rsidR="00F1668A" w:rsidRPr="00F1668A" w:rsidRDefault="00F1668A" w:rsidP="00F1668A">
      <w:pPr>
        <w:ind w:right="-159"/>
        <w:jc w:val="both"/>
        <w:rPr>
          <w:rFonts w:eastAsia="Calibri"/>
          <w:b/>
          <w:sz w:val="26"/>
          <w:szCs w:val="26"/>
          <w:lang w:eastAsia="en-US"/>
        </w:rPr>
      </w:pPr>
      <w:r w:rsidRPr="00F1668A">
        <w:rPr>
          <w:rFonts w:eastAsia="Calibri"/>
          <w:b/>
          <w:sz w:val="26"/>
          <w:szCs w:val="26"/>
          <w:lang w:eastAsia="en-US"/>
        </w:rPr>
        <w:lastRenderedPageBreak/>
        <w:t>Caen remesas en enero (0.7%) tras 17 meses</w:t>
      </w:r>
    </w:p>
    <w:p w:rsidR="00F1668A" w:rsidRPr="00F1668A" w:rsidRDefault="00F1668A" w:rsidP="00F1668A">
      <w:pPr>
        <w:spacing w:after="360" w:line="360" w:lineRule="auto"/>
        <w:ind w:right="-159"/>
        <w:jc w:val="both"/>
        <w:rPr>
          <w:rFonts w:eastAsia="Calibri"/>
          <w:b/>
          <w:sz w:val="26"/>
          <w:szCs w:val="26"/>
          <w:lang w:eastAsia="en-US"/>
        </w:rPr>
      </w:pPr>
      <w:r w:rsidRPr="00F1668A">
        <w:rPr>
          <w:rFonts w:eastAsia="Calibri"/>
          <w:b/>
          <w:sz w:val="26"/>
          <w:szCs w:val="26"/>
          <w:lang w:eastAsia="en-US"/>
        </w:rPr>
        <w:t xml:space="preserve">Consecutivos   a   la   alza   (BBVA </w:t>
      </w:r>
      <w:proofErr w:type="spellStart"/>
      <w:r w:rsidRPr="00F1668A">
        <w:rPr>
          <w:rFonts w:eastAsia="Calibri"/>
          <w:b/>
          <w:sz w:val="26"/>
          <w:szCs w:val="26"/>
          <w:lang w:eastAsia="en-US"/>
        </w:rPr>
        <w:t>Research</w:t>
      </w:r>
      <w:proofErr w:type="spellEnd"/>
      <w:r w:rsidRPr="00F1668A">
        <w:rPr>
          <w:rFonts w:eastAsia="Calibri"/>
          <w:b/>
          <w:sz w:val="26"/>
          <w:szCs w:val="26"/>
          <w:lang w:eastAsia="en-US"/>
        </w:rPr>
        <w:t>)</w:t>
      </w:r>
    </w:p>
    <w:p w:rsidR="00F1668A" w:rsidRPr="00F1668A" w:rsidRDefault="00F1668A" w:rsidP="00F1668A">
      <w:pPr>
        <w:spacing w:after="360" w:line="360" w:lineRule="auto"/>
        <w:ind w:right="-159"/>
        <w:jc w:val="both"/>
        <w:rPr>
          <w:rFonts w:eastAsia="Calibri"/>
          <w:sz w:val="26"/>
          <w:szCs w:val="26"/>
          <w:lang w:eastAsia="en-US"/>
        </w:rPr>
      </w:pPr>
      <w:r w:rsidRPr="00F1668A">
        <w:rPr>
          <w:rFonts w:eastAsia="Calibri"/>
          <w:sz w:val="26"/>
          <w:szCs w:val="26"/>
          <w:lang w:eastAsia="en-US"/>
        </w:rPr>
        <w:t>El 2 de marzo de 2015, la sección de Análisis Económico publicó el Flash Migración México, en el que señala que caen remesas en enero (0.7%) tras 17 meses consecutivos a la alza. A continuación se presenta la información.</w:t>
      </w:r>
    </w:p>
    <w:p w:rsidR="00F1668A" w:rsidRPr="00F1668A" w:rsidRDefault="00F1668A" w:rsidP="00F1668A">
      <w:pPr>
        <w:spacing w:after="360" w:line="360" w:lineRule="auto"/>
        <w:ind w:right="-159"/>
        <w:jc w:val="both"/>
        <w:rPr>
          <w:rFonts w:eastAsia="Calibri"/>
          <w:sz w:val="26"/>
          <w:szCs w:val="26"/>
          <w:lang w:eastAsia="en-US"/>
        </w:rPr>
      </w:pPr>
      <w:r w:rsidRPr="00F1668A">
        <w:rPr>
          <w:rFonts w:eastAsia="Calibri"/>
          <w:sz w:val="26"/>
          <w:szCs w:val="26"/>
          <w:lang w:eastAsia="en-US"/>
        </w:rPr>
        <w:t>El Banco de México (Banxico) anunció que durante el pasado mes de enero de 2015 ingresó a México la cantidad de 1 mil 630.7 m</w:t>
      </w:r>
      <w:r w:rsidR="007B7E95">
        <w:rPr>
          <w:rFonts w:eastAsia="Calibri"/>
          <w:sz w:val="26"/>
          <w:szCs w:val="26"/>
          <w:lang w:eastAsia="en-US"/>
        </w:rPr>
        <w:t>illones de dólares</w:t>
      </w:r>
      <w:r w:rsidRPr="00F1668A">
        <w:rPr>
          <w:rFonts w:eastAsia="Calibri"/>
          <w:sz w:val="26"/>
          <w:szCs w:val="26"/>
          <w:lang w:eastAsia="en-US"/>
        </w:rPr>
        <w:t xml:space="preserve"> por concepto de remesas, 0.7% menor en comparación al mismo mes de 2014. Así, las remesas a México rompieron una racha de 17 meses consecutivos de crecimientos a tasa anual desde el pasado mes de agosto de 2013. A pesar de que el número de operaciones se incrementó hasta alcanzar 5.8 millones (3.4% anual), la disminución en el fuljo de remesas de enero se asocia principalmente a la caída de la remesa promedio que se ubicó en 279.2 dólares (-4.0% anual).</w:t>
      </w:r>
    </w:p>
    <w:tbl>
      <w:tblPr>
        <w:tblStyle w:val="Tablaconcuadrcula"/>
        <w:tblW w:w="1033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53"/>
      </w:tblGrid>
      <w:tr w:rsidR="00F1668A" w:rsidRPr="00F1668A" w:rsidTr="00F0445D">
        <w:trPr>
          <w:jc w:val="center"/>
        </w:trPr>
        <w:tc>
          <w:tcPr>
            <w:tcW w:w="10334" w:type="dxa"/>
          </w:tcPr>
          <w:p w:rsidR="00F1668A" w:rsidRPr="00F1668A" w:rsidRDefault="00F1668A" w:rsidP="007B7E95">
            <w:pPr>
              <w:jc w:val="center"/>
              <w:rPr>
                <w:rFonts w:eastAsia="Calibri"/>
                <w:b/>
                <w:sz w:val="22"/>
                <w:szCs w:val="26"/>
                <w:lang w:val="es-ES" w:eastAsia="en-US"/>
              </w:rPr>
            </w:pPr>
            <w:r w:rsidRPr="00F1668A">
              <w:rPr>
                <w:rFonts w:eastAsia="Calibri"/>
                <w:b/>
                <w:sz w:val="22"/>
                <w:szCs w:val="26"/>
                <w:lang w:val="es-ES" w:eastAsia="en-US"/>
              </w:rPr>
              <w:t>REMESAS FAMILIARES A MÉXICO</w:t>
            </w:r>
          </w:p>
          <w:p w:rsidR="00F1668A" w:rsidRPr="00F1668A" w:rsidRDefault="00F1668A" w:rsidP="007B7E95">
            <w:pPr>
              <w:jc w:val="center"/>
              <w:rPr>
                <w:rFonts w:eastAsia="Calibri"/>
                <w:b/>
                <w:sz w:val="22"/>
                <w:szCs w:val="26"/>
                <w:lang w:val="es-ES" w:eastAsia="en-US"/>
              </w:rPr>
            </w:pPr>
            <w:r w:rsidRPr="00F1668A">
              <w:rPr>
                <w:rFonts w:eastAsia="Calibri"/>
                <w:b/>
                <w:sz w:val="22"/>
                <w:szCs w:val="26"/>
                <w:lang w:val="es-ES" w:eastAsia="en-US"/>
              </w:rPr>
              <w:t>-Variación porcentual anual en dólares-</w:t>
            </w:r>
          </w:p>
        </w:tc>
      </w:tr>
      <w:tr w:rsidR="00F1668A" w:rsidRPr="00F1668A" w:rsidTr="00F0445D">
        <w:trPr>
          <w:jc w:val="center"/>
        </w:trPr>
        <w:tc>
          <w:tcPr>
            <w:tcW w:w="10334" w:type="dxa"/>
          </w:tcPr>
          <w:p w:rsidR="00F1668A" w:rsidRPr="00F1668A" w:rsidRDefault="007678D4" w:rsidP="007B7E95">
            <w:pPr>
              <w:jc w:val="center"/>
              <w:rPr>
                <w:rFonts w:eastAsia="Calibri"/>
                <w:sz w:val="22"/>
                <w:szCs w:val="26"/>
                <w:lang w:val="es-ES" w:eastAsia="en-US"/>
              </w:rPr>
            </w:pPr>
            <w:r w:rsidRPr="0015384D">
              <w:rPr>
                <w:noProof/>
                <w:szCs w:val="26"/>
                <w:lang w:eastAsia="es-MX"/>
              </w:rPr>
              <w:drawing>
                <wp:inline distT="0" distB="0" distL="0" distR="0" wp14:anchorId="450F9D4F" wp14:editId="0312BAAB">
                  <wp:extent cx="6881549" cy="1800000"/>
                  <wp:effectExtent l="0" t="0" r="0" b="0"/>
                  <wp:docPr id="1493" name="Imagen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t="1795" b="1775"/>
                          <a:stretch/>
                        </pic:blipFill>
                        <pic:spPr bwMode="auto">
                          <a:xfrm>
                            <a:off x="0" y="0"/>
                            <a:ext cx="6881549" cy="18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1668A" w:rsidRPr="00F1668A" w:rsidTr="00F0445D">
        <w:trPr>
          <w:jc w:val="center"/>
        </w:trPr>
        <w:tc>
          <w:tcPr>
            <w:tcW w:w="10334" w:type="dxa"/>
          </w:tcPr>
          <w:p w:rsidR="00F1668A" w:rsidRPr="00F1668A" w:rsidRDefault="00F1668A" w:rsidP="007B7E95">
            <w:pPr>
              <w:tabs>
                <w:tab w:val="left" w:pos="2396"/>
              </w:tabs>
              <w:ind w:firstLine="318"/>
              <w:jc w:val="both"/>
              <w:rPr>
                <w:rFonts w:eastAsia="Calibri"/>
                <w:sz w:val="20"/>
                <w:szCs w:val="26"/>
                <w:lang w:val="es-ES" w:eastAsia="en-US"/>
              </w:rPr>
            </w:pPr>
            <w:r w:rsidRPr="00F1668A">
              <w:rPr>
                <w:rFonts w:eastAsia="Calibri"/>
                <w:sz w:val="20"/>
                <w:szCs w:val="26"/>
                <w:lang w:val="es-ES" w:eastAsia="en-US"/>
              </w:rPr>
              <w:t xml:space="preserve">FUENTE: BBVA </w:t>
            </w:r>
            <w:proofErr w:type="spellStart"/>
            <w:r w:rsidRPr="00F1668A">
              <w:rPr>
                <w:rFonts w:eastAsia="Calibri"/>
                <w:sz w:val="20"/>
                <w:szCs w:val="26"/>
                <w:lang w:val="es-ES" w:eastAsia="en-US"/>
              </w:rPr>
              <w:t>Research</w:t>
            </w:r>
            <w:proofErr w:type="spellEnd"/>
            <w:r w:rsidRPr="00F1668A">
              <w:rPr>
                <w:rFonts w:eastAsia="Calibri"/>
                <w:sz w:val="20"/>
                <w:szCs w:val="26"/>
                <w:lang w:val="es-ES" w:eastAsia="en-US"/>
              </w:rPr>
              <w:t xml:space="preserve"> con cifras de Banxico.</w:t>
            </w:r>
          </w:p>
        </w:tc>
      </w:tr>
    </w:tbl>
    <w:p w:rsidR="00F1668A" w:rsidRPr="00F1668A" w:rsidRDefault="00F1668A" w:rsidP="00F1668A">
      <w:pPr>
        <w:spacing w:after="360" w:line="360" w:lineRule="auto"/>
        <w:ind w:right="-159"/>
        <w:jc w:val="both"/>
        <w:rPr>
          <w:rFonts w:eastAsia="Calibri"/>
          <w:sz w:val="26"/>
          <w:szCs w:val="26"/>
          <w:lang w:eastAsia="en-US"/>
        </w:rPr>
      </w:pPr>
    </w:p>
    <w:p w:rsidR="00F1668A" w:rsidRPr="00F1668A" w:rsidRDefault="00F1668A" w:rsidP="00F1668A">
      <w:pPr>
        <w:spacing w:after="360" w:line="360" w:lineRule="auto"/>
        <w:ind w:right="-159"/>
        <w:jc w:val="both"/>
        <w:rPr>
          <w:rFonts w:eastAsia="Calibri"/>
          <w:sz w:val="26"/>
          <w:szCs w:val="26"/>
          <w:lang w:eastAsia="en-US"/>
        </w:rPr>
      </w:pPr>
      <w:r w:rsidRPr="00F1668A">
        <w:rPr>
          <w:rFonts w:eastAsia="Calibri"/>
          <w:sz w:val="26"/>
          <w:szCs w:val="26"/>
          <w:lang w:eastAsia="en-US"/>
        </w:rPr>
        <w:t xml:space="preserve">Durante 2014 se observó una recuperación paulatina del empleo en Estados Unidos de Norteamérica que cerró el año con una tasa de desempleo de 5.6% ajustada estacionalmente en diciembre de 2014. Datos del </w:t>
      </w:r>
      <w:r w:rsidRPr="00F1668A">
        <w:rPr>
          <w:rFonts w:eastAsia="Calibri"/>
          <w:i/>
          <w:sz w:val="26"/>
          <w:szCs w:val="26"/>
          <w:lang w:eastAsia="en-US"/>
        </w:rPr>
        <w:t xml:space="preserve">Bureau of Labor </w:t>
      </w:r>
      <w:proofErr w:type="spellStart"/>
      <w:r w:rsidRPr="00F1668A">
        <w:rPr>
          <w:rFonts w:eastAsia="Calibri"/>
          <w:i/>
          <w:sz w:val="26"/>
          <w:szCs w:val="26"/>
          <w:lang w:eastAsia="en-US"/>
        </w:rPr>
        <w:t>Statistics</w:t>
      </w:r>
      <w:proofErr w:type="spellEnd"/>
      <w:r w:rsidRPr="00F1668A">
        <w:rPr>
          <w:rFonts w:eastAsia="Calibri"/>
          <w:sz w:val="26"/>
          <w:szCs w:val="26"/>
          <w:lang w:eastAsia="en-US"/>
        </w:rPr>
        <w:t xml:space="preserve"> confirman un repunte en el empleo al inicio de 2015 con una tasa de desempleo de 5.7% ajustada </w:t>
      </w:r>
      <w:r w:rsidRPr="00F1668A">
        <w:rPr>
          <w:rFonts w:eastAsia="Calibri"/>
          <w:sz w:val="26"/>
          <w:szCs w:val="26"/>
          <w:lang w:eastAsia="en-US"/>
        </w:rPr>
        <w:lastRenderedPageBreak/>
        <w:t>estacionalmente en enero de este año, siendo casi un punto porcentual menor a la registrada en el mismo mes de 2014. Debido principalmente a la recuperación del empleo de los migrantes mexicanos en Estados Unidos de Norteamérica las remesas en 2014 aumentaron significativamente hasta alcanzar 23 mil 645 md, creciendo a una tasa anual de 8.0% con respecto a 2013. Sin embargo, el incremento atípico mostrado en el flujo de remesas en diciembre de 2014 que alcanzó 2 mil 234.6 md, creciendo a una tasa de 20.8% con respecto al mismo mes de 2013, pudo haber mermado el inicio de 2015, dado que es posible que se haya aprovechado el fuerte incremento en el tipo de cambio pesos dólar en ese mes y que se hayan adelantado envíos de recursos, lo que podría explicar la caída en el flujo de remesas a 1 mil 630.7 md registrado en el mes de enero.</w:t>
      </w:r>
    </w:p>
    <w:p w:rsidR="00F1668A" w:rsidRPr="00F1668A" w:rsidRDefault="00F1668A" w:rsidP="00F1668A">
      <w:pPr>
        <w:spacing w:after="360" w:line="360" w:lineRule="auto"/>
        <w:ind w:right="-159"/>
        <w:jc w:val="both"/>
        <w:rPr>
          <w:rFonts w:eastAsia="Calibri"/>
          <w:sz w:val="26"/>
          <w:szCs w:val="26"/>
          <w:lang w:eastAsia="en-US"/>
        </w:rPr>
      </w:pPr>
      <w:r w:rsidRPr="00F1668A">
        <w:rPr>
          <w:rFonts w:eastAsia="Calibri"/>
          <w:sz w:val="26"/>
          <w:szCs w:val="26"/>
          <w:lang w:eastAsia="en-US"/>
        </w:rPr>
        <w:t>A pesar del retroceso en el flujo de remesas hacia México, en términos reales transformado en pesos se observa un incremento de 7.1% a tasa anual en enero de 2015, favorecido principalmente por la depreciación del tipo de cambio pesos por dólar.</w:t>
      </w:r>
    </w:p>
    <w:p w:rsidR="00F1668A" w:rsidRPr="00F1668A" w:rsidRDefault="00F1668A" w:rsidP="00F1668A">
      <w:pPr>
        <w:spacing w:after="360" w:line="360" w:lineRule="auto"/>
        <w:ind w:right="-159"/>
        <w:jc w:val="both"/>
        <w:rPr>
          <w:rFonts w:eastAsia="Calibri"/>
          <w:sz w:val="26"/>
          <w:szCs w:val="26"/>
          <w:lang w:eastAsia="en-US"/>
        </w:rPr>
      </w:pPr>
    </w:p>
    <w:p w:rsidR="00F1668A" w:rsidRPr="00F1668A" w:rsidRDefault="00F1668A" w:rsidP="00F1668A">
      <w:pPr>
        <w:spacing w:after="360" w:line="360" w:lineRule="auto"/>
        <w:ind w:right="-159"/>
        <w:jc w:val="both"/>
        <w:rPr>
          <w:rFonts w:eastAsia="Calibri"/>
          <w:sz w:val="26"/>
          <w:szCs w:val="26"/>
          <w:lang w:eastAsia="en-US"/>
        </w:rPr>
      </w:pPr>
    </w:p>
    <w:p w:rsidR="00F1668A" w:rsidRPr="00F1668A" w:rsidRDefault="00F1668A" w:rsidP="00F1668A">
      <w:pPr>
        <w:spacing w:after="360" w:line="360" w:lineRule="auto"/>
        <w:ind w:right="-159"/>
        <w:jc w:val="both"/>
        <w:rPr>
          <w:rFonts w:eastAsia="Calibri"/>
          <w:sz w:val="26"/>
          <w:szCs w:val="26"/>
          <w:lang w:eastAsia="en-US"/>
        </w:rPr>
      </w:pPr>
    </w:p>
    <w:p w:rsidR="00F1668A" w:rsidRDefault="00F1668A" w:rsidP="00F1668A">
      <w:pPr>
        <w:spacing w:after="360" w:line="360" w:lineRule="auto"/>
        <w:ind w:right="-159"/>
        <w:jc w:val="both"/>
        <w:rPr>
          <w:rFonts w:eastAsia="Calibri"/>
          <w:sz w:val="26"/>
          <w:szCs w:val="26"/>
          <w:lang w:eastAsia="en-US"/>
        </w:rPr>
      </w:pPr>
    </w:p>
    <w:p w:rsidR="00D46A23" w:rsidRDefault="00D46A23" w:rsidP="00F1668A">
      <w:pPr>
        <w:spacing w:after="360" w:line="360" w:lineRule="auto"/>
        <w:ind w:right="-159"/>
        <w:jc w:val="both"/>
        <w:rPr>
          <w:rFonts w:eastAsia="Calibri"/>
          <w:sz w:val="26"/>
          <w:szCs w:val="26"/>
          <w:lang w:eastAsia="en-US"/>
        </w:rPr>
      </w:pPr>
    </w:p>
    <w:p w:rsidR="00963B12" w:rsidRPr="00F1668A" w:rsidRDefault="00963B12" w:rsidP="00F1668A">
      <w:pPr>
        <w:spacing w:after="360" w:line="360" w:lineRule="auto"/>
        <w:ind w:right="-159"/>
        <w:jc w:val="both"/>
        <w:rPr>
          <w:rFonts w:eastAsia="Calibri"/>
          <w:sz w:val="26"/>
          <w:szCs w:val="26"/>
          <w:lang w:eastAsia="en-US"/>
        </w:rPr>
      </w:pPr>
    </w:p>
    <w:p w:rsidR="00F1668A" w:rsidRPr="00F1668A" w:rsidRDefault="00F1668A" w:rsidP="00F1668A">
      <w:pPr>
        <w:spacing w:after="360" w:line="360" w:lineRule="auto"/>
        <w:ind w:right="-159"/>
        <w:jc w:val="both"/>
        <w:rPr>
          <w:rFonts w:eastAsia="Calibri"/>
          <w:sz w:val="26"/>
          <w:szCs w:val="26"/>
          <w:lang w:eastAsia="en-US"/>
        </w:rPr>
      </w:pPr>
    </w:p>
    <w:p w:rsidR="00F1668A" w:rsidRPr="00F1668A" w:rsidRDefault="00F1668A" w:rsidP="00963B12">
      <w:pPr>
        <w:spacing w:after="120"/>
        <w:ind w:right="-159"/>
        <w:jc w:val="both"/>
        <w:rPr>
          <w:rFonts w:eastAsia="Calibri"/>
          <w:sz w:val="26"/>
          <w:szCs w:val="26"/>
          <w:lang w:eastAsia="en-US"/>
        </w:rPr>
      </w:pPr>
    </w:p>
    <w:tbl>
      <w:tblPr>
        <w:tblStyle w:val="Tablaconcuadrcula"/>
        <w:tblW w:w="92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F1668A" w:rsidRPr="00F1668A" w:rsidTr="00F0445D">
        <w:tc>
          <w:tcPr>
            <w:tcW w:w="9209" w:type="dxa"/>
          </w:tcPr>
          <w:p w:rsidR="00F1668A" w:rsidRPr="00F1668A" w:rsidRDefault="00F1668A" w:rsidP="00963B12">
            <w:pPr>
              <w:jc w:val="center"/>
              <w:rPr>
                <w:rFonts w:eastAsia="Calibri"/>
                <w:b/>
                <w:sz w:val="22"/>
                <w:szCs w:val="26"/>
                <w:lang w:val="es-ES" w:eastAsia="en-US"/>
              </w:rPr>
            </w:pPr>
            <w:r w:rsidRPr="00F1668A">
              <w:rPr>
                <w:rFonts w:eastAsia="Calibri"/>
                <w:b/>
                <w:sz w:val="22"/>
                <w:szCs w:val="26"/>
                <w:lang w:val="es-ES" w:eastAsia="en-US"/>
              </w:rPr>
              <w:lastRenderedPageBreak/>
              <w:t>FLUJOS ACUMULADOS EN 12 MESES DE REMESAS A MÉXICO</w:t>
            </w:r>
          </w:p>
          <w:p w:rsidR="00F1668A" w:rsidRPr="00F1668A" w:rsidRDefault="00F1668A" w:rsidP="00963B12">
            <w:pPr>
              <w:jc w:val="center"/>
              <w:rPr>
                <w:rFonts w:eastAsia="Calibri"/>
                <w:b/>
                <w:sz w:val="22"/>
                <w:szCs w:val="26"/>
                <w:lang w:val="es-ES" w:eastAsia="en-US"/>
              </w:rPr>
            </w:pPr>
            <w:r w:rsidRPr="00F1668A">
              <w:rPr>
                <w:rFonts w:eastAsia="Calibri"/>
                <w:b/>
                <w:sz w:val="22"/>
                <w:szCs w:val="26"/>
                <w:lang w:val="es-ES" w:eastAsia="en-US"/>
              </w:rPr>
              <w:t>-Millones de dólares-</w:t>
            </w:r>
          </w:p>
        </w:tc>
      </w:tr>
      <w:tr w:rsidR="00F1668A" w:rsidRPr="00F1668A" w:rsidTr="00F0445D">
        <w:tc>
          <w:tcPr>
            <w:tcW w:w="9209" w:type="dxa"/>
          </w:tcPr>
          <w:p w:rsidR="00F1668A" w:rsidRPr="00F1668A" w:rsidRDefault="00F1668A" w:rsidP="00963B12">
            <w:pPr>
              <w:jc w:val="center"/>
              <w:rPr>
                <w:rFonts w:eastAsia="Calibri"/>
                <w:sz w:val="22"/>
                <w:szCs w:val="26"/>
                <w:lang w:val="es-ES" w:eastAsia="en-US"/>
              </w:rPr>
            </w:pPr>
            <w:r w:rsidRPr="00F1668A">
              <w:rPr>
                <w:rFonts w:eastAsia="Calibri"/>
                <w:noProof/>
                <w:sz w:val="22"/>
                <w:szCs w:val="26"/>
                <w:lang w:eastAsia="es-MX"/>
              </w:rPr>
              <w:drawing>
                <wp:inline distT="0" distB="0" distL="0" distR="0" wp14:anchorId="008FD2DE" wp14:editId="28995097">
                  <wp:extent cx="4189547" cy="2880000"/>
                  <wp:effectExtent l="0" t="0" r="1905"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t="6085" b="986"/>
                          <a:stretch/>
                        </pic:blipFill>
                        <pic:spPr bwMode="auto">
                          <a:xfrm>
                            <a:off x="0" y="0"/>
                            <a:ext cx="4189547"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1668A" w:rsidRPr="00F1668A" w:rsidTr="00F0445D">
        <w:tc>
          <w:tcPr>
            <w:tcW w:w="9209" w:type="dxa"/>
          </w:tcPr>
          <w:p w:rsidR="00F1668A" w:rsidRPr="00F1668A" w:rsidRDefault="00F1668A" w:rsidP="00963B12">
            <w:pPr>
              <w:tabs>
                <w:tab w:val="left" w:pos="2396"/>
              </w:tabs>
              <w:ind w:firstLine="1593"/>
              <w:jc w:val="both"/>
              <w:rPr>
                <w:rFonts w:eastAsia="Calibri"/>
                <w:sz w:val="20"/>
                <w:szCs w:val="26"/>
                <w:lang w:val="es-ES" w:eastAsia="en-US"/>
              </w:rPr>
            </w:pPr>
            <w:r w:rsidRPr="00F1668A">
              <w:rPr>
                <w:rFonts w:eastAsia="Calibri"/>
                <w:sz w:val="20"/>
                <w:szCs w:val="26"/>
                <w:lang w:val="es-ES" w:eastAsia="en-US"/>
              </w:rPr>
              <w:t xml:space="preserve">FUENTE: BBVA </w:t>
            </w:r>
            <w:proofErr w:type="spellStart"/>
            <w:r w:rsidRPr="00F1668A">
              <w:rPr>
                <w:rFonts w:eastAsia="Calibri"/>
                <w:sz w:val="20"/>
                <w:szCs w:val="26"/>
                <w:lang w:val="es-ES" w:eastAsia="en-US"/>
              </w:rPr>
              <w:t>Research</w:t>
            </w:r>
            <w:proofErr w:type="spellEnd"/>
            <w:r w:rsidRPr="00F1668A">
              <w:rPr>
                <w:rFonts w:eastAsia="Calibri"/>
                <w:sz w:val="20"/>
                <w:szCs w:val="26"/>
                <w:lang w:val="es-ES" w:eastAsia="en-US"/>
              </w:rPr>
              <w:t xml:space="preserve"> con cifras de Banxico.</w:t>
            </w:r>
          </w:p>
        </w:tc>
      </w:tr>
    </w:tbl>
    <w:p w:rsidR="00F1668A" w:rsidRDefault="00F1668A" w:rsidP="00F1668A">
      <w:pPr>
        <w:spacing w:after="360" w:line="360" w:lineRule="auto"/>
        <w:ind w:right="-159"/>
        <w:jc w:val="both"/>
        <w:rPr>
          <w:rFonts w:eastAsia="Calibri"/>
          <w:sz w:val="26"/>
          <w:szCs w:val="26"/>
          <w:lang w:eastAsia="en-US"/>
        </w:rPr>
      </w:pPr>
    </w:p>
    <w:tbl>
      <w:tblPr>
        <w:tblStyle w:val="Tablaconcuadrcula"/>
        <w:tblW w:w="92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9"/>
      </w:tblGrid>
      <w:tr w:rsidR="00F1668A" w:rsidRPr="00F1668A" w:rsidTr="00F0445D">
        <w:tc>
          <w:tcPr>
            <w:tcW w:w="9209" w:type="dxa"/>
          </w:tcPr>
          <w:p w:rsidR="00F1668A" w:rsidRPr="00F1668A" w:rsidRDefault="00F1668A" w:rsidP="00963B12">
            <w:pPr>
              <w:jc w:val="center"/>
              <w:rPr>
                <w:rFonts w:eastAsia="Calibri"/>
                <w:b/>
                <w:sz w:val="22"/>
                <w:szCs w:val="26"/>
                <w:lang w:val="es-ES" w:eastAsia="en-US"/>
              </w:rPr>
            </w:pPr>
            <w:r w:rsidRPr="00F1668A">
              <w:rPr>
                <w:rFonts w:eastAsia="Calibri"/>
                <w:b/>
                <w:sz w:val="22"/>
                <w:szCs w:val="26"/>
                <w:lang w:val="es-ES" w:eastAsia="en-US"/>
              </w:rPr>
              <w:t>ESTADOS UNIDOS DE NORTEAMÉRICA: TASA DE DESEMPLEO NACIONAL</w:t>
            </w:r>
          </w:p>
          <w:p w:rsidR="00F1668A" w:rsidRPr="00F1668A" w:rsidRDefault="00F1668A" w:rsidP="00963B12">
            <w:pPr>
              <w:jc w:val="center"/>
              <w:rPr>
                <w:rFonts w:eastAsia="Calibri"/>
                <w:b/>
                <w:sz w:val="22"/>
                <w:szCs w:val="26"/>
                <w:lang w:val="es-ES" w:eastAsia="en-US"/>
              </w:rPr>
            </w:pPr>
            <w:r w:rsidRPr="00F1668A">
              <w:rPr>
                <w:rFonts w:eastAsia="Calibri"/>
                <w:b/>
                <w:sz w:val="22"/>
                <w:szCs w:val="26"/>
                <w:lang w:val="es-ES" w:eastAsia="en-US"/>
              </w:rPr>
              <w:t>-Porcentaje-</w:t>
            </w:r>
          </w:p>
        </w:tc>
      </w:tr>
      <w:tr w:rsidR="00F1668A" w:rsidRPr="00F1668A" w:rsidTr="00F0445D">
        <w:tc>
          <w:tcPr>
            <w:tcW w:w="9209" w:type="dxa"/>
          </w:tcPr>
          <w:p w:rsidR="00F1668A" w:rsidRPr="00F1668A" w:rsidRDefault="00F1668A" w:rsidP="00963B12">
            <w:pPr>
              <w:jc w:val="center"/>
              <w:rPr>
                <w:rFonts w:eastAsia="Calibri"/>
                <w:sz w:val="22"/>
                <w:szCs w:val="26"/>
                <w:lang w:val="es-ES" w:eastAsia="en-US"/>
              </w:rPr>
            </w:pPr>
            <w:r w:rsidRPr="00F1668A">
              <w:rPr>
                <w:rFonts w:eastAsia="Calibri"/>
                <w:noProof/>
                <w:sz w:val="22"/>
                <w:szCs w:val="26"/>
                <w:lang w:eastAsia="es-MX"/>
              </w:rPr>
              <w:drawing>
                <wp:inline distT="0" distB="0" distL="0" distR="0" wp14:anchorId="1CB57556" wp14:editId="78632BAF">
                  <wp:extent cx="4652497" cy="2700000"/>
                  <wp:effectExtent l="0" t="0" r="0" b="571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6214" b="1157"/>
                          <a:stretch/>
                        </pic:blipFill>
                        <pic:spPr bwMode="auto">
                          <a:xfrm>
                            <a:off x="0" y="0"/>
                            <a:ext cx="4652497"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1668A" w:rsidRPr="00F1668A" w:rsidTr="00F0445D">
        <w:tc>
          <w:tcPr>
            <w:tcW w:w="9209" w:type="dxa"/>
          </w:tcPr>
          <w:p w:rsidR="00F1668A" w:rsidRPr="00F1668A" w:rsidRDefault="00F1668A" w:rsidP="00963B12">
            <w:pPr>
              <w:tabs>
                <w:tab w:val="left" w:pos="2396"/>
              </w:tabs>
              <w:ind w:firstLine="1168"/>
              <w:jc w:val="both"/>
              <w:rPr>
                <w:rFonts w:eastAsia="Calibri"/>
                <w:sz w:val="20"/>
                <w:szCs w:val="26"/>
                <w:lang w:val="es-ES" w:eastAsia="en-US"/>
              </w:rPr>
            </w:pPr>
            <w:r w:rsidRPr="00F1668A">
              <w:rPr>
                <w:rFonts w:eastAsia="Calibri"/>
                <w:sz w:val="20"/>
                <w:szCs w:val="26"/>
                <w:lang w:val="es-ES" w:eastAsia="en-US"/>
              </w:rPr>
              <w:t>Nota: Ajustada estacionalmente</w:t>
            </w:r>
          </w:p>
          <w:p w:rsidR="00F1668A" w:rsidRPr="00F1668A" w:rsidRDefault="00F1668A" w:rsidP="00963B12">
            <w:pPr>
              <w:tabs>
                <w:tab w:val="left" w:pos="2396"/>
              </w:tabs>
              <w:ind w:firstLine="1168"/>
              <w:jc w:val="both"/>
              <w:rPr>
                <w:rFonts w:eastAsia="Calibri"/>
                <w:sz w:val="20"/>
                <w:szCs w:val="26"/>
                <w:lang w:val="es-ES" w:eastAsia="en-US"/>
              </w:rPr>
            </w:pPr>
            <w:r w:rsidRPr="00F1668A">
              <w:rPr>
                <w:rFonts w:eastAsia="Calibri"/>
                <w:sz w:val="20"/>
                <w:szCs w:val="26"/>
                <w:lang w:val="es-ES" w:eastAsia="en-US"/>
              </w:rPr>
              <w:t xml:space="preserve">FUENTE: BBVA </w:t>
            </w:r>
            <w:proofErr w:type="spellStart"/>
            <w:r w:rsidRPr="00F1668A">
              <w:rPr>
                <w:rFonts w:eastAsia="Calibri"/>
                <w:sz w:val="20"/>
                <w:szCs w:val="26"/>
                <w:lang w:val="es-ES" w:eastAsia="en-US"/>
              </w:rPr>
              <w:t>Research</w:t>
            </w:r>
            <w:proofErr w:type="spellEnd"/>
            <w:r w:rsidRPr="00F1668A">
              <w:rPr>
                <w:rFonts w:eastAsia="Calibri"/>
                <w:sz w:val="20"/>
                <w:szCs w:val="26"/>
                <w:lang w:val="es-ES" w:eastAsia="en-US"/>
              </w:rPr>
              <w:t xml:space="preserve"> con cifras de US Bureau of Labor </w:t>
            </w:r>
            <w:proofErr w:type="spellStart"/>
            <w:r w:rsidRPr="00F1668A">
              <w:rPr>
                <w:rFonts w:eastAsia="Calibri"/>
                <w:sz w:val="20"/>
                <w:szCs w:val="26"/>
                <w:lang w:val="es-ES" w:eastAsia="en-US"/>
              </w:rPr>
              <w:t>Statistics</w:t>
            </w:r>
            <w:proofErr w:type="spellEnd"/>
            <w:r w:rsidRPr="00F1668A">
              <w:rPr>
                <w:rFonts w:eastAsia="Calibri"/>
                <w:sz w:val="20"/>
                <w:szCs w:val="26"/>
                <w:lang w:val="es-ES" w:eastAsia="en-US"/>
              </w:rPr>
              <w:t>.</w:t>
            </w:r>
          </w:p>
        </w:tc>
      </w:tr>
    </w:tbl>
    <w:p w:rsidR="00F1668A" w:rsidRPr="00F1668A" w:rsidRDefault="00F1668A" w:rsidP="00F1668A">
      <w:pPr>
        <w:spacing w:after="360" w:line="360" w:lineRule="auto"/>
        <w:ind w:right="-159"/>
        <w:jc w:val="both"/>
        <w:rPr>
          <w:rFonts w:eastAsia="Calibri"/>
          <w:sz w:val="26"/>
          <w:szCs w:val="26"/>
          <w:lang w:eastAsia="en-US"/>
        </w:rPr>
      </w:pPr>
    </w:p>
    <w:p w:rsidR="00F1668A" w:rsidRPr="00F1668A" w:rsidRDefault="00F1668A" w:rsidP="00F1668A">
      <w:pPr>
        <w:ind w:right="-159"/>
        <w:jc w:val="both"/>
        <w:rPr>
          <w:rFonts w:eastAsia="Calibri"/>
          <w:b/>
          <w:sz w:val="20"/>
          <w:szCs w:val="26"/>
          <w:lang w:eastAsia="en-US"/>
        </w:rPr>
      </w:pPr>
      <w:r w:rsidRPr="00F1668A">
        <w:rPr>
          <w:rFonts w:eastAsia="Calibri"/>
          <w:b/>
          <w:sz w:val="20"/>
          <w:szCs w:val="26"/>
          <w:lang w:eastAsia="en-US"/>
        </w:rPr>
        <w:t>Fuente de información:</w:t>
      </w:r>
    </w:p>
    <w:p w:rsidR="00F1668A" w:rsidRPr="002753B3" w:rsidRDefault="004638E5" w:rsidP="00F1668A">
      <w:pPr>
        <w:ind w:right="-159"/>
        <w:jc w:val="both"/>
        <w:rPr>
          <w:rFonts w:eastAsia="Calibri"/>
          <w:color w:val="0000FF"/>
          <w:sz w:val="20"/>
          <w:szCs w:val="20"/>
          <w:lang w:eastAsia="en-US"/>
        </w:rPr>
      </w:pPr>
      <w:hyperlink r:id="rId86" w:history="1">
        <w:r w:rsidR="00F1668A" w:rsidRPr="002753B3">
          <w:rPr>
            <w:rFonts w:eastAsia="Calibri"/>
            <w:color w:val="0000FF"/>
            <w:sz w:val="20"/>
            <w:szCs w:val="20"/>
            <w:u w:val="single"/>
            <w:lang w:eastAsia="en-US"/>
          </w:rPr>
          <w:t>https://www.bbvaresearch.com/wp-content/uploads/2015/03/2015-03-02-FlashMigracionMexico1.pdf</w:t>
        </w:r>
      </w:hyperlink>
      <w:r w:rsidR="00F1668A" w:rsidRPr="002753B3">
        <w:rPr>
          <w:rFonts w:eastAsia="Calibri"/>
          <w:color w:val="0000FF"/>
          <w:sz w:val="20"/>
          <w:szCs w:val="20"/>
          <w:lang w:eastAsia="en-US"/>
        </w:rPr>
        <w:t xml:space="preserve"> </w:t>
      </w:r>
    </w:p>
    <w:p w:rsidR="00D46A23" w:rsidRDefault="00D46A23" w:rsidP="004A3AC0">
      <w:pPr>
        <w:ind w:right="-159"/>
        <w:jc w:val="both"/>
        <w:rPr>
          <w:rFonts w:eastAsia="Calibri"/>
          <w:b/>
          <w:sz w:val="26"/>
          <w:szCs w:val="26"/>
          <w:lang w:eastAsia="en-US"/>
        </w:rPr>
      </w:pPr>
    </w:p>
    <w:p w:rsidR="004A3AC0" w:rsidRPr="004A3AC0" w:rsidRDefault="004A3AC0" w:rsidP="004A3AC0">
      <w:pPr>
        <w:ind w:right="-159"/>
        <w:jc w:val="both"/>
        <w:rPr>
          <w:rFonts w:eastAsia="Calibri"/>
          <w:b/>
          <w:sz w:val="26"/>
          <w:szCs w:val="26"/>
          <w:lang w:eastAsia="en-US"/>
        </w:rPr>
      </w:pPr>
      <w:r w:rsidRPr="004A3AC0">
        <w:rPr>
          <w:rFonts w:eastAsia="Calibri"/>
          <w:b/>
          <w:sz w:val="26"/>
          <w:szCs w:val="26"/>
          <w:lang w:eastAsia="en-US"/>
        </w:rPr>
        <w:lastRenderedPageBreak/>
        <w:t>México y Estados Unidos de  Norteamérica</w:t>
      </w:r>
    </w:p>
    <w:p w:rsidR="004A3AC0" w:rsidRPr="004A3AC0" w:rsidRDefault="004A3AC0" w:rsidP="004A3AC0">
      <w:pPr>
        <w:ind w:right="-159"/>
        <w:jc w:val="both"/>
        <w:rPr>
          <w:rFonts w:eastAsia="Calibri"/>
          <w:b/>
          <w:sz w:val="26"/>
          <w:szCs w:val="26"/>
          <w:lang w:eastAsia="en-US"/>
        </w:rPr>
      </w:pPr>
      <w:r w:rsidRPr="004A3AC0">
        <w:rPr>
          <w:rFonts w:eastAsia="Calibri"/>
          <w:b/>
          <w:sz w:val="26"/>
          <w:szCs w:val="26"/>
          <w:lang w:eastAsia="en-US"/>
        </w:rPr>
        <w:t>celebraron reunión del Grupo Ejecutivo de</w:t>
      </w:r>
    </w:p>
    <w:p w:rsidR="004A3AC0" w:rsidRPr="004A3AC0" w:rsidRDefault="004A3AC0" w:rsidP="004A3AC0">
      <w:pPr>
        <w:spacing w:after="360" w:line="360" w:lineRule="auto"/>
        <w:ind w:right="-159"/>
        <w:jc w:val="both"/>
        <w:rPr>
          <w:rFonts w:eastAsia="Calibri"/>
          <w:b/>
          <w:sz w:val="26"/>
          <w:szCs w:val="26"/>
          <w:lang w:eastAsia="en-US"/>
        </w:rPr>
      </w:pPr>
      <w:r w:rsidRPr="004A3AC0">
        <w:rPr>
          <w:rFonts w:eastAsia="Calibri"/>
          <w:b/>
          <w:sz w:val="26"/>
          <w:szCs w:val="26"/>
          <w:lang w:eastAsia="en-US"/>
        </w:rPr>
        <w:t>Políticas de Repatriación (SRE)</w:t>
      </w:r>
    </w:p>
    <w:p w:rsidR="004A3AC0" w:rsidRPr="004A3AC0" w:rsidRDefault="004A3AC0" w:rsidP="004A3AC0">
      <w:pPr>
        <w:spacing w:after="360" w:line="360" w:lineRule="auto"/>
        <w:ind w:right="-159"/>
        <w:jc w:val="both"/>
        <w:rPr>
          <w:rFonts w:eastAsia="Calibri"/>
          <w:sz w:val="26"/>
          <w:szCs w:val="26"/>
          <w:lang w:eastAsia="en-US"/>
        </w:rPr>
      </w:pPr>
      <w:r w:rsidRPr="004A3AC0">
        <w:rPr>
          <w:rFonts w:eastAsia="Calibri"/>
          <w:sz w:val="26"/>
          <w:szCs w:val="26"/>
          <w:lang w:eastAsia="en-US"/>
        </w:rPr>
        <w:t>El 25 de febrero de 2015, la Secretaría de Relaciones Exteriores (SER) comunicó que México y Estados Unidos de Norteamérica celebraron, en Washington, D. C., la tercera reunión del Grupo Ejecutivo de Políticas de Repatriación, donde dieron seguimiento a la agenda bilateral relacionada con los procesos de repatriación de personas mexicanas y garantizar un retorno digno, seguro y ordenado.</w:t>
      </w:r>
    </w:p>
    <w:p w:rsidR="004A3AC0" w:rsidRPr="004A3AC0" w:rsidRDefault="004A3AC0" w:rsidP="004A3AC0">
      <w:pPr>
        <w:spacing w:after="360" w:line="360" w:lineRule="auto"/>
        <w:ind w:right="-159"/>
        <w:jc w:val="both"/>
        <w:rPr>
          <w:rFonts w:eastAsia="Calibri"/>
          <w:sz w:val="26"/>
          <w:szCs w:val="26"/>
          <w:lang w:eastAsia="en-US"/>
        </w:rPr>
      </w:pPr>
      <w:r w:rsidRPr="004A3AC0">
        <w:rPr>
          <w:rFonts w:eastAsia="Calibri"/>
          <w:sz w:val="26"/>
          <w:szCs w:val="26"/>
          <w:lang w:eastAsia="en-US"/>
        </w:rPr>
        <w:t>El grupo fue acordado en la reunión de los Presidentes de México y de Estados Unidos de Norteamérica en febrero de 2014 y ha sesionado en dos ocasiones en Nuevo Laredo, Tamaulipas, en abril, y en la ciudad de México, en julio del mismo año.</w:t>
      </w:r>
    </w:p>
    <w:p w:rsidR="004A3AC0" w:rsidRPr="004A3AC0" w:rsidRDefault="004A3AC0" w:rsidP="004A3AC0">
      <w:pPr>
        <w:spacing w:after="360" w:line="360" w:lineRule="auto"/>
        <w:ind w:right="-159"/>
        <w:jc w:val="both"/>
        <w:rPr>
          <w:rFonts w:eastAsia="Calibri"/>
          <w:sz w:val="26"/>
          <w:szCs w:val="26"/>
          <w:lang w:eastAsia="en-US"/>
        </w:rPr>
      </w:pPr>
      <w:r w:rsidRPr="004A3AC0">
        <w:rPr>
          <w:rFonts w:eastAsia="Calibri"/>
          <w:sz w:val="26"/>
          <w:szCs w:val="26"/>
          <w:lang w:eastAsia="en-US"/>
        </w:rPr>
        <w:t>En esta tercera sesión, las delegaciones de ambos países revisaron el proceso de actualización de los “Arreglos Locales de Repatriación”, los cuales reducirán a 12 los puntos de repatriación, al privilegiar puertos de entrada en los que existen infraestructura y programas para recibir a las personas mexicanas en retorno. De igual manera se limitarán las repatriaciones a horarios primordialmente diurnos.</w:t>
      </w:r>
    </w:p>
    <w:p w:rsidR="004A3AC0" w:rsidRPr="004A3AC0" w:rsidRDefault="004A3AC0" w:rsidP="004A3AC0">
      <w:pPr>
        <w:spacing w:after="360" w:line="360" w:lineRule="auto"/>
        <w:ind w:right="-159"/>
        <w:jc w:val="both"/>
        <w:rPr>
          <w:rFonts w:eastAsia="Calibri"/>
          <w:sz w:val="26"/>
          <w:szCs w:val="26"/>
          <w:lang w:eastAsia="en-US"/>
        </w:rPr>
      </w:pPr>
      <w:r w:rsidRPr="004A3AC0">
        <w:rPr>
          <w:rFonts w:eastAsia="Calibri"/>
          <w:sz w:val="26"/>
          <w:szCs w:val="26"/>
          <w:lang w:eastAsia="en-US"/>
        </w:rPr>
        <w:t>Se discutió, además, trabajar de manera coordinada para explorar mecanismos de reinserción de jóvenes migrantes así como la implementación de acciones para atender a los niños, niñas y adolescentes que viajan no acompañados y así prevenir factores que puedan representar un riesgo para su bienestar y desarrollo.</w:t>
      </w:r>
    </w:p>
    <w:p w:rsidR="004A3AC0" w:rsidRPr="004A3AC0" w:rsidRDefault="004A3AC0" w:rsidP="004A3AC0">
      <w:pPr>
        <w:spacing w:after="360" w:line="360" w:lineRule="auto"/>
        <w:ind w:right="-159"/>
        <w:jc w:val="both"/>
        <w:rPr>
          <w:rFonts w:eastAsia="Calibri"/>
          <w:sz w:val="26"/>
          <w:szCs w:val="26"/>
          <w:lang w:eastAsia="en-US"/>
        </w:rPr>
      </w:pPr>
      <w:r w:rsidRPr="004A3AC0">
        <w:rPr>
          <w:rFonts w:eastAsia="Calibri"/>
          <w:sz w:val="26"/>
          <w:szCs w:val="26"/>
          <w:lang w:eastAsia="en-US"/>
        </w:rPr>
        <w:t xml:space="preserve">Ambas delegaciones discutieron también la situación actual de las medidas de Acción Ejecutiva y la posible realización de un taller sobre la materia en el marco de la “Conferencia Regional de Migración”, durante la presidencia </w:t>
      </w:r>
      <w:r w:rsidRPr="004A3AC0">
        <w:rPr>
          <w:rFonts w:eastAsia="Calibri"/>
          <w:i/>
          <w:sz w:val="26"/>
          <w:szCs w:val="26"/>
          <w:lang w:eastAsia="en-US"/>
        </w:rPr>
        <w:t>pro tempore</w:t>
      </w:r>
      <w:r w:rsidRPr="004A3AC0">
        <w:rPr>
          <w:rFonts w:eastAsia="Calibri"/>
          <w:sz w:val="26"/>
          <w:szCs w:val="26"/>
          <w:lang w:eastAsia="en-US"/>
        </w:rPr>
        <w:t xml:space="preserve"> de México en 2015.</w:t>
      </w:r>
    </w:p>
    <w:p w:rsidR="004A3AC0" w:rsidRPr="004A3AC0" w:rsidRDefault="004A3AC0" w:rsidP="004A3AC0">
      <w:pPr>
        <w:spacing w:after="360" w:line="360" w:lineRule="auto"/>
        <w:ind w:right="-159"/>
        <w:jc w:val="both"/>
        <w:rPr>
          <w:rFonts w:eastAsia="Calibri"/>
          <w:sz w:val="26"/>
          <w:szCs w:val="26"/>
          <w:lang w:eastAsia="en-US"/>
        </w:rPr>
      </w:pPr>
      <w:r w:rsidRPr="004A3AC0">
        <w:rPr>
          <w:rFonts w:eastAsia="Calibri"/>
          <w:sz w:val="26"/>
          <w:szCs w:val="26"/>
          <w:lang w:eastAsia="en-US"/>
        </w:rPr>
        <w:lastRenderedPageBreak/>
        <w:t>La delegación mexicana estuvo encabezada por el Subsecretario de Relaciones Exteriores para América del Norte, el Comisionado del Instituto Nacional de Migración y el Jefe de cancillería de la embajada de México en Washington.</w:t>
      </w:r>
    </w:p>
    <w:p w:rsidR="004A3AC0" w:rsidRPr="004A3AC0" w:rsidRDefault="004A3AC0" w:rsidP="004A3AC0">
      <w:pPr>
        <w:spacing w:after="360" w:line="360" w:lineRule="auto"/>
        <w:ind w:right="-159"/>
        <w:jc w:val="both"/>
        <w:rPr>
          <w:rFonts w:eastAsia="Calibri"/>
          <w:sz w:val="26"/>
          <w:szCs w:val="26"/>
          <w:lang w:eastAsia="en-US"/>
        </w:rPr>
      </w:pPr>
      <w:r w:rsidRPr="004A3AC0">
        <w:rPr>
          <w:rFonts w:eastAsia="Calibri"/>
          <w:sz w:val="26"/>
          <w:szCs w:val="26"/>
          <w:lang w:eastAsia="en-US"/>
        </w:rPr>
        <w:t>Por su parte, la delegación estadounidense estuvo liderada por el Subsecretario para Asuntos Internacionales, el Comisionado de la Agencia de Aduanas y Protección Fronteriza y la nueva Directora de la Agencia de Inmigración y Aduanas, todos del Departamento de Seguridad Interna.</w:t>
      </w:r>
    </w:p>
    <w:p w:rsidR="004A3AC0" w:rsidRPr="004A3AC0" w:rsidRDefault="004A3AC0" w:rsidP="004A3AC0">
      <w:pPr>
        <w:spacing w:after="360" w:line="360" w:lineRule="auto"/>
        <w:ind w:right="-159"/>
        <w:jc w:val="both"/>
        <w:rPr>
          <w:rFonts w:eastAsia="Calibri"/>
          <w:sz w:val="26"/>
          <w:szCs w:val="26"/>
          <w:lang w:eastAsia="en-US"/>
        </w:rPr>
      </w:pPr>
      <w:r w:rsidRPr="004A3AC0">
        <w:rPr>
          <w:rFonts w:eastAsia="Calibri"/>
          <w:sz w:val="26"/>
          <w:szCs w:val="26"/>
          <w:lang w:eastAsia="en-US"/>
        </w:rPr>
        <w:t>Los trabajos de esta reunión de alto nivel muestran el avance sustantivo en temas de la agenda migratoria bilateral que son prioritarios para ambos países y refrendan el compromiso de los gobiernos de brindar un trato que permita salvaguardar la seguridad y el respeto de los derechos humanos de los mexicanos migrantes en retorno.</w:t>
      </w:r>
    </w:p>
    <w:p w:rsidR="004A3AC0" w:rsidRPr="004A3AC0" w:rsidRDefault="004A3AC0" w:rsidP="004A3AC0">
      <w:pPr>
        <w:ind w:right="-159"/>
        <w:jc w:val="both"/>
        <w:rPr>
          <w:rFonts w:eastAsia="Calibri"/>
          <w:b/>
          <w:sz w:val="20"/>
          <w:szCs w:val="20"/>
          <w:lang w:eastAsia="en-US"/>
        </w:rPr>
      </w:pPr>
      <w:r w:rsidRPr="004A3AC0">
        <w:rPr>
          <w:rFonts w:eastAsia="Calibri"/>
          <w:b/>
          <w:sz w:val="20"/>
          <w:szCs w:val="20"/>
          <w:lang w:eastAsia="en-US"/>
        </w:rPr>
        <w:t>Fuente de información:</w:t>
      </w:r>
    </w:p>
    <w:p w:rsidR="004A3AC0" w:rsidRPr="002753B3" w:rsidRDefault="004638E5" w:rsidP="004A3AC0">
      <w:pPr>
        <w:ind w:right="-159"/>
        <w:jc w:val="both"/>
        <w:rPr>
          <w:rFonts w:eastAsia="Calibri"/>
          <w:color w:val="0000FF"/>
          <w:sz w:val="20"/>
          <w:szCs w:val="20"/>
          <w:lang w:eastAsia="en-US"/>
        </w:rPr>
      </w:pPr>
      <w:hyperlink r:id="rId87" w:history="1">
        <w:r w:rsidR="004A3AC0" w:rsidRPr="002753B3">
          <w:rPr>
            <w:rFonts w:eastAsia="Calibri"/>
            <w:color w:val="0000FF"/>
            <w:sz w:val="20"/>
            <w:szCs w:val="20"/>
            <w:u w:val="single"/>
            <w:lang w:eastAsia="en-US"/>
          </w:rPr>
          <w:t>http://saladeprensa.sre.gob.mx/index.php/es/comunicados/5651-090</w:t>
        </w:r>
      </w:hyperlink>
      <w:r w:rsidR="004A3AC0" w:rsidRPr="002753B3">
        <w:rPr>
          <w:rFonts w:eastAsia="Calibri"/>
          <w:color w:val="0000FF"/>
          <w:sz w:val="20"/>
          <w:szCs w:val="20"/>
          <w:lang w:eastAsia="en-US"/>
        </w:rPr>
        <w:t xml:space="preserve"> </w:t>
      </w:r>
    </w:p>
    <w:p w:rsidR="004A3AC0" w:rsidRPr="002753B3" w:rsidRDefault="004A3AC0" w:rsidP="004A3AC0">
      <w:pPr>
        <w:ind w:right="-159"/>
        <w:jc w:val="both"/>
        <w:rPr>
          <w:rFonts w:eastAsia="Calibri"/>
          <w:sz w:val="20"/>
          <w:szCs w:val="20"/>
          <w:lang w:eastAsia="en-US"/>
        </w:rPr>
      </w:pPr>
      <w:r w:rsidRPr="002753B3">
        <w:rPr>
          <w:rFonts w:eastAsia="Calibri"/>
          <w:sz w:val="20"/>
          <w:szCs w:val="20"/>
          <w:lang w:eastAsia="en-US"/>
        </w:rPr>
        <w:t>Para tener acceso a información relacionada visite:</w:t>
      </w:r>
    </w:p>
    <w:p w:rsidR="004A3AC0" w:rsidRPr="002753B3" w:rsidRDefault="004638E5" w:rsidP="004A3AC0">
      <w:pPr>
        <w:ind w:right="-159"/>
        <w:jc w:val="both"/>
        <w:rPr>
          <w:rFonts w:eastAsia="Calibri"/>
          <w:color w:val="0000FF"/>
          <w:sz w:val="20"/>
          <w:szCs w:val="20"/>
          <w:lang w:eastAsia="en-US"/>
        </w:rPr>
      </w:pPr>
      <w:hyperlink r:id="rId88" w:history="1">
        <w:r w:rsidR="004A3AC0" w:rsidRPr="002753B3">
          <w:rPr>
            <w:rFonts w:eastAsia="Calibri"/>
            <w:color w:val="0000FF"/>
            <w:sz w:val="20"/>
            <w:szCs w:val="20"/>
            <w:u w:val="single"/>
            <w:lang w:eastAsia="en-US"/>
          </w:rPr>
          <w:t>http://comunicacion.senado.gob.mx/index.php/informacion/boletines/18963-senadores-cuestionan-a-titular-de-sre-sobre-defensa-de-migrantes-seguridad-y-deportaciones.html</w:t>
        </w:r>
      </w:hyperlink>
      <w:r w:rsidR="004A3AC0" w:rsidRPr="002753B3">
        <w:rPr>
          <w:rFonts w:eastAsia="Calibri"/>
          <w:color w:val="0000FF"/>
          <w:sz w:val="20"/>
          <w:szCs w:val="20"/>
          <w:lang w:eastAsia="en-US"/>
        </w:rPr>
        <w:t xml:space="preserve"> </w:t>
      </w:r>
    </w:p>
    <w:p w:rsidR="004A3AC0" w:rsidRPr="002753B3" w:rsidRDefault="004638E5" w:rsidP="004A3AC0">
      <w:pPr>
        <w:ind w:right="-159"/>
        <w:jc w:val="both"/>
        <w:rPr>
          <w:rFonts w:eastAsia="Calibri"/>
          <w:color w:val="0000FF"/>
          <w:sz w:val="20"/>
          <w:szCs w:val="20"/>
          <w:lang w:eastAsia="en-US"/>
        </w:rPr>
      </w:pPr>
      <w:hyperlink r:id="rId89" w:history="1">
        <w:r w:rsidR="004A3AC0" w:rsidRPr="002753B3">
          <w:rPr>
            <w:rFonts w:eastAsia="Calibri"/>
            <w:color w:val="0000FF"/>
            <w:sz w:val="20"/>
            <w:szCs w:val="20"/>
            <w:u w:val="single"/>
            <w:lang w:eastAsia="en-US"/>
          </w:rPr>
          <w:t>http://comunicacion.senado.gob.mx/index.php/informacion/boletines/18932-consules-mexicanos-en-ee-uu-podran-registrar-a-migrantes-proponen-senadores.html</w:t>
        </w:r>
      </w:hyperlink>
      <w:r w:rsidR="004A3AC0" w:rsidRPr="002753B3">
        <w:rPr>
          <w:rFonts w:eastAsia="Calibri"/>
          <w:color w:val="0000FF"/>
          <w:sz w:val="20"/>
          <w:szCs w:val="20"/>
          <w:lang w:eastAsia="en-US"/>
        </w:rPr>
        <w:t xml:space="preserve"> </w:t>
      </w:r>
    </w:p>
    <w:p w:rsidR="004A3AC0" w:rsidRPr="002753B3" w:rsidRDefault="004638E5" w:rsidP="004A3AC0">
      <w:pPr>
        <w:ind w:right="-159"/>
        <w:jc w:val="both"/>
        <w:rPr>
          <w:rFonts w:eastAsia="Calibri"/>
          <w:color w:val="0000FF"/>
          <w:sz w:val="20"/>
          <w:szCs w:val="20"/>
          <w:lang w:eastAsia="en-US"/>
        </w:rPr>
      </w:pPr>
      <w:hyperlink r:id="rId90" w:history="1">
        <w:r w:rsidR="004A3AC0" w:rsidRPr="002753B3">
          <w:rPr>
            <w:rFonts w:eastAsia="Calibri"/>
            <w:color w:val="0000FF"/>
            <w:sz w:val="20"/>
            <w:szCs w:val="20"/>
            <w:u w:val="single"/>
            <w:lang w:eastAsia="en-US"/>
          </w:rPr>
          <w:t>http://comunicacion.senado.gob.mx/index.php/informacion/boletines/18845-piden-senadores-facultar-a-consules-en-ee-uu-para-registrar-a-migrantes-mexicanos.html</w:t>
        </w:r>
      </w:hyperlink>
      <w:r w:rsidR="004A3AC0" w:rsidRPr="002753B3">
        <w:rPr>
          <w:rFonts w:eastAsia="Calibri"/>
          <w:color w:val="0000FF"/>
          <w:sz w:val="20"/>
          <w:szCs w:val="20"/>
          <w:lang w:eastAsia="en-US"/>
        </w:rPr>
        <w:t xml:space="preserve"> </w:t>
      </w:r>
    </w:p>
    <w:p w:rsidR="004A3AC0" w:rsidRPr="004A3AC0" w:rsidRDefault="004A3AC0" w:rsidP="004A3AC0">
      <w:pPr>
        <w:spacing w:after="360" w:line="360" w:lineRule="auto"/>
        <w:ind w:right="-159"/>
        <w:jc w:val="both"/>
        <w:rPr>
          <w:rFonts w:eastAsia="Calibri"/>
          <w:sz w:val="26"/>
          <w:szCs w:val="26"/>
          <w:lang w:eastAsia="en-US"/>
        </w:rPr>
      </w:pPr>
    </w:p>
    <w:p w:rsidR="004A3AC0" w:rsidRDefault="004A3AC0" w:rsidP="00F16CE8">
      <w:pPr>
        <w:spacing w:after="360" w:line="360" w:lineRule="auto"/>
        <w:ind w:right="-159"/>
        <w:jc w:val="both"/>
        <w:rPr>
          <w:sz w:val="26"/>
          <w:szCs w:val="26"/>
          <w:lang w:val="es-ES"/>
        </w:rPr>
      </w:pPr>
    </w:p>
    <w:bookmarkEnd w:id="6"/>
    <w:bookmarkEnd w:id="7"/>
    <w:bookmarkEnd w:id="16"/>
    <w:p w:rsidR="001E05AC" w:rsidRDefault="001E05AC">
      <w:pPr>
        <w:rPr>
          <w:sz w:val="26"/>
          <w:szCs w:val="26"/>
          <w:lang w:val="es-ES"/>
        </w:rPr>
      </w:pPr>
    </w:p>
    <w:sectPr w:rsidR="001E05AC" w:rsidSect="00447033">
      <w:headerReference w:type="even" r:id="rId91"/>
      <w:headerReference w:type="default" r:id="rId92"/>
      <w:pgSz w:w="12242" w:h="15842" w:code="1"/>
      <w:pgMar w:top="1417" w:right="1701" w:bottom="1417" w:left="1701" w:header="709" w:footer="709" w:gutter="0"/>
      <w:pgNumType w:start="757"/>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638E5" w:rsidRDefault="004638E5">
      <w:r>
        <w:separator/>
      </w:r>
    </w:p>
  </w:endnote>
  <w:endnote w:type="continuationSeparator" w:id="0">
    <w:p w:rsidR="004638E5" w:rsidRDefault="004638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rinda">
    <w:panose1 w:val="020B0502040204020203"/>
    <w:charset w:val="01"/>
    <w:family w:val="roman"/>
    <w:notTrueType/>
    <w:pitch w:val="variable"/>
  </w:font>
  <w:font w:name="Vladimir Script">
    <w:panose1 w:val="03050402040407070305"/>
    <w:charset w:val="00"/>
    <w:family w:val="script"/>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StarSymbol">
    <w:altName w:val="Arial Unicode MS"/>
    <w:charset w:val="02"/>
    <w:family w:val="auto"/>
    <w:pitch w:val="default"/>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Georgia, Times">
    <w:altName w:val="Times New Roman"/>
    <w:panose1 w:val="00000000000000000000"/>
    <w:charset w:val="00"/>
    <w:family w:val="roman"/>
    <w:notTrueType/>
    <w:pitch w:val="default"/>
  </w:font>
  <w:font w:name="Georgia, Times, serif">
    <w:altName w:val="Times New Roman"/>
    <w:panose1 w:val="00000000000000000000"/>
    <w:charset w:val="00"/>
    <w:family w:val="roman"/>
    <w:notTrueType/>
    <w:pitch w:val="default"/>
  </w:font>
  <w:font w:name="CG Palacio (WN)">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Frutiger LT Std 55 Roman">
    <w:altName w:val="Frutiger LT Std 55 Roman"/>
    <w:panose1 w:val="00000000000000000000"/>
    <w:charset w:val="00"/>
    <w:family w:val="roman"/>
    <w:notTrueType/>
    <w:pitch w:val="default"/>
    <w:sig w:usb0="00000003" w:usb1="00000000" w:usb2="00000000" w:usb3="00000000" w:csb0="00000001" w:csb1="00000000"/>
  </w:font>
  <w:font w:name="Frutiger LT Std 47 Light Cn">
    <w:altName w:val="Frutiger LT Std 47 Light Cn"/>
    <w:panose1 w:val="00000000000000000000"/>
    <w:charset w:val="00"/>
    <w:family w:val="swiss"/>
    <w:notTrueType/>
    <w:pitch w:val="default"/>
    <w:sig w:usb0="00000003" w:usb1="00000000" w:usb2="00000000" w:usb3="00000000" w:csb0="00000001" w:csb1="00000000"/>
  </w:font>
  <w:font w:name="Frutiger LT Std 57 Cn">
    <w:altName w:val="Frutiger LT Std 57 Cn"/>
    <w:panose1 w:val="00000000000000000000"/>
    <w:charset w:val="00"/>
    <w:family w:val="swiss"/>
    <w:notTrueType/>
    <w:pitch w:val="default"/>
    <w:sig w:usb0="00000003" w:usb1="00000000" w:usb2="00000000" w:usb3="00000000" w:csb0="00000001" w:csb1="00000000"/>
  </w:font>
  <w:font w:name="Arial MT">
    <w:altName w:val="Times New Roman"/>
    <w:panose1 w:val="00000000000000000000"/>
    <w:charset w:val="00"/>
    <w:family w:val="roman"/>
    <w:notTrueType/>
    <w:pitch w:val="default"/>
  </w:font>
  <w:font w:name="Stag Sans Light">
    <w:altName w:val="Stag Sans Light"/>
    <w:panose1 w:val="00000000000000000000"/>
    <w:charset w:val="00"/>
    <w:family w:val="swiss"/>
    <w:notTrueType/>
    <w:pitch w:val="default"/>
    <w:sig w:usb0="00000003" w:usb1="00000000" w:usb2="00000000" w:usb3="00000000" w:csb0="00000001" w:csb1="00000000"/>
  </w:font>
  <w:font w:name="MetroflexUniBold">
    <w:altName w:val="MetroflexUniBold"/>
    <w:panose1 w:val="00000000000000000000"/>
    <w:charset w:val="00"/>
    <w:family w:val="swiss"/>
    <w:notTrueType/>
    <w:pitch w:val="default"/>
    <w:sig w:usb0="00000003" w:usb1="00000000" w:usb2="00000000" w:usb3="00000000" w:csb0="00000001" w:csb1="00000000"/>
  </w:font>
  <w:font w:name="HelveticaNeue Condensed">
    <w:altName w:val="HelveticaNeue Condensed"/>
    <w:panose1 w:val="00000000000000000000"/>
    <w:charset w:val="00"/>
    <w:family w:val="swiss"/>
    <w:notTrueType/>
    <w:pitch w:val="default"/>
    <w:sig w:usb0="00000003" w:usb1="00000000" w:usb2="00000000" w:usb3="00000000" w:csb0="00000001" w:csb1="00000000"/>
  </w:font>
  <w:font w:name="Univers">
    <w:panose1 w:val="020B0603020202030204"/>
    <w:charset w:val="00"/>
    <w:family w:val="swiss"/>
    <w:pitch w:val="variable"/>
    <w:sig w:usb0="00000003" w:usb1="00000000" w:usb2="00000000" w:usb3="00000000" w:csb0="00000001" w:csb1="00000000"/>
  </w:font>
  <w:font w:name="Times">
    <w:panose1 w:val="02020603050405020304"/>
    <w:charset w:val="00"/>
    <w:family w:val="roman"/>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638E5" w:rsidRDefault="004638E5">
      <w:r>
        <w:separator/>
      </w:r>
    </w:p>
  </w:footnote>
  <w:footnote w:type="continuationSeparator" w:id="0">
    <w:p w:rsidR="004638E5" w:rsidRDefault="004638E5">
      <w:r>
        <w:continuationSeparator/>
      </w:r>
    </w:p>
  </w:footnote>
  <w:footnote w:id="1">
    <w:p w:rsidR="002B6043" w:rsidRPr="006E652B" w:rsidRDefault="002B6043" w:rsidP="005055E5">
      <w:pPr>
        <w:ind w:left="154" w:right="-142" w:hanging="154"/>
        <w:jc w:val="both"/>
        <w:rPr>
          <w:sz w:val="20"/>
          <w:szCs w:val="20"/>
        </w:rPr>
      </w:pPr>
      <w:r w:rsidRPr="006E652B">
        <w:rPr>
          <w:sz w:val="20"/>
          <w:szCs w:val="20"/>
          <w:vertAlign w:val="superscript"/>
        </w:rPr>
        <w:footnoteRef/>
      </w:r>
      <w:r w:rsidR="005055E5">
        <w:rPr>
          <w:sz w:val="20"/>
          <w:szCs w:val="20"/>
        </w:rPr>
        <w:tab/>
      </w:r>
      <w:r w:rsidRPr="006E652B">
        <w:rPr>
          <w:sz w:val="20"/>
          <w:szCs w:val="20"/>
        </w:rPr>
        <w:t>El presente comunicado de la Balanza de Pagos, al igual que ha ocurrido con los comunicados de períodos previos, incorpora revisiones de cifras de algunos renglones de dicha balanza. Tales ajustes se originan por el proceso continuo de incorporación de información adicional a las estadísticas. Las principales revisiones se efectuaron en los renglones de activos de la cuenta de otra inversión, de pasivos del sector privado, de inversión directa y de utilidades remitidas y reinvertidas. Asimismo, el saldo del renglón de errores y omisiones de 2014 que se reporta en este comunicado puede llegar a revisarse en publicaciones futuras de la balanza de pagos, a medida que se disponga de mayor información acerca de diversos componentes de dicha balanza, como pueden ser las variaciones en el monto de los depósitos de mexicanos en el exterior y los flujos de inversión extranjera directa al país, entre otros conceptos sujetos a revisión posterior.</w:t>
      </w:r>
    </w:p>
  </w:footnote>
  <w:footnote w:id="2">
    <w:p w:rsidR="002B6043" w:rsidRPr="006E652B" w:rsidRDefault="002B6043" w:rsidP="005055E5">
      <w:pPr>
        <w:ind w:left="154" w:right="-142" w:hanging="154"/>
        <w:jc w:val="both"/>
        <w:rPr>
          <w:sz w:val="20"/>
          <w:szCs w:val="20"/>
        </w:rPr>
      </w:pPr>
      <w:r w:rsidRPr="006E652B">
        <w:rPr>
          <w:sz w:val="20"/>
          <w:szCs w:val="20"/>
          <w:vertAlign w:val="superscript"/>
        </w:rPr>
        <w:footnoteRef/>
      </w:r>
      <w:r w:rsidR="005055E5">
        <w:rPr>
          <w:sz w:val="20"/>
          <w:szCs w:val="20"/>
        </w:rPr>
        <w:tab/>
      </w:r>
      <w:r w:rsidRPr="006E652B">
        <w:rPr>
          <w:sz w:val="20"/>
          <w:szCs w:val="20"/>
        </w:rPr>
        <w:t xml:space="preserve">Semanalmente Banxico reporta el saldo de la reserva internacional neta, el cual al cierre de 2014 alcanzó </w:t>
      </w:r>
      <w:r w:rsidR="005055E5">
        <w:rPr>
          <w:sz w:val="20"/>
          <w:szCs w:val="20"/>
        </w:rPr>
        <w:t xml:space="preserve">          </w:t>
      </w:r>
      <w:r w:rsidRPr="006E652B">
        <w:rPr>
          <w:sz w:val="20"/>
          <w:szCs w:val="20"/>
        </w:rPr>
        <w:t>193 mil 239 millones de dólares. En contraste, siguiendo los lineamientos del Manual de Balanza de Pagos del Fondo Monetario Internacional, en la estadística de la balanza de pagos descrita en este comunicado se reporta la variación y el saldo de la reserva internacional bruta</w:t>
      </w:r>
      <w:r>
        <w:rPr>
          <w:sz w:val="20"/>
          <w:szCs w:val="20"/>
        </w:rPr>
        <w:t>,</w:t>
      </w:r>
      <w:r w:rsidRPr="006E652B">
        <w:rPr>
          <w:sz w:val="20"/>
          <w:szCs w:val="20"/>
        </w:rPr>
        <w:t xml:space="preserve"> la cual, a diferencia de la reserva internacional neta, sí incluye los pasivos de corto plazo de Banxico.</w:t>
      </w:r>
    </w:p>
  </w:footnote>
  <w:footnote w:id="3">
    <w:p w:rsidR="002B6043" w:rsidRPr="006E652B" w:rsidRDefault="002B6043" w:rsidP="005055E5">
      <w:pPr>
        <w:ind w:left="154" w:right="-142" w:hanging="154"/>
        <w:jc w:val="both"/>
        <w:rPr>
          <w:sz w:val="20"/>
          <w:szCs w:val="20"/>
        </w:rPr>
      </w:pPr>
      <w:r w:rsidRPr="006E652B">
        <w:rPr>
          <w:sz w:val="20"/>
          <w:szCs w:val="20"/>
          <w:vertAlign w:val="superscript"/>
        </w:rPr>
        <w:footnoteRef/>
      </w:r>
      <w:r w:rsidR="005055E5">
        <w:rPr>
          <w:sz w:val="20"/>
          <w:szCs w:val="20"/>
        </w:rPr>
        <w:tab/>
      </w:r>
      <w:r w:rsidRPr="006E652B">
        <w:rPr>
          <w:sz w:val="20"/>
          <w:szCs w:val="20"/>
        </w:rPr>
        <w:t>La suma de los componentes que integran la estadística de la balanza de pagos que se presenta en este comunicado puede no coincidir con los totales debido al redondeo de las cifras.</w:t>
      </w:r>
    </w:p>
  </w:footnote>
  <w:footnote w:id="4">
    <w:p w:rsidR="002B6043" w:rsidRPr="0093598C" w:rsidRDefault="002B6043" w:rsidP="002C0B6D">
      <w:pPr>
        <w:ind w:left="168" w:right="-142" w:hanging="157"/>
        <w:jc w:val="both"/>
      </w:pPr>
      <w:r w:rsidRPr="00044DA8">
        <w:rPr>
          <w:sz w:val="20"/>
          <w:szCs w:val="20"/>
          <w:vertAlign w:val="superscript"/>
        </w:rPr>
        <w:footnoteRef/>
      </w:r>
      <w:r w:rsidRPr="0093598C">
        <w:t xml:space="preserve"> </w:t>
      </w:r>
      <w:r w:rsidRPr="0093598C">
        <w:rPr>
          <w:sz w:val="20"/>
          <w:szCs w:val="20"/>
        </w:rPr>
        <w:t>Cabe señalar que, si bien el flujo de inversión extranjera directa en 2014 de 22 mil 568 millones de dólares resultó menor al observado en 2013 de 44 mil 199 millones de dólares, dicha diferencia se puede explicar, en buena medida, por dos factores: i) una operación de inversión en 2013 por un monto atípicamente elevado y ii) la venta que una empresa extranjera realizó de la participación que tenía en una empresa mexicana, la cual fue adquirida por residentes mexicanos y se contabilizó como una desinversión en 2014.</w:t>
      </w:r>
    </w:p>
  </w:footnote>
  <w:footnote w:id="5">
    <w:p w:rsidR="002B6043" w:rsidRPr="00FF3320" w:rsidRDefault="002B6043" w:rsidP="002C0B6D">
      <w:pPr>
        <w:pStyle w:val="Textonotapie"/>
        <w:ind w:left="140" w:right="-159" w:hanging="123"/>
        <w:jc w:val="both"/>
        <w:rPr>
          <w:lang w:val="es-MX"/>
        </w:rPr>
      </w:pPr>
      <w:r w:rsidRPr="006E652B">
        <w:rPr>
          <w:rStyle w:val="Nmerodepgina"/>
          <w:vertAlign w:val="superscript"/>
        </w:rPr>
        <w:footnoteRef/>
      </w:r>
      <w:r>
        <w:t xml:space="preserve"> </w:t>
      </w:r>
      <w:r w:rsidRPr="00060EB1">
        <w:t>Información proporcionada por PMI Comercio Internacional, S. A. de C. V., que corresponde a sus cifras operativas y está sujeta a revisiones posteriores</w:t>
      </w:r>
      <w:r>
        <w:t>.</w:t>
      </w:r>
    </w:p>
  </w:footnote>
  <w:footnote w:id="6">
    <w:p w:rsidR="002B6043" w:rsidRPr="006B3F43" w:rsidRDefault="002B6043" w:rsidP="002753B3">
      <w:pPr>
        <w:pStyle w:val="Textonotapie"/>
        <w:ind w:left="126" w:right="-159" w:hanging="126"/>
        <w:jc w:val="both"/>
      </w:pPr>
      <w:r w:rsidRPr="006B3F43">
        <w:rPr>
          <w:rStyle w:val="Refdenotaalpie"/>
        </w:rPr>
        <w:footnoteRef/>
      </w:r>
      <w:r w:rsidRPr="006B3F43">
        <w:t xml:space="preserve"> De conformidad con la fracción II del artículo 2 de la LIE, se entiende por “</w:t>
      </w:r>
      <w:r w:rsidRPr="006B3F43">
        <w:rPr>
          <w:b/>
          <w:bCs/>
        </w:rPr>
        <w:t>inversión extranjera</w:t>
      </w:r>
      <w:r w:rsidRPr="006B3F43">
        <w:t>”: (a) la participación de inversionistas extranjeros, en cualquier proporción, en el capital social de sociedades mexicanas; (b) la realizada por sociedades mexicanas con mayoría de capital extranjero; y (c) la participación de inversionistas extranjeros en las actividades y actos contemplados por esta L</w:t>
      </w:r>
      <w:r>
        <w:t>IE</w:t>
      </w:r>
      <w:r w:rsidRPr="006B3F43">
        <w:t xml:space="preserve">.  </w:t>
      </w:r>
    </w:p>
  </w:footnote>
  <w:footnote w:id="7">
    <w:p w:rsidR="002B6043" w:rsidRPr="000D5FDA" w:rsidRDefault="002B6043" w:rsidP="00276B9C">
      <w:pPr>
        <w:pStyle w:val="Textonotapie"/>
        <w:jc w:val="both"/>
      </w:pPr>
      <w:r w:rsidRPr="000D5FDA">
        <w:rPr>
          <w:rStyle w:val="Refdenotaalpie"/>
        </w:rPr>
        <w:footnoteRef/>
      </w:r>
      <w:r w:rsidRPr="000D5FDA">
        <w:t xml:space="preserve"> También conocido como tipo de cambio FIX.</w:t>
      </w:r>
    </w:p>
  </w:footnote>
  <w:footnote w:id="8">
    <w:p w:rsidR="002B6043" w:rsidRPr="002753B3" w:rsidRDefault="002B6043" w:rsidP="002753B3">
      <w:pPr>
        <w:pStyle w:val="Textonotapie"/>
        <w:ind w:left="140" w:right="-159" w:hanging="126"/>
        <w:jc w:val="both"/>
        <w:rPr>
          <w:color w:val="0000FF"/>
          <w:u w:val="single"/>
        </w:rPr>
      </w:pPr>
      <w:r w:rsidRPr="00D80D27">
        <w:rPr>
          <w:rStyle w:val="Refdenotaalpie"/>
        </w:rPr>
        <w:footnoteRef/>
      </w:r>
      <w:r w:rsidR="002753B3">
        <w:rPr>
          <w:color w:val="0000FF"/>
        </w:rPr>
        <w:tab/>
      </w:r>
      <w:hyperlink r:id="rId1" w:history="1">
        <w:r w:rsidR="002753B3" w:rsidRPr="00137135">
          <w:rPr>
            <w:rStyle w:val="Hipervnculo"/>
          </w:rPr>
          <w:t>http://www.economia.gob.mx/comunidad-negocios/competitividad-normatividad/inversion</w:t>
        </w:r>
      </w:hyperlink>
      <w:r w:rsidRPr="002753B3">
        <w:rPr>
          <w:color w:val="0000FF"/>
          <w:u w:val="single"/>
        </w:rPr>
        <w:t>-extranjera-directa/estadi</w:t>
      </w:r>
      <w:r w:rsidR="002753B3" w:rsidRPr="002753B3">
        <w:rPr>
          <w:color w:val="0000FF"/>
          <w:u w:val="single"/>
        </w:rPr>
        <w:t xml:space="preserve">stica-oficial-de-ied-en-mexico </w:t>
      </w:r>
    </w:p>
  </w:footnote>
  <w:footnote w:id="9">
    <w:p w:rsidR="002B6043" w:rsidRPr="002753B3" w:rsidRDefault="002B6043" w:rsidP="002753B3">
      <w:pPr>
        <w:pStyle w:val="Textonotapie"/>
        <w:ind w:left="140" w:right="-159" w:hanging="140"/>
        <w:rPr>
          <w:color w:val="0000FF"/>
        </w:rPr>
      </w:pPr>
      <w:r w:rsidRPr="002753B3">
        <w:rPr>
          <w:rStyle w:val="Refdenotaalpie"/>
          <w:color w:val="0000FF"/>
        </w:rPr>
        <w:footnoteRef/>
      </w:r>
      <w:r w:rsidR="002753B3">
        <w:rPr>
          <w:color w:val="0000FF"/>
        </w:rPr>
        <w:tab/>
      </w:r>
      <w:hyperlink r:id="rId2" w:history="1">
        <w:r w:rsidRPr="002753B3">
          <w:rPr>
            <w:rStyle w:val="Hipervnculo"/>
          </w:rPr>
          <w:t>http://comunicacion.senado.gob.mx/index.php/informacion/boletines/18931-libre-comercio-con-panama-permitira-diversificar-negocios-de-mexico-coinciden-senadores-y-funcionarios.html</w:t>
        </w:r>
      </w:hyperlink>
      <w:r w:rsidRPr="002753B3">
        <w:rPr>
          <w:color w:val="0000FF"/>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B6043" w:rsidRPr="00E8411B" w:rsidRDefault="002B6043" w:rsidP="00E8411B">
    <w:pPr>
      <w:pStyle w:val="Encabezado"/>
      <w:pBdr>
        <w:bottom w:val="single" w:sz="4" w:space="1" w:color="660033"/>
      </w:pBdr>
      <w:tabs>
        <w:tab w:val="clear" w:pos="8504"/>
        <w:tab w:val="left" w:pos="4545"/>
        <w:tab w:val="right" w:pos="8820"/>
      </w:tabs>
      <w:ind w:right="-159"/>
      <w:rPr>
        <w:i/>
        <w:color w:val="660033"/>
        <w:sz w:val="22"/>
        <w:szCs w:val="22"/>
      </w:rPr>
    </w:pPr>
    <w:r w:rsidRPr="00E8411B">
      <w:rPr>
        <w:rStyle w:val="Nmerodepgina"/>
        <w:i/>
        <w:color w:val="660033"/>
        <w:sz w:val="22"/>
        <w:szCs w:val="22"/>
      </w:rPr>
      <w:fldChar w:fldCharType="begin"/>
    </w:r>
    <w:r w:rsidRPr="00E8411B">
      <w:rPr>
        <w:rStyle w:val="Nmerodepgina"/>
        <w:i/>
        <w:color w:val="660033"/>
        <w:sz w:val="22"/>
        <w:szCs w:val="22"/>
      </w:rPr>
      <w:instrText xml:space="preserve"> PAGE </w:instrText>
    </w:r>
    <w:r w:rsidRPr="00E8411B">
      <w:rPr>
        <w:rStyle w:val="Nmerodepgina"/>
        <w:i/>
        <w:color w:val="660033"/>
        <w:sz w:val="22"/>
        <w:szCs w:val="22"/>
      </w:rPr>
      <w:fldChar w:fldCharType="separate"/>
    </w:r>
    <w:r w:rsidR="00E8411B">
      <w:rPr>
        <w:rStyle w:val="Nmerodepgina"/>
        <w:i/>
        <w:noProof/>
        <w:color w:val="660033"/>
        <w:sz w:val="22"/>
        <w:szCs w:val="22"/>
      </w:rPr>
      <w:t>776</w:t>
    </w:r>
    <w:r w:rsidRPr="00E8411B">
      <w:rPr>
        <w:rStyle w:val="Nmerodepgina"/>
        <w:i/>
        <w:color w:val="660033"/>
        <w:sz w:val="22"/>
        <w:szCs w:val="22"/>
      </w:rPr>
      <w:fldChar w:fldCharType="end"/>
    </w:r>
    <w:r w:rsidRPr="00E8411B">
      <w:rPr>
        <w:rStyle w:val="Nmerodepgina"/>
        <w:i/>
        <w:color w:val="660033"/>
        <w:sz w:val="22"/>
        <w:szCs w:val="22"/>
      </w:rPr>
      <w:tab/>
    </w:r>
    <w:r w:rsidRPr="00E8411B">
      <w:rPr>
        <w:rStyle w:val="Nmerodepgina"/>
        <w:i/>
        <w:color w:val="660033"/>
        <w:sz w:val="22"/>
        <w:szCs w:val="22"/>
      </w:rPr>
      <w:tab/>
    </w:r>
    <w:r w:rsidRPr="00E8411B">
      <w:rPr>
        <w:rStyle w:val="Nmerodepgina"/>
        <w:i/>
        <w:color w:val="660033"/>
        <w:sz w:val="22"/>
        <w:szCs w:val="22"/>
      </w:rPr>
      <w:tab/>
    </w:r>
    <w:r w:rsidRPr="00E8411B">
      <w:rPr>
        <w:i/>
        <w:color w:val="660033"/>
        <w:sz w:val="22"/>
        <w:szCs w:val="22"/>
      </w:rPr>
      <w:t>Comisión Nacional de los Salarios Mínimos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B6043" w:rsidRPr="00E8411B" w:rsidRDefault="002B6043" w:rsidP="00E8411B">
    <w:pPr>
      <w:pStyle w:val="Encabezado"/>
      <w:pBdr>
        <w:bottom w:val="single" w:sz="4" w:space="1" w:color="660033"/>
      </w:pBdr>
      <w:tabs>
        <w:tab w:val="clear" w:pos="8504"/>
        <w:tab w:val="right" w:pos="9000"/>
      </w:tabs>
      <w:ind w:right="-159"/>
      <w:rPr>
        <w:i/>
        <w:color w:val="660033"/>
        <w:sz w:val="22"/>
        <w:szCs w:val="22"/>
      </w:rPr>
    </w:pPr>
    <w:r w:rsidRPr="00E8411B">
      <w:rPr>
        <w:i/>
        <w:color w:val="660033"/>
        <w:sz w:val="22"/>
        <w:szCs w:val="22"/>
      </w:rPr>
      <w:t>C</w:t>
    </w:r>
    <w:r w:rsidR="00447033" w:rsidRPr="00E8411B">
      <w:rPr>
        <w:i/>
        <w:color w:val="660033"/>
        <w:sz w:val="22"/>
        <w:szCs w:val="22"/>
      </w:rPr>
      <w:t>omercio Exterior</w:t>
    </w:r>
    <w:r w:rsidRPr="00E8411B">
      <w:rPr>
        <w:i/>
        <w:color w:val="660033"/>
        <w:sz w:val="22"/>
        <w:szCs w:val="22"/>
      </w:rPr>
      <w:tab/>
    </w:r>
    <w:r w:rsidRPr="00E8411B">
      <w:rPr>
        <w:i/>
        <w:color w:val="660033"/>
        <w:sz w:val="22"/>
        <w:szCs w:val="22"/>
      </w:rPr>
      <w:tab/>
      <w:t xml:space="preserve">    </w:t>
    </w:r>
    <w:r w:rsidRPr="00E8411B">
      <w:rPr>
        <w:rStyle w:val="Nmerodepgina"/>
        <w:i/>
        <w:color w:val="660033"/>
        <w:sz w:val="22"/>
        <w:szCs w:val="22"/>
      </w:rPr>
      <w:fldChar w:fldCharType="begin"/>
    </w:r>
    <w:r w:rsidRPr="00E8411B">
      <w:rPr>
        <w:rStyle w:val="Nmerodepgina"/>
        <w:i/>
        <w:color w:val="660033"/>
        <w:sz w:val="22"/>
        <w:szCs w:val="22"/>
      </w:rPr>
      <w:instrText xml:space="preserve"> PAGE </w:instrText>
    </w:r>
    <w:r w:rsidRPr="00E8411B">
      <w:rPr>
        <w:rStyle w:val="Nmerodepgina"/>
        <w:i/>
        <w:color w:val="660033"/>
        <w:sz w:val="22"/>
        <w:szCs w:val="22"/>
      </w:rPr>
      <w:fldChar w:fldCharType="separate"/>
    </w:r>
    <w:r w:rsidR="00E8411B">
      <w:rPr>
        <w:rStyle w:val="Nmerodepgina"/>
        <w:i/>
        <w:noProof/>
        <w:color w:val="660033"/>
        <w:sz w:val="22"/>
        <w:szCs w:val="22"/>
      </w:rPr>
      <w:t>777</w:t>
    </w:r>
    <w:r w:rsidRPr="00E8411B">
      <w:rPr>
        <w:rStyle w:val="Nmerodepgina"/>
        <w:i/>
        <w:color w:val="660033"/>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BA526B70"/>
    <w:lvl w:ilvl="0">
      <w:start w:val="1"/>
      <w:numFmt w:val="decimal"/>
      <w:pStyle w:val="Listaconnmeros2"/>
      <w:lvlText w:val="%1."/>
      <w:lvlJc w:val="left"/>
      <w:pPr>
        <w:tabs>
          <w:tab w:val="num" w:pos="643"/>
        </w:tabs>
        <w:ind w:left="643" w:hanging="360"/>
      </w:pPr>
    </w:lvl>
  </w:abstractNum>
  <w:abstractNum w:abstractNumId="1">
    <w:nsid w:val="FFFFFF81"/>
    <w:multiLevelType w:val="singleLevel"/>
    <w:tmpl w:val="A2C00A2E"/>
    <w:lvl w:ilvl="0">
      <w:start w:val="1"/>
      <w:numFmt w:val="bullet"/>
      <w:pStyle w:val="Listaconvietas4"/>
      <w:lvlText w:val=""/>
      <w:lvlJc w:val="left"/>
      <w:pPr>
        <w:tabs>
          <w:tab w:val="num" w:pos="1209"/>
        </w:tabs>
        <w:ind w:left="1209" w:hanging="360"/>
      </w:pPr>
      <w:rPr>
        <w:rFonts w:ascii="Symbol" w:hAnsi="Symbol" w:hint="default"/>
      </w:rPr>
    </w:lvl>
  </w:abstractNum>
  <w:abstractNum w:abstractNumId="2">
    <w:nsid w:val="FFFFFF82"/>
    <w:multiLevelType w:val="singleLevel"/>
    <w:tmpl w:val="AB2C4894"/>
    <w:styleLink w:val="111111122"/>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3"/>
    <w:multiLevelType w:val="singleLevel"/>
    <w:tmpl w:val="A2028E78"/>
    <w:styleLink w:val="1111112121"/>
    <w:lvl w:ilvl="0">
      <w:start w:val="1"/>
      <w:numFmt w:val="bullet"/>
      <w:pStyle w:val="Listaconvietas2"/>
      <w:lvlText w:val=""/>
      <w:lvlJc w:val="left"/>
      <w:pPr>
        <w:tabs>
          <w:tab w:val="num" w:pos="720"/>
        </w:tabs>
        <w:ind w:left="720" w:hanging="360"/>
      </w:pPr>
      <w:rPr>
        <w:rFonts w:ascii="Symbol" w:hAnsi="Symbol" w:hint="default"/>
      </w:rPr>
    </w:lvl>
  </w:abstractNum>
  <w:abstractNum w:abstractNumId="4">
    <w:nsid w:val="FFFFFF89"/>
    <w:multiLevelType w:val="singleLevel"/>
    <w:tmpl w:val="2592C078"/>
    <w:lvl w:ilvl="0">
      <w:start w:val="1"/>
      <w:numFmt w:val="bullet"/>
      <w:pStyle w:val="Listaconvietas"/>
      <w:lvlText w:val=""/>
      <w:lvlJc w:val="left"/>
      <w:pPr>
        <w:tabs>
          <w:tab w:val="num" w:pos="360"/>
        </w:tabs>
        <w:ind w:left="360" w:hanging="360"/>
      </w:pPr>
      <w:rPr>
        <w:rFonts w:ascii="Symbol" w:hAnsi="Symbol" w:hint="default"/>
      </w:rPr>
    </w:lvl>
  </w:abstractNum>
  <w:abstractNum w:abstractNumId="5">
    <w:nsid w:val="00F26EAD"/>
    <w:multiLevelType w:val="hybridMultilevel"/>
    <w:tmpl w:val="2C90ED4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
    <w:nsid w:val="01537B2E"/>
    <w:multiLevelType w:val="hybridMultilevel"/>
    <w:tmpl w:val="C2B062A6"/>
    <w:lvl w:ilvl="0" w:tplc="FFEE025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0280176D"/>
    <w:multiLevelType w:val="hybridMultilevel"/>
    <w:tmpl w:val="CC38246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02A760C8"/>
    <w:multiLevelType w:val="singleLevel"/>
    <w:tmpl w:val="6978A7C0"/>
    <w:styleLink w:val="11111114"/>
    <w:lvl w:ilvl="0">
      <w:start w:val="1"/>
      <w:numFmt w:val="bullet"/>
      <w:lvlText w:val=""/>
      <w:lvlJc w:val="left"/>
      <w:pPr>
        <w:tabs>
          <w:tab w:val="num" w:pos="360"/>
        </w:tabs>
        <w:ind w:left="360" w:hanging="360"/>
      </w:pPr>
      <w:rPr>
        <w:rFonts w:ascii="Symbol" w:hAnsi="Symbol" w:hint="default"/>
        <w:sz w:val="28"/>
      </w:rPr>
    </w:lvl>
  </w:abstractNum>
  <w:abstractNum w:abstractNumId="9">
    <w:nsid w:val="02C57D67"/>
    <w:multiLevelType w:val="hybridMultilevel"/>
    <w:tmpl w:val="3C08884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043E65FB"/>
    <w:multiLevelType w:val="hybridMultilevel"/>
    <w:tmpl w:val="50928356"/>
    <w:lvl w:ilvl="0" w:tplc="E654A1BE">
      <w:start w:val="1"/>
      <w:numFmt w:val="bullet"/>
      <w:lvlText w:val=""/>
      <w:lvlJc w:val="left"/>
      <w:pPr>
        <w:ind w:left="720" w:hanging="360"/>
      </w:pPr>
      <w:rPr>
        <w:rFonts w:ascii="Symbol" w:hAnsi="Symbol" w:hint="default"/>
      </w:rPr>
    </w:lvl>
    <w:lvl w:ilvl="1" w:tplc="5D38ACC4">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067743CF"/>
    <w:multiLevelType w:val="hybridMultilevel"/>
    <w:tmpl w:val="54CA3340"/>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
    <w:nsid w:val="06993D30"/>
    <w:multiLevelType w:val="hybridMultilevel"/>
    <w:tmpl w:val="368037D2"/>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073709B1"/>
    <w:multiLevelType w:val="hybridMultilevel"/>
    <w:tmpl w:val="F9A4D0E6"/>
    <w:lvl w:ilvl="0" w:tplc="080A001B">
      <w:start w:val="1"/>
      <w:numFmt w:val="low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0B4D2870"/>
    <w:multiLevelType w:val="hybridMultilevel"/>
    <w:tmpl w:val="2C3A3626"/>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0B4E6E53"/>
    <w:multiLevelType w:val="hybridMultilevel"/>
    <w:tmpl w:val="E9DACF1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0D470919"/>
    <w:multiLevelType w:val="hybridMultilevel"/>
    <w:tmpl w:val="60701828"/>
    <w:styleLink w:val="111111142"/>
    <w:lvl w:ilvl="0" w:tplc="F57E94BA">
      <w:start w:val="1"/>
      <w:numFmt w:val="bullet"/>
      <w:lvlText w:val="-"/>
      <w:lvlJc w:val="left"/>
      <w:pPr>
        <w:tabs>
          <w:tab w:val="num" w:pos="720"/>
        </w:tabs>
        <w:ind w:left="720" w:hanging="360"/>
      </w:pPr>
      <w:rPr>
        <w:rFonts w:ascii="Vladimir Script" w:hAnsi="Vladimir Script"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
    <w:nsid w:val="0D952CC0"/>
    <w:multiLevelType w:val="hybridMultilevel"/>
    <w:tmpl w:val="185E5610"/>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8">
    <w:nsid w:val="0DA06943"/>
    <w:multiLevelType w:val="hybridMultilevel"/>
    <w:tmpl w:val="A7FCD7A4"/>
    <w:lvl w:ilvl="0" w:tplc="080A0001">
      <w:start w:val="1"/>
      <w:numFmt w:val="bullet"/>
      <w:lvlText w:val=""/>
      <w:lvlJc w:val="left"/>
      <w:pPr>
        <w:ind w:left="360" w:hanging="360"/>
      </w:pPr>
      <w:rPr>
        <w:rFonts w:ascii="Symbol" w:hAnsi="Symbol" w:hint="default"/>
      </w:rPr>
    </w:lvl>
    <w:lvl w:ilvl="1" w:tplc="6C52E17C">
      <w:numFmt w:val="bullet"/>
      <w:lvlText w:val="-"/>
      <w:lvlJc w:val="left"/>
      <w:pPr>
        <w:ind w:left="1080" w:hanging="360"/>
      </w:pPr>
      <w:rPr>
        <w:rFonts w:ascii="Times New Roman" w:eastAsiaTheme="minorHAnsi" w:hAnsi="Times New Roman"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9">
    <w:nsid w:val="0EE94182"/>
    <w:multiLevelType w:val="hybridMultilevel"/>
    <w:tmpl w:val="CCE4C3F8"/>
    <w:lvl w:ilvl="0" w:tplc="A8648EE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0F22463A"/>
    <w:multiLevelType w:val="multilevel"/>
    <w:tmpl w:val="9EC20C5E"/>
    <w:lvl w:ilvl="0">
      <w:start w:val="1"/>
      <w:numFmt w:val="bullet"/>
      <w:lvlText w:val="–"/>
      <w:lvlJc w:val="left"/>
      <w:pPr>
        <w:tabs>
          <w:tab w:val="num" w:pos="720"/>
        </w:tabs>
        <w:ind w:left="720" w:hanging="360"/>
      </w:pPr>
      <w:rPr>
        <w:rFonts w:ascii="Vrinda" w:hAnsi="Vrinda"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11995EE7"/>
    <w:multiLevelType w:val="hybridMultilevel"/>
    <w:tmpl w:val="2C32E92E"/>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12440104"/>
    <w:multiLevelType w:val="hybridMultilevel"/>
    <w:tmpl w:val="67849322"/>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126C75C2"/>
    <w:multiLevelType w:val="hybridMultilevel"/>
    <w:tmpl w:val="C5365A4A"/>
    <w:lvl w:ilvl="0" w:tplc="E654A1BE">
      <w:start w:val="1"/>
      <w:numFmt w:val="bullet"/>
      <w:lvlText w:val=""/>
      <w:lvlJc w:val="left"/>
      <w:pPr>
        <w:ind w:left="720" w:hanging="360"/>
      </w:pPr>
      <w:rPr>
        <w:rFonts w:ascii="Symbol" w:hAnsi="Symbol" w:hint="default"/>
      </w:rPr>
    </w:lvl>
    <w:lvl w:ilvl="1" w:tplc="0D1AFCC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13F43D2E"/>
    <w:multiLevelType w:val="hybridMultilevel"/>
    <w:tmpl w:val="7B7CA1DE"/>
    <w:lvl w:ilvl="0" w:tplc="E654A1BE">
      <w:start w:val="1"/>
      <w:numFmt w:val="bullet"/>
      <w:lvlText w:val=""/>
      <w:lvlJc w:val="left"/>
      <w:pPr>
        <w:ind w:left="788" w:hanging="360"/>
      </w:pPr>
      <w:rPr>
        <w:rFonts w:ascii="Symbol" w:hAnsi="Symbol" w:hint="default"/>
      </w:rPr>
    </w:lvl>
    <w:lvl w:ilvl="1" w:tplc="080A0003" w:tentative="1">
      <w:start w:val="1"/>
      <w:numFmt w:val="bullet"/>
      <w:lvlText w:val="o"/>
      <w:lvlJc w:val="left"/>
      <w:pPr>
        <w:ind w:left="1508" w:hanging="360"/>
      </w:pPr>
      <w:rPr>
        <w:rFonts w:ascii="Courier New" w:hAnsi="Courier New" w:cs="Courier New" w:hint="default"/>
      </w:rPr>
    </w:lvl>
    <w:lvl w:ilvl="2" w:tplc="080A0005" w:tentative="1">
      <w:start w:val="1"/>
      <w:numFmt w:val="bullet"/>
      <w:lvlText w:val=""/>
      <w:lvlJc w:val="left"/>
      <w:pPr>
        <w:ind w:left="2228" w:hanging="360"/>
      </w:pPr>
      <w:rPr>
        <w:rFonts w:ascii="Wingdings" w:hAnsi="Wingdings" w:hint="default"/>
      </w:rPr>
    </w:lvl>
    <w:lvl w:ilvl="3" w:tplc="080A0001" w:tentative="1">
      <w:start w:val="1"/>
      <w:numFmt w:val="bullet"/>
      <w:lvlText w:val=""/>
      <w:lvlJc w:val="left"/>
      <w:pPr>
        <w:ind w:left="2948" w:hanging="360"/>
      </w:pPr>
      <w:rPr>
        <w:rFonts w:ascii="Symbol" w:hAnsi="Symbol" w:hint="default"/>
      </w:rPr>
    </w:lvl>
    <w:lvl w:ilvl="4" w:tplc="080A0003" w:tentative="1">
      <w:start w:val="1"/>
      <w:numFmt w:val="bullet"/>
      <w:lvlText w:val="o"/>
      <w:lvlJc w:val="left"/>
      <w:pPr>
        <w:ind w:left="3668" w:hanging="360"/>
      </w:pPr>
      <w:rPr>
        <w:rFonts w:ascii="Courier New" w:hAnsi="Courier New" w:cs="Courier New" w:hint="default"/>
      </w:rPr>
    </w:lvl>
    <w:lvl w:ilvl="5" w:tplc="080A0005" w:tentative="1">
      <w:start w:val="1"/>
      <w:numFmt w:val="bullet"/>
      <w:lvlText w:val=""/>
      <w:lvlJc w:val="left"/>
      <w:pPr>
        <w:ind w:left="4388" w:hanging="360"/>
      </w:pPr>
      <w:rPr>
        <w:rFonts w:ascii="Wingdings" w:hAnsi="Wingdings" w:hint="default"/>
      </w:rPr>
    </w:lvl>
    <w:lvl w:ilvl="6" w:tplc="080A0001" w:tentative="1">
      <w:start w:val="1"/>
      <w:numFmt w:val="bullet"/>
      <w:lvlText w:val=""/>
      <w:lvlJc w:val="left"/>
      <w:pPr>
        <w:ind w:left="5108" w:hanging="360"/>
      </w:pPr>
      <w:rPr>
        <w:rFonts w:ascii="Symbol" w:hAnsi="Symbol" w:hint="default"/>
      </w:rPr>
    </w:lvl>
    <w:lvl w:ilvl="7" w:tplc="080A0003" w:tentative="1">
      <w:start w:val="1"/>
      <w:numFmt w:val="bullet"/>
      <w:lvlText w:val="o"/>
      <w:lvlJc w:val="left"/>
      <w:pPr>
        <w:ind w:left="5828" w:hanging="360"/>
      </w:pPr>
      <w:rPr>
        <w:rFonts w:ascii="Courier New" w:hAnsi="Courier New" w:cs="Courier New" w:hint="default"/>
      </w:rPr>
    </w:lvl>
    <w:lvl w:ilvl="8" w:tplc="080A0005" w:tentative="1">
      <w:start w:val="1"/>
      <w:numFmt w:val="bullet"/>
      <w:lvlText w:val=""/>
      <w:lvlJc w:val="left"/>
      <w:pPr>
        <w:ind w:left="6548" w:hanging="360"/>
      </w:pPr>
      <w:rPr>
        <w:rFonts w:ascii="Wingdings" w:hAnsi="Wingdings" w:hint="default"/>
      </w:rPr>
    </w:lvl>
  </w:abstractNum>
  <w:abstractNum w:abstractNumId="25">
    <w:nsid w:val="14907F59"/>
    <w:multiLevelType w:val="hybridMultilevel"/>
    <w:tmpl w:val="08308684"/>
    <w:lvl w:ilvl="0" w:tplc="E654A1BE">
      <w:start w:val="1"/>
      <w:numFmt w:val="bullet"/>
      <w:lvlText w:val=""/>
      <w:lvlJc w:val="left"/>
      <w:pPr>
        <w:ind w:left="720" w:hanging="360"/>
      </w:pPr>
      <w:rPr>
        <w:rFonts w:ascii="Symbol" w:hAnsi="Symbol" w:hint="default"/>
      </w:rPr>
    </w:lvl>
    <w:lvl w:ilvl="1" w:tplc="00C85554">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168C292F"/>
    <w:multiLevelType w:val="hybridMultilevel"/>
    <w:tmpl w:val="65C49720"/>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17763756"/>
    <w:multiLevelType w:val="hybridMultilevel"/>
    <w:tmpl w:val="4E80D59E"/>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8">
    <w:nsid w:val="17B35D03"/>
    <w:multiLevelType w:val="hybridMultilevel"/>
    <w:tmpl w:val="496AF54A"/>
    <w:lvl w:ilvl="0" w:tplc="74961C26">
      <w:start w:val="1"/>
      <w:numFmt w:val="upperLetter"/>
      <w:lvlText w:val="%1."/>
      <w:lvlJc w:val="left"/>
      <w:pPr>
        <w:ind w:left="252" w:hanging="360"/>
      </w:pPr>
      <w:rPr>
        <w:rFonts w:hint="default"/>
        <w:b/>
      </w:rPr>
    </w:lvl>
    <w:lvl w:ilvl="1" w:tplc="080A0019" w:tentative="1">
      <w:start w:val="1"/>
      <w:numFmt w:val="lowerLetter"/>
      <w:lvlText w:val="%2."/>
      <w:lvlJc w:val="left"/>
      <w:pPr>
        <w:ind w:left="972" w:hanging="360"/>
      </w:pPr>
    </w:lvl>
    <w:lvl w:ilvl="2" w:tplc="080A001B" w:tentative="1">
      <w:start w:val="1"/>
      <w:numFmt w:val="lowerRoman"/>
      <w:lvlText w:val="%3."/>
      <w:lvlJc w:val="right"/>
      <w:pPr>
        <w:ind w:left="1692" w:hanging="180"/>
      </w:pPr>
    </w:lvl>
    <w:lvl w:ilvl="3" w:tplc="080A000F" w:tentative="1">
      <w:start w:val="1"/>
      <w:numFmt w:val="decimal"/>
      <w:lvlText w:val="%4."/>
      <w:lvlJc w:val="left"/>
      <w:pPr>
        <w:ind w:left="2412" w:hanging="360"/>
      </w:pPr>
    </w:lvl>
    <w:lvl w:ilvl="4" w:tplc="080A0019" w:tentative="1">
      <w:start w:val="1"/>
      <w:numFmt w:val="lowerLetter"/>
      <w:lvlText w:val="%5."/>
      <w:lvlJc w:val="left"/>
      <w:pPr>
        <w:ind w:left="3132" w:hanging="360"/>
      </w:pPr>
    </w:lvl>
    <w:lvl w:ilvl="5" w:tplc="080A001B" w:tentative="1">
      <w:start w:val="1"/>
      <w:numFmt w:val="lowerRoman"/>
      <w:lvlText w:val="%6."/>
      <w:lvlJc w:val="right"/>
      <w:pPr>
        <w:ind w:left="3852" w:hanging="180"/>
      </w:pPr>
    </w:lvl>
    <w:lvl w:ilvl="6" w:tplc="080A000F" w:tentative="1">
      <w:start w:val="1"/>
      <w:numFmt w:val="decimal"/>
      <w:lvlText w:val="%7."/>
      <w:lvlJc w:val="left"/>
      <w:pPr>
        <w:ind w:left="4572" w:hanging="360"/>
      </w:pPr>
    </w:lvl>
    <w:lvl w:ilvl="7" w:tplc="080A0019" w:tentative="1">
      <w:start w:val="1"/>
      <w:numFmt w:val="lowerLetter"/>
      <w:lvlText w:val="%8."/>
      <w:lvlJc w:val="left"/>
      <w:pPr>
        <w:ind w:left="5292" w:hanging="360"/>
      </w:pPr>
    </w:lvl>
    <w:lvl w:ilvl="8" w:tplc="080A001B" w:tentative="1">
      <w:start w:val="1"/>
      <w:numFmt w:val="lowerRoman"/>
      <w:lvlText w:val="%9."/>
      <w:lvlJc w:val="right"/>
      <w:pPr>
        <w:ind w:left="6012" w:hanging="180"/>
      </w:pPr>
    </w:lvl>
  </w:abstractNum>
  <w:abstractNum w:abstractNumId="29">
    <w:nsid w:val="19016E2A"/>
    <w:multiLevelType w:val="multilevel"/>
    <w:tmpl w:val="0C0A001F"/>
    <w:styleLink w:val="111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nsid w:val="19AC005F"/>
    <w:multiLevelType w:val="hybridMultilevel"/>
    <w:tmpl w:val="2D64E0B4"/>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1AE32D26"/>
    <w:multiLevelType w:val="hybridMultilevel"/>
    <w:tmpl w:val="7AAC7516"/>
    <w:lvl w:ilvl="0" w:tplc="4420CF3C">
      <w:start w:val="1"/>
      <w:numFmt w:val="decimal"/>
      <w:lvlText w:val="%1."/>
      <w:lvlJc w:val="left"/>
      <w:pPr>
        <w:ind w:left="720" w:hanging="360"/>
      </w:pPr>
      <w:rPr>
        <w:rFonts w:hint="default"/>
        <w:b w:val="0"/>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1B681D4B"/>
    <w:multiLevelType w:val="hybridMultilevel"/>
    <w:tmpl w:val="E35A83D0"/>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1D532AEE"/>
    <w:multiLevelType w:val="hybridMultilevel"/>
    <w:tmpl w:val="53A43BBE"/>
    <w:lvl w:ilvl="0" w:tplc="7520DBFC">
      <w:start w:val="1"/>
      <w:numFmt w:val="bullet"/>
      <w:lvlText w:val="–"/>
      <w:lvlJc w:val="left"/>
      <w:pPr>
        <w:ind w:left="1008" w:hanging="360"/>
      </w:pPr>
      <w:rPr>
        <w:rFonts w:ascii="Times New Roman" w:hAnsi="Times New Roman" w:cs="Times New Roman" w:hint="default"/>
        <w:sz w:val="24"/>
      </w:rPr>
    </w:lvl>
    <w:lvl w:ilvl="1" w:tplc="7520DBFC">
      <w:start w:val="1"/>
      <w:numFmt w:val="bullet"/>
      <w:lvlText w:val="–"/>
      <w:lvlJc w:val="left"/>
      <w:pPr>
        <w:ind w:left="1728" w:hanging="360"/>
      </w:pPr>
      <w:rPr>
        <w:rFonts w:ascii="Times New Roman" w:hAnsi="Times New Roman" w:cs="Times New Roman" w:hint="default"/>
        <w:sz w:val="24"/>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34">
    <w:nsid w:val="202F613A"/>
    <w:multiLevelType w:val="hybridMultilevel"/>
    <w:tmpl w:val="911A2C8C"/>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5">
    <w:nsid w:val="22973A19"/>
    <w:multiLevelType w:val="hybridMultilevel"/>
    <w:tmpl w:val="103C2AC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27022E14"/>
    <w:multiLevelType w:val="multilevel"/>
    <w:tmpl w:val="C9B80DCC"/>
    <w:styleLink w:val="1111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2749427B"/>
    <w:multiLevelType w:val="hybridMultilevel"/>
    <w:tmpl w:val="58B8E56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nsid w:val="28557B77"/>
    <w:multiLevelType w:val="hybridMultilevel"/>
    <w:tmpl w:val="8DD83068"/>
    <w:lvl w:ilvl="0" w:tplc="F7B43D26">
      <w:start w:val="1"/>
      <w:numFmt w:val="lowerRoman"/>
      <w:lvlText w:val="%1)"/>
      <w:lvlJc w:val="left"/>
      <w:pPr>
        <w:ind w:left="720" w:hanging="360"/>
      </w:pPr>
      <w:rPr>
        <w:rFonts w:ascii="Times New Roman" w:hAnsi="Times New Roman" w:hint="default"/>
        <w:b w:val="0"/>
        <w:i w:val="0"/>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28A922C4"/>
    <w:multiLevelType w:val="hybridMultilevel"/>
    <w:tmpl w:val="D6B2FB5A"/>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296A6F6B"/>
    <w:multiLevelType w:val="hybridMultilevel"/>
    <w:tmpl w:val="57B42AC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1">
    <w:nsid w:val="29AA0702"/>
    <w:multiLevelType w:val="hybridMultilevel"/>
    <w:tmpl w:val="890402E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nsid w:val="29F427DF"/>
    <w:multiLevelType w:val="hybridMultilevel"/>
    <w:tmpl w:val="FAC897F0"/>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3">
    <w:nsid w:val="2C630185"/>
    <w:multiLevelType w:val="hybridMultilevel"/>
    <w:tmpl w:val="DE00606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nsid w:val="2EBC188C"/>
    <w:multiLevelType w:val="hybridMultilevel"/>
    <w:tmpl w:val="DB3C4F5A"/>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nsid w:val="2F7F45B2"/>
    <w:multiLevelType w:val="hybridMultilevel"/>
    <w:tmpl w:val="BB1A7372"/>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6">
    <w:nsid w:val="2FD53D9A"/>
    <w:multiLevelType w:val="hybridMultilevel"/>
    <w:tmpl w:val="199240F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7">
    <w:nsid w:val="2FE648AE"/>
    <w:multiLevelType w:val="hybridMultilevel"/>
    <w:tmpl w:val="E5604668"/>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nsid w:val="314976E1"/>
    <w:multiLevelType w:val="hybridMultilevel"/>
    <w:tmpl w:val="28F6D56E"/>
    <w:lvl w:ilvl="0" w:tplc="E654A1BE">
      <w:start w:val="1"/>
      <w:numFmt w:val="bullet"/>
      <w:lvlText w:val=""/>
      <w:lvlJc w:val="left"/>
      <w:pPr>
        <w:ind w:left="720" w:hanging="360"/>
      </w:pPr>
      <w:rPr>
        <w:rFonts w:ascii="Symbol" w:hAnsi="Symbol" w:hint="default"/>
      </w:rPr>
    </w:lvl>
    <w:lvl w:ilvl="1" w:tplc="D3CCB736">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3164143A"/>
    <w:multiLevelType w:val="hybridMultilevel"/>
    <w:tmpl w:val="572A6BD0"/>
    <w:lvl w:ilvl="0" w:tplc="080A000F">
      <w:start w:val="1"/>
      <w:numFmt w:val="decimal"/>
      <w:lvlText w:val="%1."/>
      <w:lvlJc w:val="left"/>
      <w:pPr>
        <w:ind w:left="-351" w:hanging="360"/>
      </w:pPr>
    </w:lvl>
    <w:lvl w:ilvl="1" w:tplc="080A0019" w:tentative="1">
      <w:start w:val="1"/>
      <w:numFmt w:val="lowerLetter"/>
      <w:lvlText w:val="%2."/>
      <w:lvlJc w:val="left"/>
      <w:pPr>
        <w:ind w:left="369" w:hanging="360"/>
      </w:pPr>
    </w:lvl>
    <w:lvl w:ilvl="2" w:tplc="080A001B" w:tentative="1">
      <w:start w:val="1"/>
      <w:numFmt w:val="lowerRoman"/>
      <w:lvlText w:val="%3."/>
      <w:lvlJc w:val="right"/>
      <w:pPr>
        <w:ind w:left="1089" w:hanging="180"/>
      </w:pPr>
    </w:lvl>
    <w:lvl w:ilvl="3" w:tplc="080A000F" w:tentative="1">
      <w:start w:val="1"/>
      <w:numFmt w:val="decimal"/>
      <w:lvlText w:val="%4."/>
      <w:lvlJc w:val="left"/>
      <w:pPr>
        <w:ind w:left="1809" w:hanging="360"/>
      </w:pPr>
    </w:lvl>
    <w:lvl w:ilvl="4" w:tplc="080A0019" w:tentative="1">
      <w:start w:val="1"/>
      <w:numFmt w:val="lowerLetter"/>
      <w:lvlText w:val="%5."/>
      <w:lvlJc w:val="left"/>
      <w:pPr>
        <w:ind w:left="2529" w:hanging="360"/>
      </w:pPr>
    </w:lvl>
    <w:lvl w:ilvl="5" w:tplc="080A001B" w:tentative="1">
      <w:start w:val="1"/>
      <w:numFmt w:val="lowerRoman"/>
      <w:lvlText w:val="%6."/>
      <w:lvlJc w:val="right"/>
      <w:pPr>
        <w:ind w:left="3249" w:hanging="180"/>
      </w:pPr>
    </w:lvl>
    <w:lvl w:ilvl="6" w:tplc="080A000F" w:tentative="1">
      <w:start w:val="1"/>
      <w:numFmt w:val="decimal"/>
      <w:lvlText w:val="%7."/>
      <w:lvlJc w:val="left"/>
      <w:pPr>
        <w:ind w:left="3969" w:hanging="360"/>
      </w:pPr>
    </w:lvl>
    <w:lvl w:ilvl="7" w:tplc="080A0019" w:tentative="1">
      <w:start w:val="1"/>
      <w:numFmt w:val="lowerLetter"/>
      <w:lvlText w:val="%8."/>
      <w:lvlJc w:val="left"/>
      <w:pPr>
        <w:ind w:left="4689" w:hanging="360"/>
      </w:pPr>
    </w:lvl>
    <w:lvl w:ilvl="8" w:tplc="080A001B" w:tentative="1">
      <w:start w:val="1"/>
      <w:numFmt w:val="lowerRoman"/>
      <w:lvlText w:val="%9."/>
      <w:lvlJc w:val="right"/>
      <w:pPr>
        <w:ind w:left="5409" w:hanging="180"/>
      </w:pPr>
    </w:lvl>
  </w:abstractNum>
  <w:abstractNum w:abstractNumId="50">
    <w:nsid w:val="316C4C10"/>
    <w:multiLevelType w:val="hybridMultilevel"/>
    <w:tmpl w:val="A88EBB26"/>
    <w:lvl w:ilvl="0" w:tplc="A8648EE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1">
    <w:nsid w:val="319C639A"/>
    <w:multiLevelType w:val="hybridMultilevel"/>
    <w:tmpl w:val="C896D432"/>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nsid w:val="31AC5768"/>
    <w:multiLevelType w:val="hybridMultilevel"/>
    <w:tmpl w:val="E384DB5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nsid w:val="32DF555A"/>
    <w:multiLevelType w:val="hybridMultilevel"/>
    <w:tmpl w:val="C43244F6"/>
    <w:lvl w:ilvl="0" w:tplc="1FFC7152">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4">
    <w:nsid w:val="32F346A8"/>
    <w:multiLevelType w:val="hybridMultilevel"/>
    <w:tmpl w:val="F0CEBF1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nsid w:val="34403E5A"/>
    <w:multiLevelType w:val="hybridMultilevel"/>
    <w:tmpl w:val="87FA2258"/>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nsid w:val="34D91CA4"/>
    <w:multiLevelType w:val="hybridMultilevel"/>
    <w:tmpl w:val="7C3EF45E"/>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7">
    <w:nsid w:val="354302D0"/>
    <w:multiLevelType w:val="hybridMultilevel"/>
    <w:tmpl w:val="4170D198"/>
    <w:lvl w:ilvl="0" w:tplc="A8648EE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nsid w:val="35466987"/>
    <w:multiLevelType w:val="hybridMultilevel"/>
    <w:tmpl w:val="8D96345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9">
    <w:nsid w:val="35C17A25"/>
    <w:multiLevelType w:val="hybridMultilevel"/>
    <w:tmpl w:val="536604F2"/>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0">
    <w:nsid w:val="367B3CCC"/>
    <w:multiLevelType w:val="hybridMultilevel"/>
    <w:tmpl w:val="5D34E80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nsid w:val="377656F2"/>
    <w:multiLevelType w:val="hybridMultilevel"/>
    <w:tmpl w:val="A66AA634"/>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nsid w:val="38125670"/>
    <w:multiLevelType w:val="hybridMultilevel"/>
    <w:tmpl w:val="BBC64AA4"/>
    <w:styleLink w:val="11111124"/>
    <w:lvl w:ilvl="0" w:tplc="836A1296">
      <w:start w:val="1"/>
      <w:numFmt w:val="bullet"/>
      <w:lvlText w:val="-"/>
      <w:lvlJc w:val="left"/>
      <w:pPr>
        <w:ind w:left="1004" w:hanging="360"/>
      </w:pPr>
      <w:rPr>
        <w:rFonts w:ascii="Arial" w:hAnsi="Arial"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63">
    <w:nsid w:val="398E4B44"/>
    <w:multiLevelType w:val="hybridMultilevel"/>
    <w:tmpl w:val="52726324"/>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4">
    <w:nsid w:val="3A7E2863"/>
    <w:multiLevelType w:val="hybridMultilevel"/>
    <w:tmpl w:val="20607E8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nsid w:val="3B724897"/>
    <w:multiLevelType w:val="hybridMultilevel"/>
    <w:tmpl w:val="D39CBBC0"/>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nsid w:val="3CAB3ECE"/>
    <w:multiLevelType w:val="hybridMultilevel"/>
    <w:tmpl w:val="81BC8A24"/>
    <w:lvl w:ilvl="0" w:tplc="AD1A70D0">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nsid w:val="3D1757C6"/>
    <w:multiLevelType w:val="hybridMultilevel"/>
    <w:tmpl w:val="53544E04"/>
    <w:lvl w:ilvl="0" w:tplc="FFEE025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nsid w:val="3D6F7D99"/>
    <w:multiLevelType w:val="hybridMultilevel"/>
    <w:tmpl w:val="27D0C19A"/>
    <w:lvl w:ilvl="0" w:tplc="7520DBFC">
      <w:start w:val="1"/>
      <w:numFmt w:val="bullet"/>
      <w:lvlText w:val="–"/>
      <w:lvlJc w:val="left"/>
      <w:pPr>
        <w:ind w:left="720" w:hanging="360"/>
      </w:pPr>
      <w:rPr>
        <w:rFonts w:ascii="Times New Roman" w:hAnsi="Times New Roman" w:cs="Times New Roman" w:hint="default"/>
        <w:sz w:val="24"/>
      </w:rPr>
    </w:lvl>
    <w:lvl w:ilvl="1" w:tplc="D66477BC">
      <w:numFmt w:val="bullet"/>
      <w:lvlText w:val="-"/>
      <w:lvlJc w:val="left"/>
      <w:pPr>
        <w:ind w:left="1440" w:hanging="360"/>
      </w:pPr>
      <w:rPr>
        <w:rFonts w:ascii="Times New Roman" w:eastAsia="Times New Roman"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9">
    <w:nsid w:val="3DC32FDF"/>
    <w:multiLevelType w:val="hybridMultilevel"/>
    <w:tmpl w:val="78B088F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nsid w:val="3F0729A3"/>
    <w:multiLevelType w:val="hybridMultilevel"/>
    <w:tmpl w:val="29865DE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1">
    <w:nsid w:val="405B1EC9"/>
    <w:multiLevelType w:val="hybridMultilevel"/>
    <w:tmpl w:val="6712865E"/>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nsid w:val="41C84AA4"/>
    <w:multiLevelType w:val="hybridMultilevel"/>
    <w:tmpl w:val="93F80A0A"/>
    <w:lvl w:ilvl="0" w:tplc="845AE966">
      <w:start w:val="1"/>
      <w:numFmt w:val="upperLetter"/>
      <w:lvlText w:val="%1)"/>
      <w:lvlJc w:val="left"/>
      <w:pPr>
        <w:ind w:left="252" w:hanging="360"/>
      </w:pPr>
      <w:rPr>
        <w:rFonts w:hint="default"/>
        <w:b/>
      </w:rPr>
    </w:lvl>
    <w:lvl w:ilvl="1" w:tplc="080A0019" w:tentative="1">
      <w:start w:val="1"/>
      <w:numFmt w:val="lowerLetter"/>
      <w:lvlText w:val="%2."/>
      <w:lvlJc w:val="left"/>
      <w:pPr>
        <w:ind w:left="972" w:hanging="360"/>
      </w:pPr>
    </w:lvl>
    <w:lvl w:ilvl="2" w:tplc="080A001B" w:tentative="1">
      <w:start w:val="1"/>
      <w:numFmt w:val="lowerRoman"/>
      <w:lvlText w:val="%3."/>
      <w:lvlJc w:val="right"/>
      <w:pPr>
        <w:ind w:left="1692" w:hanging="180"/>
      </w:pPr>
    </w:lvl>
    <w:lvl w:ilvl="3" w:tplc="080A000F" w:tentative="1">
      <w:start w:val="1"/>
      <w:numFmt w:val="decimal"/>
      <w:lvlText w:val="%4."/>
      <w:lvlJc w:val="left"/>
      <w:pPr>
        <w:ind w:left="2412" w:hanging="360"/>
      </w:pPr>
    </w:lvl>
    <w:lvl w:ilvl="4" w:tplc="080A0019" w:tentative="1">
      <w:start w:val="1"/>
      <w:numFmt w:val="lowerLetter"/>
      <w:lvlText w:val="%5."/>
      <w:lvlJc w:val="left"/>
      <w:pPr>
        <w:ind w:left="3132" w:hanging="360"/>
      </w:pPr>
    </w:lvl>
    <w:lvl w:ilvl="5" w:tplc="080A001B" w:tentative="1">
      <w:start w:val="1"/>
      <w:numFmt w:val="lowerRoman"/>
      <w:lvlText w:val="%6."/>
      <w:lvlJc w:val="right"/>
      <w:pPr>
        <w:ind w:left="3852" w:hanging="180"/>
      </w:pPr>
    </w:lvl>
    <w:lvl w:ilvl="6" w:tplc="080A000F" w:tentative="1">
      <w:start w:val="1"/>
      <w:numFmt w:val="decimal"/>
      <w:lvlText w:val="%7."/>
      <w:lvlJc w:val="left"/>
      <w:pPr>
        <w:ind w:left="4572" w:hanging="360"/>
      </w:pPr>
    </w:lvl>
    <w:lvl w:ilvl="7" w:tplc="080A0019" w:tentative="1">
      <w:start w:val="1"/>
      <w:numFmt w:val="lowerLetter"/>
      <w:lvlText w:val="%8."/>
      <w:lvlJc w:val="left"/>
      <w:pPr>
        <w:ind w:left="5292" w:hanging="360"/>
      </w:pPr>
    </w:lvl>
    <w:lvl w:ilvl="8" w:tplc="080A001B" w:tentative="1">
      <w:start w:val="1"/>
      <w:numFmt w:val="lowerRoman"/>
      <w:lvlText w:val="%9."/>
      <w:lvlJc w:val="right"/>
      <w:pPr>
        <w:ind w:left="6012" w:hanging="180"/>
      </w:pPr>
    </w:lvl>
  </w:abstractNum>
  <w:abstractNum w:abstractNumId="73">
    <w:nsid w:val="41D41DD0"/>
    <w:multiLevelType w:val="hybridMultilevel"/>
    <w:tmpl w:val="CE3EA622"/>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4">
    <w:nsid w:val="43C3541C"/>
    <w:multiLevelType w:val="hybridMultilevel"/>
    <w:tmpl w:val="F2C2A400"/>
    <w:lvl w:ilvl="0" w:tplc="A8F6697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5">
    <w:nsid w:val="43EF73F7"/>
    <w:multiLevelType w:val="hybridMultilevel"/>
    <w:tmpl w:val="1562D976"/>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nsid w:val="452966AB"/>
    <w:multiLevelType w:val="hybridMultilevel"/>
    <w:tmpl w:val="1BA4E67C"/>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7">
    <w:nsid w:val="453A160D"/>
    <w:multiLevelType w:val="hybridMultilevel"/>
    <w:tmpl w:val="A7B8D2B0"/>
    <w:lvl w:ilvl="0" w:tplc="E654A1BE">
      <w:start w:val="1"/>
      <w:numFmt w:val="bullet"/>
      <w:lvlText w:val=""/>
      <w:lvlJc w:val="left"/>
      <w:pPr>
        <w:ind w:left="720" w:hanging="360"/>
      </w:pPr>
      <w:rPr>
        <w:rFonts w:ascii="Symbol" w:hAnsi="Symbol" w:hint="default"/>
      </w:rPr>
    </w:lvl>
    <w:lvl w:ilvl="1" w:tplc="308CDCE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nsid w:val="46711A75"/>
    <w:multiLevelType w:val="hybridMultilevel"/>
    <w:tmpl w:val="47587BC6"/>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9">
    <w:nsid w:val="482F6BA1"/>
    <w:multiLevelType w:val="hybridMultilevel"/>
    <w:tmpl w:val="D6FC288A"/>
    <w:lvl w:ilvl="0" w:tplc="080A0001">
      <w:start w:val="1"/>
      <w:numFmt w:val="bullet"/>
      <w:lvlText w:val=""/>
      <w:lvlJc w:val="left"/>
      <w:pPr>
        <w:ind w:left="720" w:hanging="360"/>
      </w:pPr>
      <w:rPr>
        <w:rFonts w:ascii="Symbol" w:hAnsi="Symbol" w:hint="default"/>
      </w:rPr>
    </w:lvl>
    <w:lvl w:ilvl="1" w:tplc="B048691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nsid w:val="490170CE"/>
    <w:multiLevelType w:val="hybridMultilevel"/>
    <w:tmpl w:val="D0D874FA"/>
    <w:lvl w:ilvl="0" w:tplc="7AB291FE">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1">
    <w:nsid w:val="49B60CC7"/>
    <w:multiLevelType w:val="hybridMultilevel"/>
    <w:tmpl w:val="DBF87D3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2">
    <w:nsid w:val="4A0C0056"/>
    <w:multiLevelType w:val="hybridMultilevel"/>
    <w:tmpl w:val="3B6CEF80"/>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3">
    <w:nsid w:val="4AFC59DC"/>
    <w:multiLevelType w:val="hybridMultilevel"/>
    <w:tmpl w:val="2446E0C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4">
    <w:nsid w:val="4BEC6E64"/>
    <w:multiLevelType w:val="hybridMultilevel"/>
    <w:tmpl w:val="7AEC203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5">
    <w:nsid w:val="4C397D5C"/>
    <w:multiLevelType w:val="hybridMultilevel"/>
    <w:tmpl w:val="2E503A92"/>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nsid w:val="4C7312E6"/>
    <w:multiLevelType w:val="hybridMultilevel"/>
    <w:tmpl w:val="4F7A799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nsid w:val="4DB258D8"/>
    <w:multiLevelType w:val="hybridMultilevel"/>
    <w:tmpl w:val="3D903E78"/>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8">
    <w:nsid w:val="4DDD607F"/>
    <w:multiLevelType w:val="hybridMultilevel"/>
    <w:tmpl w:val="6DBAD148"/>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9">
    <w:nsid w:val="4EED2453"/>
    <w:multiLevelType w:val="hybridMultilevel"/>
    <w:tmpl w:val="1C14AA66"/>
    <w:styleLink w:val="111111211"/>
    <w:lvl w:ilvl="0" w:tplc="D9EA953C">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0">
    <w:nsid w:val="4F2D3305"/>
    <w:multiLevelType w:val="hybridMultilevel"/>
    <w:tmpl w:val="EA94AE9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nsid w:val="4FB754EB"/>
    <w:multiLevelType w:val="hybridMultilevel"/>
    <w:tmpl w:val="FEC42B9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2">
    <w:nsid w:val="50312B6E"/>
    <w:multiLevelType w:val="hybridMultilevel"/>
    <w:tmpl w:val="A8BE1F46"/>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3">
    <w:nsid w:val="53D97EAF"/>
    <w:multiLevelType w:val="hybridMultilevel"/>
    <w:tmpl w:val="9D4A94CE"/>
    <w:lvl w:ilvl="0" w:tplc="E654A1BE">
      <w:start w:val="1"/>
      <w:numFmt w:val="bullet"/>
      <w:lvlText w:val=""/>
      <w:lvlJc w:val="left"/>
      <w:pPr>
        <w:ind w:left="720" w:hanging="360"/>
      </w:pPr>
      <w:rPr>
        <w:rFonts w:ascii="Symbol" w:hAnsi="Symbol" w:hint="default"/>
      </w:rPr>
    </w:lvl>
    <w:lvl w:ilvl="1" w:tplc="7608748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nsid w:val="55AD1E08"/>
    <w:multiLevelType w:val="hybridMultilevel"/>
    <w:tmpl w:val="E6920D0C"/>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5">
    <w:nsid w:val="57644CF4"/>
    <w:multiLevelType w:val="hybridMultilevel"/>
    <w:tmpl w:val="69705428"/>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6">
    <w:nsid w:val="59013E85"/>
    <w:multiLevelType w:val="hybridMultilevel"/>
    <w:tmpl w:val="4CA601E4"/>
    <w:lvl w:ilvl="0" w:tplc="FFEE0250">
      <w:start w:val="1"/>
      <w:numFmt w:val="bullet"/>
      <w:lvlText w:val=""/>
      <w:lvlJc w:val="left"/>
      <w:pPr>
        <w:ind w:left="788" w:hanging="360"/>
      </w:pPr>
      <w:rPr>
        <w:rFonts w:ascii="Symbol" w:hAnsi="Symbol" w:hint="default"/>
      </w:rPr>
    </w:lvl>
    <w:lvl w:ilvl="1" w:tplc="080A0003" w:tentative="1">
      <w:start w:val="1"/>
      <w:numFmt w:val="bullet"/>
      <w:lvlText w:val="o"/>
      <w:lvlJc w:val="left"/>
      <w:pPr>
        <w:ind w:left="1508" w:hanging="360"/>
      </w:pPr>
      <w:rPr>
        <w:rFonts w:ascii="Courier New" w:hAnsi="Courier New" w:cs="Courier New" w:hint="default"/>
      </w:rPr>
    </w:lvl>
    <w:lvl w:ilvl="2" w:tplc="080A0005" w:tentative="1">
      <w:start w:val="1"/>
      <w:numFmt w:val="bullet"/>
      <w:lvlText w:val=""/>
      <w:lvlJc w:val="left"/>
      <w:pPr>
        <w:ind w:left="2228" w:hanging="360"/>
      </w:pPr>
      <w:rPr>
        <w:rFonts w:ascii="Wingdings" w:hAnsi="Wingdings" w:hint="default"/>
      </w:rPr>
    </w:lvl>
    <w:lvl w:ilvl="3" w:tplc="080A0001" w:tentative="1">
      <w:start w:val="1"/>
      <w:numFmt w:val="bullet"/>
      <w:lvlText w:val=""/>
      <w:lvlJc w:val="left"/>
      <w:pPr>
        <w:ind w:left="2948" w:hanging="360"/>
      </w:pPr>
      <w:rPr>
        <w:rFonts w:ascii="Symbol" w:hAnsi="Symbol" w:hint="default"/>
      </w:rPr>
    </w:lvl>
    <w:lvl w:ilvl="4" w:tplc="080A0003" w:tentative="1">
      <w:start w:val="1"/>
      <w:numFmt w:val="bullet"/>
      <w:lvlText w:val="o"/>
      <w:lvlJc w:val="left"/>
      <w:pPr>
        <w:ind w:left="3668" w:hanging="360"/>
      </w:pPr>
      <w:rPr>
        <w:rFonts w:ascii="Courier New" w:hAnsi="Courier New" w:cs="Courier New" w:hint="default"/>
      </w:rPr>
    </w:lvl>
    <w:lvl w:ilvl="5" w:tplc="080A0005" w:tentative="1">
      <w:start w:val="1"/>
      <w:numFmt w:val="bullet"/>
      <w:lvlText w:val=""/>
      <w:lvlJc w:val="left"/>
      <w:pPr>
        <w:ind w:left="4388" w:hanging="360"/>
      </w:pPr>
      <w:rPr>
        <w:rFonts w:ascii="Wingdings" w:hAnsi="Wingdings" w:hint="default"/>
      </w:rPr>
    </w:lvl>
    <w:lvl w:ilvl="6" w:tplc="080A0001" w:tentative="1">
      <w:start w:val="1"/>
      <w:numFmt w:val="bullet"/>
      <w:lvlText w:val=""/>
      <w:lvlJc w:val="left"/>
      <w:pPr>
        <w:ind w:left="5108" w:hanging="360"/>
      </w:pPr>
      <w:rPr>
        <w:rFonts w:ascii="Symbol" w:hAnsi="Symbol" w:hint="default"/>
      </w:rPr>
    </w:lvl>
    <w:lvl w:ilvl="7" w:tplc="080A0003" w:tentative="1">
      <w:start w:val="1"/>
      <w:numFmt w:val="bullet"/>
      <w:lvlText w:val="o"/>
      <w:lvlJc w:val="left"/>
      <w:pPr>
        <w:ind w:left="5828" w:hanging="360"/>
      </w:pPr>
      <w:rPr>
        <w:rFonts w:ascii="Courier New" w:hAnsi="Courier New" w:cs="Courier New" w:hint="default"/>
      </w:rPr>
    </w:lvl>
    <w:lvl w:ilvl="8" w:tplc="080A0005" w:tentative="1">
      <w:start w:val="1"/>
      <w:numFmt w:val="bullet"/>
      <w:lvlText w:val=""/>
      <w:lvlJc w:val="left"/>
      <w:pPr>
        <w:ind w:left="6548" w:hanging="360"/>
      </w:pPr>
      <w:rPr>
        <w:rFonts w:ascii="Wingdings" w:hAnsi="Wingdings" w:hint="default"/>
      </w:rPr>
    </w:lvl>
  </w:abstractNum>
  <w:abstractNum w:abstractNumId="97">
    <w:nsid w:val="5947410A"/>
    <w:multiLevelType w:val="hybridMultilevel"/>
    <w:tmpl w:val="1DBE50F0"/>
    <w:lvl w:ilvl="0" w:tplc="E654A1BE">
      <w:start w:val="1"/>
      <w:numFmt w:val="bullet"/>
      <w:lvlText w:val=""/>
      <w:lvlJc w:val="left"/>
      <w:pPr>
        <w:ind w:left="720" w:hanging="360"/>
      </w:pPr>
      <w:rPr>
        <w:rFonts w:ascii="Symbol" w:hAnsi="Symbol" w:hint="default"/>
      </w:rPr>
    </w:lvl>
    <w:lvl w:ilvl="1" w:tplc="6EF41B7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8">
    <w:nsid w:val="5B4375C8"/>
    <w:multiLevelType w:val="hybridMultilevel"/>
    <w:tmpl w:val="B1385C2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9">
    <w:nsid w:val="5B84159B"/>
    <w:multiLevelType w:val="hybridMultilevel"/>
    <w:tmpl w:val="1AEAD96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0">
    <w:nsid w:val="5C957785"/>
    <w:multiLevelType w:val="hybridMultilevel"/>
    <w:tmpl w:val="F88A6F6E"/>
    <w:lvl w:ilvl="0" w:tplc="7AB291FE">
      <w:numFmt w:val="bullet"/>
      <w:lvlText w:val="—"/>
      <w:lvlJc w:val="left"/>
      <w:pPr>
        <w:ind w:left="360" w:hanging="360"/>
      </w:pPr>
      <w:rPr>
        <w:rFonts w:ascii="Times New Roman" w:eastAsiaTheme="minorHAnsi" w:hAnsi="Times New Roman" w:cs="Times New Roman"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1">
    <w:nsid w:val="5CA43752"/>
    <w:multiLevelType w:val="hybridMultilevel"/>
    <w:tmpl w:val="DB90A14C"/>
    <w:lvl w:ilvl="0" w:tplc="2CE48AF8">
      <w:start w:val="1"/>
      <w:numFmt w:val="lowerLetter"/>
      <w:lvlText w:val="%1)"/>
      <w:lvlJc w:val="left"/>
      <w:pPr>
        <w:ind w:left="830" w:hanging="360"/>
      </w:pPr>
      <w:rPr>
        <w:rFonts w:hint="default"/>
      </w:rPr>
    </w:lvl>
    <w:lvl w:ilvl="1" w:tplc="080A0019" w:tentative="1">
      <w:start w:val="1"/>
      <w:numFmt w:val="lowerLetter"/>
      <w:lvlText w:val="%2."/>
      <w:lvlJc w:val="left"/>
      <w:pPr>
        <w:ind w:left="1550" w:hanging="360"/>
      </w:pPr>
    </w:lvl>
    <w:lvl w:ilvl="2" w:tplc="080A001B" w:tentative="1">
      <w:start w:val="1"/>
      <w:numFmt w:val="lowerRoman"/>
      <w:lvlText w:val="%3."/>
      <w:lvlJc w:val="right"/>
      <w:pPr>
        <w:ind w:left="2270" w:hanging="180"/>
      </w:pPr>
    </w:lvl>
    <w:lvl w:ilvl="3" w:tplc="080A000F" w:tentative="1">
      <w:start w:val="1"/>
      <w:numFmt w:val="decimal"/>
      <w:lvlText w:val="%4."/>
      <w:lvlJc w:val="left"/>
      <w:pPr>
        <w:ind w:left="2990" w:hanging="360"/>
      </w:pPr>
    </w:lvl>
    <w:lvl w:ilvl="4" w:tplc="080A0019" w:tentative="1">
      <w:start w:val="1"/>
      <w:numFmt w:val="lowerLetter"/>
      <w:lvlText w:val="%5."/>
      <w:lvlJc w:val="left"/>
      <w:pPr>
        <w:ind w:left="3710" w:hanging="360"/>
      </w:pPr>
    </w:lvl>
    <w:lvl w:ilvl="5" w:tplc="080A001B" w:tentative="1">
      <w:start w:val="1"/>
      <w:numFmt w:val="lowerRoman"/>
      <w:lvlText w:val="%6."/>
      <w:lvlJc w:val="right"/>
      <w:pPr>
        <w:ind w:left="4430" w:hanging="180"/>
      </w:pPr>
    </w:lvl>
    <w:lvl w:ilvl="6" w:tplc="080A000F" w:tentative="1">
      <w:start w:val="1"/>
      <w:numFmt w:val="decimal"/>
      <w:lvlText w:val="%7."/>
      <w:lvlJc w:val="left"/>
      <w:pPr>
        <w:ind w:left="5150" w:hanging="360"/>
      </w:pPr>
    </w:lvl>
    <w:lvl w:ilvl="7" w:tplc="080A0019" w:tentative="1">
      <w:start w:val="1"/>
      <w:numFmt w:val="lowerLetter"/>
      <w:lvlText w:val="%8."/>
      <w:lvlJc w:val="left"/>
      <w:pPr>
        <w:ind w:left="5870" w:hanging="360"/>
      </w:pPr>
    </w:lvl>
    <w:lvl w:ilvl="8" w:tplc="080A001B" w:tentative="1">
      <w:start w:val="1"/>
      <w:numFmt w:val="lowerRoman"/>
      <w:lvlText w:val="%9."/>
      <w:lvlJc w:val="right"/>
      <w:pPr>
        <w:ind w:left="6590" w:hanging="180"/>
      </w:pPr>
    </w:lvl>
  </w:abstractNum>
  <w:abstractNum w:abstractNumId="102">
    <w:nsid w:val="5EC45B7D"/>
    <w:multiLevelType w:val="hybridMultilevel"/>
    <w:tmpl w:val="11740154"/>
    <w:lvl w:ilvl="0" w:tplc="C8EE0074">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3">
    <w:nsid w:val="5EC85F16"/>
    <w:multiLevelType w:val="hybridMultilevel"/>
    <w:tmpl w:val="AF7EEBB6"/>
    <w:lvl w:ilvl="0" w:tplc="080A000F">
      <w:start w:val="1"/>
      <w:numFmt w:val="decimal"/>
      <w:lvlText w:val="%1."/>
      <w:lvlJc w:val="left"/>
      <w:pPr>
        <w:ind w:left="360" w:hanging="360"/>
      </w:pPr>
    </w:lvl>
    <w:lvl w:ilvl="1" w:tplc="080A0019" w:tentative="1">
      <w:start w:val="1"/>
      <w:numFmt w:val="lowerLetter"/>
      <w:lvlText w:val="%2."/>
      <w:lvlJc w:val="left"/>
      <w:pPr>
        <w:ind w:left="-1897" w:hanging="360"/>
      </w:pPr>
    </w:lvl>
    <w:lvl w:ilvl="2" w:tplc="080A001B" w:tentative="1">
      <w:start w:val="1"/>
      <w:numFmt w:val="lowerRoman"/>
      <w:lvlText w:val="%3."/>
      <w:lvlJc w:val="right"/>
      <w:pPr>
        <w:ind w:left="-1177" w:hanging="180"/>
      </w:pPr>
    </w:lvl>
    <w:lvl w:ilvl="3" w:tplc="080A000F" w:tentative="1">
      <w:start w:val="1"/>
      <w:numFmt w:val="decimal"/>
      <w:lvlText w:val="%4."/>
      <w:lvlJc w:val="left"/>
      <w:pPr>
        <w:ind w:left="-457" w:hanging="360"/>
      </w:pPr>
    </w:lvl>
    <w:lvl w:ilvl="4" w:tplc="080A0019" w:tentative="1">
      <w:start w:val="1"/>
      <w:numFmt w:val="lowerLetter"/>
      <w:lvlText w:val="%5."/>
      <w:lvlJc w:val="left"/>
      <w:pPr>
        <w:ind w:left="263" w:hanging="360"/>
      </w:pPr>
    </w:lvl>
    <w:lvl w:ilvl="5" w:tplc="080A001B" w:tentative="1">
      <w:start w:val="1"/>
      <w:numFmt w:val="lowerRoman"/>
      <w:lvlText w:val="%6."/>
      <w:lvlJc w:val="right"/>
      <w:pPr>
        <w:ind w:left="983" w:hanging="180"/>
      </w:pPr>
    </w:lvl>
    <w:lvl w:ilvl="6" w:tplc="080A000F" w:tentative="1">
      <w:start w:val="1"/>
      <w:numFmt w:val="decimal"/>
      <w:lvlText w:val="%7."/>
      <w:lvlJc w:val="left"/>
      <w:pPr>
        <w:ind w:left="1703" w:hanging="360"/>
      </w:pPr>
    </w:lvl>
    <w:lvl w:ilvl="7" w:tplc="080A0019" w:tentative="1">
      <w:start w:val="1"/>
      <w:numFmt w:val="lowerLetter"/>
      <w:lvlText w:val="%8."/>
      <w:lvlJc w:val="left"/>
      <w:pPr>
        <w:ind w:left="2423" w:hanging="360"/>
      </w:pPr>
    </w:lvl>
    <w:lvl w:ilvl="8" w:tplc="080A001B" w:tentative="1">
      <w:start w:val="1"/>
      <w:numFmt w:val="lowerRoman"/>
      <w:lvlText w:val="%9."/>
      <w:lvlJc w:val="right"/>
      <w:pPr>
        <w:ind w:left="3143" w:hanging="180"/>
      </w:pPr>
    </w:lvl>
  </w:abstractNum>
  <w:abstractNum w:abstractNumId="104">
    <w:nsid w:val="5FB8694C"/>
    <w:multiLevelType w:val="hybridMultilevel"/>
    <w:tmpl w:val="FD16BF4A"/>
    <w:lvl w:ilvl="0" w:tplc="50149656">
      <w:start w:val="1"/>
      <w:numFmt w:val="lowerLetter"/>
      <w:lvlText w:val="%1)"/>
      <w:lvlJc w:val="left"/>
      <w:pPr>
        <w:ind w:left="480" w:hanging="48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5">
    <w:nsid w:val="605E34B1"/>
    <w:multiLevelType w:val="hybridMultilevel"/>
    <w:tmpl w:val="3AA41672"/>
    <w:lvl w:ilvl="0" w:tplc="080A001B">
      <w:start w:val="1"/>
      <w:numFmt w:val="lowerRoman"/>
      <w:lvlText w:val="%1."/>
      <w:lvlJc w:val="right"/>
      <w:pPr>
        <w:ind w:left="2629" w:hanging="360"/>
      </w:pPr>
      <w:rPr>
        <w:rFonts w:hint="default"/>
      </w:rPr>
    </w:lvl>
    <w:lvl w:ilvl="1" w:tplc="080A0019" w:tentative="1">
      <w:start w:val="1"/>
      <w:numFmt w:val="lowerLetter"/>
      <w:lvlText w:val="%2."/>
      <w:lvlJc w:val="left"/>
      <w:pPr>
        <w:ind w:left="3349" w:hanging="360"/>
      </w:pPr>
    </w:lvl>
    <w:lvl w:ilvl="2" w:tplc="080A001B" w:tentative="1">
      <w:start w:val="1"/>
      <w:numFmt w:val="lowerRoman"/>
      <w:lvlText w:val="%3."/>
      <w:lvlJc w:val="right"/>
      <w:pPr>
        <w:ind w:left="4069" w:hanging="180"/>
      </w:pPr>
    </w:lvl>
    <w:lvl w:ilvl="3" w:tplc="080A000F" w:tentative="1">
      <w:start w:val="1"/>
      <w:numFmt w:val="decimal"/>
      <w:lvlText w:val="%4."/>
      <w:lvlJc w:val="left"/>
      <w:pPr>
        <w:ind w:left="4789" w:hanging="360"/>
      </w:pPr>
    </w:lvl>
    <w:lvl w:ilvl="4" w:tplc="080A0019" w:tentative="1">
      <w:start w:val="1"/>
      <w:numFmt w:val="lowerLetter"/>
      <w:lvlText w:val="%5."/>
      <w:lvlJc w:val="left"/>
      <w:pPr>
        <w:ind w:left="5509" w:hanging="360"/>
      </w:pPr>
    </w:lvl>
    <w:lvl w:ilvl="5" w:tplc="080A001B" w:tentative="1">
      <w:start w:val="1"/>
      <w:numFmt w:val="lowerRoman"/>
      <w:lvlText w:val="%6."/>
      <w:lvlJc w:val="right"/>
      <w:pPr>
        <w:ind w:left="6229" w:hanging="180"/>
      </w:pPr>
    </w:lvl>
    <w:lvl w:ilvl="6" w:tplc="080A000F" w:tentative="1">
      <w:start w:val="1"/>
      <w:numFmt w:val="decimal"/>
      <w:lvlText w:val="%7."/>
      <w:lvlJc w:val="left"/>
      <w:pPr>
        <w:ind w:left="6949" w:hanging="360"/>
      </w:pPr>
    </w:lvl>
    <w:lvl w:ilvl="7" w:tplc="080A0019" w:tentative="1">
      <w:start w:val="1"/>
      <w:numFmt w:val="lowerLetter"/>
      <w:lvlText w:val="%8."/>
      <w:lvlJc w:val="left"/>
      <w:pPr>
        <w:ind w:left="7669" w:hanging="360"/>
      </w:pPr>
    </w:lvl>
    <w:lvl w:ilvl="8" w:tplc="080A001B" w:tentative="1">
      <w:start w:val="1"/>
      <w:numFmt w:val="lowerRoman"/>
      <w:lvlText w:val="%9."/>
      <w:lvlJc w:val="right"/>
      <w:pPr>
        <w:ind w:left="8389" w:hanging="180"/>
      </w:pPr>
    </w:lvl>
  </w:abstractNum>
  <w:abstractNum w:abstractNumId="106">
    <w:nsid w:val="6095054A"/>
    <w:multiLevelType w:val="hybridMultilevel"/>
    <w:tmpl w:val="34A28CF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nsid w:val="60D51511"/>
    <w:multiLevelType w:val="hybridMultilevel"/>
    <w:tmpl w:val="CD2C9106"/>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8">
    <w:nsid w:val="63F04A23"/>
    <w:multiLevelType w:val="hybridMultilevel"/>
    <w:tmpl w:val="66821EE8"/>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9">
    <w:nsid w:val="64E031F4"/>
    <w:multiLevelType w:val="hybridMultilevel"/>
    <w:tmpl w:val="487AF1F4"/>
    <w:lvl w:ilvl="0" w:tplc="E654A1BE">
      <w:start w:val="1"/>
      <w:numFmt w:val="bullet"/>
      <w:lvlText w:val=""/>
      <w:lvlJc w:val="left"/>
      <w:pPr>
        <w:ind w:left="720" w:hanging="360"/>
      </w:pPr>
      <w:rPr>
        <w:rFonts w:ascii="Symbol" w:hAnsi="Symbol" w:hint="default"/>
      </w:rPr>
    </w:lvl>
    <w:lvl w:ilvl="1" w:tplc="EAD2291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nsid w:val="65856F44"/>
    <w:multiLevelType w:val="hybridMultilevel"/>
    <w:tmpl w:val="8C4017E6"/>
    <w:lvl w:ilvl="0" w:tplc="A462CD46">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1">
    <w:nsid w:val="65D3104F"/>
    <w:multiLevelType w:val="hybridMultilevel"/>
    <w:tmpl w:val="A5343AB2"/>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2">
    <w:nsid w:val="66593C31"/>
    <w:multiLevelType w:val="hybridMultilevel"/>
    <w:tmpl w:val="A7D8B9FC"/>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3">
    <w:nsid w:val="67631888"/>
    <w:multiLevelType w:val="hybridMultilevel"/>
    <w:tmpl w:val="BD70E860"/>
    <w:lvl w:ilvl="0" w:tplc="AD90E8EA">
      <w:start w:val="1"/>
      <w:numFmt w:val="bullet"/>
      <w:lvlText w:val="-"/>
      <w:lvlJc w:val="left"/>
      <w:pPr>
        <w:ind w:left="360" w:hanging="360"/>
      </w:pPr>
      <w:rPr>
        <w:rFonts w:ascii="Courier New" w:hAnsi="Courier New"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4">
    <w:nsid w:val="67A56D5E"/>
    <w:multiLevelType w:val="hybridMultilevel"/>
    <w:tmpl w:val="F2A419CE"/>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5">
    <w:nsid w:val="69B935B7"/>
    <w:multiLevelType w:val="hybridMultilevel"/>
    <w:tmpl w:val="E7A665F0"/>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6">
    <w:nsid w:val="69BE5ABC"/>
    <w:multiLevelType w:val="hybridMultilevel"/>
    <w:tmpl w:val="3A56761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7">
    <w:nsid w:val="69D973E2"/>
    <w:multiLevelType w:val="hybridMultilevel"/>
    <w:tmpl w:val="DE424948"/>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8">
    <w:nsid w:val="69E82754"/>
    <w:multiLevelType w:val="hybridMultilevel"/>
    <w:tmpl w:val="C4AA2CAE"/>
    <w:styleLink w:val="111111212"/>
    <w:lvl w:ilvl="0" w:tplc="B0C0234C">
      <w:start w:val="1"/>
      <w:numFmt w:val="lowerRoman"/>
      <w:lvlText w:val="%1)"/>
      <w:lvlJc w:val="left"/>
      <w:pPr>
        <w:tabs>
          <w:tab w:val="num" w:pos="1080"/>
        </w:tabs>
        <w:ind w:left="1080" w:hanging="720"/>
      </w:pPr>
      <w:rPr>
        <w:rFonts w:hint="default"/>
      </w:rPr>
    </w:lvl>
    <w:lvl w:ilvl="1" w:tplc="0C0A0003">
      <w:start w:val="1"/>
      <w:numFmt w:val="decimal"/>
      <w:lvlText w:val="%2."/>
      <w:lvlJc w:val="left"/>
      <w:pPr>
        <w:tabs>
          <w:tab w:val="num" w:pos="1440"/>
        </w:tabs>
        <w:ind w:left="1440" w:hanging="360"/>
      </w:pPr>
      <w:rPr>
        <w:rFonts w:hint="default"/>
      </w:rPr>
    </w:lvl>
    <w:lvl w:ilvl="2" w:tplc="0C0A0005">
      <w:start w:val="1"/>
      <w:numFmt w:val="lowerRoman"/>
      <w:lvlText w:val="(%3)"/>
      <w:lvlJc w:val="left"/>
      <w:pPr>
        <w:tabs>
          <w:tab w:val="num" w:pos="2700"/>
        </w:tabs>
        <w:ind w:left="2700" w:hanging="720"/>
      </w:pPr>
      <w:rPr>
        <w:rFonts w:hint="default"/>
      </w:rPr>
    </w:lvl>
    <w:lvl w:ilvl="3" w:tplc="0C0A0001">
      <w:start w:val="1"/>
      <w:numFmt w:val="decimal"/>
      <w:lvlText w:val="%4)"/>
      <w:lvlJc w:val="left"/>
      <w:pPr>
        <w:tabs>
          <w:tab w:val="num" w:pos="2910"/>
        </w:tabs>
        <w:ind w:left="2910" w:hanging="390"/>
      </w:pPr>
      <w:rPr>
        <w:rFonts w:hint="default"/>
      </w:rPr>
    </w:lvl>
    <w:lvl w:ilvl="4" w:tplc="0C0A0003">
      <w:start w:val="1"/>
      <w:numFmt w:val="lowerLetter"/>
      <w:lvlText w:val="%5)"/>
      <w:lvlJc w:val="left"/>
      <w:pPr>
        <w:tabs>
          <w:tab w:val="num" w:pos="3600"/>
        </w:tabs>
        <w:ind w:left="3600" w:hanging="360"/>
      </w:pPr>
      <w:rPr>
        <w:rFonts w:hint="default"/>
      </w:rPr>
    </w:lvl>
    <w:lvl w:ilvl="5" w:tplc="0C0A0005">
      <w:start w:val="1"/>
      <w:numFmt w:val="upperRoman"/>
      <w:lvlText w:val="%6."/>
      <w:lvlJc w:val="left"/>
      <w:pPr>
        <w:tabs>
          <w:tab w:val="num" w:pos="4860"/>
        </w:tabs>
        <w:ind w:left="4860" w:hanging="720"/>
      </w:pPr>
      <w:rPr>
        <w:rFonts w:hint="default"/>
      </w:r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19">
    <w:nsid w:val="6A161699"/>
    <w:multiLevelType w:val="hybridMultilevel"/>
    <w:tmpl w:val="4622DB3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0">
    <w:nsid w:val="6A307990"/>
    <w:multiLevelType w:val="hybridMultilevel"/>
    <w:tmpl w:val="D82479B0"/>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1">
    <w:nsid w:val="6AEA592E"/>
    <w:multiLevelType w:val="hybridMultilevel"/>
    <w:tmpl w:val="F048B734"/>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2">
    <w:nsid w:val="6C2649FA"/>
    <w:multiLevelType w:val="hybridMultilevel"/>
    <w:tmpl w:val="6E6A756E"/>
    <w:lvl w:ilvl="0" w:tplc="2110EE6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3">
    <w:nsid w:val="6CE42F2C"/>
    <w:multiLevelType w:val="hybridMultilevel"/>
    <w:tmpl w:val="A8C4D4B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4">
    <w:nsid w:val="70B11701"/>
    <w:multiLevelType w:val="hybridMultilevel"/>
    <w:tmpl w:val="4E8472F4"/>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5">
    <w:nsid w:val="71964CA4"/>
    <w:multiLevelType w:val="hybridMultilevel"/>
    <w:tmpl w:val="E30271B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6">
    <w:nsid w:val="73491B5F"/>
    <w:multiLevelType w:val="hybridMultilevel"/>
    <w:tmpl w:val="FC5041EA"/>
    <w:lvl w:ilvl="0" w:tplc="AD90E8EA">
      <w:start w:val="1"/>
      <w:numFmt w:val="bullet"/>
      <w:lvlText w:val="-"/>
      <w:lvlJc w:val="left"/>
      <w:pPr>
        <w:ind w:left="360" w:hanging="360"/>
      </w:pPr>
      <w:rPr>
        <w:rFonts w:ascii="Courier New" w:hAnsi="Courier New"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7">
    <w:nsid w:val="73C47D17"/>
    <w:multiLevelType w:val="hybridMultilevel"/>
    <w:tmpl w:val="41C0E53C"/>
    <w:lvl w:ilvl="0" w:tplc="AD90E8EA">
      <w:start w:val="1"/>
      <w:numFmt w:val="bullet"/>
      <w:lvlText w:val="-"/>
      <w:lvlJc w:val="left"/>
      <w:pPr>
        <w:ind w:left="360" w:hanging="360"/>
      </w:pPr>
      <w:rPr>
        <w:rFonts w:ascii="Courier New" w:hAnsi="Courier New" w:hint="default"/>
      </w:rPr>
    </w:lvl>
    <w:lvl w:ilvl="1" w:tplc="A9C0AACE">
      <w:numFmt w:val="bullet"/>
      <w:lvlText w:val="•"/>
      <w:lvlJc w:val="left"/>
      <w:pPr>
        <w:ind w:left="1080" w:hanging="360"/>
      </w:pPr>
      <w:rPr>
        <w:rFonts w:ascii="Times New Roman" w:eastAsiaTheme="minorHAnsi" w:hAnsi="Times New Roman"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8">
    <w:nsid w:val="76AE2FEC"/>
    <w:multiLevelType w:val="hybridMultilevel"/>
    <w:tmpl w:val="643CC386"/>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9">
    <w:nsid w:val="77251DA9"/>
    <w:multiLevelType w:val="hybridMultilevel"/>
    <w:tmpl w:val="2B0A71D8"/>
    <w:lvl w:ilvl="0" w:tplc="7AB291FE">
      <w:numFmt w:val="bullet"/>
      <w:lvlText w:val="—"/>
      <w:lvlJc w:val="left"/>
      <w:pPr>
        <w:ind w:left="360" w:hanging="360"/>
      </w:pPr>
      <w:rPr>
        <w:rFonts w:ascii="Times New Roman" w:eastAsiaTheme="minorHAnsi" w:hAnsi="Times New Roman" w:cs="Times New Roman"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0">
    <w:nsid w:val="78C626F1"/>
    <w:multiLevelType w:val="hybridMultilevel"/>
    <w:tmpl w:val="493AA3F4"/>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1">
    <w:nsid w:val="7A740A32"/>
    <w:multiLevelType w:val="hybridMultilevel"/>
    <w:tmpl w:val="08D8B1B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2">
    <w:nsid w:val="7AAE477E"/>
    <w:multiLevelType w:val="hybridMultilevel"/>
    <w:tmpl w:val="C84816B6"/>
    <w:lvl w:ilvl="0" w:tplc="CD06DD38">
      <w:start w:val="1"/>
      <w:numFmt w:val="low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3">
    <w:nsid w:val="7AB242D8"/>
    <w:multiLevelType w:val="hybridMultilevel"/>
    <w:tmpl w:val="2986420C"/>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4">
    <w:nsid w:val="7B0F4238"/>
    <w:multiLevelType w:val="hybridMultilevel"/>
    <w:tmpl w:val="51E8C5FA"/>
    <w:lvl w:ilvl="0" w:tplc="E654A1BE">
      <w:start w:val="1"/>
      <w:numFmt w:val="bullet"/>
      <w:lvlText w:val=""/>
      <w:lvlJc w:val="left"/>
      <w:pPr>
        <w:ind w:left="720" w:hanging="360"/>
      </w:pPr>
      <w:rPr>
        <w:rFonts w:ascii="Symbol" w:hAnsi="Symbol" w:hint="default"/>
      </w:rPr>
    </w:lvl>
    <w:lvl w:ilvl="1" w:tplc="8924B9D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5">
    <w:nsid w:val="7B49773B"/>
    <w:multiLevelType w:val="hybridMultilevel"/>
    <w:tmpl w:val="1C4E527A"/>
    <w:lvl w:ilvl="0" w:tplc="E654A1BE">
      <w:start w:val="1"/>
      <w:numFmt w:val="bullet"/>
      <w:lvlText w:val=""/>
      <w:lvlJc w:val="left"/>
      <w:pPr>
        <w:ind w:left="720" w:hanging="360"/>
      </w:pPr>
      <w:rPr>
        <w:rFonts w:ascii="Symbol" w:hAnsi="Symbol" w:hint="default"/>
      </w:rPr>
    </w:lvl>
    <w:lvl w:ilvl="1" w:tplc="3B56B228">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6">
    <w:nsid w:val="7BE841D0"/>
    <w:multiLevelType w:val="hybridMultilevel"/>
    <w:tmpl w:val="2B42038A"/>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7">
    <w:nsid w:val="7C715304"/>
    <w:multiLevelType w:val="hybridMultilevel"/>
    <w:tmpl w:val="FA2AADFC"/>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8">
    <w:nsid w:val="7C884F4B"/>
    <w:multiLevelType w:val="hybridMultilevel"/>
    <w:tmpl w:val="6D62BEDC"/>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9">
    <w:nsid w:val="7CEA009E"/>
    <w:multiLevelType w:val="hybridMultilevel"/>
    <w:tmpl w:val="A650CE9E"/>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0">
    <w:nsid w:val="7E0D0648"/>
    <w:multiLevelType w:val="hybridMultilevel"/>
    <w:tmpl w:val="A8CAEABE"/>
    <w:lvl w:ilvl="0" w:tplc="AD90E8EA">
      <w:start w:val="1"/>
      <w:numFmt w:val="bullet"/>
      <w:lvlText w:val="-"/>
      <w:lvlJc w:val="left"/>
      <w:pPr>
        <w:ind w:left="360" w:hanging="360"/>
      </w:pPr>
      <w:rPr>
        <w:rFonts w:ascii="Courier New" w:hAnsi="Courier New" w:hint="default"/>
      </w:rPr>
    </w:lvl>
    <w:lvl w:ilvl="1" w:tplc="7AB291FE">
      <w:numFmt w:val="bullet"/>
      <w:lvlText w:val="—"/>
      <w:lvlJc w:val="left"/>
      <w:pPr>
        <w:ind w:left="1080" w:hanging="360"/>
      </w:pPr>
      <w:rPr>
        <w:rFonts w:ascii="Times New Roman" w:eastAsiaTheme="minorHAnsi" w:hAnsi="Times New Roman"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1">
    <w:nsid w:val="7E416607"/>
    <w:multiLevelType w:val="hybridMultilevel"/>
    <w:tmpl w:val="0AA26E5C"/>
    <w:lvl w:ilvl="0" w:tplc="E654A1BE">
      <w:start w:val="1"/>
      <w:numFmt w:val="bullet"/>
      <w:lvlText w:val=""/>
      <w:lvlJc w:val="left"/>
      <w:pPr>
        <w:ind w:left="720" w:hanging="360"/>
      </w:pPr>
      <w:rPr>
        <w:rFonts w:ascii="Symbol" w:hAnsi="Symbol" w:hint="default"/>
      </w:rPr>
    </w:lvl>
    <w:lvl w:ilvl="1" w:tplc="270C630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2">
    <w:nsid w:val="7EC93A27"/>
    <w:multiLevelType w:val="hybridMultilevel"/>
    <w:tmpl w:val="57D8632E"/>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3">
    <w:nsid w:val="7F9C62CD"/>
    <w:multiLevelType w:val="hybridMultilevel"/>
    <w:tmpl w:val="3DFC485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6"/>
  </w:num>
  <w:num w:numId="2">
    <w:abstractNumId w:val="3"/>
  </w:num>
  <w:num w:numId="3">
    <w:abstractNumId w:val="4"/>
  </w:num>
  <w:num w:numId="4">
    <w:abstractNumId w:val="2"/>
  </w:num>
  <w:num w:numId="5">
    <w:abstractNumId w:val="8"/>
  </w:num>
  <w:num w:numId="6">
    <w:abstractNumId w:val="118"/>
  </w:num>
  <w:num w:numId="7">
    <w:abstractNumId w:val="29"/>
  </w:num>
  <w:num w:numId="8">
    <w:abstractNumId w:val="1"/>
  </w:num>
  <w:num w:numId="9">
    <w:abstractNumId w:val="36"/>
  </w:num>
  <w:num w:numId="10">
    <w:abstractNumId w:val="89"/>
  </w:num>
  <w:num w:numId="11">
    <w:abstractNumId w:val="0"/>
  </w:num>
  <w:num w:numId="12">
    <w:abstractNumId w:val="74"/>
  </w:num>
  <w:num w:numId="13">
    <w:abstractNumId w:val="62"/>
  </w:num>
  <w:num w:numId="14">
    <w:abstractNumId w:val="32"/>
  </w:num>
  <w:num w:numId="15">
    <w:abstractNumId w:val="116"/>
  </w:num>
  <w:num w:numId="16">
    <w:abstractNumId w:val="55"/>
  </w:num>
  <w:num w:numId="17">
    <w:abstractNumId w:val="112"/>
  </w:num>
  <w:num w:numId="18">
    <w:abstractNumId w:val="49"/>
  </w:num>
  <w:num w:numId="19">
    <w:abstractNumId w:val="19"/>
  </w:num>
  <w:num w:numId="20">
    <w:abstractNumId w:val="95"/>
  </w:num>
  <w:num w:numId="21">
    <w:abstractNumId w:val="79"/>
  </w:num>
  <w:num w:numId="22">
    <w:abstractNumId w:val="45"/>
  </w:num>
  <w:num w:numId="23">
    <w:abstractNumId w:val="140"/>
  </w:num>
  <w:num w:numId="24">
    <w:abstractNumId w:val="106"/>
  </w:num>
  <w:num w:numId="25">
    <w:abstractNumId w:val="129"/>
  </w:num>
  <w:num w:numId="26">
    <w:abstractNumId w:val="123"/>
  </w:num>
  <w:num w:numId="27">
    <w:abstractNumId w:val="68"/>
  </w:num>
  <w:num w:numId="28">
    <w:abstractNumId w:val="137"/>
  </w:num>
  <w:num w:numId="29">
    <w:abstractNumId w:val="98"/>
  </w:num>
  <w:num w:numId="30">
    <w:abstractNumId w:val="7"/>
  </w:num>
  <w:num w:numId="31">
    <w:abstractNumId w:val="33"/>
  </w:num>
  <w:num w:numId="32">
    <w:abstractNumId w:val="14"/>
  </w:num>
  <w:num w:numId="33">
    <w:abstractNumId w:val="22"/>
  </w:num>
  <w:num w:numId="34">
    <w:abstractNumId w:val="142"/>
  </w:num>
  <w:num w:numId="35">
    <w:abstractNumId w:val="115"/>
  </w:num>
  <w:num w:numId="36">
    <w:abstractNumId w:val="44"/>
  </w:num>
  <w:num w:numId="37">
    <w:abstractNumId w:val="9"/>
  </w:num>
  <w:num w:numId="38">
    <w:abstractNumId w:val="39"/>
  </w:num>
  <w:num w:numId="39">
    <w:abstractNumId w:val="53"/>
  </w:num>
  <w:num w:numId="40">
    <w:abstractNumId w:val="5"/>
  </w:num>
  <w:num w:numId="41">
    <w:abstractNumId w:val="119"/>
  </w:num>
  <w:num w:numId="42">
    <w:abstractNumId w:val="134"/>
  </w:num>
  <w:num w:numId="43">
    <w:abstractNumId w:val="25"/>
  </w:num>
  <w:num w:numId="44">
    <w:abstractNumId w:val="135"/>
  </w:num>
  <w:num w:numId="45">
    <w:abstractNumId w:val="109"/>
  </w:num>
  <w:num w:numId="46">
    <w:abstractNumId w:val="97"/>
  </w:num>
  <w:num w:numId="47">
    <w:abstractNumId w:val="50"/>
  </w:num>
  <w:num w:numId="48">
    <w:abstractNumId w:val="128"/>
  </w:num>
  <w:num w:numId="49">
    <w:abstractNumId w:val="127"/>
  </w:num>
  <w:num w:numId="50">
    <w:abstractNumId w:val="111"/>
  </w:num>
  <w:num w:numId="51">
    <w:abstractNumId w:val="11"/>
  </w:num>
  <w:num w:numId="52">
    <w:abstractNumId w:val="73"/>
  </w:num>
  <w:num w:numId="53">
    <w:abstractNumId w:val="139"/>
  </w:num>
  <w:num w:numId="54">
    <w:abstractNumId w:val="71"/>
  </w:num>
  <w:num w:numId="55">
    <w:abstractNumId w:val="66"/>
  </w:num>
  <w:num w:numId="56">
    <w:abstractNumId w:val="84"/>
  </w:num>
  <w:num w:numId="57">
    <w:abstractNumId w:val="104"/>
  </w:num>
  <w:num w:numId="58">
    <w:abstractNumId w:val="35"/>
  </w:num>
  <w:num w:numId="59">
    <w:abstractNumId w:val="121"/>
  </w:num>
  <w:num w:numId="60">
    <w:abstractNumId w:val="52"/>
  </w:num>
  <w:num w:numId="61">
    <w:abstractNumId w:val="131"/>
  </w:num>
  <w:num w:numId="62">
    <w:abstractNumId w:val="101"/>
  </w:num>
  <w:num w:numId="63">
    <w:abstractNumId w:val="141"/>
  </w:num>
  <w:num w:numId="64">
    <w:abstractNumId w:val="10"/>
  </w:num>
  <w:num w:numId="65">
    <w:abstractNumId w:val="143"/>
  </w:num>
  <w:num w:numId="66">
    <w:abstractNumId w:val="41"/>
  </w:num>
  <w:num w:numId="67">
    <w:abstractNumId w:val="120"/>
  </w:num>
  <w:num w:numId="68">
    <w:abstractNumId w:val="138"/>
  </w:num>
  <w:num w:numId="69">
    <w:abstractNumId w:val="88"/>
  </w:num>
  <w:num w:numId="70">
    <w:abstractNumId w:val="78"/>
  </w:num>
  <w:num w:numId="71">
    <w:abstractNumId w:val="81"/>
  </w:num>
  <w:num w:numId="72">
    <w:abstractNumId w:val="117"/>
  </w:num>
  <w:num w:numId="73">
    <w:abstractNumId w:val="82"/>
  </w:num>
  <w:num w:numId="74">
    <w:abstractNumId w:val="61"/>
  </w:num>
  <w:num w:numId="75">
    <w:abstractNumId w:val="54"/>
  </w:num>
  <w:num w:numId="76">
    <w:abstractNumId w:val="15"/>
  </w:num>
  <w:num w:numId="77">
    <w:abstractNumId w:val="93"/>
  </w:num>
  <w:num w:numId="78">
    <w:abstractNumId w:val="136"/>
  </w:num>
  <w:num w:numId="79">
    <w:abstractNumId w:val="17"/>
  </w:num>
  <w:num w:numId="80">
    <w:abstractNumId w:val="72"/>
  </w:num>
  <w:num w:numId="81">
    <w:abstractNumId w:val="28"/>
  </w:num>
  <w:num w:numId="82">
    <w:abstractNumId w:val="75"/>
  </w:num>
  <w:num w:numId="83">
    <w:abstractNumId w:val="125"/>
  </w:num>
  <w:num w:numId="84">
    <w:abstractNumId w:val="46"/>
  </w:num>
  <w:num w:numId="85">
    <w:abstractNumId w:val="124"/>
  </w:num>
  <w:num w:numId="86">
    <w:abstractNumId w:val="130"/>
  </w:num>
  <w:num w:numId="87">
    <w:abstractNumId w:val="91"/>
  </w:num>
  <w:num w:numId="88">
    <w:abstractNumId w:val="64"/>
  </w:num>
  <w:num w:numId="89">
    <w:abstractNumId w:val="90"/>
  </w:num>
  <w:num w:numId="90">
    <w:abstractNumId w:val="60"/>
  </w:num>
  <w:num w:numId="91">
    <w:abstractNumId w:val="37"/>
  </w:num>
  <w:num w:numId="92">
    <w:abstractNumId w:val="133"/>
  </w:num>
  <w:num w:numId="93">
    <w:abstractNumId w:val="38"/>
  </w:num>
  <w:num w:numId="94">
    <w:abstractNumId w:val="102"/>
  </w:num>
  <w:num w:numId="95">
    <w:abstractNumId w:val="47"/>
  </w:num>
  <w:num w:numId="96">
    <w:abstractNumId w:val="103"/>
  </w:num>
  <w:num w:numId="97">
    <w:abstractNumId w:val="21"/>
  </w:num>
  <w:num w:numId="98">
    <w:abstractNumId w:val="77"/>
  </w:num>
  <w:num w:numId="99">
    <w:abstractNumId w:val="80"/>
  </w:num>
  <w:num w:numId="100">
    <w:abstractNumId w:val="110"/>
  </w:num>
  <w:num w:numId="101">
    <w:abstractNumId w:val="59"/>
  </w:num>
  <w:num w:numId="102">
    <w:abstractNumId w:val="18"/>
  </w:num>
  <w:num w:numId="103">
    <w:abstractNumId w:val="100"/>
  </w:num>
  <w:num w:numId="104">
    <w:abstractNumId w:val="94"/>
  </w:num>
  <w:num w:numId="105">
    <w:abstractNumId w:val="83"/>
  </w:num>
  <w:num w:numId="106">
    <w:abstractNumId w:val="63"/>
  </w:num>
  <w:num w:numId="107">
    <w:abstractNumId w:val="42"/>
  </w:num>
  <w:num w:numId="108">
    <w:abstractNumId w:val="70"/>
  </w:num>
  <w:num w:numId="109">
    <w:abstractNumId w:val="40"/>
  </w:num>
  <w:num w:numId="110">
    <w:abstractNumId w:val="126"/>
  </w:num>
  <w:num w:numId="111">
    <w:abstractNumId w:val="107"/>
  </w:num>
  <w:num w:numId="112">
    <w:abstractNumId w:val="92"/>
  </w:num>
  <w:num w:numId="113">
    <w:abstractNumId w:val="113"/>
  </w:num>
  <w:num w:numId="114">
    <w:abstractNumId w:val="85"/>
  </w:num>
  <w:num w:numId="115">
    <w:abstractNumId w:val="27"/>
  </w:num>
  <w:num w:numId="116">
    <w:abstractNumId w:val="34"/>
  </w:num>
  <w:num w:numId="117">
    <w:abstractNumId w:val="65"/>
  </w:num>
  <w:num w:numId="118">
    <w:abstractNumId w:val="30"/>
  </w:num>
  <w:num w:numId="119">
    <w:abstractNumId w:val="31"/>
  </w:num>
  <w:num w:numId="120">
    <w:abstractNumId w:val="122"/>
  </w:num>
  <w:num w:numId="121">
    <w:abstractNumId w:val="105"/>
  </w:num>
  <w:num w:numId="122">
    <w:abstractNumId w:val="13"/>
  </w:num>
  <w:num w:numId="123">
    <w:abstractNumId w:val="67"/>
  </w:num>
  <w:num w:numId="124">
    <w:abstractNumId w:val="69"/>
  </w:num>
  <w:num w:numId="125">
    <w:abstractNumId w:val="51"/>
  </w:num>
  <w:num w:numId="126">
    <w:abstractNumId w:val="86"/>
  </w:num>
  <w:num w:numId="127">
    <w:abstractNumId w:val="20"/>
  </w:num>
  <w:num w:numId="128">
    <w:abstractNumId w:val="87"/>
  </w:num>
  <w:num w:numId="129">
    <w:abstractNumId w:val="43"/>
  </w:num>
  <w:num w:numId="130">
    <w:abstractNumId w:val="48"/>
  </w:num>
  <w:num w:numId="131">
    <w:abstractNumId w:val="23"/>
  </w:num>
  <w:num w:numId="132">
    <w:abstractNumId w:val="76"/>
  </w:num>
  <w:num w:numId="133">
    <w:abstractNumId w:val="58"/>
  </w:num>
  <w:num w:numId="134">
    <w:abstractNumId w:val="26"/>
  </w:num>
  <w:num w:numId="135">
    <w:abstractNumId w:val="108"/>
  </w:num>
  <w:num w:numId="136">
    <w:abstractNumId w:val="12"/>
  </w:num>
  <w:num w:numId="137">
    <w:abstractNumId w:val="114"/>
  </w:num>
  <w:num w:numId="138">
    <w:abstractNumId w:val="56"/>
  </w:num>
  <w:num w:numId="139">
    <w:abstractNumId w:val="57"/>
  </w:num>
  <w:num w:numId="140">
    <w:abstractNumId w:val="6"/>
  </w:num>
  <w:num w:numId="141">
    <w:abstractNumId w:val="96"/>
  </w:num>
  <w:num w:numId="142">
    <w:abstractNumId w:val="24"/>
  </w:num>
  <w:num w:numId="143">
    <w:abstractNumId w:val="99"/>
  </w:num>
  <w:num w:numId="144">
    <w:abstractNumId w:val="132"/>
  </w:num>
  <w:numIdMacAtCleanup w:val="1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6"/>
  <w:displayBackgroundShape/>
  <w:hideSpellingErrors/>
  <w:activeWritingStyle w:appName="MSWord" w:lang="pt-BR" w:vendorID="64" w:dllVersion="131078" w:nlCheck="1" w:checkStyle="0"/>
  <w:activeWritingStyle w:appName="MSWord" w:lang="es-ES" w:vendorID="64" w:dllVersion="131078" w:nlCheck="1" w:checkStyle="1"/>
  <w:activeWritingStyle w:appName="MSWord" w:lang="es-MX"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FR" w:vendorID="64" w:dllVersion="131078" w:nlCheck="1" w:checkStyle="1"/>
  <w:activeWritingStyle w:appName="MSWord" w:lang="es-CO" w:vendorID="64" w:dllVersion="131078" w:nlCheck="1" w:checkStyle="1"/>
  <w:activeWritingStyle w:appName="MSWord" w:lang="es-419"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hdrShapeDefaults>
    <o:shapedefaults v:ext="edit" spidmax="2049">
      <o:colormru v:ext="edit" colors="#33c,#33f,#006,#00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81B"/>
    <w:rsid w:val="00000070"/>
    <w:rsid w:val="0000010F"/>
    <w:rsid w:val="00000156"/>
    <w:rsid w:val="0000017B"/>
    <w:rsid w:val="00000377"/>
    <w:rsid w:val="00000564"/>
    <w:rsid w:val="000005E4"/>
    <w:rsid w:val="00000743"/>
    <w:rsid w:val="000007C2"/>
    <w:rsid w:val="0000081A"/>
    <w:rsid w:val="000008FE"/>
    <w:rsid w:val="000009C4"/>
    <w:rsid w:val="00000A71"/>
    <w:rsid w:val="00000ADE"/>
    <w:rsid w:val="00000B31"/>
    <w:rsid w:val="00000B32"/>
    <w:rsid w:val="00000BBF"/>
    <w:rsid w:val="00000BC3"/>
    <w:rsid w:val="00000DBE"/>
    <w:rsid w:val="00000ED8"/>
    <w:rsid w:val="00000EF6"/>
    <w:rsid w:val="00000F7A"/>
    <w:rsid w:val="00000F8B"/>
    <w:rsid w:val="00000FBF"/>
    <w:rsid w:val="0000105B"/>
    <w:rsid w:val="000010AB"/>
    <w:rsid w:val="000010DB"/>
    <w:rsid w:val="000011C0"/>
    <w:rsid w:val="00001224"/>
    <w:rsid w:val="00001259"/>
    <w:rsid w:val="000012BB"/>
    <w:rsid w:val="00001370"/>
    <w:rsid w:val="000014C6"/>
    <w:rsid w:val="00001604"/>
    <w:rsid w:val="0000165B"/>
    <w:rsid w:val="00001670"/>
    <w:rsid w:val="000016EA"/>
    <w:rsid w:val="0000179C"/>
    <w:rsid w:val="000017F2"/>
    <w:rsid w:val="000018CF"/>
    <w:rsid w:val="000018F2"/>
    <w:rsid w:val="000019AE"/>
    <w:rsid w:val="000019E8"/>
    <w:rsid w:val="00001AAE"/>
    <w:rsid w:val="00001AD9"/>
    <w:rsid w:val="00001C37"/>
    <w:rsid w:val="00001C3B"/>
    <w:rsid w:val="00001C89"/>
    <w:rsid w:val="00001CDA"/>
    <w:rsid w:val="00001D9C"/>
    <w:rsid w:val="00001DFC"/>
    <w:rsid w:val="00001EBD"/>
    <w:rsid w:val="00001FA9"/>
    <w:rsid w:val="000021AB"/>
    <w:rsid w:val="00002265"/>
    <w:rsid w:val="00002311"/>
    <w:rsid w:val="00002388"/>
    <w:rsid w:val="00002507"/>
    <w:rsid w:val="00002510"/>
    <w:rsid w:val="00002586"/>
    <w:rsid w:val="00002587"/>
    <w:rsid w:val="0000259E"/>
    <w:rsid w:val="0000265C"/>
    <w:rsid w:val="0000266C"/>
    <w:rsid w:val="000027A1"/>
    <w:rsid w:val="0000284F"/>
    <w:rsid w:val="00002875"/>
    <w:rsid w:val="000028D3"/>
    <w:rsid w:val="000028DF"/>
    <w:rsid w:val="0000290A"/>
    <w:rsid w:val="0000291D"/>
    <w:rsid w:val="00002971"/>
    <w:rsid w:val="00002975"/>
    <w:rsid w:val="00002A18"/>
    <w:rsid w:val="00002A24"/>
    <w:rsid w:val="00002A51"/>
    <w:rsid w:val="00002AE6"/>
    <w:rsid w:val="00002B0B"/>
    <w:rsid w:val="00002C35"/>
    <w:rsid w:val="00002C77"/>
    <w:rsid w:val="00002C8D"/>
    <w:rsid w:val="00002CCD"/>
    <w:rsid w:val="00002D79"/>
    <w:rsid w:val="00002E56"/>
    <w:rsid w:val="00002EFD"/>
    <w:rsid w:val="00002FB5"/>
    <w:rsid w:val="00002FE7"/>
    <w:rsid w:val="00002FEA"/>
    <w:rsid w:val="000030C9"/>
    <w:rsid w:val="00003103"/>
    <w:rsid w:val="00003105"/>
    <w:rsid w:val="000031C4"/>
    <w:rsid w:val="00003238"/>
    <w:rsid w:val="00003291"/>
    <w:rsid w:val="0000330B"/>
    <w:rsid w:val="0000333A"/>
    <w:rsid w:val="000033C0"/>
    <w:rsid w:val="0000340D"/>
    <w:rsid w:val="00003455"/>
    <w:rsid w:val="0000349C"/>
    <w:rsid w:val="0000353C"/>
    <w:rsid w:val="0000358E"/>
    <w:rsid w:val="000035B0"/>
    <w:rsid w:val="000035EC"/>
    <w:rsid w:val="0000366B"/>
    <w:rsid w:val="00003699"/>
    <w:rsid w:val="000036A1"/>
    <w:rsid w:val="00003735"/>
    <w:rsid w:val="00003748"/>
    <w:rsid w:val="00003840"/>
    <w:rsid w:val="0000391D"/>
    <w:rsid w:val="000039C0"/>
    <w:rsid w:val="000039DC"/>
    <w:rsid w:val="000039F5"/>
    <w:rsid w:val="00003B7F"/>
    <w:rsid w:val="00003BC6"/>
    <w:rsid w:val="00003C25"/>
    <w:rsid w:val="00003CA3"/>
    <w:rsid w:val="00003D12"/>
    <w:rsid w:val="000040E8"/>
    <w:rsid w:val="0000414F"/>
    <w:rsid w:val="000041A6"/>
    <w:rsid w:val="00004279"/>
    <w:rsid w:val="0000428D"/>
    <w:rsid w:val="000042EA"/>
    <w:rsid w:val="000042F0"/>
    <w:rsid w:val="00004634"/>
    <w:rsid w:val="000046F4"/>
    <w:rsid w:val="0000491F"/>
    <w:rsid w:val="00004959"/>
    <w:rsid w:val="00004A37"/>
    <w:rsid w:val="00004A3E"/>
    <w:rsid w:val="00004AD4"/>
    <w:rsid w:val="00004B25"/>
    <w:rsid w:val="00004B8A"/>
    <w:rsid w:val="00004BFF"/>
    <w:rsid w:val="00004C7D"/>
    <w:rsid w:val="00004D1A"/>
    <w:rsid w:val="00004DE0"/>
    <w:rsid w:val="00004F9F"/>
    <w:rsid w:val="00004FDF"/>
    <w:rsid w:val="000051D8"/>
    <w:rsid w:val="000052AC"/>
    <w:rsid w:val="00005338"/>
    <w:rsid w:val="00005579"/>
    <w:rsid w:val="000055DC"/>
    <w:rsid w:val="00005761"/>
    <w:rsid w:val="000057AB"/>
    <w:rsid w:val="000059BB"/>
    <w:rsid w:val="000059D0"/>
    <w:rsid w:val="00005A5B"/>
    <w:rsid w:val="00005A74"/>
    <w:rsid w:val="00005AA7"/>
    <w:rsid w:val="00005AB0"/>
    <w:rsid w:val="00005AB2"/>
    <w:rsid w:val="00005B31"/>
    <w:rsid w:val="00005B33"/>
    <w:rsid w:val="00005BA2"/>
    <w:rsid w:val="00005BB2"/>
    <w:rsid w:val="00005C72"/>
    <w:rsid w:val="00005D93"/>
    <w:rsid w:val="00005D97"/>
    <w:rsid w:val="00005DC2"/>
    <w:rsid w:val="00005DC7"/>
    <w:rsid w:val="00005FD7"/>
    <w:rsid w:val="0000602C"/>
    <w:rsid w:val="00006041"/>
    <w:rsid w:val="00006056"/>
    <w:rsid w:val="000060F8"/>
    <w:rsid w:val="0000614D"/>
    <w:rsid w:val="000061FB"/>
    <w:rsid w:val="00006351"/>
    <w:rsid w:val="00006576"/>
    <w:rsid w:val="0000664F"/>
    <w:rsid w:val="00006776"/>
    <w:rsid w:val="00006843"/>
    <w:rsid w:val="000068BD"/>
    <w:rsid w:val="00006AE3"/>
    <w:rsid w:val="00006AEF"/>
    <w:rsid w:val="00006B82"/>
    <w:rsid w:val="00006BD7"/>
    <w:rsid w:val="00006C43"/>
    <w:rsid w:val="00006D5F"/>
    <w:rsid w:val="00006DD4"/>
    <w:rsid w:val="00006E21"/>
    <w:rsid w:val="00006F64"/>
    <w:rsid w:val="00006FDE"/>
    <w:rsid w:val="0000700E"/>
    <w:rsid w:val="0000702E"/>
    <w:rsid w:val="0000704C"/>
    <w:rsid w:val="0000707D"/>
    <w:rsid w:val="0000713D"/>
    <w:rsid w:val="00007161"/>
    <w:rsid w:val="000073F8"/>
    <w:rsid w:val="0000741C"/>
    <w:rsid w:val="00007460"/>
    <w:rsid w:val="0000749C"/>
    <w:rsid w:val="000074E0"/>
    <w:rsid w:val="000075E9"/>
    <w:rsid w:val="00007708"/>
    <w:rsid w:val="00007716"/>
    <w:rsid w:val="0000787C"/>
    <w:rsid w:val="000078B0"/>
    <w:rsid w:val="000078C4"/>
    <w:rsid w:val="000078D3"/>
    <w:rsid w:val="00007948"/>
    <w:rsid w:val="00007A95"/>
    <w:rsid w:val="00007B5D"/>
    <w:rsid w:val="00007BFE"/>
    <w:rsid w:val="00007C2D"/>
    <w:rsid w:val="00007DE0"/>
    <w:rsid w:val="00007DFE"/>
    <w:rsid w:val="00007F2E"/>
    <w:rsid w:val="00007F31"/>
    <w:rsid w:val="00007FEB"/>
    <w:rsid w:val="000100B7"/>
    <w:rsid w:val="000100BB"/>
    <w:rsid w:val="000100C7"/>
    <w:rsid w:val="000100E4"/>
    <w:rsid w:val="00010141"/>
    <w:rsid w:val="00010223"/>
    <w:rsid w:val="00010282"/>
    <w:rsid w:val="000102B5"/>
    <w:rsid w:val="00010350"/>
    <w:rsid w:val="0001037D"/>
    <w:rsid w:val="000103A1"/>
    <w:rsid w:val="00010413"/>
    <w:rsid w:val="00010642"/>
    <w:rsid w:val="00010733"/>
    <w:rsid w:val="000108C3"/>
    <w:rsid w:val="000108E9"/>
    <w:rsid w:val="00010913"/>
    <w:rsid w:val="00010A9F"/>
    <w:rsid w:val="00010BB8"/>
    <w:rsid w:val="00010C22"/>
    <w:rsid w:val="00010D4D"/>
    <w:rsid w:val="00010D61"/>
    <w:rsid w:val="00010D80"/>
    <w:rsid w:val="00010F75"/>
    <w:rsid w:val="00010FEC"/>
    <w:rsid w:val="000110E1"/>
    <w:rsid w:val="000110E6"/>
    <w:rsid w:val="00011278"/>
    <w:rsid w:val="00011295"/>
    <w:rsid w:val="00011297"/>
    <w:rsid w:val="000112BD"/>
    <w:rsid w:val="00011383"/>
    <w:rsid w:val="0001140F"/>
    <w:rsid w:val="000114BA"/>
    <w:rsid w:val="00011564"/>
    <w:rsid w:val="0001164C"/>
    <w:rsid w:val="0001167B"/>
    <w:rsid w:val="00011683"/>
    <w:rsid w:val="00011737"/>
    <w:rsid w:val="00011823"/>
    <w:rsid w:val="00011835"/>
    <w:rsid w:val="00011896"/>
    <w:rsid w:val="000118A4"/>
    <w:rsid w:val="00011A1D"/>
    <w:rsid w:val="00011BED"/>
    <w:rsid w:val="00011C1A"/>
    <w:rsid w:val="00011C32"/>
    <w:rsid w:val="00011D43"/>
    <w:rsid w:val="00011DE5"/>
    <w:rsid w:val="00011E16"/>
    <w:rsid w:val="00011E79"/>
    <w:rsid w:val="00011EBA"/>
    <w:rsid w:val="00011FAB"/>
    <w:rsid w:val="00012453"/>
    <w:rsid w:val="000124AB"/>
    <w:rsid w:val="0001259D"/>
    <w:rsid w:val="000125F3"/>
    <w:rsid w:val="000126F7"/>
    <w:rsid w:val="0001271A"/>
    <w:rsid w:val="00012780"/>
    <w:rsid w:val="00012846"/>
    <w:rsid w:val="0001292A"/>
    <w:rsid w:val="00012A63"/>
    <w:rsid w:val="00012B20"/>
    <w:rsid w:val="00012B6B"/>
    <w:rsid w:val="00012C37"/>
    <w:rsid w:val="00012C3A"/>
    <w:rsid w:val="00012C60"/>
    <w:rsid w:val="00012D7C"/>
    <w:rsid w:val="00012DFD"/>
    <w:rsid w:val="0001301C"/>
    <w:rsid w:val="00013031"/>
    <w:rsid w:val="0001305F"/>
    <w:rsid w:val="000130B2"/>
    <w:rsid w:val="0001314E"/>
    <w:rsid w:val="000131C2"/>
    <w:rsid w:val="00013289"/>
    <w:rsid w:val="000132BD"/>
    <w:rsid w:val="000133B8"/>
    <w:rsid w:val="00013400"/>
    <w:rsid w:val="000134F2"/>
    <w:rsid w:val="00013507"/>
    <w:rsid w:val="00013553"/>
    <w:rsid w:val="00013877"/>
    <w:rsid w:val="000138E8"/>
    <w:rsid w:val="00013A3E"/>
    <w:rsid w:val="00013A42"/>
    <w:rsid w:val="00013B0D"/>
    <w:rsid w:val="00013B90"/>
    <w:rsid w:val="00013C05"/>
    <w:rsid w:val="00013D37"/>
    <w:rsid w:val="00013F00"/>
    <w:rsid w:val="00014000"/>
    <w:rsid w:val="000140A3"/>
    <w:rsid w:val="000140CA"/>
    <w:rsid w:val="00014259"/>
    <w:rsid w:val="0001425A"/>
    <w:rsid w:val="0001432B"/>
    <w:rsid w:val="00014444"/>
    <w:rsid w:val="000144B4"/>
    <w:rsid w:val="0001464D"/>
    <w:rsid w:val="00014706"/>
    <w:rsid w:val="00014760"/>
    <w:rsid w:val="000147A7"/>
    <w:rsid w:val="000147D7"/>
    <w:rsid w:val="0001495A"/>
    <w:rsid w:val="0001495B"/>
    <w:rsid w:val="000149E2"/>
    <w:rsid w:val="00014A2B"/>
    <w:rsid w:val="00014A7A"/>
    <w:rsid w:val="00014AEA"/>
    <w:rsid w:val="00014AEF"/>
    <w:rsid w:val="00014BC7"/>
    <w:rsid w:val="00014CF3"/>
    <w:rsid w:val="00014D96"/>
    <w:rsid w:val="00014E28"/>
    <w:rsid w:val="0001504F"/>
    <w:rsid w:val="00015054"/>
    <w:rsid w:val="00015090"/>
    <w:rsid w:val="000150A9"/>
    <w:rsid w:val="000150E2"/>
    <w:rsid w:val="00015119"/>
    <w:rsid w:val="0001537B"/>
    <w:rsid w:val="00015425"/>
    <w:rsid w:val="00015495"/>
    <w:rsid w:val="00015593"/>
    <w:rsid w:val="000155A8"/>
    <w:rsid w:val="00015733"/>
    <w:rsid w:val="00015737"/>
    <w:rsid w:val="0001575E"/>
    <w:rsid w:val="0001593E"/>
    <w:rsid w:val="00015B7E"/>
    <w:rsid w:val="00015BA5"/>
    <w:rsid w:val="00015BDD"/>
    <w:rsid w:val="00015CDA"/>
    <w:rsid w:val="00015CDE"/>
    <w:rsid w:val="00015CEB"/>
    <w:rsid w:val="00015D75"/>
    <w:rsid w:val="00015F04"/>
    <w:rsid w:val="00016093"/>
    <w:rsid w:val="00016164"/>
    <w:rsid w:val="000161E5"/>
    <w:rsid w:val="00016250"/>
    <w:rsid w:val="00016372"/>
    <w:rsid w:val="00016392"/>
    <w:rsid w:val="000164D2"/>
    <w:rsid w:val="000166A8"/>
    <w:rsid w:val="00016815"/>
    <w:rsid w:val="0001686A"/>
    <w:rsid w:val="0001687C"/>
    <w:rsid w:val="000168AC"/>
    <w:rsid w:val="00016967"/>
    <w:rsid w:val="00016A05"/>
    <w:rsid w:val="00016BAC"/>
    <w:rsid w:val="00016C61"/>
    <w:rsid w:val="00016E38"/>
    <w:rsid w:val="00016E74"/>
    <w:rsid w:val="00017050"/>
    <w:rsid w:val="000170C9"/>
    <w:rsid w:val="000170CE"/>
    <w:rsid w:val="0001732F"/>
    <w:rsid w:val="00017381"/>
    <w:rsid w:val="000173D6"/>
    <w:rsid w:val="0001749D"/>
    <w:rsid w:val="00017714"/>
    <w:rsid w:val="000177D0"/>
    <w:rsid w:val="00017812"/>
    <w:rsid w:val="00017945"/>
    <w:rsid w:val="00017A18"/>
    <w:rsid w:val="00017A5C"/>
    <w:rsid w:val="00017A75"/>
    <w:rsid w:val="00017ACE"/>
    <w:rsid w:val="00017C83"/>
    <w:rsid w:val="00017CB9"/>
    <w:rsid w:val="00017D55"/>
    <w:rsid w:val="00017E7C"/>
    <w:rsid w:val="00017E9C"/>
    <w:rsid w:val="00020136"/>
    <w:rsid w:val="000201B7"/>
    <w:rsid w:val="000201E0"/>
    <w:rsid w:val="000201F1"/>
    <w:rsid w:val="0002024F"/>
    <w:rsid w:val="000202FA"/>
    <w:rsid w:val="00020328"/>
    <w:rsid w:val="000203DF"/>
    <w:rsid w:val="00020576"/>
    <w:rsid w:val="000206FE"/>
    <w:rsid w:val="0002070E"/>
    <w:rsid w:val="00020729"/>
    <w:rsid w:val="00020765"/>
    <w:rsid w:val="0002098E"/>
    <w:rsid w:val="00020993"/>
    <w:rsid w:val="000209C9"/>
    <w:rsid w:val="00020B44"/>
    <w:rsid w:val="00020C85"/>
    <w:rsid w:val="00020CC0"/>
    <w:rsid w:val="00020D35"/>
    <w:rsid w:val="00020E1A"/>
    <w:rsid w:val="00020EBA"/>
    <w:rsid w:val="00020FF3"/>
    <w:rsid w:val="0002107A"/>
    <w:rsid w:val="00021095"/>
    <w:rsid w:val="000210F6"/>
    <w:rsid w:val="00021187"/>
    <w:rsid w:val="0002121B"/>
    <w:rsid w:val="000212C0"/>
    <w:rsid w:val="0002136D"/>
    <w:rsid w:val="0002148A"/>
    <w:rsid w:val="000214F6"/>
    <w:rsid w:val="00021570"/>
    <w:rsid w:val="000215D3"/>
    <w:rsid w:val="0002160A"/>
    <w:rsid w:val="00021617"/>
    <w:rsid w:val="00021710"/>
    <w:rsid w:val="0002179C"/>
    <w:rsid w:val="00021803"/>
    <w:rsid w:val="00021A46"/>
    <w:rsid w:val="00021A8E"/>
    <w:rsid w:val="00021A93"/>
    <w:rsid w:val="00021B1B"/>
    <w:rsid w:val="00021B39"/>
    <w:rsid w:val="00021B47"/>
    <w:rsid w:val="00021C99"/>
    <w:rsid w:val="00021C9D"/>
    <w:rsid w:val="00021CA6"/>
    <w:rsid w:val="00021D97"/>
    <w:rsid w:val="00021F2C"/>
    <w:rsid w:val="00021FA0"/>
    <w:rsid w:val="0002200B"/>
    <w:rsid w:val="0002203A"/>
    <w:rsid w:val="000220BE"/>
    <w:rsid w:val="00022135"/>
    <w:rsid w:val="00022149"/>
    <w:rsid w:val="00022270"/>
    <w:rsid w:val="00022390"/>
    <w:rsid w:val="00022408"/>
    <w:rsid w:val="00022492"/>
    <w:rsid w:val="00022723"/>
    <w:rsid w:val="000228C7"/>
    <w:rsid w:val="0002298C"/>
    <w:rsid w:val="000229AC"/>
    <w:rsid w:val="000229E2"/>
    <w:rsid w:val="00022A0C"/>
    <w:rsid w:val="00022A64"/>
    <w:rsid w:val="00022BAD"/>
    <w:rsid w:val="00022BB2"/>
    <w:rsid w:val="00022BC3"/>
    <w:rsid w:val="00022BD6"/>
    <w:rsid w:val="00022C3C"/>
    <w:rsid w:val="00022CE9"/>
    <w:rsid w:val="00022CED"/>
    <w:rsid w:val="00022E44"/>
    <w:rsid w:val="00022FAE"/>
    <w:rsid w:val="00022FDF"/>
    <w:rsid w:val="0002309B"/>
    <w:rsid w:val="00023151"/>
    <w:rsid w:val="00023165"/>
    <w:rsid w:val="000231DF"/>
    <w:rsid w:val="000231E8"/>
    <w:rsid w:val="0002356A"/>
    <w:rsid w:val="00023620"/>
    <w:rsid w:val="0002364D"/>
    <w:rsid w:val="00023667"/>
    <w:rsid w:val="00023692"/>
    <w:rsid w:val="000236F6"/>
    <w:rsid w:val="00023861"/>
    <w:rsid w:val="00023871"/>
    <w:rsid w:val="000238B1"/>
    <w:rsid w:val="000238DF"/>
    <w:rsid w:val="000239B6"/>
    <w:rsid w:val="00023A6C"/>
    <w:rsid w:val="00023A92"/>
    <w:rsid w:val="00023B77"/>
    <w:rsid w:val="00023B7B"/>
    <w:rsid w:val="00023BFF"/>
    <w:rsid w:val="00023C77"/>
    <w:rsid w:val="00023CC9"/>
    <w:rsid w:val="00023D7D"/>
    <w:rsid w:val="00023E10"/>
    <w:rsid w:val="00023E48"/>
    <w:rsid w:val="00023EA2"/>
    <w:rsid w:val="00023FC6"/>
    <w:rsid w:val="000240BD"/>
    <w:rsid w:val="0002417A"/>
    <w:rsid w:val="000241BF"/>
    <w:rsid w:val="00024214"/>
    <w:rsid w:val="00024260"/>
    <w:rsid w:val="00024269"/>
    <w:rsid w:val="00024308"/>
    <w:rsid w:val="0002433B"/>
    <w:rsid w:val="00024375"/>
    <w:rsid w:val="000244B7"/>
    <w:rsid w:val="000244BB"/>
    <w:rsid w:val="00024512"/>
    <w:rsid w:val="0002453B"/>
    <w:rsid w:val="0002464C"/>
    <w:rsid w:val="0002481E"/>
    <w:rsid w:val="0002493A"/>
    <w:rsid w:val="00024A23"/>
    <w:rsid w:val="00024A6E"/>
    <w:rsid w:val="00024A91"/>
    <w:rsid w:val="00024B59"/>
    <w:rsid w:val="00024BA6"/>
    <w:rsid w:val="00024BB9"/>
    <w:rsid w:val="00024BD6"/>
    <w:rsid w:val="00024E27"/>
    <w:rsid w:val="00024FC6"/>
    <w:rsid w:val="00024FFB"/>
    <w:rsid w:val="00024FFD"/>
    <w:rsid w:val="00025123"/>
    <w:rsid w:val="00025187"/>
    <w:rsid w:val="000251BA"/>
    <w:rsid w:val="0002527E"/>
    <w:rsid w:val="000252D1"/>
    <w:rsid w:val="0002531F"/>
    <w:rsid w:val="00025342"/>
    <w:rsid w:val="0002554F"/>
    <w:rsid w:val="000255C6"/>
    <w:rsid w:val="000255E0"/>
    <w:rsid w:val="00025659"/>
    <w:rsid w:val="000256AE"/>
    <w:rsid w:val="000256C1"/>
    <w:rsid w:val="0002570E"/>
    <w:rsid w:val="0002571C"/>
    <w:rsid w:val="0002577C"/>
    <w:rsid w:val="000258B5"/>
    <w:rsid w:val="00025918"/>
    <w:rsid w:val="0002594B"/>
    <w:rsid w:val="000259A5"/>
    <w:rsid w:val="00025A34"/>
    <w:rsid w:val="00025A7A"/>
    <w:rsid w:val="00025BD0"/>
    <w:rsid w:val="00025D67"/>
    <w:rsid w:val="00025DE7"/>
    <w:rsid w:val="00025DFE"/>
    <w:rsid w:val="00025E0E"/>
    <w:rsid w:val="00025E6F"/>
    <w:rsid w:val="00025E7C"/>
    <w:rsid w:val="00025ED1"/>
    <w:rsid w:val="00025F3B"/>
    <w:rsid w:val="0002600C"/>
    <w:rsid w:val="00026025"/>
    <w:rsid w:val="000260AF"/>
    <w:rsid w:val="00026152"/>
    <w:rsid w:val="000263DD"/>
    <w:rsid w:val="000264AD"/>
    <w:rsid w:val="000265D2"/>
    <w:rsid w:val="000265D5"/>
    <w:rsid w:val="00026658"/>
    <w:rsid w:val="000266D3"/>
    <w:rsid w:val="0002671B"/>
    <w:rsid w:val="00026736"/>
    <w:rsid w:val="00026A2A"/>
    <w:rsid w:val="00026B66"/>
    <w:rsid w:val="00026B98"/>
    <w:rsid w:val="00026BA1"/>
    <w:rsid w:val="00026CE4"/>
    <w:rsid w:val="00026EAD"/>
    <w:rsid w:val="00026ECA"/>
    <w:rsid w:val="00026F27"/>
    <w:rsid w:val="00026F50"/>
    <w:rsid w:val="00027025"/>
    <w:rsid w:val="0002709C"/>
    <w:rsid w:val="000270C7"/>
    <w:rsid w:val="000271C8"/>
    <w:rsid w:val="00027346"/>
    <w:rsid w:val="000273D4"/>
    <w:rsid w:val="00027463"/>
    <w:rsid w:val="00027477"/>
    <w:rsid w:val="000274F2"/>
    <w:rsid w:val="00027506"/>
    <w:rsid w:val="00027547"/>
    <w:rsid w:val="000275C9"/>
    <w:rsid w:val="000276C3"/>
    <w:rsid w:val="000276FF"/>
    <w:rsid w:val="00027786"/>
    <w:rsid w:val="000277DB"/>
    <w:rsid w:val="000277F7"/>
    <w:rsid w:val="000278E1"/>
    <w:rsid w:val="00027A65"/>
    <w:rsid w:val="00027CBA"/>
    <w:rsid w:val="00027CD5"/>
    <w:rsid w:val="00027CF7"/>
    <w:rsid w:val="00027D21"/>
    <w:rsid w:val="00027DB0"/>
    <w:rsid w:val="00027DFB"/>
    <w:rsid w:val="00027EAD"/>
    <w:rsid w:val="00027F10"/>
    <w:rsid w:val="00027F1C"/>
    <w:rsid w:val="00027F78"/>
    <w:rsid w:val="00030027"/>
    <w:rsid w:val="0003006E"/>
    <w:rsid w:val="00030093"/>
    <w:rsid w:val="000300E2"/>
    <w:rsid w:val="00030349"/>
    <w:rsid w:val="000304E9"/>
    <w:rsid w:val="00030677"/>
    <w:rsid w:val="00030766"/>
    <w:rsid w:val="00030771"/>
    <w:rsid w:val="00030810"/>
    <w:rsid w:val="000308E1"/>
    <w:rsid w:val="00030A02"/>
    <w:rsid w:val="00030A07"/>
    <w:rsid w:val="00030ACE"/>
    <w:rsid w:val="00030B4B"/>
    <w:rsid w:val="00030CA1"/>
    <w:rsid w:val="00030CFC"/>
    <w:rsid w:val="00030D27"/>
    <w:rsid w:val="00030D8B"/>
    <w:rsid w:val="00030D8E"/>
    <w:rsid w:val="00030E5F"/>
    <w:rsid w:val="00030FD8"/>
    <w:rsid w:val="00030FF4"/>
    <w:rsid w:val="0003106E"/>
    <w:rsid w:val="00031070"/>
    <w:rsid w:val="00031164"/>
    <w:rsid w:val="000311BB"/>
    <w:rsid w:val="000311C9"/>
    <w:rsid w:val="000312F7"/>
    <w:rsid w:val="000312FD"/>
    <w:rsid w:val="00031369"/>
    <w:rsid w:val="00031400"/>
    <w:rsid w:val="0003141F"/>
    <w:rsid w:val="00031481"/>
    <w:rsid w:val="000317C7"/>
    <w:rsid w:val="000318B0"/>
    <w:rsid w:val="00031970"/>
    <w:rsid w:val="0003198A"/>
    <w:rsid w:val="000319FE"/>
    <w:rsid w:val="00031AC7"/>
    <w:rsid w:val="00031CA3"/>
    <w:rsid w:val="00031D24"/>
    <w:rsid w:val="00031D73"/>
    <w:rsid w:val="00031D75"/>
    <w:rsid w:val="00031D8E"/>
    <w:rsid w:val="00031D97"/>
    <w:rsid w:val="00031DCF"/>
    <w:rsid w:val="00031E44"/>
    <w:rsid w:val="00031F14"/>
    <w:rsid w:val="0003205A"/>
    <w:rsid w:val="000321C0"/>
    <w:rsid w:val="000326B2"/>
    <w:rsid w:val="000326B5"/>
    <w:rsid w:val="000326D6"/>
    <w:rsid w:val="000326EF"/>
    <w:rsid w:val="0003273D"/>
    <w:rsid w:val="00032765"/>
    <w:rsid w:val="000327EA"/>
    <w:rsid w:val="00032844"/>
    <w:rsid w:val="00032928"/>
    <w:rsid w:val="000329B4"/>
    <w:rsid w:val="000329CB"/>
    <w:rsid w:val="00032AB1"/>
    <w:rsid w:val="00032AE3"/>
    <w:rsid w:val="00032C58"/>
    <w:rsid w:val="00032C6D"/>
    <w:rsid w:val="00032C93"/>
    <w:rsid w:val="00032DA0"/>
    <w:rsid w:val="00032DCA"/>
    <w:rsid w:val="00032DF1"/>
    <w:rsid w:val="00032E2C"/>
    <w:rsid w:val="00032E46"/>
    <w:rsid w:val="00032EF1"/>
    <w:rsid w:val="00032F19"/>
    <w:rsid w:val="00032F20"/>
    <w:rsid w:val="00032F2A"/>
    <w:rsid w:val="00033103"/>
    <w:rsid w:val="000332A1"/>
    <w:rsid w:val="000334CB"/>
    <w:rsid w:val="000334D2"/>
    <w:rsid w:val="0003376D"/>
    <w:rsid w:val="000337D3"/>
    <w:rsid w:val="000338C2"/>
    <w:rsid w:val="0003393C"/>
    <w:rsid w:val="000339BB"/>
    <w:rsid w:val="00033A22"/>
    <w:rsid w:val="00033B06"/>
    <w:rsid w:val="00033B15"/>
    <w:rsid w:val="00033D5B"/>
    <w:rsid w:val="00033F47"/>
    <w:rsid w:val="00034005"/>
    <w:rsid w:val="0003411B"/>
    <w:rsid w:val="000341DA"/>
    <w:rsid w:val="000341FD"/>
    <w:rsid w:val="00034324"/>
    <w:rsid w:val="0003446E"/>
    <w:rsid w:val="000344C0"/>
    <w:rsid w:val="00034518"/>
    <w:rsid w:val="00034671"/>
    <w:rsid w:val="00034799"/>
    <w:rsid w:val="00034C5B"/>
    <w:rsid w:val="00034C92"/>
    <w:rsid w:val="00034CB2"/>
    <w:rsid w:val="00034E01"/>
    <w:rsid w:val="00034E10"/>
    <w:rsid w:val="00034E69"/>
    <w:rsid w:val="00034FC5"/>
    <w:rsid w:val="0003504D"/>
    <w:rsid w:val="0003506B"/>
    <w:rsid w:val="00035181"/>
    <w:rsid w:val="000352D0"/>
    <w:rsid w:val="00035343"/>
    <w:rsid w:val="000353DB"/>
    <w:rsid w:val="0003547C"/>
    <w:rsid w:val="00035482"/>
    <w:rsid w:val="00035707"/>
    <w:rsid w:val="0003573D"/>
    <w:rsid w:val="00035947"/>
    <w:rsid w:val="0003598F"/>
    <w:rsid w:val="00035AA7"/>
    <w:rsid w:val="00035AEA"/>
    <w:rsid w:val="00035AFB"/>
    <w:rsid w:val="00035B50"/>
    <w:rsid w:val="00035B54"/>
    <w:rsid w:val="00035BDE"/>
    <w:rsid w:val="00035C89"/>
    <w:rsid w:val="00035C9C"/>
    <w:rsid w:val="00035D1F"/>
    <w:rsid w:val="00035D4D"/>
    <w:rsid w:val="00035DAE"/>
    <w:rsid w:val="00035E39"/>
    <w:rsid w:val="0003601C"/>
    <w:rsid w:val="000360B9"/>
    <w:rsid w:val="00036109"/>
    <w:rsid w:val="000361DB"/>
    <w:rsid w:val="0003623C"/>
    <w:rsid w:val="00036248"/>
    <w:rsid w:val="000362B7"/>
    <w:rsid w:val="00036369"/>
    <w:rsid w:val="000363CC"/>
    <w:rsid w:val="000363D2"/>
    <w:rsid w:val="0003643F"/>
    <w:rsid w:val="00036488"/>
    <w:rsid w:val="0003656A"/>
    <w:rsid w:val="00036583"/>
    <w:rsid w:val="000365B7"/>
    <w:rsid w:val="00036625"/>
    <w:rsid w:val="00036793"/>
    <w:rsid w:val="00036816"/>
    <w:rsid w:val="00036893"/>
    <w:rsid w:val="000368B0"/>
    <w:rsid w:val="0003695B"/>
    <w:rsid w:val="00036987"/>
    <w:rsid w:val="00036A3C"/>
    <w:rsid w:val="00036B06"/>
    <w:rsid w:val="00036B89"/>
    <w:rsid w:val="00036B91"/>
    <w:rsid w:val="00036BFE"/>
    <w:rsid w:val="00036C64"/>
    <w:rsid w:val="00036C6A"/>
    <w:rsid w:val="00036D63"/>
    <w:rsid w:val="00036D97"/>
    <w:rsid w:val="00036DC9"/>
    <w:rsid w:val="00036FD5"/>
    <w:rsid w:val="0003702C"/>
    <w:rsid w:val="0003709D"/>
    <w:rsid w:val="000370D1"/>
    <w:rsid w:val="0003715E"/>
    <w:rsid w:val="000372BC"/>
    <w:rsid w:val="000372EB"/>
    <w:rsid w:val="00037332"/>
    <w:rsid w:val="000373C2"/>
    <w:rsid w:val="0003771A"/>
    <w:rsid w:val="00037824"/>
    <w:rsid w:val="00037843"/>
    <w:rsid w:val="0003785D"/>
    <w:rsid w:val="00037885"/>
    <w:rsid w:val="000378A5"/>
    <w:rsid w:val="00037A2A"/>
    <w:rsid w:val="00037A2C"/>
    <w:rsid w:val="00037B40"/>
    <w:rsid w:val="00037BCA"/>
    <w:rsid w:val="00037C14"/>
    <w:rsid w:val="00037C19"/>
    <w:rsid w:val="00037C29"/>
    <w:rsid w:val="00037D4E"/>
    <w:rsid w:val="00037ED6"/>
    <w:rsid w:val="00037EEF"/>
    <w:rsid w:val="0004003A"/>
    <w:rsid w:val="00040049"/>
    <w:rsid w:val="000400B2"/>
    <w:rsid w:val="00040167"/>
    <w:rsid w:val="0004019B"/>
    <w:rsid w:val="000402C8"/>
    <w:rsid w:val="000402CA"/>
    <w:rsid w:val="000403D5"/>
    <w:rsid w:val="000403F4"/>
    <w:rsid w:val="0004045D"/>
    <w:rsid w:val="000404AB"/>
    <w:rsid w:val="00040549"/>
    <w:rsid w:val="000405D8"/>
    <w:rsid w:val="00040615"/>
    <w:rsid w:val="00040623"/>
    <w:rsid w:val="00040673"/>
    <w:rsid w:val="0004074A"/>
    <w:rsid w:val="00040902"/>
    <w:rsid w:val="00040B11"/>
    <w:rsid w:val="00040B52"/>
    <w:rsid w:val="00040BA4"/>
    <w:rsid w:val="00040C20"/>
    <w:rsid w:val="00040C80"/>
    <w:rsid w:val="00040CEF"/>
    <w:rsid w:val="0004116D"/>
    <w:rsid w:val="00041198"/>
    <w:rsid w:val="000411CB"/>
    <w:rsid w:val="00041220"/>
    <w:rsid w:val="00041227"/>
    <w:rsid w:val="0004124C"/>
    <w:rsid w:val="000412A3"/>
    <w:rsid w:val="00041322"/>
    <w:rsid w:val="000414D2"/>
    <w:rsid w:val="0004158D"/>
    <w:rsid w:val="00041590"/>
    <w:rsid w:val="00041594"/>
    <w:rsid w:val="000415D9"/>
    <w:rsid w:val="000416B6"/>
    <w:rsid w:val="000416D1"/>
    <w:rsid w:val="000417D1"/>
    <w:rsid w:val="0004191F"/>
    <w:rsid w:val="0004196D"/>
    <w:rsid w:val="00041A92"/>
    <w:rsid w:val="00041AC4"/>
    <w:rsid w:val="00041ACF"/>
    <w:rsid w:val="00041B56"/>
    <w:rsid w:val="00041BB7"/>
    <w:rsid w:val="00041D43"/>
    <w:rsid w:val="00041DEF"/>
    <w:rsid w:val="00041F09"/>
    <w:rsid w:val="00041F2C"/>
    <w:rsid w:val="00041F9E"/>
    <w:rsid w:val="00042062"/>
    <w:rsid w:val="00042103"/>
    <w:rsid w:val="00042159"/>
    <w:rsid w:val="00042171"/>
    <w:rsid w:val="0004217D"/>
    <w:rsid w:val="000421E7"/>
    <w:rsid w:val="0004224E"/>
    <w:rsid w:val="000422D2"/>
    <w:rsid w:val="000422EE"/>
    <w:rsid w:val="000423AA"/>
    <w:rsid w:val="00042479"/>
    <w:rsid w:val="0004260D"/>
    <w:rsid w:val="00042618"/>
    <w:rsid w:val="000426C8"/>
    <w:rsid w:val="000426F4"/>
    <w:rsid w:val="00042873"/>
    <w:rsid w:val="00042896"/>
    <w:rsid w:val="000428A4"/>
    <w:rsid w:val="00042984"/>
    <w:rsid w:val="00042B08"/>
    <w:rsid w:val="00042B23"/>
    <w:rsid w:val="00042B9A"/>
    <w:rsid w:val="00042D5C"/>
    <w:rsid w:val="00042D74"/>
    <w:rsid w:val="00042D94"/>
    <w:rsid w:val="00042DA9"/>
    <w:rsid w:val="00042DD2"/>
    <w:rsid w:val="00042DF8"/>
    <w:rsid w:val="00042EF9"/>
    <w:rsid w:val="00043004"/>
    <w:rsid w:val="000430C5"/>
    <w:rsid w:val="000431AF"/>
    <w:rsid w:val="000431BC"/>
    <w:rsid w:val="000431E5"/>
    <w:rsid w:val="000431EF"/>
    <w:rsid w:val="0004323D"/>
    <w:rsid w:val="00043291"/>
    <w:rsid w:val="0004345E"/>
    <w:rsid w:val="000434FF"/>
    <w:rsid w:val="000435A2"/>
    <w:rsid w:val="000435AD"/>
    <w:rsid w:val="000436A0"/>
    <w:rsid w:val="000436C3"/>
    <w:rsid w:val="000436C9"/>
    <w:rsid w:val="000436D8"/>
    <w:rsid w:val="000436D9"/>
    <w:rsid w:val="0004379D"/>
    <w:rsid w:val="0004381C"/>
    <w:rsid w:val="00043896"/>
    <w:rsid w:val="00043931"/>
    <w:rsid w:val="000439AF"/>
    <w:rsid w:val="000439BE"/>
    <w:rsid w:val="000439D5"/>
    <w:rsid w:val="00043A17"/>
    <w:rsid w:val="00043A9C"/>
    <w:rsid w:val="00043ABC"/>
    <w:rsid w:val="00043BDB"/>
    <w:rsid w:val="00043C41"/>
    <w:rsid w:val="00043C79"/>
    <w:rsid w:val="00043D2E"/>
    <w:rsid w:val="00043D81"/>
    <w:rsid w:val="00043D84"/>
    <w:rsid w:val="00043F8B"/>
    <w:rsid w:val="00043FD8"/>
    <w:rsid w:val="0004409F"/>
    <w:rsid w:val="0004425A"/>
    <w:rsid w:val="00044321"/>
    <w:rsid w:val="00044439"/>
    <w:rsid w:val="00044501"/>
    <w:rsid w:val="00044631"/>
    <w:rsid w:val="000446A7"/>
    <w:rsid w:val="000446BB"/>
    <w:rsid w:val="0004474B"/>
    <w:rsid w:val="00044803"/>
    <w:rsid w:val="00044868"/>
    <w:rsid w:val="00044869"/>
    <w:rsid w:val="000448DA"/>
    <w:rsid w:val="00044A6A"/>
    <w:rsid w:val="00044AF4"/>
    <w:rsid w:val="00044BDC"/>
    <w:rsid w:val="00044C2B"/>
    <w:rsid w:val="00044C73"/>
    <w:rsid w:val="00044DA8"/>
    <w:rsid w:val="00044E12"/>
    <w:rsid w:val="00044E5A"/>
    <w:rsid w:val="00044E5D"/>
    <w:rsid w:val="00044ED8"/>
    <w:rsid w:val="00044F06"/>
    <w:rsid w:val="00044F48"/>
    <w:rsid w:val="00044FF6"/>
    <w:rsid w:val="00044FFE"/>
    <w:rsid w:val="000450B7"/>
    <w:rsid w:val="00045129"/>
    <w:rsid w:val="000451FF"/>
    <w:rsid w:val="00045294"/>
    <w:rsid w:val="0004550E"/>
    <w:rsid w:val="00045528"/>
    <w:rsid w:val="000455EB"/>
    <w:rsid w:val="00045681"/>
    <w:rsid w:val="000456C6"/>
    <w:rsid w:val="000457E5"/>
    <w:rsid w:val="000457FA"/>
    <w:rsid w:val="0004581C"/>
    <w:rsid w:val="00045A17"/>
    <w:rsid w:val="00045A20"/>
    <w:rsid w:val="00045C58"/>
    <w:rsid w:val="00045C6C"/>
    <w:rsid w:val="00045CAA"/>
    <w:rsid w:val="00045D73"/>
    <w:rsid w:val="00045DA6"/>
    <w:rsid w:val="00045DC9"/>
    <w:rsid w:val="00045E07"/>
    <w:rsid w:val="00045E49"/>
    <w:rsid w:val="00045F37"/>
    <w:rsid w:val="000460D5"/>
    <w:rsid w:val="00046119"/>
    <w:rsid w:val="00046198"/>
    <w:rsid w:val="00046221"/>
    <w:rsid w:val="0004631C"/>
    <w:rsid w:val="00046448"/>
    <w:rsid w:val="000465EE"/>
    <w:rsid w:val="00046612"/>
    <w:rsid w:val="000466D9"/>
    <w:rsid w:val="000466F9"/>
    <w:rsid w:val="0004678A"/>
    <w:rsid w:val="00046858"/>
    <w:rsid w:val="0004698F"/>
    <w:rsid w:val="000469AD"/>
    <w:rsid w:val="000469C4"/>
    <w:rsid w:val="00046B42"/>
    <w:rsid w:val="00046C70"/>
    <w:rsid w:val="00046CEB"/>
    <w:rsid w:val="00046D12"/>
    <w:rsid w:val="00046D8F"/>
    <w:rsid w:val="00046DD4"/>
    <w:rsid w:val="00046E91"/>
    <w:rsid w:val="00046EB6"/>
    <w:rsid w:val="00046F13"/>
    <w:rsid w:val="00046F6F"/>
    <w:rsid w:val="000470FC"/>
    <w:rsid w:val="00047236"/>
    <w:rsid w:val="0004724E"/>
    <w:rsid w:val="00047255"/>
    <w:rsid w:val="000472DC"/>
    <w:rsid w:val="000472E7"/>
    <w:rsid w:val="000472EA"/>
    <w:rsid w:val="000473E8"/>
    <w:rsid w:val="0004743A"/>
    <w:rsid w:val="000474CA"/>
    <w:rsid w:val="0004759A"/>
    <w:rsid w:val="00047668"/>
    <w:rsid w:val="00047710"/>
    <w:rsid w:val="0004785C"/>
    <w:rsid w:val="000478E4"/>
    <w:rsid w:val="000479EF"/>
    <w:rsid w:val="00047A18"/>
    <w:rsid w:val="00047B25"/>
    <w:rsid w:val="00047BB4"/>
    <w:rsid w:val="00047C6C"/>
    <w:rsid w:val="00047D32"/>
    <w:rsid w:val="00047D9B"/>
    <w:rsid w:val="00047EDF"/>
    <w:rsid w:val="00047F43"/>
    <w:rsid w:val="00047F59"/>
    <w:rsid w:val="0005009E"/>
    <w:rsid w:val="00050325"/>
    <w:rsid w:val="00050343"/>
    <w:rsid w:val="00050424"/>
    <w:rsid w:val="0005042F"/>
    <w:rsid w:val="0005043C"/>
    <w:rsid w:val="0005049A"/>
    <w:rsid w:val="00050531"/>
    <w:rsid w:val="0005079E"/>
    <w:rsid w:val="000507DE"/>
    <w:rsid w:val="0005086F"/>
    <w:rsid w:val="00050887"/>
    <w:rsid w:val="000508DD"/>
    <w:rsid w:val="00050992"/>
    <w:rsid w:val="000509A2"/>
    <w:rsid w:val="000509CE"/>
    <w:rsid w:val="00050A11"/>
    <w:rsid w:val="00050A70"/>
    <w:rsid w:val="00050CE9"/>
    <w:rsid w:val="00050F4B"/>
    <w:rsid w:val="00050FCE"/>
    <w:rsid w:val="000510D7"/>
    <w:rsid w:val="00051107"/>
    <w:rsid w:val="00051158"/>
    <w:rsid w:val="000511D8"/>
    <w:rsid w:val="00051353"/>
    <w:rsid w:val="000513FE"/>
    <w:rsid w:val="00051431"/>
    <w:rsid w:val="0005152C"/>
    <w:rsid w:val="000515A5"/>
    <w:rsid w:val="00051616"/>
    <w:rsid w:val="000518F1"/>
    <w:rsid w:val="00051921"/>
    <w:rsid w:val="00051A48"/>
    <w:rsid w:val="00051A79"/>
    <w:rsid w:val="00051AB5"/>
    <w:rsid w:val="00051B99"/>
    <w:rsid w:val="00051D75"/>
    <w:rsid w:val="00051DC8"/>
    <w:rsid w:val="00051EAA"/>
    <w:rsid w:val="00051EF8"/>
    <w:rsid w:val="00051FDD"/>
    <w:rsid w:val="00052029"/>
    <w:rsid w:val="00052039"/>
    <w:rsid w:val="000520EE"/>
    <w:rsid w:val="000521C7"/>
    <w:rsid w:val="000521FC"/>
    <w:rsid w:val="00052230"/>
    <w:rsid w:val="000522BB"/>
    <w:rsid w:val="000524D8"/>
    <w:rsid w:val="00052581"/>
    <w:rsid w:val="000525FB"/>
    <w:rsid w:val="00052604"/>
    <w:rsid w:val="00052658"/>
    <w:rsid w:val="00052784"/>
    <w:rsid w:val="0005293C"/>
    <w:rsid w:val="000529DB"/>
    <w:rsid w:val="00052A3A"/>
    <w:rsid w:val="00052ACE"/>
    <w:rsid w:val="00052C17"/>
    <w:rsid w:val="00052C23"/>
    <w:rsid w:val="00052CA3"/>
    <w:rsid w:val="00052E1F"/>
    <w:rsid w:val="00052F5A"/>
    <w:rsid w:val="00052F8C"/>
    <w:rsid w:val="0005308A"/>
    <w:rsid w:val="0005319A"/>
    <w:rsid w:val="000531D6"/>
    <w:rsid w:val="0005328E"/>
    <w:rsid w:val="000532BA"/>
    <w:rsid w:val="00053338"/>
    <w:rsid w:val="000533CA"/>
    <w:rsid w:val="00053402"/>
    <w:rsid w:val="0005349E"/>
    <w:rsid w:val="000534F5"/>
    <w:rsid w:val="00053517"/>
    <w:rsid w:val="000535E0"/>
    <w:rsid w:val="000535FF"/>
    <w:rsid w:val="00053734"/>
    <w:rsid w:val="00053780"/>
    <w:rsid w:val="000537AA"/>
    <w:rsid w:val="000537D7"/>
    <w:rsid w:val="00053810"/>
    <w:rsid w:val="000538C4"/>
    <w:rsid w:val="0005395B"/>
    <w:rsid w:val="00053963"/>
    <w:rsid w:val="00053981"/>
    <w:rsid w:val="00053A5A"/>
    <w:rsid w:val="00053A78"/>
    <w:rsid w:val="00053C00"/>
    <w:rsid w:val="00053C8D"/>
    <w:rsid w:val="00053D82"/>
    <w:rsid w:val="00053E88"/>
    <w:rsid w:val="00053E94"/>
    <w:rsid w:val="00053EFD"/>
    <w:rsid w:val="00053F38"/>
    <w:rsid w:val="00053F93"/>
    <w:rsid w:val="0005404A"/>
    <w:rsid w:val="00054079"/>
    <w:rsid w:val="00054220"/>
    <w:rsid w:val="00054385"/>
    <w:rsid w:val="000543C5"/>
    <w:rsid w:val="0005440F"/>
    <w:rsid w:val="00054448"/>
    <w:rsid w:val="00054464"/>
    <w:rsid w:val="000545C1"/>
    <w:rsid w:val="00054668"/>
    <w:rsid w:val="00054698"/>
    <w:rsid w:val="0005489F"/>
    <w:rsid w:val="00054989"/>
    <w:rsid w:val="00054A20"/>
    <w:rsid w:val="00054A42"/>
    <w:rsid w:val="00054ACD"/>
    <w:rsid w:val="00054C64"/>
    <w:rsid w:val="00054D02"/>
    <w:rsid w:val="00054E27"/>
    <w:rsid w:val="00054EF3"/>
    <w:rsid w:val="00054F64"/>
    <w:rsid w:val="00054F6E"/>
    <w:rsid w:val="00055015"/>
    <w:rsid w:val="000550AF"/>
    <w:rsid w:val="0005512F"/>
    <w:rsid w:val="00055132"/>
    <w:rsid w:val="0005538A"/>
    <w:rsid w:val="000553C4"/>
    <w:rsid w:val="0005554B"/>
    <w:rsid w:val="00055576"/>
    <w:rsid w:val="000555BF"/>
    <w:rsid w:val="0005561B"/>
    <w:rsid w:val="0005566D"/>
    <w:rsid w:val="000557D4"/>
    <w:rsid w:val="00055823"/>
    <w:rsid w:val="0005586B"/>
    <w:rsid w:val="000559A6"/>
    <w:rsid w:val="00055A25"/>
    <w:rsid w:val="00055A7C"/>
    <w:rsid w:val="00055CF0"/>
    <w:rsid w:val="00055D63"/>
    <w:rsid w:val="00055DA1"/>
    <w:rsid w:val="00055FCF"/>
    <w:rsid w:val="00056056"/>
    <w:rsid w:val="000560AD"/>
    <w:rsid w:val="00056129"/>
    <w:rsid w:val="00056273"/>
    <w:rsid w:val="00056278"/>
    <w:rsid w:val="000562C4"/>
    <w:rsid w:val="000562F4"/>
    <w:rsid w:val="00056386"/>
    <w:rsid w:val="0005639C"/>
    <w:rsid w:val="000563CF"/>
    <w:rsid w:val="0005641F"/>
    <w:rsid w:val="000564E3"/>
    <w:rsid w:val="00056593"/>
    <w:rsid w:val="00056729"/>
    <w:rsid w:val="000567BB"/>
    <w:rsid w:val="0005682F"/>
    <w:rsid w:val="000569D4"/>
    <w:rsid w:val="000569FF"/>
    <w:rsid w:val="00056AC6"/>
    <w:rsid w:val="00056AC7"/>
    <w:rsid w:val="00056B06"/>
    <w:rsid w:val="00056B6F"/>
    <w:rsid w:val="00056CAA"/>
    <w:rsid w:val="00056D85"/>
    <w:rsid w:val="00056F48"/>
    <w:rsid w:val="00056FBC"/>
    <w:rsid w:val="00057080"/>
    <w:rsid w:val="000571CA"/>
    <w:rsid w:val="00057237"/>
    <w:rsid w:val="00057488"/>
    <w:rsid w:val="000574AD"/>
    <w:rsid w:val="000574C9"/>
    <w:rsid w:val="0005753C"/>
    <w:rsid w:val="00057540"/>
    <w:rsid w:val="0005766D"/>
    <w:rsid w:val="00057732"/>
    <w:rsid w:val="000579B0"/>
    <w:rsid w:val="00057B9E"/>
    <w:rsid w:val="00057C51"/>
    <w:rsid w:val="00057C66"/>
    <w:rsid w:val="00057D37"/>
    <w:rsid w:val="00057DC6"/>
    <w:rsid w:val="00057E6A"/>
    <w:rsid w:val="00057ED2"/>
    <w:rsid w:val="00057FEA"/>
    <w:rsid w:val="00060102"/>
    <w:rsid w:val="000602A9"/>
    <w:rsid w:val="000602D4"/>
    <w:rsid w:val="00060357"/>
    <w:rsid w:val="0006041F"/>
    <w:rsid w:val="00060446"/>
    <w:rsid w:val="00060519"/>
    <w:rsid w:val="0006056A"/>
    <w:rsid w:val="000605DE"/>
    <w:rsid w:val="000606E5"/>
    <w:rsid w:val="00060784"/>
    <w:rsid w:val="00060789"/>
    <w:rsid w:val="00060848"/>
    <w:rsid w:val="000608EE"/>
    <w:rsid w:val="00060932"/>
    <w:rsid w:val="00060940"/>
    <w:rsid w:val="00060961"/>
    <w:rsid w:val="00060965"/>
    <w:rsid w:val="000609BB"/>
    <w:rsid w:val="000609C3"/>
    <w:rsid w:val="00060AC8"/>
    <w:rsid w:val="00060AE9"/>
    <w:rsid w:val="00060B10"/>
    <w:rsid w:val="00060B3A"/>
    <w:rsid w:val="00060B3B"/>
    <w:rsid w:val="00060BDF"/>
    <w:rsid w:val="00060C22"/>
    <w:rsid w:val="00060C28"/>
    <w:rsid w:val="00060C51"/>
    <w:rsid w:val="00060C8D"/>
    <w:rsid w:val="00060CDC"/>
    <w:rsid w:val="00060D53"/>
    <w:rsid w:val="00060DF2"/>
    <w:rsid w:val="00060E56"/>
    <w:rsid w:val="00060EDF"/>
    <w:rsid w:val="00060FAC"/>
    <w:rsid w:val="000610BF"/>
    <w:rsid w:val="00061192"/>
    <w:rsid w:val="00061275"/>
    <w:rsid w:val="000612A0"/>
    <w:rsid w:val="0006130C"/>
    <w:rsid w:val="000614CF"/>
    <w:rsid w:val="000614E3"/>
    <w:rsid w:val="000615A7"/>
    <w:rsid w:val="000615C7"/>
    <w:rsid w:val="0006177E"/>
    <w:rsid w:val="00061905"/>
    <w:rsid w:val="000619FD"/>
    <w:rsid w:val="00061BF8"/>
    <w:rsid w:val="00061C9B"/>
    <w:rsid w:val="00061CD7"/>
    <w:rsid w:val="00061E1C"/>
    <w:rsid w:val="00061E6E"/>
    <w:rsid w:val="00061EC3"/>
    <w:rsid w:val="00061F37"/>
    <w:rsid w:val="00061F3B"/>
    <w:rsid w:val="00061F3D"/>
    <w:rsid w:val="00061F79"/>
    <w:rsid w:val="000620B1"/>
    <w:rsid w:val="00062105"/>
    <w:rsid w:val="00062178"/>
    <w:rsid w:val="00062179"/>
    <w:rsid w:val="000621CE"/>
    <w:rsid w:val="000622D5"/>
    <w:rsid w:val="000622EC"/>
    <w:rsid w:val="00062307"/>
    <w:rsid w:val="000623BB"/>
    <w:rsid w:val="0006257A"/>
    <w:rsid w:val="00062583"/>
    <w:rsid w:val="0006266F"/>
    <w:rsid w:val="0006271F"/>
    <w:rsid w:val="0006281D"/>
    <w:rsid w:val="00062858"/>
    <w:rsid w:val="0006289B"/>
    <w:rsid w:val="0006290D"/>
    <w:rsid w:val="00062950"/>
    <w:rsid w:val="00062968"/>
    <w:rsid w:val="000629A4"/>
    <w:rsid w:val="00062BB6"/>
    <w:rsid w:val="00062BC8"/>
    <w:rsid w:val="00062C97"/>
    <w:rsid w:val="00062D85"/>
    <w:rsid w:val="00062DC2"/>
    <w:rsid w:val="00062E2A"/>
    <w:rsid w:val="00062E39"/>
    <w:rsid w:val="00062E6B"/>
    <w:rsid w:val="00062E9B"/>
    <w:rsid w:val="00062F0F"/>
    <w:rsid w:val="00063068"/>
    <w:rsid w:val="000630BE"/>
    <w:rsid w:val="000630D0"/>
    <w:rsid w:val="0006314A"/>
    <w:rsid w:val="0006326D"/>
    <w:rsid w:val="00063364"/>
    <w:rsid w:val="00063391"/>
    <w:rsid w:val="00063462"/>
    <w:rsid w:val="0006352D"/>
    <w:rsid w:val="000635C3"/>
    <w:rsid w:val="0006367D"/>
    <w:rsid w:val="000636EF"/>
    <w:rsid w:val="00063722"/>
    <w:rsid w:val="00063733"/>
    <w:rsid w:val="00063883"/>
    <w:rsid w:val="00063962"/>
    <w:rsid w:val="00063AF2"/>
    <w:rsid w:val="00063BD3"/>
    <w:rsid w:val="00063C83"/>
    <w:rsid w:val="00063CA7"/>
    <w:rsid w:val="00063DF7"/>
    <w:rsid w:val="00063E66"/>
    <w:rsid w:val="00063EEE"/>
    <w:rsid w:val="00063FC3"/>
    <w:rsid w:val="000640E9"/>
    <w:rsid w:val="0006412F"/>
    <w:rsid w:val="0006415D"/>
    <w:rsid w:val="000641B7"/>
    <w:rsid w:val="000641C7"/>
    <w:rsid w:val="00064206"/>
    <w:rsid w:val="000642EC"/>
    <w:rsid w:val="000642F7"/>
    <w:rsid w:val="00064327"/>
    <w:rsid w:val="00064363"/>
    <w:rsid w:val="00064371"/>
    <w:rsid w:val="000643F6"/>
    <w:rsid w:val="0006474D"/>
    <w:rsid w:val="00064772"/>
    <w:rsid w:val="00064796"/>
    <w:rsid w:val="00064797"/>
    <w:rsid w:val="0006490B"/>
    <w:rsid w:val="00064913"/>
    <w:rsid w:val="00064A3B"/>
    <w:rsid w:val="00064A88"/>
    <w:rsid w:val="00064ABF"/>
    <w:rsid w:val="00064B69"/>
    <w:rsid w:val="00064BA0"/>
    <w:rsid w:val="00064BC5"/>
    <w:rsid w:val="00064C9F"/>
    <w:rsid w:val="00064CC4"/>
    <w:rsid w:val="00064D20"/>
    <w:rsid w:val="00064D67"/>
    <w:rsid w:val="00064DA5"/>
    <w:rsid w:val="00064DDE"/>
    <w:rsid w:val="00064DF6"/>
    <w:rsid w:val="00064ED1"/>
    <w:rsid w:val="00064EED"/>
    <w:rsid w:val="00064F74"/>
    <w:rsid w:val="00064FA8"/>
    <w:rsid w:val="00064FAB"/>
    <w:rsid w:val="0006501D"/>
    <w:rsid w:val="00065042"/>
    <w:rsid w:val="00065074"/>
    <w:rsid w:val="000650DD"/>
    <w:rsid w:val="0006527D"/>
    <w:rsid w:val="0006531E"/>
    <w:rsid w:val="0006546B"/>
    <w:rsid w:val="000655DF"/>
    <w:rsid w:val="000655EE"/>
    <w:rsid w:val="0006573E"/>
    <w:rsid w:val="000657BD"/>
    <w:rsid w:val="000657E1"/>
    <w:rsid w:val="0006585E"/>
    <w:rsid w:val="00065866"/>
    <w:rsid w:val="000659A7"/>
    <w:rsid w:val="00065C4F"/>
    <w:rsid w:val="00065CD1"/>
    <w:rsid w:val="00065D28"/>
    <w:rsid w:val="00065DEF"/>
    <w:rsid w:val="00065EAC"/>
    <w:rsid w:val="00065F39"/>
    <w:rsid w:val="00065F91"/>
    <w:rsid w:val="00065FBB"/>
    <w:rsid w:val="00066041"/>
    <w:rsid w:val="00066075"/>
    <w:rsid w:val="00066079"/>
    <w:rsid w:val="000660A0"/>
    <w:rsid w:val="00066108"/>
    <w:rsid w:val="000661A1"/>
    <w:rsid w:val="000661B2"/>
    <w:rsid w:val="00066321"/>
    <w:rsid w:val="00066377"/>
    <w:rsid w:val="000663FA"/>
    <w:rsid w:val="0006646B"/>
    <w:rsid w:val="00066484"/>
    <w:rsid w:val="000664C9"/>
    <w:rsid w:val="00066564"/>
    <w:rsid w:val="000666DA"/>
    <w:rsid w:val="0006675B"/>
    <w:rsid w:val="000667B0"/>
    <w:rsid w:val="00066822"/>
    <w:rsid w:val="0006682A"/>
    <w:rsid w:val="00066858"/>
    <w:rsid w:val="000668FA"/>
    <w:rsid w:val="000668FE"/>
    <w:rsid w:val="00066902"/>
    <w:rsid w:val="00066918"/>
    <w:rsid w:val="00066996"/>
    <w:rsid w:val="000669A8"/>
    <w:rsid w:val="00066A4F"/>
    <w:rsid w:val="00066B92"/>
    <w:rsid w:val="00066C45"/>
    <w:rsid w:val="00066E40"/>
    <w:rsid w:val="00066E65"/>
    <w:rsid w:val="00066F48"/>
    <w:rsid w:val="00067287"/>
    <w:rsid w:val="00067497"/>
    <w:rsid w:val="000674E8"/>
    <w:rsid w:val="00067563"/>
    <w:rsid w:val="0006762B"/>
    <w:rsid w:val="000676BE"/>
    <w:rsid w:val="000677B6"/>
    <w:rsid w:val="00067837"/>
    <w:rsid w:val="00067838"/>
    <w:rsid w:val="00067840"/>
    <w:rsid w:val="00067883"/>
    <w:rsid w:val="00067956"/>
    <w:rsid w:val="00067990"/>
    <w:rsid w:val="000679A3"/>
    <w:rsid w:val="00067A3E"/>
    <w:rsid w:val="00067AF3"/>
    <w:rsid w:val="00067B43"/>
    <w:rsid w:val="00067B71"/>
    <w:rsid w:val="00067B98"/>
    <w:rsid w:val="00067D29"/>
    <w:rsid w:val="00067D40"/>
    <w:rsid w:val="00067E28"/>
    <w:rsid w:val="00067E76"/>
    <w:rsid w:val="00067E9C"/>
    <w:rsid w:val="00067EE3"/>
    <w:rsid w:val="00067FEA"/>
    <w:rsid w:val="0007007F"/>
    <w:rsid w:val="000700DB"/>
    <w:rsid w:val="00070126"/>
    <w:rsid w:val="0007012E"/>
    <w:rsid w:val="000701E6"/>
    <w:rsid w:val="000701EA"/>
    <w:rsid w:val="00070240"/>
    <w:rsid w:val="00070256"/>
    <w:rsid w:val="000702DE"/>
    <w:rsid w:val="000703F8"/>
    <w:rsid w:val="00070401"/>
    <w:rsid w:val="000704DD"/>
    <w:rsid w:val="0007054A"/>
    <w:rsid w:val="00070671"/>
    <w:rsid w:val="000706F5"/>
    <w:rsid w:val="0007075A"/>
    <w:rsid w:val="000708EF"/>
    <w:rsid w:val="00070994"/>
    <w:rsid w:val="00070A29"/>
    <w:rsid w:val="00070A2F"/>
    <w:rsid w:val="00070A7D"/>
    <w:rsid w:val="00070BDD"/>
    <w:rsid w:val="00070C3A"/>
    <w:rsid w:val="00070C96"/>
    <w:rsid w:val="00070DB4"/>
    <w:rsid w:val="00070E2D"/>
    <w:rsid w:val="00070E6D"/>
    <w:rsid w:val="00070E81"/>
    <w:rsid w:val="00070FCA"/>
    <w:rsid w:val="00070FCB"/>
    <w:rsid w:val="00071024"/>
    <w:rsid w:val="00071051"/>
    <w:rsid w:val="000710EC"/>
    <w:rsid w:val="000710FC"/>
    <w:rsid w:val="00071181"/>
    <w:rsid w:val="000711B2"/>
    <w:rsid w:val="00071282"/>
    <w:rsid w:val="00071415"/>
    <w:rsid w:val="0007142E"/>
    <w:rsid w:val="000714A5"/>
    <w:rsid w:val="00071718"/>
    <w:rsid w:val="0007171A"/>
    <w:rsid w:val="00071792"/>
    <w:rsid w:val="000717E2"/>
    <w:rsid w:val="00071811"/>
    <w:rsid w:val="000718D5"/>
    <w:rsid w:val="0007190E"/>
    <w:rsid w:val="00071B0B"/>
    <w:rsid w:val="00071B25"/>
    <w:rsid w:val="00071B53"/>
    <w:rsid w:val="00071C09"/>
    <w:rsid w:val="00071C10"/>
    <w:rsid w:val="00071C26"/>
    <w:rsid w:val="00071C27"/>
    <w:rsid w:val="00071D83"/>
    <w:rsid w:val="00071D90"/>
    <w:rsid w:val="00071E2D"/>
    <w:rsid w:val="00071E9C"/>
    <w:rsid w:val="0007207D"/>
    <w:rsid w:val="000720AE"/>
    <w:rsid w:val="00072201"/>
    <w:rsid w:val="00072275"/>
    <w:rsid w:val="000722ED"/>
    <w:rsid w:val="00072303"/>
    <w:rsid w:val="000724FD"/>
    <w:rsid w:val="00072723"/>
    <w:rsid w:val="00072746"/>
    <w:rsid w:val="00072762"/>
    <w:rsid w:val="000727B6"/>
    <w:rsid w:val="000727BF"/>
    <w:rsid w:val="000727CA"/>
    <w:rsid w:val="0007281B"/>
    <w:rsid w:val="00072894"/>
    <w:rsid w:val="000728AF"/>
    <w:rsid w:val="00072928"/>
    <w:rsid w:val="0007297A"/>
    <w:rsid w:val="0007298C"/>
    <w:rsid w:val="00072A27"/>
    <w:rsid w:val="00072B4E"/>
    <w:rsid w:val="00072BB8"/>
    <w:rsid w:val="00072C55"/>
    <w:rsid w:val="00072CB4"/>
    <w:rsid w:val="00072CEE"/>
    <w:rsid w:val="00072CF2"/>
    <w:rsid w:val="00073185"/>
    <w:rsid w:val="00073204"/>
    <w:rsid w:val="00073399"/>
    <w:rsid w:val="000733A8"/>
    <w:rsid w:val="000733B5"/>
    <w:rsid w:val="00073435"/>
    <w:rsid w:val="0007369F"/>
    <w:rsid w:val="00073756"/>
    <w:rsid w:val="00073868"/>
    <w:rsid w:val="0007387A"/>
    <w:rsid w:val="0007389E"/>
    <w:rsid w:val="000738F4"/>
    <w:rsid w:val="0007391A"/>
    <w:rsid w:val="00073958"/>
    <w:rsid w:val="00073A90"/>
    <w:rsid w:val="00073B80"/>
    <w:rsid w:val="00073C89"/>
    <w:rsid w:val="00073DD2"/>
    <w:rsid w:val="00073DEB"/>
    <w:rsid w:val="00073E36"/>
    <w:rsid w:val="00073E5D"/>
    <w:rsid w:val="00073EA2"/>
    <w:rsid w:val="00073EA4"/>
    <w:rsid w:val="00073FC0"/>
    <w:rsid w:val="00074294"/>
    <w:rsid w:val="000742FB"/>
    <w:rsid w:val="000743AC"/>
    <w:rsid w:val="00074418"/>
    <w:rsid w:val="0007450B"/>
    <w:rsid w:val="00074710"/>
    <w:rsid w:val="000747A5"/>
    <w:rsid w:val="00074980"/>
    <w:rsid w:val="00074A56"/>
    <w:rsid w:val="00074C32"/>
    <w:rsid w:val="00074CD9"/>
    <w:rsid w:val="00074DE4"/>
    <w:rsid w:val="00074E4C"/>
    <w:rsid w:val="00074EE2"/>
    <w:rsid w:val="00074EE7"/>
    <w:rsid w:val="00074F2B"/>
    <w:rsid w:val="00074F3E"/>
    <w:rsid w:val="00074F40"/>
    <w:rsid w:val="00074FB5"/>
    <w:rsid w:val="000750E4"/>
    <w:rsid w:val="0007514D"/>
    <w:rsid w:val="00075240"/>
    <w:rsid w:val="0007524B"/>
    <w:rsid w:val="000752D3"/>
    <w:rsid w:val="0007530B"/>
    <w:rsid w:val="00075358"/>
    <w:rsid w:val="00075820"/>
    <w:rsid w:val="000758DE"/>
    <w:rsid w:val="00075944"/>
    <w:rsid w:val="000759F9"/>
    <w:rsid w:val="00075BED"/>
    <w:rsid w:val="00075BF4"/>
    <w:rsid w:val="00075C54"/>
    <w:rsid w:val="00075D8F"/>
    <w:rsid w:val="00075DC8"/>
    <w:rsid w:val="00075E9F"/>
    <w:rsid w:val="00075EAA"/>
    <w:rsid w:val="00075FDC"/>
    <w:rsid w:val="00076060"/>
    <w:rsid w:val="00076085"/>
    <w:rsid w:val="00076396"/>
    <w:rsid w:val="00076407"/>
    <w:rsid w:val="00076415"/>
    <w:rsid w:val="0007644A"/>
    <w:rsid w:val="0007644B"/>
    <w:rsid w:val="00076498"/>
    <w:rsid w:val="00076566"/>
    <w:rsid w:val="00076569"/>
    <w:rsid w:val="000766AA"/>
    <w:rsid w:val="00076797"/>
    <w:rsid w:val="000767D9"/>
    <w:rsid w:val="0007687F"/>
    <w:rsid w:val="00076883"/>
    <w:rsid w:val="00076886"/>
    <w:rsid w:val="000768E4"/>
    <w:rsid w:val="0007692D"/>
    <w:rsid w:val="00076A4E"/>
    <w:rsid w:val="00076A6A"/>
    <w:rsid w:val="00076AD9"/>
    <w:rsid w:val="00076ADF"/>
    <w:rsid w:val="00076B53"/>
    <w:rsid w:val="00076D97"/>
    <w:rsid w:val="00076E28"/>
    <w:rsid w:val="00076ED0"/>
    <w:rsid w:val="00076EE5"/>
    <w:rsid w:val="00077075"/>
    <w:rsid w:val="0007714E"/>
    <w:rsid w:val="00077168"/>
    <w:rsid w:val="000771DE"/>
    <w:rsid w:val="00077359"/>
    <w:rsid w:val="0007752F"/>
    <w:rsid w:val="00077544"/>
    <w:rsid w:val="0007761C"/>
    <w:rsid w:val="0007766F"/>
    <w:rsid w:val="00077702"/>
    <w:rsid w:val="0007772A"/>
    <w:rsid w:val="000777A7"/>
    <w:rsid w:val="00077844"/>
    <w:rsid w:val="000778C3"/>
    <w:rsid w:val="000779AD"/>
    <w:rsid w:val="00077BA7"/>
    <w:rsid w:val="00077BAD"/>
    <w:rsid w:val="00077C49"/>
    <w:rsid w:val="00077D94"/>
    <w:rsid w:val="00077DD4"/>
    <w:rsid w:val="00077E73"/>
    <w:rsid w:val="00080101"/>
    <w:rsid w:val="000801EF"/>
    <w:rsid w:val="0008020E"/>
    <w:rsid w:val="000802EE"/>
    <w:rsid w:val="0008030D"/>
    <w:rsid w:val="00080439"/>
    <w:rsid w:val="000804ED"/>
    <w:rsid w:val="00080549"/>
    <w:rsid w:val="00080690"/>
    <w:rsid w:val="0008070E"/>
    <w:rsid w:val="00080782"/>
    <w:rsid w:val="00080832"/>
    <w:rsid w:val="0008097B"/>
    <w:rsid w:val="000809D7"/>
    <w:rsid w:val="000809EC"/>
    <w:rsid w:val="00080A56"/>
    <w:rsid w:val="00080B07"/>
    <w:rsid w:val="00080B60"/>
    <w:rsid w:val="00080BB0"/>
    <w:rsid w:val="00080C40"/>
    <w:rsid w:val="00080CD2"/>
    <w:rsid w:val="00080CF4"/>
    <w:rsid w:val="00080D40"/>
    <w:rsid w:val="00080D43"/>
    <w:rsid w:val="00080E33"/>
    <w:rsid w:val="00081019"/>
    <w:rsid w:val="000810C9"/>
    <w:rsid w:val="000811A3"/>
    <w:rsid w:val="000811C4"/>
    <w:rsid w:val="000813B7"/>
    <w:rsid w:val="000813F3"/>
    <w:rsid w:val="0008149A"/>
    <w:rsid w:val="0008156D"/>
    <w:rsid w:val="00081685"/>
    <w:rsid w:val="00081699"/>
    <w:rsid w:val="000816F8"/>
    <w:rsid w:val="00081707"/>
    <w:rsid w:val="00081775"/>
    <w:rsid w:val="000817D1"/>
    <w:rsid w:val="00081913"/>
    <w:rsid w:val="00081999"/>
    <w:rsid w:val="00081A1E"/>
    <w:rsid w:val="00081B26"/>
    <w:rsid w:val="00081B7A"/>
    <w:rsid w:val="00081B93"/>
    <w:rsid w:val="00081BB9"/>
    <w:rsid w:val="00081C8D"/>
    <w:rsid w:val="00081CA4"/>
    <w:rsid w:val="00081CC0"/>
    <w:rsid w:val="00081CF4"/>
    <w:rsid w:val="00081EE0"/>
    <w:rsid w:val="00081EFE"/>
    <w:rsid w:val="00081F28"/>
    <w:rsid w:val="00082081"/>
    <w:rsid w:val="00082085"/>
    <w:rsid w:val="000821C1"/>
    <w:rsid w:val="000821F0"/>
    <w:rsid w:val="00082245"/>
    <w:rsid w:val="000823D1"/>
    <w:rsid w:val="00082427"/>
    <w:rsid w:val="000824CA"/>
    <w:rsid w:val="000825C3"/>
    <w:rsid w:val="000825E5"/>
    <w:rsid w:val="0008260E"/>
    <w:rsid w:val="000826BA"/>
    <w:rsid w:val="000826E6"/>
    <w:rsid w:val="0008280E"/>
    <w:rsid w:val="0008285D"/>
    <w:rsid w:val="000829C3"/>
    <w:rsid w:val="00082A22"/>
    <w:rsid w:val="00082A44"/>
    <w:rsid w:val="00082BA4"/>
    <w:rsid w:val="00082D0D"/>
    <w:rsid w:val="00082D34"/>
    <w:rsid w:val="00082DE5"/>
    <w:rsid w:val="00082DEC"/>
    <w:rsid w:val="00082E14"/>
    <w:rsid w:val="00082E52"/>
    <w:rsid w:val="00082E99"/>
    <w:rsid w:val="00082F7F"/>
    <w:rsid w:val="00082F9E"/>
    <w:rsid w:val="000830CC"/>
    <w:rsid w:val="000831D8"/>
    <w:rsid w:val="00083232"/>
    <w:rsid w:val="0008323E"/>
    <w:rsid w:val="00083466"/>
    <w:rsid w:val="000834F6"/>
    <w:rsid w:val="00083691"/>
    <w:rsid w:val="000837D7"/>
    <w:rsid w:val="000839C2"/>
    <w:rsid w:val="00083A55"/>
    <w:rsid w:val="00083B0E"/>
    <w:rsid w:val="00083BF1"/>
    <w:rsid w:val="00083D42"/>
    <w:rsid w:val="00083E31"/>
    <w:rsid w:val="00083E70"/>
    <w:rsid w:val="00083ED7"/>
    <w:rsid w:val="00083F53"/>
    <w:rsid w:val="00083F98"/>
    <w:rsid w:val="000841A1"/>
    <w:rsid w:val="00084324"/>
    <w:rsid w:val="000843F8"/>
    <w:rsid w:val="0008457E"/>
    <w:rsid w:val="000846F7"/>
    <w:rsid w:val="0008482E"/>
    <w:rsid w:val="00084A21"/>
    <w:rsid w:val="00084A98"/>
    <w:rsid w:val="00084BAB"/>
    <w:rsid w:val="00084BCA"/>
    <w:rsid w:val="00084D8E"/>
    <w:rsid w:val="00084D9A"/>
    <w:rsid w:val="00084E08"/>
    <w:rsid w:val="00084E36"/>
    <w:rsid w:val="00084E57"/>
    <w:rsid w:val="00084E95"/>
    <w:rsid w:val="00084F66"/>
    <w:rsid w:val="00084FC3"/>
    <w:rsid w:val="00084FF4"/>
    <w:rsid w:val="00085073"/>
    <w:rsid w:val="00085092"/>
    <w:rsid w:val="000850EE"/>
    <w:rsid w:val="000851F5"/>
    <w:rsid w:val="00085483"/>
    <w:rsid w:val="0008549B"/>
    <w:rsid w:val="000854F0"/>
    <w:rsid w:val="00085502"/>
    <w:rsid w:val="0008551F"/>
    <w:rsid w:val="0008553D"/>
    <w:rsid w:val="000855A7"/>
    <w:rsid w:val="0008573F"/>
    <w:rsid w:val="000857DE"/>
    <w:rsid w:val="000857E4"/>
    <w:rsid w:val="00085854"/>
    <w:rsid w:val="00085883"/>
    <w:rsid w:val="00085AB5"/>
    <w:rsid w:val="00085BB1"/>
    <w:rsid w:val="00085C93"/>
    <w:rsid w:val="00085D6F"/>
    <w:rsid w:val="00085D7A"/>
    <w:rsid w:val="00085DAB"/>
    <w:rsid w:val="00085E53"/>
    <w:rsid w:val="00085FEC"/>
    <w:rsid w:val="00086004"/>
    <w:rsid w:val="00086073"/>
    <w:rsid w:val="000860AE"/>
    <w:rsid w:val="000860BC"/>
    <w:rsid w:val="000860C8"/>
    <w:rsid w:val="00086167"/>
    <w:rsid w:val="00086190"/>
    <w:rsid w:val="00086261"/>
    <w:rsid w:val="00086275"/>
    <w:rsid w:val="000862DC"/>
    <w:rsid w:val="000862E0"/>
    <w:rsid w:val="0008631D"/>
    <w:rsid w:val="00086329"/>
    <w:rsid w:val="0008633F"/>
    <w:rsid w:val="00086697"/>
    <w:rsid w:val="000867F9"/>
    <w:rsid w:val="0008688A"/>
    <w:rsid w:val="000868E3"/>
    <w:rsid w:val="00086908"/>
    <w:rsid w:val="0008696F"/>
    <w:rsid w:val="00086A05"/>
    <w:rsid w:val="00086A12"/>
    <w:rsid w:val="00086AAC"/>
    <w:rsid w:val="00086C28"/>
    <w:rsid w:val="00086C6F"/>
    <w:rsid w:val="00086E88"/>
    <w:rsid w:val="000870DB"/>
    <w:rsid w:val="00087162"/>
    <w:rsid w:val="00087273"/>
    <w:rsid w:val="00087394"/>
    <w:rsid w:val="00087449"/>
    <w:rsid w:val="00087469"/>
    <w:rsid w:val="0008755B"/>
    <w:rsid w:val="000876AC"/>
    <w:rsid w:val="000876F6"/>
    <w:rsid w:val="0008774D"/>
    <w:rsid w:val="000877AD"/>
    <w:rsid w:val="00087835"/>
    <w:rsid w:val="0008788E"/>
    <w:rsid w:val="000878BD"/>
    <w:rsid w:val="00087939"/>
    <w:rsid w:val="00087A49"/>
    <w:rsid w:val="00087A82"/>
    <w:rsid w:val="00087ABF"/>
    <w:rsid w:val="00087BE6"/>
    <w:rsid w:val="00087C05"/>
    <w:rsid w:val="00087C4D"/>
    <w:rsid w:val="00087CF5"/>
    <w:rsid w:val="00087D12"/>
    <w:rsid w:val="00087D54"/>
    <w:rsid w:val="00087DBC"/>
    <w:rsid w:val="00087E79"/>
    <w:rsid w:val="00087FEE"/>
    <w:rsid w:val="00090078"/>
    <w:rsid w:val="0009020A"/>
    <w:rsid w:val="00090258"/>
    <w:rsid w:val="000902D8"/>
    <w:rsid w:val="000902F0"/>
    <w:rsid w:val="00090300"/>
    <w:rsid w:val="0009035C"/>
    <w:rsid w:val="00090429"/>
    <w:rsid w:val="00090570"/>
    <w:rsid w:val="000905B0"/>
    <w:rsid w:val="000905D4"/>
    <w:rsid w:val="000905D9"/>
    <w:rsid w:val="000906AA"/>
    <w:rsid w:val="000907B9"/>
    <w:rsid w:val="0009083A"/>
    <w:rsid w:val="00090900"/>
    <w:rsid w:val="00090926"/>
    <w:rsid w:val="00090978"/>
    <w:rsid w:val="000909BC"/>
    <w:rsid w:val="000909C9"/>
    <w:rsid w:val="000909DD"/>
    <w:rsid w:val="000909E4"/>
    <w:rsid w:val="00090A04"/>
    <w:rsid w:val="00090A1D"/>
    <w:rsid w:val="00090AAE"/>
    <w:rsid w:val="00090C77"/>
    <w:rsid w:val="00090D3F"/>
    <w:rsid w:val="00090F1B"/>
    <w:rsid w:val="00090F5C"/>
    <w:rsid w:val="00090F73"/>
    <w:rsid w:val="00090F91"/>
    <w:rsid w:val="00090FEE"/>
    <w:rsid w:val="0009102C"/>
    <w:rsid w:val="000914F7"/>
    <w:rsid w:val="00091531"/>
    <w:rsid w:val="000915A4"/>
    <w:rsid w:val="00091826"/>
    <w:rsid w:val="00091970"/>
    <w:rsid w:val="000919B2"/>
    <w:rsid w:val="000919D5"/>
    <w:rsid w:val="00091BBA"/>
    <w:rsid w:val="00091CC6"/>
    <w:rsid w:val="00091DBB"/>
    <w:rsid w:val="00091DDA"/>
    <w:rsid w:val="00091F23"/>
    <w:rsid w:val="00091F5D"/>
    <w:rsid w:val="00091FB5"/>
    <w:rsid w:val="00092127"/>
    <w:rsid w:val="000921F1"/>
    <w:rsid w:val="000922B0"/>
    <w:rsid w:val="0009248A"/>
    <w:rsid w:val="0009251D"/>
    <w:rsid w:val="00092551"/>
    <w:rsid w:val="0009255D"/>
    <w:rsid w:val="0009267E"/>
    <w:rsid w:val="000926EC"/>
    <w:rsid w:val="00092760"/>
    <w:rsid w:val="00092832"/>
    <w:rsid w:val="000928E3"/>
    <w:rsid w:val="000928F5"/>
    <w:rsid w:val="00092A74"/>
    <w:rsid w:val="00092AB5"/>
    <w:rsid w:val="00092AB6"/>
    <w:rsid w:val="00092AC4"/>
    <w:rsid w:val="00092B77"/>
    <w:rsid w:val="00092CAA"/>
    <w:rsid w:val="00092CC8"/>
    <w:rsid w:val="00092CD0"/>
    <w:rsid w:val="00092E20"/>
    <w:rsid w:val="00092EDA"/>
    <w:rsid w:val="00092FAC"/>
    <w:rsid w:val="00092FB4"/>
    <w:rsid w:val="0009300F"/>
    <w:rsid w:val="00093093"/>
    <w:rsid w:val="000930A9"/>
    <w:rsid w:val="00093183"/>
    <w:rsid w:val="0009327F"/>
    <w:rsid w:val="0009329E"/>
    <w:rsid w:val="000932D5"/>
    <w:rsid w:val="000933AF"/>
    <w:rsid w:val="00093472"/>
    <w:rsid w:val="0009349D"/>
    <w:rsid w:val="000934F4"/>
    <w:rsid w:val="00093547"/>
    <w:rsid w:val="000935EA"/>
    <w:rsid w:val="00093600"/>
    <w:rsid w:val="0009366F"/>
    <w:rsid w:val="000936B6"/>
    <w:rsid w:val="00093865"/>
    <w:rsid w:val="0009399D"/>
    <w:rsid w:val="000939DE"/>
    <w:rsid w:val="00093B42"/>
    <w:rsid w:val="00093BDE"/>
    <w:rsid w:val="00093C16"/>
    <w:rsid w:val="00093CB5"/>
    <w:rsid w:val="00093CD1"/>
    <w:rsid w:val="00093CDC"/>
    <w:rsid w:val="00093D0E"/>
    <w:rsid w:val="00093D7E"/>
    <w:rsid w:val="00093DF3"/>
    <w:rsid w:val="00093E9D"/>
    <w:rsid w:val="00093FAF"/>
    <w:rsid w:val="00093FC6"/>
    <w:rsid w:val="00093FCB"/>
    <w:rsid w:val="00094128"/>
    <w:rsid w:val="00094134"/>
    <w:rsid w:val="00094308"/>
    <w:rsid w:val="00094347"/>
    <w:rsid w:val="000943A9"/>
    <w:rsid w:val="000943D3"/>
    <w:rsid w:val="00094431"/>
    <w:rsid w:val="00094446"/>
    <w:rsid w:val="000944EB"/>
    <w:rsid w:val="00094522"/>
    <w:rsid w:val="00094754"/>
    <w:rsid w:val="00094781"/>
    <w:rsid w:val="00094784"/>
    <w:rsid w:val="000948DA"/>
    <w:rsid w:val="00094990"/>
    <w:rsid w:val="000949A7"/>
    <w:rsid w:val="00094A04"/>
    <w:rsid w:val="00094A18"/>
    <w:rsid w:val="00094A2C"/>
    <w:rsid w:val="00094B12"/>
    <w:rsid w:val="00094DB6"/>
    <w:rsid w:val="00094EA8"/>
    <w:rsid w:val="00094EBC"/>
    <w:rsid w:val="00094F7F"/>
    <w:rsid w:val="00095113"/>
    <w:rsid w:val="00095123"/>
    <w:rsid w:val="0009512C"/>
    <w:rsid w:val="00095198"/>
    <w:rsid w:val="00095218"/>
    <w:rsid w:val="00095221"/>
    <w:rsid w:val="0009524B"/>
    <w:rsid w:val="000952EC"/>
    <w:rsid w:val="00095385"/>
    <w:rsid w:val="00095505"/>
    <w:rsid w:val="000956DB"/>
    <w:rsid w:val="00095714"/>
    <w:rsid w:val="00095727"/>
    <w:rsid w:val="00095862"/>
    <w:rsid w:val="000958EE"/>
    <w:rsid w:val="000959AB"/>
    <w:rsid w:val="000959FB"/>
    <w:rsid w:val="00095A8E"/>
    <w:rsid w:val="00095B6C"/>
    <w:rsid w:val="00095CA3"/>
    <w:rsid w:val="00095ED1"/>
    <w:rsid w:val="0009600A"/>
    <w:rsid w:val="0009609C"/>
    <w:rsid w:val="00096148"/>
    <w:rsid w:val="000962B6"/>
    <w:rsid w:val="0009634C"/>
    <w:rsid w:val="00096391"/>
    <w:rsid w:val="000963D6"/>
    <w:rsid w:val="00096414"/>
    <w:rsid w:val="00096447"/>
    <w:rsid w:val="000965D4"/>
    <w:rsid w:val="000965E7"/>
    <w:rsid w:val="0009684A"/>
    <w:rsid w:val="0009686B"/>
    <w:rsid w:val="000968A5"/>
    <w:rsid w:val="00096901"/>
    <w:rsid w:val="00096A36"/>
    <w:rsid w:val="00096A6F"/>
    <w:rsid w:val="00096BB5"/>
    <w:rsid w:val="00096BC9"/>
    <w:rsid w:val="00096BDC"/>
    <w:rsid w:val="00096C38"/>
    <w:rsid w:val="00096D98"/>
    <w:rsid w:val="00096ECB"/>
    <w:rsid w:val="00096FED"/>
    <w:rsid w:val="00097154"/>
    <w:rsid w:val="000971D4"/>
    <w:rsid w:val="00097236"/>
    <w:rsid w:val="0009724B"/>
    <w:rsid w:val="000973B7"/>
    <w:rsid w:val="000973DD"/>
    <w:rsid w:val="000973E0"/>
    <w:rsid w:val="0009742A"/>
    <w:rsid w:val="00097496"/>
    <w:rsid w:val="000974AF"/>
    <w:rsid w:val="00097548"/>
    <w:rsid w:val="000975B4"/>
    <w:rsid w:val="0009760A"/>
    <w:rsid w:val="0009761F"/>
    <w:rsid w:val="0009769C"/>
    <w:rsid w:val="00097770"/>
    <w:rsid w:val="00097818"/>
    <w:rsid w:val="000978B0"/>
    <w:rsid w:val="00097986"/>
    <w:rsid w:val="000979E0"/>
    <w:rsid w:val="00097A12"/>
    <w:rsid w:val="00097A97"/>
    <w:rsid w:val="00097B0D"/>
    <w:rsid w:val="00097B15"/>
    <w:rsid w:val="00097D02"/>
    <w:rsid w:val="00097DA6"/>
    <w:rsid w:val="00097ED1"/>
    <w:rsid w:val="00097EFB"/>
    <w:rsid w:val="000A0083"/>
    <w:rsid w:val="000A0095"/>
    <w:rsid w:val="000A012F"/>
    <w:rsid w:val="000A01A2"/>
    <w:rsid w:val="000A01C2"/>
    <w:rsid w:val="000A02C6"/>
    <w:rsid w:val="000A0334"/>
    <w:rsid w:val="000A033B"/>
    <w:rsid w:val="000A0350"/>
    <w:rsid w:val="000A036B"/>
    <w:rsid w:val="000A037B"/>
    <w:rsid w:val="000A0412"/>
    <w:rsid w:val="000A0453"/>
    <w:rsid w:val="000A057E"/>
    <w:rsid w:val="000A05D7"/>
    <w:rsid w:val="000A0642"/>
    <w:rsid w:val="000A0712"/>
    <w:rsid w:val="000A0777"/>
    <w:rsid w:val="000A07C8"/>
    <w:rsid w:val="000A0812"/>
    <w:rsid w:val="000A0833"/>
    <w:rsid w:val="000A08BE"/>
    <w:rsid w:val="000A0A61"/>
    <w:rsid w:val="000A0BCA"/>
    <w:rsid w:val="000A0D7C"/>
    <w:rsid w:val="000A0EFC"/>
    <w:rsid w:val="000A0F0C"/>
    <w:rsid w:val="000A103E"/>
    <w:rsid w:val="000A103F"/>
    <w:rsid w:val="000A117F"/>
    <w:rsid w:val="000A1232"/>
    <w:rsid w:val="000A130F"/>
    <w:rsid w:val="000A13E2"/>
    <w:rsid w:val="000A1410"/>
    <w:rsid w:val="000A148C"/>
    <w:rsid w:val="000A14A1"/>
    <w:rsid w:val="000A1528"/>
    <w:rsid w:val="000A15A4"/>
    <w:rsid w:val="000A1608"/>
    <w:rsid w:val="000A161C"/>
    <w:rsid w:val="000A1647"/>
    <w:rsid w:val="000A172A"/>
    <w:rsid w:val="000A187E"/>
    <w:rsid w:val="000A1C4B"/>
    <w:rsid w:val="000A1F22"/>
    <w:rsid w:val="000A204A"/>
    <w:rsid w:val="000A20BC"/>
    <w:rsid w:val="000A217E"/>
    <w:rsid w:val="000A2203"/>
    <w:rsid w:val="000A2207"/>
    <w:rsid w:val="000A2209"/>
    <w:rsid w:val="000A2331"/>
    <w:rsid w:val="000A2339"/>
    <w:rsid w:val="000A23C9"/>
    <w:rsid w:val="000A2433"/>
    <w:rsid w:val="000A2606"/>
    <w:rsid w:val="000A2782"/>
    <w:rsid w:val="000A281F"/>
    <w:rsid w:val="000A2828"/>
    <w:rsid w:val="000A28B1"/>
    <w:rsid w:val="000A28CF"/>
    <w:rsid w:val="000A29DF"/>
    <w:rsid w:val="000A2A2B"/>
    <w:rsid w:val="000A2A41"/>
    <w:rsid w:val="000A2A4E"/>
    <w:rsid w:val="000A2A51"/>
    <w:rsid w:val="000A2AC0"/>
    <w:rsid w:val="000A2B61"/>
    <w:rsid w:val="000A2C05"/>
    <w:rsid w:val="000A2C09"/>
    <w:rsid w:val="000A2C1E"/>
    <w:rsid w:val="000A2C8A"/>
    <w:rsid w:val="000A2CD0"/>
    <w:rsid w:val="000A2CE0"/>
    <w:rsid w:val="000A2EAA"/>
    <w:rsid w:val="000A2EC8"/>
    <w:rsid w:val="000A2FD9"/>
    <w:rsid w:val="000A30E2"/>
    <w:rsid w:val="000A3109"/>
    <w:rsid w:val="000A3143"/>
    <w:rsid w:val="000A314A"/>
    <w:rsid w:val="000A3205"/>
    <w:rsid w:val="000A3281"/>
    <w:rsid w:val="000A339E"/>
    <w:rsid w:val="000A33DD"/>
    <w:rsid w:val="000A3487"/>
    <w:rsid w:val="000A34B1"/>
    <w:rsid w:val="000A35A8"/>
    <w:rsid w:val="000A363C"/>
    <w:rsid w:val="000A368B"/>
    <w:rsid w:val="000A36AB"/>
    <w:rsid w:val="000A36DC"/>
    <w:rsid w:val="000A36EB"/>
    <w:rsid w:val="000A376C"/>
    <w:rsid w:val="000A3782"/>
    <w:rsid w:val="000A37A2"/>
    <w:rsid w:val="000A37C8"/>
    <w:rsid w:val="000A3A2A"/>
    <w:rsid w:val="000A3BBB"/>
    <w:rsid w:val="000A3E38"/>
    <w:rsid w:val="000A3F3E"/>
    <w:rsid w:val="000A3F56"/>
    <w:rsid w:val="000A3FE3"/>
    <w:rsid w:val="000A40AD"/>
    <w:rsid w:val="000A4123"/>
    <w:rsid w:val="000A4187"/>
    <w:rsid w:val="000A4198"/>
    <w:rsid w:val="000A41F7"/>
    <w:rsid w:val="000A4330"/>
    <w:rsid w:val="000A436C"/>
    <w:rsid w:val="000A4432"/>
    <w:rsid w:val="000A44BC"/>
    <w:rsid w:val="000A459B"/>
    <w:rsid w:val="000A45AF"/>
    <w:rsid w:val="000A4658"/>
    <w:rsid w:val="000A4694"/>
    <w:rsid w:val="000A4812"/>
    <w:rsid w:val="000A48A6"/>
    <w:rsid w:val="000A48D6"/>
    <w:rsid w:val="000A4A99"/>
    <w:rsid w:val="000A4B82"/>
    <w:rsid w:val="000A4B94"/>
    <w:rsid w:val="000A4CF2"/>
    <w:rsid w:val="000A4D02"/>
    <w:rsid w:val="000A4EBD"/>
    <w:rsid w:val="000A504E"/>
    <w:rsid w:val="000A50AC"/>
    <w:rsid w:val="000A510D"/>
    <w:rsid w:val="000A5276"/>
    <w:rsid w:val="000A5361"/>
    <w:rsid w:val="000A53F2"/>
    <w:rsid w:val="000A5408"/>
    <w:rsid w:val="000A5416"/>
    <w:rsid w:val="000A5485"/>
    <w:rsid w:val="000A549D"/>
    <w:rsid w:val="000A5569"/>
    <w:rsid w:val="000A557A"/>
    <w:rsid w:val="000A55D4"/>
    <w:rsid w:val="000A562F"/>
    <w:rsid w:val="000A56AE"/>
    <w:rsid w:val="000A56B9"/>
    <w:rsid w:val="000A56F7"/>
    <w:rsid w:val="000A5875"/>
    <w:rsid w:val="000A58FA"/>
    <w:rsid w:val="000A5934"/>
    <w:rsid w:val="000A5B57"/>
    <w:rsid w:val="000A5C16"/>
    <w:rsid w:val="000A5C86"/>
    <w:rsid w:val="000A5D09"/>
    <w:rsid w:val="000A5D21"/>
    <w:rsid w:val="000A5D32"/>
    <w:rsid w:val="000A5EBC"/>
    <w:rsid w:val="000A5F5B"/>
    <w:rsid w:val="000A5FB2"/>
    <w:rsid w:val="000A5FF6"/>
    <w:rsid w:val="000A603F"/>
    <w:rsid w:val="000A6085"/>
    <w:rsid w:val="000A6100"/>
    <w:rsid w:val="000A61A4"/>
    <w:rsid w:val="000A61E4"/>
    <w:rsid w:val="000A6290"/>
    <w:rsid w:val="000A62C5"/>
    <w:rsid w:val="000A642B"/>
    <w:rsid w:val="000A6439"/>
    <w:rsid w:val="000A6550"/>
    <w:rsid w:val="000A657F"/>
    <w:rsid w:val="000A65DA"/>
    <w:rsid w:val="000A661B"/>
    <w:rsid w:val="000A674C"/>
    <w:rsid w:val="000A6818"/>
    <w:rsid w:val="000A691E"/>
    <w:rsid w:val="000A6A17"/>
    <w:rsid w:val="000A6A2E"/>
    <w:rsid w:val="000A6A41"/>
    <w:rsid w:val="000A6B33"/>
    <w:rsid w:val="000A6C4A"/>
    <w:rsid w:val="000A6C50"/>
    <w:rsid w:val="000A6D2C"/>
    <w:rsid w:val="000A6DFC"/>
    <w:rsid w:val="000A6E02"/>
    <w:rsid w:val="000A6E2C"/>
    <w:rsid w:val="000A6F42"/>
    <w:rsid w:val="000A70EE"/>
    <w:rsid w:val="000A7633"/>
    <w:rsid w:val="000A7686"/>
    <w:rsid w:val="000A77A9"/>
    <w:rsid w:val="000A784F"/>
    <w:rsid w:val="000A7891"/>
    <w:rsid w:val="000A78F6"/>
    <w:rsid w:val="000A7A43"/>
    <w:rsid w:val="000A7CD4"/>
    <w:rsid w:val="000A7D24"/>
    <w:rsid w:val="000A7DBD"/>
    <w:rsid w:val="000A7E5C"/>
    <w:rsid w:val="000A7F3C"/>
    <w:rsid w:val="000A7FC6"/>
    <w:rsid w:val="000A7FF1"/>
    <w:rsid w:val="000B00A2"/>
    <w:rsid w:val="000B01E0"/>
    <w:rsid w:val="000B030F"/>
    <w:rsid w:val="000B0334"/>
    <w:rsid w:val="000B03DF"/>
    <w:rsid w:val="000B054E"/>
    <w:rsid w:val="000B05BE"/>
    <w:rsid w:val="000B0616"/>
    <w:rsid w:val="000B0646"/>
    <w:rsid w:val="000B072B"/>
    <w:rsid w:val="000B078C"/>
    <w:rsid w:val="000B07E0"/>
    <w:rsid w:val="000B096C"/>
    <w:rsid w:val="000B09E7"/>
    <w:rsid w:val="000B0AA3"/>
    <w:rsid w:val="000B0AD0"/>
    <w:rsid w:val="000B0B44"/>
    <w:rsid w:val="000B0BAD"/>
    <w:rsid w:val="000B0C54"/>
    <w:rsid w:val="000B0D01"/>
    <w:rsid w:val="000B0DCA"/>
    <w:rsid w:val="000B0E7E"/>
    <w:rsid w:val="000B0ECE"/>
    <w:rsid w:val="000B0F3D"/>
    <w:rsid w:val="000B0FF2"/>
    <w:rsid w:val="000B1039"/>
    <w:rsid w:val="000B1111"/>
    <w:rsid w:val="000B116B"/>
    <w:rsid w:val="000B1281"/>
    <w:rsid w:val="000B1288"/>
    <w:rsid w:val="000B131C"/>
    <w:rsid w:val="000B14AF"/>
    <w:rsid w:val="000B1547"/>
    <w:rsid w:val="000B157C"/>
    <w:rsid w:val="000B15EF"/>
    <w:rsid w:val="000B15F9"/>
    <w:rsid w:val="000B1625"/>
    <w:rsid w:val="000B1629"/>
    <w:rsid w:val="000B1860"/>
    <w:rsid w:val="000B18EF"/>
    <w:rsid w:val="000B198F"/>
    <w:rsid w:val="000B1A73"/>
    <w:rsid w:val="000B1DDB"/>
    <w:rsid w:val="000B1E8C"/>
    <w:rsid w:val="000B20E1"/>
    <w:rsid w:val="000B21C7"/>
    <w:rsid w:val="000B228B"/>
    <w:rsid w:val="000B2307"/>
    <w:rsid w:val="000B2318"/>
    <w:rsid w:val="000B23CE"/>
    <w:rsid w:val="000B245C"/>
    <w:rsid w:val="000B249D"/>
    <w:rsid w:val="000B24FD"/>
    <w:rsid w:val="000B2554"/>
    <w:rsid w:val="000B258A"/>
    <w:rsid w:val="000B2610"/>
    <w:rsid w:val="000B26FB"/>
    <w:rsid w:val="000B27F7"/>
    <w:rsid w:val="000B28FB"/>
    <w:rsid w:val="000B2AC6"/>
    <w:rsid w:val="000B2B05"/>
    <w:rsid w:val="000B2BAE"/>
    <w:rsid w:val="000B2BF7"/>
    <w:rsid w:val="000B2C1A"/>
    <w:rsid w:val="000B2D31"/>
    <w:rsid w:val="000B2E73"/>
    <w:rsid w:val="000B2F06"/>
    <w:rsid w:val="000B3156"/>
    <w:rsid w:val="000B31E3"/>
    <w:rsid w:val="000B31EC"/>
    <w:rsid w:val="000B325B"/>
    <w:rsid w:val="000B32D3"/>
    <w:rsid w:val="000B32FC"/>
    <w:rsid w:val="000B3389"/>
    <w:rsid w:val="000B36FA"/>
    <w:rsid w:val="000B3774"/>
    <w:rsid w:val="000B379B"/>
    <w:rsid w:val="000B3871"/>
    <w:rsid w:val="000B38B2"/>
    <w:rsid w:val="000B38C1"/>
    <w:rsid w:val="000B38C5"/>
    <w:rsid w:val="000B38EF"/>
    <w:rsid w:val="000B3928"/>
    <w:rsid w:val="000B395E"/>
    <w:rsid w:val="000B3972"/>
    <w:rsid w:val="000B3A3B"/>
    <w:rsid w:val="000B3ABE"/>
    <w:rsid w:val="000B3B2A"/>
    <w:rsid w:val="000B3BBC"/>
    <w:rsid w:val="000B3C12"/>
    <w:rsid w:val="000B3C65"/>
    <w:rsid w:val="000B3D25"/>
    <w:rsid w:val="000B3DAD"/>
    <w:rsid w:val="000B3DF0"/>
    <w:rsid w:val="000B3E75"/>
    <w:rsid w:val="000B3EB2"/>
    <w:rsid w:val="000B40E5"/>
    <w:rsid w:val="000B41B2"/>
    <w:rsid w:val="000B41C7"/>
    <w:rsid w:val="000B422A"/>
    <w:rsid w:val="000B4282"/>
    <w:rsid w:val="000B42C3"/>
    <w:rsid w:val="000B43B4"/>
    <w:rsid w:val="000B4502"/>
    <w:rsid w:val="000B451C"/>
    <w:rsid w:val="000B4632"/>
    <w:rsid w:val="000B474C"/>
    <w:rsid w:val="000B48B7"/>
    <w:rsid w:val="000B49C8"/>
    <w:rsid w:val="000B4B19"/>
    <w:rsid w:val="000B4BED"/>
    <w:rsid w:val="000B4C09"/>
    <w:rsid w:val="000B4C87"/>
    <w:rsid w:val="000B4CB8"/>
    <w:rsid w:val="000B4CDD"/>
    <w:rsid w:val="000B4FDB"/>
    <w:rsid w:val="000B5029"/>
    <w:rsid w:val="000B507F"/>
    <w:rsid w:val="000B5279"/>
    <w:rsid w:val="000B531A"/>
    <w:rsid w:val="000B538D"/>
    <w:rsid w:val="000B53B6"/>
    <w:rsid w:val="000B53CC"/>
    <w:rsid w:val="000B543F"/>
    <w:rsid w:val="000B5440"/>
    <w:rsid w:val="000B54A1"/>
    <w:rsid w:val="000B5730"/>
    <w:rsid w:val="000B57C8"/>
    <w:rsid w:val="000B57E6"/>
    <w:rsid w:val="000B58F2"/>
    <w:rsid w:val="000B5902"/>
    <w:rsid w:val="000B59DA"/>
    <w:rsid w:val="000B59DD"/>
    <w:rsid w:val="000B5B77"/>
    <w:rsid w:val="000B5BCA"/>
    <w:rsid w:val="000B5BF7"/>
    <w:rsid w:val="000B5C4D"/>
    <w:rsid w:val="000B5C8B"/>
    <w:rsid w:val="000B5C8F"/>
    <w:rsid w:val="000B5E39"/>
    <w:rsid w:val="000B5EE1"/>
    <w:rsid w:val="000B5F94"/>
    <w:rsid w:val="000B5FFE"/>
    <w:rsid w:val="000B60DC"/>
    <w:rsid w:val="000B618E"/>
    <w:rsid w:val="000B618F"/>
    <w:rsid w:val="000B61CE"/>
    <w:rsid w:val="000B6292"/>
    <w:rsid w:val="000B635E"/>
    <w:rsid w:val="000B6527"/>
    <w:rsid w:val="000B657C"/>
    <w:rsid w:val="000B67C0"/>
    <w:rsid w:val="000B67E5"/>
    <w:rsid w:val="000B6845"/>
    <w:rsid w:val="000B68B8"/>
    <w:rsid w:val="000B68C9"/>
    <w:rsid w:val="000B6904"/>
    <w:rsid w:val="000B6916"/>
    <w:rsid w:val="000B6926"/>
    <w:rsid w:val="000B6962"/>
    <w:rsid w:val="000B69FB"/>
    <w:rsid w:val="000B6A22"/>
    <w:rsid w:val="000B6A23"/>
    <w:rsid w:val="000B6AB0"/>
    <w:rsid w:val="000B6ABA"/>
    <w:rsid w:val="000B6BBD"/>
    <w:rsid w:val="000B6BCE"/>
    <w:rsid w:val="000B6DA4"/>
    <w:rsid w:val="000B6E99"/>
    <w:rsid w:val="000B6F40"/>
    <w:rsid w:val="000B6FBF"/>
    <w:rsid w:val="000B6FDF"/>
    <w:rsid w:val="000B7084"/>
    <w:rsid w:val="000B71E5"/>
    <w:rsid w:val="000B7235"/>
    <w:rsid w:val="000B7241"/>
    <w:rsid w:val="000B725F"/>
    <w:rsid w:val="000B739E"/>
    <w:rsid w:val="000B73F0"/>
    <w:rsid w:val="000B75C0"/>
    <w:rsid w:val="000B7645"/>
    <w:rsid w:val="000B7647"/>
    <w:rsid w:val="000B76D0"/>
    <w:rsid w:val="000B76E9"/>
    <w:rsid w:val="000B7874"/>
    <w:rsid w:val="000B78E4"/>
    <w:rsid w:val="000B7A68"/>
    <w:rsid w:val="000B7BD4"/>
    <w:rsid w:val="000B7C08"/>
    <w:rsid w:val="000B7C25"/>
    <w:rsid w:val="000B7D50"/>
    <w:rsid w:val="000B7DC3"/>
    <w:rsid w:val="000B7E77"/>
    <w:rsid w:val="000C0064"/>
    <w:rsid w:val="000C007B"/>
    <w:rsid w:val="000C009F"/>
    <w:rsid w:val="000C00F0"/>
    <w:rsid w:val="000C027E"/>
    <w:rsid w:val="000C027F"/>
    <w:rsid w:val="000C03A3"/>
    <w:rsid w:val="000C03B6"/>
    <w:rsid w:val="000C04AB"/>
    <w:rsid w:val="000C0526"/>
    <w:rsid w:val="000C054A"/>
    <w:rsid w:val="000C0588"/>
    <w:rsid w:val="000C06ED"/>
    <w:rsid w:val="000C076E"/>
    <w:rsid w:val="000C0864"/>
    <w:rsid w:val="000C098D"/>
    <w:rsid w:val="000C09AC"/>
    <w:rsid w:val="000C0A10"/>
    <w:rsid w:val="000C0B0E"/>
    <w:rsid w:val="000C0B0F"/>
    <w:rsid w:val="000C0B3E"/>
    <w:rsid w:val="000C0C88"/>
    <w:rsid w:val="000C0D90"/>
    <w:rsid w:val="000C0D93"/>
    <w:rsid w:val="000C0DAA"/>
    <w:rsid w:val="000C0DEC"/>
    <w:rsid w:val="000C103E"/>
    <w:rsid w:val="000C10FE"/>
    <w:rsid w:val="000C1157"/>
    <w:rsid w:val="000C129B"/>
    <w:rsid w:val="000C1370"/>
    <w:rsid w:val="000C1424"/>
    <w:rsid w:val="000C1463"/>
    <w:rsid w:val="000C14F7"/>
    <w:rsid w:val="000C15EF"/>
    <w:rsid w:val="000C1633"/>
    <w:rsid w:val="000C16BB"/>
    <w:rsid w:val="000C16EE"/>
    <w:rsid w:val="000C1701"/>
    <w:rsid w:val="000C173A"/>
    <w:rsid w:val="000C176B"/>
    <w:rsid w:val="000C187C"/>
    <w:rsid w:val="000C18FE"/>
    <w:rsid w:val="000C1A08"/>
    <w:rsid w:val="000C1BCD"/>
    <w:rsid w:val="000C1C1B"/>
    <w:rsid w:val="000C1CBA"/>
    <w:rsid w:val="000C1D38"/>
    <w:rsid w:val="000C1D7E"/>
    <w:rsid w:val="000C1E17"/>
    <w:rsid w:val="000C1F59"/>
    <w:rsid w:val="000C2049"/>
    <w:rsid w:val="000C2150"/>
    <w:rsid w:val="000C2169"/>
    <w:rsid w:val="000C218D"/>
    <w:rsid w:val="000C21F6"/>
    <w:rsid w:val="000C2249"/>
    <w:rsid w:val="000C2252"/>
    <w:rsid w:val="000C22DE"/>
    <w:rsid w:val="000C2320"/>
    <w:rsid w:val="000C232C"/>
    <w:rsid w:val="000C2373"/>
    <w:rsid w:val="000C23E4"/>
    <w:rsid w:val="000C2442"/>
    <w:rsid w:val="000C2489"/>
    <w:rsid w:val="000C2550"/>
    <w:rsid w:val="000C255B"/>
    <w:rsid w:val="000C25B2"/>
    <w:rsid w:val="000C2667"/>
    <w:rsid w:val="000C26ED"/>
    <w:rsid w:val="000C274D"/>
    <w:rsid w:val="000C27AB"/>
    <w:rsid w:val="000C27B0"/>
    <w:rsid w:val="000C27BB"/>
    <w:rsid w:val="000C27D3"/>
    <w:rsid w:val="000C27D8"/>
    <w:rsid w:val="000C281A"/>
    <w:rsid w:val="000C293A"/>
    <w:rsid w:val="000C29FA"/>
    <w:rsid w:val="000C2A35"/>
    <w:rsid w:val="000C2B38"/>
    <w:rsid w:val="000C2B5E"/>
    <w:rsid w:val="000C2D11"/>
    <w:rsid w:val="000C2D41"/>
    <w:rsid w:val="000C2E46"/>
    <w:rsid w:val="000C2E88"/>
    <w:rsid w:val="000C2F0D"/>
    <w:rsid w:val="000C2F30"/>
    <w:rsid w:val="000C2F7D"/>
    <w:rsid w:val="000C301C"/>
    <w:rsid w:val="000C30F7"/>
    <w:rsid w:val="000C311D"/>
    <w:rsid w:val="000C317E"/>
    <w:rsid w:val="000C3231"/>
    <w:rsid w:val="000C32AF"/>
    <w:rsid w:val="000C32C8"/>
    <w:rsid w:val="000C331A"/>
    <w:rsid w:val="000C3476"/>
    <w:rsid w:val="000C34F8"/>
    <w:rsid w:val="000C3519"/>
    <w:rsid w:val="000C3610"/>
    <w:rsid w:val="000C3718"/>
    <w:rsid w:val="000C37CA"/>
    <w:rsid w:val="000C3867"/>
    <w:rsid w:val="000C3873"/>
    <w:rsid w:val="000C38C7"/>
    <w:rsid w:val="000C38FB"/>
    <w:rsid w:val="000C397C"/>
    <w:rsid w:val="000C3A00"/>
    <w:rsid w:val="000C3A75"/>
    <w:rsid w:val="000C3AC6"/>
    <w:rsid w:val="000C3B2B"/>
    <w:rsid w:val="000C3BC3"/>
    <w:rsid w:val="000C3BCC"/>
    <w:rsid w:val="000C3D09"/>
    <w:rsid w:val="000C3D2E"/>
    <w:rsid w:val="000C3D43"/>
    <w:rsid w:val="000C3DA3"/>
    <w:rsid w:val="000C3DCF"/>
    <w:rsid w:val="000C3F0C"/>
    <w:rsid w:val="000C3F62"/>
    <w:rsid w:val="000C40F0"/>
    <w:rsid w:val="000C4100"/>
    <w:rsid w:val="000C4133"/>
    <w:rsid w:val="000C4218"/>
    <w:rsid w:val="000C4282"/>
    <w:rsid w:val="000C43DF"/>
    <w:rsid w:val="000C4465"/>
    <w:rsid w:val="000C4490"/>
    <w:rsid w:val="000C44C5"/>
    <w:rsid w:val="000C450A"/>
    <w:rsid w:val="000C4515"/>
    <w:rsid w:val="000C45D3"/>
    <w:rsid w:val="000C4656"/>
    <w:rsid w:val="000C4658"/>
    <w:rsid w:val="000C46AC"/>
    <w:rsid w:val="000C4747"/>
    <w:rsid w:val="000C48AE"/>
    <w:rsid w:val="000C4966"/>
    <w:rsid w:val="000C4A52"/>
    <w:rsid w:val="000C4A78"/>
    <w:rsid w:val="000C4AF0"/>
    <w:rsid w:val="000C4BC0"/>
    <w:rsid w:val="000C4BE7"/>
    <w:rsid w:val="000C4C22"/>
    <w:rsid w:val="000C4DDB"/>
    <w:rsid w:val="000C4FD1"/>
    <w:rsid w:val="000C5085"/>
    <w:rsid w:val="000C50A6"/>
    <w:rsid w:val="000C513C"/>
    <w:rsid w:val="000C51DC"/>
    <w:rsid w:val="000C5374"/>
    <w:rsid w:val="000C53E1"/>
    <w:rsid w:val="000C53FE"/>
    <w:rsid w:val="000C54A8"/>
    <w:rsid w:val="000C5654"/>
    <w:rsid w:val="000C5757"/>
    <w:rsid w:val="000C5824"/>
    <w:rsid w:val="000C58ED"/>
    <w:rsid w:val="000C596F"/>
    <w:rsid w:val="000C5A71"/>
    <w:rsid w:val="000C5BFF"/>
    <w:rsid w:val="000C5C80"/>
    <w:rsid w:val="000C5D0A"/>
    <w:rsid w:val="000C5E81"/>
    <w:rsid w:val="000C5F7A"/>
    <w:rsid w:val="000C5F89"/>
    <w:rsid w:val="000C6015"/>
    <w:rsid w:val="000C621D"/>
    <w:rsid w:val="000C626C"/>
    <w:rsid w:val="000C6288"/>
    <w:rsid w:val="000C62FB"/>
    <w:rsid w:val="000C64D8"/>
    <w:rsid w:val="000C65E9"/>
    <w:rsid w:val="000C66DB"/>
    <w:rsid w:val="000C6787"/>
    <w:rsid w:val="000C6824"/>
    <w:rsid w:val="000C6838"/>
    <w:rsid w:val="000C685C"/>
    <w:rsid w:val="000C68C4"/>
    <w:rsid w:val="000C68C8"/>
    <w:rsid w:val="000C695F"/>
    <w:rsid w:val="000C69C6"/>
    <w:rsid w:val="000C6A03"/>
    <w:rsid w:val="000C6A11"/>
    <w:rsid w:val="000C6B03"/>
    <w:rsid w:val="000C6B4D"/>
    <w:rsid w:val="000C6B82"/>
    <w:rsid w:val="000C6BD5"/>
    <w:rsid w:val="000C6C3A"/>
    <w:rsid w:val="000C6C3C"/>
    <w:rsid w:val="000C6C5D"/>
    <w:rsid w:val="000C6F42"/>
    <w:rsid w:val="000C6F76"/>
    <w:rsid w:val="000C7043"/>
    <w:rsid w:val="000C706B"/>
    <w:rsid w:val="000C716F"/>
    <w:rsid w:val="000C71A9"/>
    <w:rsid w:val="000C7277"/>
    <w:rsid w:val="000C727A"/>
    <w:rsid w:val="000C72CE"/>
    <w:rsid w:val="000C738B"/>
    <w:rsid w:val="000C73F9"/>
    <w:rsid w:val="000C7410"/>
    <w:rsid w:val="000C7478"/>
    <w:rsid w:val="000C754E"/>
    <w:rsid w:val="000C75D8"/>
    <w:rsid w:val="000C7660"/>
    <w:rsid w:val="000C7681"/>
    <w:rsid w:val="000C77E8"/>
    <w:rsid w:val="000C7846"/>
    <w:rsid w:val="000C7854"/>
    <w:rsid w:val="000C7996"/>
    <w:rsid w:val="000C7A66"/>
    <w:rsid w:val="000C7AE2"/>
    <w:rsid w:val="000C7B04"/>
    <w:rsid w:val="000C7B2C"/>
    <w:rsid w:val="000C7BDB"/>
    <w:rsid w:val="000C7BFB"/>
    <w:rsid w:val="000C7D3C"/>
    <w:rsid w:val="000C7D52"/>
    <w:rsid w:val="000C7D58"/>
    <w:rsid w:val="000C7E0C"/>
    <w:rsid w:val="000C7FE8"/>
    <w:rsid w:val="000D00CA"/>
    <w:rsid w:val="000D033E"/>
    <w:rsid w:val="000D036D"/>
    <w:rsid w:val="000D03A3"/>
    <w:rsid w:val="000D0465"/>
    <w:rsid w:val="000D048B"/>
    <w:rsid w:val="000D04D0"/>
    <w:rsid w:val="000D0548"/>
    <w:rsid w:val="000D059D"/>
    <w:rsid w:val="000D05B8"/>
    <w:rsid w:val="000D05EA"/>
    <w:rsid w:val="000D0696"/>
    <w:rsid w:val="000D06F2"/>
    <w:rsid w:val="000D0755"/>
    <w:rsid w:val="000D07AF"/>
    <w:rsid w:val="000D0802"/>
    <w:rsid w:val="000D089E"/>
    <w:rsid w:val="000D08A3"/>
    <w:rsid w:val="000D08A9"/>
    <w:rsid w:val="000D09B5"/>
    <w:rsid w:val="000D09FB"/>
    <w:rsid w:val="000D09FC"/>
    <w:rsid w:val="000D0AC0"/>
    <w:rsid w:val="000D0B64"/>
    <w:rsid w:val="000D0C8A"/>
    <w:rsid w:val="000D0C8E"/>
    <w:rsid w:val="000D0D25"/>
    <w:rsid w:val="000D0D81"/>
    <w:rsid w:val="000D0D99"/>
    <w:rsid w:val="000D0E0A"/>
    <w:rsid w:val="000D0EF4"/>
    <w:rsid w:val="000D1017"/>
    <w:rsid w:val="000D11ED"/>
    <w:rsid w:val="000D14A3"/>
    <w:rsid w:val="000D151C"/>
    <w:rsid w:val="000D1526"/>
    <w:rsid w:val="000D1598"/>
    <w:rsid w:val="000D1683"/>
    <w:rsid w:val="000D175E"/>
    <w:rsid w:val="000D1784"/>
    <w:rsid w:val="000D1A77"/>
    <w:rsid w:val="000D1C28"/>
    <w:rsid w:val="000D1D2C"/>
    <w:rsid w:val="000D1DC2"/>
    <w:rsid w:val="000D1DCF"/>
    <w:rsid w:val="000D1E16"/>
    <w:rsid w:val="000D1F41"/>
    <w:rsid w:val="000D1F8C"/>
    <w:rsid w:val="000D1FBB"/>
    <w:rsid w:val="000D20BC"/>
    <w:rsid w:val="000D218E"/>
    <w:rsid w:val="000D21B9"/>
    <w:rsid w:val="000D21F2"/>
    <w:rsid w:val="000D2285"/>
    <w:rsid w:val="000D2301"/>
    <w:rsid w:val="000D23E1"/>
    <w:rsid w:val="000D254C"/>
    <w:rsid w:val="000D264E"/>
    <w:rsid w:val="000D265B"/>
    <w:rsid w:val="000D2720"/>
    <w:rsid w:val="000D2760"/>
    <w:rsid w:val="000D29B2"/>
    <w:rsid w:val="000D2AE9"/>
    <w:rsid w:val="000D2B18"/>
    <w:rsid w:val="000D2B2D"/>
    <w:rsid w:val="000D2B64"/>
    <w:rsid w:val="000D2B70"/>
    <w:rsid w:val="000D2BFE"/>
    <w:rsid w:val="000D2DCA"/>
    <w:rsid w:val="000D2DFD"/>
    <w:rsid w:val="000D2E22"/>
    <w:rsid w:val="000D2E90"/>
    <w:rsid w:val="000D2FBD"/>
    <w:rsid w:val="000D3174"/>
    <w:rsid w:val="000D3287"/>
    <w:rsid w:val="000D3333"/>
    <w:rsid w:val="000D342C"/>
    <w:rsid w:val="000D3523"/>
    <w:rsid w:val="000D35AB"/>
    <w:rsid w:val="000D35D2"/>
    <w:rsid w:val="000D3605"/>
    <w:rsid w:val="000D360D"/>
    <w:rsid w:val="000D362E"/>
    <w:rsid w:val="000D3664"/>
    <w:rsid w:val="000D367C"/>
    <w:rsid w:val="000D372C"/>
    <w:rsid w:val="000D37AA"/>
    <w:rsid w:val="000D37D2"/>
    <w:rsid w:val="000D37FA"/>
    <w:rsid w:val="000D38BF"/>
    <w:rsid w:val="000D38DE"/>
    <w:rsid w:val="000D38DF"/>
    <w:rsid w:val="000D3906"/>
    <w:rsid w:val="000D3B68"/>
    <w:rsid w:val="000D3D77"/>
    <w:rsid w:val="000D3EB2"/>
    <w:rsid w:val="000D3F4B"/>
    <w:rsid w:val="000D3F74"/>
    <w:rsid w:val="000D3FB8"/>
    <w:rsid w:val="000D3FEE"/>
    <w:rsid w:val="000D40E9"/>
    <w:rsid w:val="000D431A"/>
    <w:rsid w:val="000D434B"/>
    <w:rsid w:val="000D4532"/>
    <w:rsid w:val="000D45FB"/>
    <w:rsid w:val="000D4658"/>
    <w:rsid w:val="000D479A"/>
    <w:rsid w:val="000D47D5"/>
    <w:rsid w:val="000D48E0"/>
    <w:rsid w:val="000D48F0"/>
    <w:rsid w:val="000D493D"/>
    <w:rsid w:val="000D4AA0"/>
    <w:rsid w:val="000D4ACA"/>
    <w:rsid w:val="000D4AEE"/>
    <w:rsid w:val="000D4AFA"/>
    <w:rsid w:val="000D4B59"/>
    <w:rsid w:val="000D4BB7"/>
    <w:rsid w:val="000D4C8F"/>
    <w:rsid w:val="000D4D8E"/>
    <w:rsid w:val="000D4DC5"/>
    <w:rsid w:val="000D4FAB"/>
    <w:rsid w:val="000D5042"/>
    <w:rsid w:val="000D5094"/>
    <w:rsid w:val="000D50C4"/>
    <w:rsid w:val="000D50EE"/>
    <w:rsid w:val="000D52B2"/>
    <w:rsid w:val="000D52CF"/>
    <w:rsid w:val="000D53FB"/>
    <w:rsid w:val="000D55BD"/>
    <w:rsid w:val="000D55BE"/>
    <w:rsid w:val="000D56C1"/>
    <w:rsid w:val="000D57A5"/>
    <w:rsid w:val="000D583B"/>
    <w:rsid w:val="000D58E7"/>
    <w:rsid w:val="000D5982"/>
    <w:rsid w:val="000D5992"/>
    <w:rsid w:val="000D59AC"/>
    <w:rsid w:val="000D59EF"/>
    <w:rsid w:val="000D5A1B"/>
    <w:rsid w:val="000D5A75"/>
    <w:rsid w:val="000D5C36"/>
    <w:rsid w:val="000D5C37"/>
    <w:rsid w:val="000D5C65"/>
    <w:rsid w:val="000D5CE9"/>
    <w:rsid w:val="000D5CFC"/>
    <w:rsid w:val="000D5D9E"/>
    <w:rsid w:val="000D5DD4"/>
    <w:rsid w:val="000D5ED6"/>
    <w:rsid w:val="000D5F56"/>
    <w:rsid w:val="000D5F71"/>
    <w:rsid w:val="000D6074"/>
    <w:rsid w:val="000D6132"/>
    <w:rsid w:val="000D6198"/>
    <w:rsid w:val="000D62E4"/>
    <w:rsid w:val="000D6334"/>
    <w:rsid w:val="000D6345"/>
    <w:rsid w:val="000D63AF"/>
    <w:rsid w:val="000D63D8"/>
    <w:rsid w:val="000D6442"/>
    <w:rsid w:val="000D6540"/>
    <w:rsid w:val="000D65E2"/>
    <w:rsid w:val="000D672E"/>
    <w:rsid w:val="000D67D8"/>
    <w:rsid w:val="000D689E"/>
    <w:rsid w:val="000D6907"/>
    <w:rsid w:val="000D694E"/>
    <w:rsid w:val="000D697D"/>
    <w:rsid w:val="000D69A0"/>
    <w:rsid w:val="000D6C4B"/>
    <w:rsid w:val="000D6D33"/>
    <w:rsid w:val="000D6E1A"/>
    <w:rsid w:val="000D6E80"/>
    <w:rsid w:val="000D6F13"/>
    <w:rsid w:val="000D71FB"/>
    <w:rsid w:val="000D7226"/>
    <w:rsid w:val="000D729A"/>
    <w:rsid w:val="000D73D2"/>
    <w:rsid w:val="000D7465"/>
    <w:rsid w:val="000D7505"/>
    <w:rsid w:val="000D76EE"/>
    <w:rsid w:val="000D77A2"/>
    <w:rsid w:val="000D77C6"/>
    <w:rsid w:val="000D7842"/>
    <w:rsid w:val="000D78AF"/>
    <w:rsid w:val="000D790E"/>
    <w:rsid w:val="000D7951"/>
    <w:rsid w:val="000D7A98"/>
    <w:rsid w:val="000D7B3B"/>
    <w:rsid w:val="000D7B3F"/>
    <w:rsid w:val="000D7B85"/>
    <w:rsid w:val="000D7BCF"/>
    <w:rsid w:val="000D7C9E"/>
    <w:rsid w:val="000D7D5E"/>
    <w:rsid w:val="000D7DD8"/>
    <w:rsid w:val="000D7E0F"/>
    <w:rsid w:val="000D7E4A"/>
    <w:rsid w:val="000D7E90"/>
    <w:rsid w:val="000D7F56"/>
    <w:rsid w:val="000E0067"/>
    <w:rsid w:val="000E008F"/>
    <w:rsid w:val="000E0105"/>
    <w:rsid w:val="000E018F"/>
    <w:rsid w:val="000E01BE"/>
    <w:rsid w:val="000E0230"/>
    <w:rsid w:val="000E02C7"/>
    <w:rsid w:val="000E035F"/>
    <w:rsid w:val="000E03CE"/>
    <w:rsid w:val="000E0479"/>
    <w:rsid w:val="000E059C"/>
    <w:rsid w:val="000E0600"/>
    <w:rsid w:val="000E06EF"/>
    <w:rsid w:val="000E0908"/>
    <w:rsid w:val="000E099C"/>
    <w:rsid w:val="000E09F4"/>
    <w:rsid w:val="000E0A1A"/>
    <w:rsid w:val="000E0B89"/>
    <w:rsid w:val="000E0B8B"/>
    <w:rsid w:val="000E0BD8"/>
    <w:rsid w:val="000E0CE8"/>
    <w:rsid w:val="000E0D08"/>
    <w:rsid w:val="000E0DA0"/>
    <w:rsid w:val="000E0E6D"/>
    <w:rsid w:val="000E0E9C"/>
    <w:rsid w:val="000E0F3B"/>
    <w:rsid w:val="000E0FB2"/>
    <w:rsid w:val="000E0FF1"/>
    <w:rsid w:val="000E104A"/>
    <w:rsid w:val="000E10D0"/>
    <w:rsid w:val="000E1102"/>
    <w:rsid w:val="000E119D"/>
    <w:rsid w:val="000E11E7"/>
    <w:rsid w:val="000E12EF"/>
    <w:rsid w:val="000E1420"/>
    <w:rsid w:val="000E145C"/>
    <w:rsid w:val="000E1589"/>
    <w:rsid w:val="000E15C3"/>
    <w:rsid w:val="000E16DA"/>
    <w:rsid w:val="000E172A"/>
    <w:rsid w:val="000E17B0"/>
    <w:rsid w:val="000E1873"/>
    <w:rsid w:val="000E1A66"/>
    <w:rsid w:val="000E1AA7"/>
    <w:rsid w:val="000E1AB6"/>
    <w:rsid w:val="000E1ACA"/>
    <w:rsid w:val="000E1AE5"/>
    <w:rsid w:val="000E1CA9"/>
    <w:rsid w:val="000E1CCC"/>
    <w:rsid w:val="000E1D2C"/>
    <w:rsid w:val="000E1DBA"/>
    <w:rsid w:val="000E1DF7"/>
    <w:rsid w:val="000E1F88"/>
    <w:rsid w:val="000E2014"/>
    <w:rsid w:val="000E2058"/>
    <w:rsid w:val="000E2064"/>
    <w:rsid w:val="000E2087"/>
    <w:rsid w:val="000E2091"/>
    <w:rsid w:val="000E20E6"/>
    <w:rsid w:val="000E215E"/>
    <w:rsid w:val="000E21AB"/>
    <w:rsid w:val="000E2228"/>
    <w:rsid w:val="000E2433"/>
    <w:rsid w:val="000E2457"/>
    <w:rsid w:val="000E24BF"/>
    <w:rsid w:val="000E24C0"/>
    <w:rsid w:val="000E257B"/>
    <w:rsid w:val="000E25ED"/>
    <w:rsid w:val="000E269F"/>
    <w:rsid w:val="000E26A5"/>
    <w:rsid w:val="000E26E3"/>
    <w:rsid w:val="000E27A4"/>
    <w:rsid w:val="000E28AC"/>
    <w:rsid w:val="000E28FF"/>
    <w:rsid w:val="000E2927"/>
    <w:rsid w:val="000E2B19"/>
    <w:rsid w:val="000E2C23"/>
    <w:rsid w:val="000E2CD1"/>
    <w:rsid w:val="000E2CE0"/>
    <w:rsid w:val="000E2D2F"/>
    <w:rsid w:val="000E2D4D"/>
    <w:rsid w:val="000E2D69"/>
    <w:rsid w:val="000E2ED1"/>
    <w:rsid w:val="000E2F77"/>
    <w:rsid w:val="000E2FAE"/>
    <w:rsid w:val="000E2FF1"/>
    <w:rsid w:val="000E3034"/>
    <w:rsid w:val="000E30E0"/>
    <w:rsid w:val="000E33E7"/>
    <w:rsid w:val="000E3478"/>
    <w:rsid w:val="000E34AF"/>
    <w:rsid w:val="000E3503"/>
    <w:rsid w:val="000E3681"/>
    <w:rsid w:val="000E3771"/>
    <w:rsid w:val="000E382B"/>
    <w:rsid w:val="000E3A45"/>
    <w:rsid w:val="000E3A86"/>
    <w:rsid w:val="000E3B41"/>
    <w:rsid w:val="000E3B67"/>
    <w:rsid w:val="000E3D88"/>
    <w:rsid w:val="000E3DF3"/>
    <w:rsid w:val="000E3EC6"/>
    <w:rsid w:val="000E3F86"/>
    <w:rsid w:val="000E4035"/>
    <w:rsid w:val="000E409C"/>
    <w:rsid w:val="000E41A7"/>
    <w:rsid w:val="000E41DC"/>
    <w:rsid w:val="000E4233"/>
    <w:rsid w:val="000E435E"/>
    <w:rsid w:val="000E437F"/>
    <w:rsid w:val="000E43D8"/>
    <w:rsid w:val="000E445C"/>
    <w:rsid w:val="000E4476"/>
    <w:rsid w:val="000E4480"/>
    <w:rsid w:val="000E44A4"/>
    <w:rsid w:val="000E457B"/>
    <w:rsid w:val="000E457E"/>
    <w:rsid w:val="000E4593"/>
    <w:rsid w:val="000E45EB"/>
    <w:rsid w:val="000E4766"/>
    <w:rsid w:val="000E4793"/>
    <w:rsid w:val="000E479B"/>
    <w:rsid w:val="000E47F0"/>
    <w:rsid w:val="000E4876"/>
    <w:rsid w:val="000E48BB"/>
    <w:rsid w:val="000E4929"/>
    <w:rsid w:val="000E4B10"/>
    <w:rsid w:val="000E4B3C"/>
    <w:rsid w:val="000E4C76"/>
    <w:rsid w:val="000E4C9C"/>
    <w:rsid w:val="000E4D3C"/>
    <w:rsid w:val="000E4DC6"/>
    <w:rsid w:val="000E4DC7"/>
    <w:rsid w:val="000E4E89"/>
    <w:rsid w:val="000E4E9A"/>
    <w:rsid w:val="000E4FD4"/>
    <w:rsid w:val="000E505B"/>
    <w:rsid w:val="000E5099"/>
    <w:rsid w:val="000E511F"/>
    <w:rsid w:val="000E51AB"/>
    <w:rsid w:val="000E51EF"/>
    <w:rsid w:val="000E51F0"/>
    <w:rsid w:val="000E5300"/>
    <w:rsid w:val="000E531D"/>
    <w:rsid w:val="000E53C8"/>
    <w:rsid w:val="000E54E3"/>
    <w:rsid w:val="000E5506"/>
    <w:rsid w:val="000E550C"/>
    <w:rsid w:val="000E563C"/>
    <w:rsid w:val="000E5708"/>
    <w:rsid w:val="000E5756"/>
    <w:rsid w:val="000E5854"/>
    <w:rsid w:val="000E58AD"/>
    <w:rsid w:val="000E58C6"/>
    <w:rsid w:val="000E599E"/>
    <w:rsid w:val="000E5ADA"/>
    <w:rsid w:val="000E5B81"/>
    <w:rsid w:val="000E5BAD"/>
    <w:rsid w:val="000E5C71"/>
    <w:rsid w:val="000E5C92"/>
    <w:rsid w:val="000E5CC9"/>
    <w:rsid w:val="000E5EE5"/>
    <w:rsid w:val="000E5FFC"/>
    <w:rsid w:val="000E60AD"/>
    <w:rsid w:val="000E6271"/>
    <w:rsid w:val="000E6428"/>
    <w:rsid w:val="000E64B5"/>
    <w:rsid w:val="000E656B"/>
    <w:rsid w:val="000E65EB"/>
    <w:rsid w:val="000E66B0"/>
    <w:rsid w:val="000E6838"/>
    <w:rsid w:val="000E68A4"/>
    <w:rsid w:val="000E694C"/>
    <w:rsid w:val="000E69C1"/>
    <w:rsid w:val="000E6A6B"/>
    <w:rsid w:val="000E6AD1"/>
    <w:rsid w:val="000E6BD5"/>
    <w:rsid w:val="000E6D20"/>
    <w:rsid w:val="000E6DCD"/>
    <w:rsid w:val="000E6E01"/>
    <w:rsid w:val="000E6E12"/>
    <w:rsid w:val="000E6E45"/>
    <w:rsid w:val="000E6F17"/>
    <w:rsid w:val="000E70A8"/>
    <w:rsid w:val="000E7158"/>
    <w:rsid w:val="000E7301"/>
    <w:rsid w:val="000E7376"/>
    <w:rsid w:val="000E74CA"/>
    <w:rsid w:val="000E751E"/>
    <w:rsid w:val="000E7528"/>
    <w:rsid w:val="000E7537"/>
    <w:rsid w:val="000E7552"/>
    <w:rsid w:val="000E7559"/>
    <w:rsid w:val="000E75A5"/>
    <w:rsid w:val="000E75C7"/>
    <w:rsid w:val="000E7754"/>
    <w:rsid w:val="000E77AE"/>
    <w:rsid w:val="000E7803"/>
    <w:rsid w:val="000E785E"/>
    <w:rsid w:val="000E7884"/>
    <w:rsid w:val="000E7885"/>
    <w:rsid w:val="000E7C1F"/>
    <w:rsid w:val="000E7DCA"/>
    <w:rsid w:val="000E7E75"/>
    <w:rsid w:val="000E7FF4"/>
    <w:rsid w:val="000F0015"/>
    <w:rsid w:val="000F0232"/>
    <w:rsid w:val="000F03BF"/>
    <w:rsid w:val="000F0421"/>
    <w:rsid w:val="000F046B"/>
    <w:rsid w:val="000F04D1"/>
    <w:rsid w:val="000F059D"/>
    <w:rsid w:val="000F05FD"/>
    <w:rsid w:val="000F0703"/>
    <w:rsid w:val="000F0773"/>
    <w:rsid w:val="000F0794"/>
    <w:rsid w:val="000F07DC"/>
    <w:rsid w:val="000F07F9"/>
    <w:rsid w:val="000F094E"/>
    <w:rsid w:val="000F09CE"/>
    <w:rsid w:val="000F09E0"/>
    <w:rsid w:val="000F0A79"/>
    <w:rsid w:val="000F0ABC"/>
    <w:rsid w:val="000F0AE5"/>
    <w:rsid w:val="000F0B17"/>
    <w:rsid w:val="000F0B40"/>
    <w:rsid w:val="000F0B59"/>
    <w:rsid w:val="000F0B7B"/>
    <w:rsid w:val="000F0D55"/>
    <w:rsid w:val="000F0DDD"/>
    <w:rsid w:val="000F0E94"/>
    <w:rsid w:val="000F0F66"/>
    <w:rsid w:val="000F1039"/>
    <w:rsid w:val="000F11D2"/>
    <w:rsid w:val="000F171F"/>
    <w:rsid w:val="000F1761"/>
    <w:rsid w:val="000F178A"/>
    <w:rsid w:val="000F18F8"/>
    <w:rsid w:val="000F1901"/>
    <w:rsid w:val="000F1990"/>
    <w:rsid w:val="000F1A36"/>
    <w:rsid w:val="000F1A88"/>
    <w:rsid w:val="000F1B2F"/>
    <w:rsid w:val="000F1BE8"/>
    <w:rsid w:val="000F1C67"/>
    <w:rsid w:val="000F1CC5"/>
    <w:rsid w:val="000F1D74"/>
    <w:rsid w:val="000F1DBB"/>
    <w:rsid w:val="000F1F8E"/>
    <w:rsid w:val="000F205E"/>
    <w:rsid w:val="000F2074"/>
    <w:rsid w:val="000F20BC"/>
    <w:rsid w:val="000F20F6"/>
    <w:rsid w:val="000F2207"/>
    <w:rsid w:val="000F2239"/>
    <w:rsid w:val="000F2395"/>
    <w:rsid w:val="000F2660"/>
    <w:rsid w:val="000F26D7"/>
    <w:rsid w:val="000F279A"/>
    <w:rsid w:val="000F27BE"/>
    <w:rsid w:val="000F293F"/>
    <w:rsid w:val="000F294F"/>
    <w:rsid w:val="000F2987"/>
    <w:rsid w:val="000F29B5"/>
    <w:rsid w:val="000F2ACC"/>
    <w:rsid w:val="000F2B31"/>
    <w:rsid w:val="000F2BAE"/>
    <w:rsid w:val="000F2C3E"/>
    <w:rsid w:val="000F2CB7"/>
    <w:rsid w:val="000F2EDC"/>
    <w:rsid w:val="000F2F25"/>
    <w:rsid w:val="000F3062"/>
    <w:rsid w:val="000F3145"/>
    <w:rsid w:val="000F3220"/>
    <w:rsid w:val="000F3340"/>
    <w:rsid w:val="000F33A1"/>
    <w:rsid w:val="000F3535"/>
    <w:rsid w:val="000F355F"/>
    <w:rsid w:val="000F384D"/>
    <w:rsid w:val="000F385C"/>
    <w:rsid w:val="000F3921"/>
    <w:rsid w:val="000F394D"/>
    <w:rsid w:val="000F3AE2"/>
    <w:rsid w:val="000F3B56"/>
    <w:rsid w:val="000F3BB4"/>
    <w:rsid w:val="000F3C38"/>
    <w:rsid w:val="000F3CB7"/>
    <w:rsid w:val="000F3D6E"/>
    <w:rsid w:val="000F3EC3"/>
    <w:rsid w:val="000F3EED"/>
    <w:rsid w:val="000F3F2A"/>
    <w:rsid w:val="000F3F75"/>
    <w:rsid w:val="000F3F8E"/>
    <w:rsid w:val="000F4029"/>
    <w:rsid w:val="000F411A"/>
    <w:rsid w:val="000F4126"/>
    <w:rsid w:val="000F4224"/>
    <w:rsid w:val="000F4502"/>
    <w:rsid w:val="000F4529"/>
    <w:rsid w:val="000F470E"/>
    <w:rsid w:val="000F4845"/>
    <w:rsid w:val="000F4935"/>
    <w:rsid w:val="000F495D"/>
    <w:rsid w:val="000F4B51"/>
    <w:rsid w:val="000F4BD5"/>
    <w:rsid w:val="000F4BE4"/>
    <w:rsid w:val="000F4C11"/>
    <w:rsid w:val="000F4C88"/>
    <w:rsid w:val="000F4D87"/>
    <w:rsid w:val="000F4DE6"/>
    <w:rsid w:val="000F4DF7"/>
    <w:rsid w:val="000F4E53"/>
    <w:rsid w:val="000F4E73"/>
    <w:rsid w:val="000F4F1B"/>
    <w:rsid w:val="000F4FA0"/>
    <w:rsid w:val="000F4FA7"/>
    <w:rsid w:val="000F4FC7"/>
    <w:rsid w:val="000F4FDF"/>
    <w:rsid w:val="000F5025"/>
    <w:rsid w:val="000F52A0"/>
    <w:rsid w:val="000F533B"/>
    <w:rsid w:val="000F533F"/>
    <w:rsid w:val="000F5343"/>
    <w:rsid w:val="000F5346"/>
    <w:rsid w:val="000F5379"/>
    <w:rsid w:val="000F5384"/>
    <w:rsid w:val="000F5468"/>
    <w:rsid w:val="000F54F4"/>
    <w:rsid w:val="000F54FB"/>
    <w:rsid w:val="000F54FC"/>
    <w:rsid w:val="000F5555"/>
    <w:rsid w:val="000F56D6"/>
    <w:rsid w:val="000F5919"/>
    <w:rsid w:val="000F594C"/>
    <w:rsid w:val="000F5994"/>
    <w:rsid w:val="000F59BB"/>
    <w:rsid w:val="000F5A07"/>
    <w:rsid w:val="000F5A36"/>
    <w:rsid w:val="000F5A7F"/>
    <w:rsid w:val="000F5AE9"/>
    <w:rsid w:val="000F5B0B"/>
    <w:rsid w:val="000F5B37"/>
    <w:rsid w:val="000F5B79"/>
    <w:rsid w:val="000F5BFB"/>
    <w:rsid w:val="000F5C43"/>
    <w:rsid w:val="000F5D7A"/>
    <w:rsid w:val="000F5D81"/>
    <w:rsid w:val="000F5DB7"/>
    <w:rsid w:val="000F5DE1"/>
    <w:rsid w:val="000F5E58"/>
    <w:rsid w:val="000F5E93"/>
    <w:rsid w:val="000F5E9D"/>
    <w:rsid w:val="000F5EA3"/>
    <w:rsid w:val="000F5EE4"/>
    <w:rsid w:val="000F609E"/>
    <w:rsid w:val="000F60B7"/>
    <w:rsid w:val="000F61DF"/>
    <w:rsid w:val="000F6225"/>
    <w:rsid w:val="000F625B"/>
    <w:rsid w:val="000F62D4"/>
    <w:rsid w:val="000F62DF"/>
    <w:rsid w:val="000F63D7"/>
    <w:rsid w:val="000F647C"/>
    <w:rsid w:val="000F659F"/>
    <w:rsid w:val="000F65AC"/>
    <w:rsid w:val="000F65C6"/>
    <w:rsid w:val="000F65EF"/>
    <w:rsid w:val="000F65F4"/>
    <w:rsid w:val="000F6638"/>
    <w:rsid w:val="000F6669"/>
    <w:rsid w:val="000F6674"/>
    <w:rsid w:val="000F667D"/>
    <w:rsid w:val="000F6696"/>
    <w:rsid w:val="000F66AC"/>
    <w:rsid w:val="000F67A9"/>
    <w:rsid w:val="000F6820"/>
    <w:rsid w:val="000F685F"/>
    <w:rsid w:val="000F688E"/>
    <w:rsid w:val="000F68CF"/>
    <w:rsid w:val="000F6906"/>
    <w:rsid w:val="000F6911"/>
    <w:rsid w:val="000F694E"/>
    <w:rsid w:val="000F695E"/>
    <w:rsid w:val="000F6A91"/>
    <w:rsid w:val="000F6A92"/>
    <w:rsid w:val="000F6A9D"/>
    <w:rsid w:val="000F6C08"/>
    <w:rsid w:val="000F6C4A"/>
    <w:rsid w:val="000F6C72"/>
    <w:rsid w:val="000F6C85"/>
    <w:rsid w:val="000F6C93"/>
    <w:rsid w:val="000F6ECE"/>
    <w:rsid w:val="000F6ED8"/>
    <w:rsid w:val="000F6F47"/>
    <w:rsid w:val="000F6F68"/>
    <w:rsid w:val="000F700B"/>
    <w:rsid w:val="000F706A"/>
    <w:rsid w:val="000F70C0"/>
    <w:rsid w:val="000F7228"/>
    <w:rsid w:val="000F7315"/>
    <w:rsid w:val="000F7446"/>
    <w:rsid w:val="000F7484"/>
    <w:rsid w:val="000F7593"/>
    <w:rsid w:val="000F75A1"/>
    <w:rsid w:val="000F763C"/>
    <w:rsid w:val="000F7818"/>
    <w:rsid w:val="000F788F"/>
    <w:rsid w:val="000F7898"/>
    <w:rsid w:val="000F78E5"/>
    <w:rsid w:val="000F79E7"/>
    <w:rsid w:val="000F7A55"/>
    <w:rsid w:val="000F7BBE"/>
    <w:rsid w:val="000F7C3D"/>
    <w:rsid w:val="000F7CF9"/>
    <w:rsid w:val="000F7D92"/>
    <w:rsid w:val="000F7DEF"/>
    <w:rsid w:val="000F7E6A"/>
    <w:rsid w:val="000F7EED"/>
    <w:rsid w:val="000F7F3A"/>
    <w:rsid w:val="000F7F60"/>
    <w:rsid w:val="000F7F6E"/>
    <w:rsid w:val="000F7F85"/>
    <w:rsid w:val="00100046"/>
    <w:rsid w:val="0010008A"/>
    <w:rsid w:val="001001A5"/>
    <w:rsid w:val="001002D6"/>
    <w:rsid w:val="001003CB"/>
    <w:rsid w:val="001003F1"/>
    <w:rsid w:val="00100477"/>
    <w:rsid w:val="001004DB"/>
    <w:rsid w:val="00100524"/>
    <w:rsid w:val="00100537"/>
    <w:rsid w:val="0010067C"/>
    <w:rsid w:val="001006B7"/>
    <w:rsid w:val="00100762"/>
    <w:rsid w:val="001007F1"/>
    <w:rsid w:val="0010081B"/>
    <w:rsid w:val="00100823"/>
    <w:rsid w:val="00100848"/>
    <w:rsid w:val="001009F0"/>
    <w:rsid w:val="00100A7B"/>
    <w:rsid w:val="00100AC6"/>
    <w:rsid w:val="00100CC7"/>
    <w:rsid w:val="00100CE3"/>
    <w:rsid w:val="00100D4D"/>
    <w:rsid w:val="00100F5B"/>
    <w:rsid w:val="00100FFB"/>
    <w:rsid w:val="00101047"/>
    <w:rsid w:val="00101095"/>
    <w:rsid w:val="001010B8"/>
    <w:rsid w:val="00101147"/>
    <w:rsid w:val="001011CC"/>
    <w:rsid w:val="001011DC"/>
    <w:rsid w:val="00101244"/>
    <w:rsid w:val="00101298"/>
    <w:rsid w:val="001012B0"/>
    <w:rsid w:val="001013AB"/>
    <w:rsid w:val="001013B7"/>
    <w:rsid w:val="0010142F"/>
    <w:rsid w:val="00101551"/>
    <w:rsid w:val="001015A5"/>
    <w:rsid w:val="001015BB"/>
    <w:rsid w:val="00101669"/>
    <w:rsid w:val="00101719"/>
    <w:rsid w:val="0010176C"/>
    <w:rsid w:val="001018E5"/>
    <w:rsid w:val="00101A08"/>
    <w:rsid w:val="00101A5A"/>
    <w:rsid w:val="00101A87"/>
    <w:rsid w:val="00101A8B"/>
    <w:rsid w:val="00101B22"/>
    <w:rsid w:val="00101BC3"/>
    <w:rsid w:val="00101BFD"/>
    <w:rsid w:val="00101BFF"/>
    <w:rsid w:val="00101D35"/>
    <w:rsid w:val="00101D6A"/>
    <w:rsid w:val="00101E63"/>
    <w:rsid w:val="00101EB3"/>
    <w:rsid w:val="00101F02"/>
    <w:rsid w:val="0010200D"/>
    <w:rsid w:val="0010209E"/>
    <w:rsid w:val="001020AE"/>
    <w:rsid w:val="001021A5"/>
    <w:rsid w:val="00102255"/>
    <w:rsid w:val="001022B7"/>
    <w:rsid w:val="0010232A"/>
    <w:rsid w:val="0010236E"/>
    <w:rsid w:val="00102389"/>
    <w:rsid w:val="001023A8"/>
    <w:rsid w:val="001024F5"/>
    <w:rsid w:val="001025AD"/>
    <w:rsid w:val="001025CA"/>
    <w:rsid w:val="00102759"/>
    <w:rsid w:val="00102848"/>
    <w:rsid w:val="00102856"/>
    <w:rsid w:val="00102AFF"/>
    <w:rsid w:val="00102B2B"/>
    <w:rsid w:val="00102CAB"/>
    <w:rsid w:val="00102CC2"/>
    <w:rsid w:val="00102D60"/>
    <w:rsid w:val="00102E17"/>
    <w:rsid w:val="00102E6E"/>
    <w:rsid w:val="00102EC6"/>
    <w:rsid w:val="00102F62"/>
    <w:rsid w:val="00103001"/>
    <w:rsid w:val="001030AF"/>
    <w:rsid w:val="001030F8"/>
    <w:rsid w:val="00103130"/>
    <w:rsid w:val="0010325C"/>
    <w:rsid w:val="001032DD"/>
    <w:rsid w:val="0010335B"/>
    <w:rsid w:val="00103451"/>
    <w:rsid w:val="00103486"/>
    <w:rsid w:val="001035AA"/>
    <w:rsid w:val="00103668"/>
    <w:rsid w:val="001036A4"/>
    <w:rsid w:val="0010373E"/>
    <w:rsid w:val="00103866"/>
    <w:rsid w:val="00103883"/>
    <w:rsid w:val="001038AB"/>
    <w:rsid w:val="001039AF"/>
    <w:rsid w:val="00103A2B"/>
    <w:rsid w:val="00103A45"/>
    <w:rsid w:val="00103A62"/>
    <w:rsid w:val="00103AAB"/>
    <w:rsid w:val="00103C46"/>
    <w:rsid w:val="00103D26"/>
    <w:rsid w:val="00103DB6"/>
    <w:rsid w:val="00103E09"/>
    <w:rsid w:val="0010410C"/>
    <w:rsid w:val="00104149"/>
    <w:rsid w:val="001041D7"/>
    <w:rsid w:val="00104217"/>
    <w:rsid w:val="001042DE"/>
    <w:rsid w:val="00104434"/>
    <w:rsid w:val="0010456D"/>
    <w:rsid w:val="00104705"/>
    <w:rsid w:val="00104777"/>
    <w:rsid w:val="00104873"/>
    <w:rsid w:val="00104A4F"/>
    <w:rsid w:val="00104A50"/>
    <w:rsid w:val="00104A6F"/>
    <w:rsid w:val="00104B1F"/>
    <w:rsid w:val="00104B2D"/>
    <w:rsid w:val="00104D7A"/>
    <w:rsid w:val="00104E7E"/>
    <w:rsid w:val="00104F82"/>
    <w:rsid w:val="00104F9F"/>
    <w:rsid w:val="00104FE3"/>
    <w:rsid w:val="0010520F"/>
    <w:rsid w:val="0010521A"/>
    <w:rsid w:val="0010525F"/>
    <w:rsid w:val="001052C9"/>
    <w:rsid w:val="001052FF"/>
    <w:rsid w:val="00105373"/>
    <w:rsid w:val="001053BB"/>
    <w:rsid w:val="0010557B"/>
    <w:rsid w:val="0010569B"/>
    <w:rsid w:val="001056CD"/>
    <w:rsid w:val="0010581E"/>
    <w:rsid w:val="001059C5"/>
    <w:rsid w:val="00105AD6"/>
    <w:rsid w:val="00105C41"/>
    <w:rsid w:val="00105DBD"/>
    <w:rsid w:val="00105DC6"/>
    <w:rsid w:val="00105E03"/>
    <w:rsid w:val="00105E84"/>
    <w:rsid w:val="00105EE4"/>
    <w:rsid w:val="00105FCD"/>
    <w:rsid w:val="0010609F"/>
    <w:rsid w:val="00106130"/>
    <w:rsid w:val="001061E6"/>
    <w:rsid w:val="00106270"/>
    <w:rsid w:val="00106289"/>
    <w:rsid w:val="001062A6"/>
    <w:rsid w:val="001062D0"/>
    <w:rsid w:val="00106316"/>
    <w:rsid w:val="001063AB"/>
    <w:rsid w:val="001063B0"/>
    <w:rsid w:val="001064CC"/>
    <w:rsid w:val="0010653C"/>
    <w:rsid w:val="001065ED"/>
    <w:rsid w:val="0010670D"/>
    <w:rsid w:val="001067E9"/>
    <w:rsid w:val="00106A42"/>
    <w:rsid w:val="00106A93"/>
    <w:rsid w:val="00106D4E"/>
    <w:rsid w:val="00106D62"/>
    <w:rsid w:val="00106FEB"/>
    <w:rsid w:val="001070D7"/>
    <w:rsid w:val="0010727D"/>
    <w:rsid w:val="0010741C"/>
    <w:rsid w:val="00107436"/>
    <w:rsid w:val="00107471"/>
    <w:rsid w:val="001074CE"/>
    <w:rsid w:val="001075EE"/>
    <w:rsid w:val="00107605"/>
    <w:rsid w:val="001076D7"/>
    <w:rsid w:val="001077BE"/>
    <w:rsid w:val="00107808"/>
    <w:rsid w:val="0010782F"/>
    <w:rsid w:val="00107844"/>
    <w:rsid w:val="00107876"/>
    <w:rsid w:val="0010791A"/>
    <w:rsid w:val="0010794A"/>
    <w:rsid w:val="001079C5"/>
    <w:rsid w:val="00107B51"/>
    <w:rsid w:val="00107BAF"/>
    <w:rsid w:val="00107C8F"/>
    <w:rsid w:val="00107D2F"/>
    <w:rsid w:val="00107D88"/>
    <w:rsid w:val="00107E27"/>
    <w:rsid w:val="00107F6C"/>
    <w:rsid w:val="0011001E"/>
    <w:rsid w:val="0011006C"/>
    <w:rsid w:val="001100B3"/>
    <w:rsid w:val="001100BE"/>
    <w:rsid w:val="00110254"/>
    <w:rsid w:val="00110290"/>
    <w:rsid w:val="001102BD"/>
    <w:rsid w:val="0011032B"/>
    <w:rsid w:val="0011037E"/>
    <w:rsid w:val="00110488"/>
    <w:rsid w:val="0011048B"/>
    <w:rsid w:val="001106D3"/>
    <w:rsid w:val="00110949"/>
    <w:rsid w:val="00110AC4"/>
    <w:rsid w:val="00110B66"/>
    <w:rsid w:val="00110C1D"/>
    <w:rsid w:val="00110C5A"/>
    <w:rsid w:val="00110D1F"/>
    <w:rsid w:val="00110D92"/>
    <w:rsid w:val="00110E7E"/>
    <w:rsid w:val="00110ECB"/>
    <w:rsid w:val="00111089"/>
    <w:rsid w:val="001116B3"/>
    <w:rsid w:val="0011172E"/>
    <w:rsid w:val="00111811"/>
    <w:rsid w:val="00111826"/>
    <w:rsid w:val="00111874"/>
    <w:rsid w:val="00111A32"/>
    <w:rsid w:val="00111A80"/>
    <w:rsid w:val="00111B66"/>
    <w:rsid w:val="00111B69"/>
    <w:rsid w:val="00111B96"/>
    <w:rsid w:val="00111BE6"/>
    <w:rsid w:val="00111C20"/>
    <w:rsid w:val="00111CF9"/>
    <w:rsid w:val="00111E3C"/>
    <w:rsid w:val="00111E5F"/>
    <w:rsid w:val="00111F79"/>
    <w:rsid w:val="00111F93"/>
    <w:rsid w:val="00111FC0"/>
    <w:rsid w:val="0011209E"/>
    <w:rsid w:val="001120B7"/>
    <w:rsid w:val="001120E7"/>
    <w:rsid w:val="00112112"/>
    <w:rsid w:val="0011211E"/>
    <w:rsid w:val="00112156"/>
    <w:rsid w:val="00112256"/>
    <w:rsid w:val="0011231B"/>
    <w:rsid w:val="0011239F"/>
    <w:rsid w:val="001123FC"/>
    <w:rsid w:val="0011241A"/>
    <w:rsid w:val="00112465"/>
    <w:rsid w:val="001124B7"/>
    <w:rsid w:val="001124F7"/>
    <w:rsid w:val="001125A7"/>
    <w:rsid w:val="00112605"/>
    <w:rsid w:val="0011269B"/>
    <w:rsid w:val="001126E5"/>
    <w:rsid w:val="001127B5"/>
    <w:rsid w:val="00112847"/>
    <w:rsid w:val="001128B5"/>
    <w:rsid w:val="001128C1"/>
    <w:rsid w:val="001128E1"/>
    <w:rsid w:val="00112900"/>
    <w:rsid w:val="0011292A"/>
    <w:rsid w:val="00112933"/>
    <w:rsid w:val="00112BF4"/>
    <w:rsid w:val="00112D94"/>
    <w:rsid w:val="00112E2D"/>
    <w:rsid w:val="00112E50"/>
    <w:rsid w:val="00112FD3"/>
    <w:rsid w:val="00113126"/>
    <w:rsid w:val="0011312B"/>
    <w:rsid w:val="00113388"/>
    <w:rsid w:val="001134C4"/>
    <w:rsid w:val="0011360A"/>
    <w:rsid w:val="0011384D"/>
    <w:rsid w:val="00113874"/>
    <w:rsid w:val="00113879"/>
    <w:rsid w:val="001138E2"/>
    <w:rsid w:val="001139BC"/>
    <w:rsid w:val="00113A45"/>
    <w:rsid w:val="00113ACA"/>
    <w:rsid w:val="00113AFC"/>
    <w:rsid w:val="00113BF8"/>
    <w:rsid w:val="00113C2F"/>
    <w:rsid w:val="00113C32"/>
    <w:rsid w:val="00113C54"/>
    <w:rsid w:val="00113F02"/>
    <w:rsid w:val="00114059"/>
    <w:rsid w:val="00114122"/>
    <w:rsid w:val="001141B4"/>
    <w:rsid w:val="00114209"/>
    <w:rsid w:val="0011426C"/>
    <w:rsid w:val="0011440F"/>
    <w:rsid w:val="00114458"/>
    <w:rsid w:val="00114546"/>
    <w:rsid w:val="0011458C"/>
    <w:rsid w:val="001145B4"/>
    <w:rsid w:val="0011468B"/>
    <w:rsid w:val="0011468D"/>
    <w:rsid w:val="001146AA"/>
    <w:rsid w:val="001146F1"/>
    <w:rsid w:val="001147F6"/>
    <w:rsid w:val="0011480A"/>
    <w:rsid w:val="0011480F"/>
    <w:rsid w:val="0011493D"/>
    <w:rsid w:val="00114985"/>
    <w:rsid w:val="00114A0B"/>
    <w:rsid w:val="00114B68"/>
    <w:rsid w:val="00114BA0"/>
    <w:rsid w:val="00114CB5"/>
    <w:rsid w:val="00114CDE"/>
    <w:rsid w:val="00114CFC"/>
    <w:rsid w:val="00114D37"/>
    <w:rsid w:val="00114E2C"/>
    <w:rsid w:val="00114E96"/>
    <w:rsid w:val="00114F22"/>
    <w:rsid w:val="00115076"/>
    <w:rsid w:val="001150E8"/>
    <w:rsid w:val="0011514D"/>
    <w:rsid w:val="00115170"/>
    <w:rsid w:val="001151D9"/>
    <w:rsid w:val="00115213"/>
    <w:rsid w:val="00115238"/>
    <w:rsid w:val="00115274"/>
    <w:rsid w:val="00115280"/>
    <w:rsid w:val="00115301"/>
    <w:rsid w:val="0011531E"/>
    <w:rsid w:val="001153D0"/>
    <w:rsid w:val="00115584"/>
    <w:rsid w:val="00115599"/>
    <w:rsid w:val="001155BC"/>
    <w:rsid w:val="001155FB"/>
    <w:rsid w:val="0011560C"/>
    <w:rsid w:val="0011563C"/>
    <w:rsid w:val="001156C1"/>
    <w:rsid w:val="00115749"/>
    <w:rsid w:val="001157B8"/>
    <w:rsid w:val="0011587B"/>
    <w:rsid w:val="00115927"/>
    <w:rsid w:val="00115987"/>
    <w:rsid w:val="00115A47"/>
    <w:rsid w:val="00115A8C"/>
    <w:rsid w:val="00115B08"/>
    <w:rsid w:val="00115BA2"/>
    <w:rsid w:val="00115BF4"/>
    <w:rsid w:val="00115C11"/>
    <w:rsid w:val="00115C67"/>
    <w:rsid w:val="00115DA1"/>
    <w:rsid w:val="00115DA5"/>
    <w:rsid w:val="00115E39"/>
    <w:rsid w:val="00115E9B"/>
    <w:rsid w:val="00115F52"/>
    <w:rsid w:val="00115FC9"/>
    <w:rsid w:val="00115FED"/>
    <w:rsid w:val="0011623A"/>
    <w:rsid w:val="001162EE"/>
    <w:rsid w:val="00116321"/>
    <w:rsid w:val="00116391"/>
    <w:rsid w:val="001164B0"/>
    <w:rsid w:val="0011657C"/>
    <w:rsid w:val="00116587"/>
    <w:rsid w:val="00116699"/>
    <w:rsid w:val="001168E5"/>
    <w:rsid w:val="00116999"/>
    <w:rsid w:val="00116A8A"/>
    <w:rsid w:val="00116AD3"/>
    <w:rsid w:val="00116AF5"/>
    <w:rsid w:val="00116B99"/>
    <w:rsid w:val="00116D25"/>
    <w:rsid w:val="00116E3A"/>
    <w:rsid w:val="00116EE6"/>
    <w:rsid w:val="0011717E"/>
    <w:rsid w:val="00117253"/>
    <w:rsid w:val="00117291"/>
    <w:rsid w:val="00117342"/>
    <w:rsid w:val="001174DB"/>
    <w:rsid w:val="001175C1"/>
    <w:rsid w:val="0011762B"/>
    <w:rsid w:val="0011767B"/>
    <w:rsid w:val="00117761"/>
    <w:rsid w:val="00117862"/>
    <w:rsid w:val="00117970"/>
    <w:rsid w:val="00117988"/>
    <w:rsid w:val="00117B06"/>
    <w:rsid w:val="00117B10"/>
    <w:rsid w:val="00117B1A"/>
    <w:rsid w:val="00117BAE"/>
    <w:rsid w:val="00117BC7"/>
    <w:rsid w:val="00117BF5"/>
    <w:rsid w:val="00117C58"/>
    <w:rsid w:val="00117C8A"/>
    <w:rsid w:val="00117D9E"/>
    <w:rsid w:val="00117E64"/>
    <w:rsid w:val="00117F22"/>
    <w:rsid w:val="00117F92"/>
    <w:rsid w:val="00120050"/>
    <w:rsid w:val="0012014F"/>
    <w:rsid w:val="001201EC"/>
    <w:rsid w:val="00120260"/>
    <w:rsid w:val="00120273"/>
    <w:rsid w:val="001202B6"/>
    <w:rsid w:val="001202CC"/>
    <w:rsid w:val="001202D9"/>
    <w:rsid w:val="0012039F"/>
    <w:rsid w:val="001203C9"/>
    <w:rsid w:val="0012041F"/>
    <w:rsid w:val="0012043D"/>
    <w:rsid w:val="0012044A"/>
    <w:rsid w:val="001204C6"/>
    <w:rsid w:val="00120516"/>
    <w:rsid w:val="00120523"/>
    <w:rsid w:val="001205DF"/>
    <w:rsid w:val="001205E7"/>
    <w:rsid w:val="00120649"/>
    <w:rsid w:val="0012085D"/>
    <w:rsid w:val="001209A6"/>
    <w:rsid w:val="00120B2C"/>
    <w:rsid w:val="00120C63"/>
    <w:rsid w:val="00120C6F"/>
    <w:rsid w:val="00120D20"/>
    <w:rsid w:val="00120DE6"/>
    <w:rsid w:val="00120DF6"/>
    <w:rsid w:val="00120F7D"/>
    <w:rsid w:val="001211DD"/>
    <w:rsid w:val="001212A3"/>
    <w:rsid w:val="001212B5"/>
    <w:rsid w:val="0012130F"/>
    <w:rsid w:val="00121342"/>
    <w:rsid w:val="00121429"/>
    <w:rsid w:val="001214B3"/>
    <w:rsid w:val="00121533"/>
    <w:rsid w:val="00121662"/>
    <w:rsid w:val="00121666"/>
    <w:rsid w:val="00121668"/>
    <w:rsid w:val="0012178C"/>
    <w:rsid w:val="0012182E"/>
    <w:rsid w:val="0012188A"/>
    <w:rsid w:val="0012192E"/>
    <w:rsid w:val="0012196F"/>
    <w:rsid w:val="001219B8"/>
    <w:rsid w:val="001219DA"/>
    <w:rsid w:val="001219EC"/>
    <w:rsid w:val="00121A8E"/>
    <w:rsid w:val="00121BD0"/>
    <w:rsid w:val="00121C50"/>
    <w:rsid w:val="00121CB4"/>
    <w:rsid w:val="00121D9F"/>
    <w:rsid w:val="00121DBF"/>
    <w:rsid w:val="00121E48"/>
    <w:rsid w:val="00121E5E"/>
    <w:rsid w:val="00121E77"/>
    <w:rsid w:val="00121ED4"/>
    <w:rsid w:val="00121F49"/>
    <w:rsid w:val="00121F83"/>
    <w:rsid w:val="00121FDD"/>
    <w:rsid w:val="001220A2"/>
    <w:rsid w:val="001220F6"/>
    <w:rsid w:val="0012221E"/>
    <w:rsid w:val="00122265"/>
    <w:rsid w:val="0012226B"/>
    <w:rsid w:val="00122419"/>
    <w:rsid w:val="0012242C"/>
    <w:rsid w:val="001224A5"/>
    <w:rsid w:val="00122577"/>
    <w:rsid w:val="0012257C"/>
    <w:rsid w:val="001225D4"/>
    <w:rsid w:val="001226F6"/>
    <w:rsid w:val="001226F7"/>
    <w:rsid w:val="0012276F"/>
    <w:rsid w:val="00122886"/>
    <w:rsid w:val="001228D5"/>
    <w:rsid w:val="001228D7"/>
    <w:rsid w:val="00122A7B"/>
    <w:rsid w:val="00122A91"/>
    <w:rsid w:val="00122B89"/>
    <w:rsid w:val="00122D48"/>
    <w:rsid w:val="00122E05"/>
    <w:rsid w:val="00122E47"/>
    <w:rsid w:val="00122E50"/>
    <w:rsid w:val="00122E8E"/>
    <w:rsid w:val="00122F66"/>
    <w:rsid w:val="00122FF1"/>
    <w:rsid w:val="0012305C"/>
    <w:rsid w:val="0012306C"/>
    <w:rsid w:val="00123172"/>
    <w:rsid w:val="00123179"/>
    <w:rsid w:val="00123184"/>
    <w:rsid w:val="001231B0"/>
    <w:rsid w:val="0012326E"/>
    <w:rsid w:val="001232FD"/>
    <w:rsid w:val="0012330B"/>
    <w:rsid w:val="0012334F"/>
    <w:rsid w:val="001234EC"/>
    <w:rsid w:val="00123581"/>
    <w:rsid w:val="00123586"/>
    <w:rsid w:val="00123794"/>
    <w:rsid w:val="00123897"/>
    <w:rsid w:val="0012393E"/>
    <w:rsid w:val="0012399B"/>
    <w:rsid w:val="00123A54"/>
    <w:rsid w:val="00123A6B"/>
    <w:rsid w:val="00123A89"/>
    <w:rsid w:val="00123AAE"/>
    <w:rsid w:val="00123B65"/>
    <w:rsid w:val="00123C4F"/>
    <w:rsid w:val="00123D20"/>
    <w:rsid w:val="00123EB3"/>
    <w:rsid w:val="00123EC0"/>
    <w:rsid w:val="00123F1B"/>
    <w:rsid w:val="00123F40"/>
    <w:rsid w:val="00123F8C"/>
    <w:rsid w:val="001240F3"/>
    <w:rsid w:val="001241C8"/>
    <w:rsid w:val="001241D7"/>
    <w:rsid w:val="001241E2"/>
    <w:rsid w:val="001241ED"/>
    <w:rsid w:val="001242B0"/>
    <w:rsid w:val="001242E3"/>
    <w:rsid w:val="00124326"/>
    <w:rsid w:val="00124331"/>
    <w:rsid w:val="0012454B"/>
    <w:rsid w:val="0012454C"/>
    <w:rsid w:val="0012471B"/>
    <w:rsid w:val="001247F8"/>
    <w:rsid w:val="00124891"/>
    <w:rsid w:val="00124981"/>
    <w:rsid w:val="001249BF"/>
    <w:rsid w:val="00124AAA"/>
    <w:rsid w:val="00124B1E"/>
    <w:rsid w:val="00124B3F"/>
    <w:rsid w:val="00124C20"/>
    <w:rsid w:val="00124C82"/>
    <w:rsid w:val="00124CD1"/>
    <w:rsid w:val="00124CFE"/>
    <w:rsid w:val="00124D97"/>
    <w:rsid w:val="00124EF0"/>
    <w:rsid w:val="00124F1A"/>
    <w:rsid w:val="00124F1D"/>
    <w:rsid w:val="00124F83"/>
    <w:rsid w:val="00125067"/>
    <w:rsid w:val="001250BC"/>
    <w:rsid w:val="001251CF"/>
    <w:rsid w:val="00125284"/>
    <w:rsid w:val="00125389"/>
    <w:rsid w:val="001253C8"/>
    <w:rsid w:val="00125447"/>
    <w:rsid w:val="00125469"/>
    <w:rsid w:val="0012549E"/>
    <w:rsid w:val="0012550A"/>
    <w:rsid w:val="00125542"/>
    <w:rsid w:val="001255FB"/>
    <w:rsid w:val="00125677"/>
    <w:rsid w:val="001256A5"/>
    <w:rsid w:val="0012575B"/>
    <w:rsid w:val="001257B5"/>
    <w:rsid w:val="001257C2"/>
    <w:rsid w:val="00125A11"/>
    <w:rsid w:val="00125B96"/>
    <w:rsid w:val="00125B9B"/>
    <w:rsid w:val="00125BD9"/>
    <w:rsid w:val="00125BFD"/>
    <w:rsid w:val="00125BFE"/>
    <w:rsid w:val="00125CAC"/>
    <w:rsid w:val="00125CDA"/>
    <w:rsid w:val="00125D97"/>
    <w:rsid w:val="00125E2A"/>
    <w:rsid w:val="00125E72"/>
    <w:rsid w:val="00125F20"/>
    <w:rsid w:val="00125F6B"/>
    <w:rsid w:val="0012624E"/>
    <w:rsid w:val="0012640F"/>
    <w:rsid w:val="00126583"/>
    <w:rsid w:val="001265F1"/>
    <w:rsid w:val="00126658"/>
    <w:rsid w:val="00126664"/>
    <w:rsid w:val="0012667C"/>
    <w:rsid w:val="00126784"/>
    <w:rsid w:val="00126795"/>
    <w:rsid w:val="001267BC"/>
    <w:rsid w:val="001267C8"/>
    <w:rsid w:val="001267D5"/>
    <w:rsid w:val="001268F7"/>
    <w:rsid w:val="00126908"/>
    <w:rsid w:val="0012693A"/>
    <w:rsid w:val="0012694C"/>
    <w:rsid w:val="001269A6"/>
    <w:rsid w:val="00126A71"/>
    <w:rsid w:val="00126AAD"/>
    <w:rsid w:val="00126BB6"/>
    <w:rsid w:val="00126C87"/>
    <w:rsid w:val="00126D38"/>
    <w:rsid w:val="00126DF0"/>
    <w:rsid w:val="00126E15"/>
    <w:rsid w:val="00126F00"/>
    <w:rsid w:val="00126F07"/>
    <w:rsid w:val="00126F08"/>
    <w:rsid w:val="00126FA7"/>
    <w:rsid w:val="00127092"/>
    <w:rsid w:val="001270A7"/>
    <w:rsid w:val="0012712D"/>
    <w:rsid w:val="001271BF"/>
    <w:rsid w:val="001273B6"/>
    <w:rsid w:val="001273D4"/>
    <w:rsid w:val="001273F8"/>
    <w:rsid w:val="00127467"/>
    <w:rsid w:val="0012748D"/>
    <w:rsid w:val="001275C5"/>
    <w:rsid w:val="0012762F"/>
    <w:rsid w:val="00127795"/>
    <w:rsid w:val="0012784F"/>
    <w:rsid w:val="00127896"/>
    <w:rsid w:val="00127933"/>
    <w:rsid w:val="0012798B"/>
    <w:rsid w:val="00127B8E"/>
    <w:rsid w:val="00127C38"/>
    <w:rsid w:val="00127C95"/>
    <w:rsid w:val="00127DD2"/>
    <w:rsid w:val="00127EB5"/>
    <w:rsid w:val="00127F28"/>
    <w:rsid w:val="00127FFD"/>
    <w:rsid w:val="0013017D"/>
    <w:rsid w:val="001302A2"/>
    <w:rsid w:val="0013031B"/>
    <w:rsid w:val="00130391"/>
    <w:rsid w:val="001304E7"/>
    <w:rsid w:val="00130579"/>
    <w:rsid w:val="0013065F"/>
    <w:rsid w:val="001306A0"/>
    <w:rsid w:val="001307C8"/>
    <w:rsid w:val="001307F9"/>
    <w:rsid w:val="001308CA"/>
    <w:rsid w:val="00130942"/>
    <w:rsid w:val="001309EE"/>
    <w:rsid w:val="00130A4B"/>
    <w:rsid w:val="00130BBC"/>
    <w:rsid w:val="00130C57"/>
    <w:rsid w:val="00130C79"/>
    <w:rsid w:val="00130C97"/>
    <w:rsid w:val="00130D19"/>
    <w:rsid w:val="00130D3F"/>
    <w:rsid w:val="00130D64"/>
    <w:rsid w:val="00130D7B"/>
    <w:rsid w:val="00130E30"/>
    <w:rsid w:val="00130EDE"/>
    <w:rsid w:val="00130F30"/>
    <w:rsid w:val="00130F51"/>
    <w:rsid w:val="0013110C"/>
    <w:rsid w:val="001311FD"/>
    <w:rsid w:val="001312A0"/>
    <w:rsid w:val="001312A7"/>
    <w:rsid w:val="001312E3"/>
    <w:rsid w:val="001313F0"/>
    <w:rsid w:val="0013148C"/>
    <w:rsid w:val="001314B5"/>
    <w:rsid w:val="00131571"/>
    <w:rsid w:val="001315C1"/>
    <w:rsid w:val="001316FE"/>
    <w:rsid w:val="00131832"/>
    <w:rsid w:val="00131897"/>
    <w:rsid w:val="001318F8"/>
    <w:rsid w:val="00131952"/>
    <w:rsid w:val="0013196D"/>
    <w:rsid w:val="0013197F"/>
    <w:rsid w:val="001319E7"/>
    <w:rsid w:val="00131ABD"/>
    <w:rsid w:val="00131CEA"/>
    <w:rsid w:val="00131FE3"/>
    <w:rsid w:val="001320A0"/>
    <w:rsid w:val="001320A9"/>
    <w:rsid w:val="001321DB"/>
    <w:rsid w:val="00132280"/>
    <w:rsid w:val="00132295"/>
    <w:rsid w:val="001322D9"/>
    <w:rsid w:val="001322FC"/>
    <w:rsid w:val="001323A6"/>
    <w:rsid w:val="001324DD"/>
    <w:rsid w:val="001324FF"/>
    <w:rsid w:val="0013256B"/>
    <w:rsid w:val="0013259A"/>
    <w:rsid w:val="001325FA"/>
    <w:rsid w:val="00132647"/>
    <w:rsid w:val="0013267D"/>
    <w:rsid w:val="001327D5"/>
    <w:rsid w:val="001327D9"/>
    <w:rsid w:val="001327E1"/>
    <w:rsid w:val="001329AF"/>
    <w:rsid w:val="00132A71"/>
    <w:rsid w:val="00132AC9"/>
    <w:rsid w:val="00132C0B"/>
    <w:rsid w:val="00132D15"/>
    <w:rsid w:val="00132D23"/>
    <w:rsid w:val="00132D2C"/>
    <w:rsid w:val="00132EBE"/>
    <w:rsid w:val="00132EDC"/>
    <w:rsid w:val="00132F94"/>
    <w:rsid w:val="00133015"/>
    <w:rsid w:val="00133022"/>
    <w:rsid w:val="001330D2"/>
    <w:rsid w:val="00133161"/>
    <w:rsid w:val="0013326D"/>
    <w:rsid w:val="001332AA"/>
    <w:rsid w:val="001332AB"/>
    <w:rsid w:val="001334D8"/>
    <w:rsid w:val="001334DC"/>
    <w:rsid w:val="0013355E"/>
    <w:rsid w:val="001335C8"/>
    <w:rsid w:val="0013361B"/>
    <w:rsid w:val="00133682"/>
    <w:rsid w:val="00133714"/>
    <w:rsid w:val="001338D8"/>
    <w:rsid w:val="001338F1"/>
    <w:rsid w:val="00133A18"/>
    <w:rsid w:val="00133B3B"/>
    <w:rsid w:val="00133C7F"/>
    <w:rsid w:val="00133C9E"/>
    <w:rsid w:val="00133CBE"/>
    <w:rsid w:val="00133DC4"/>
    <w:rsid w:val="00133E3D"/>
    <w:rsid w:val="00133F21"/>
    <w:rsid w:val="00133F80"/>
    <w:rsid w:val="00134038"/>
    <w:rsid w:val="00134154"/>
    <w:rsid w:val="0013418F"/>
    <w:rsid w:val="001341E2"/>
    <w:rsid w:val="0013427E"/>
    <w:rsid w:val="001342BA"/>
    <w:rsid w:val="00134360"/>
    <w:rsid w:val="0013447C"/>
    <w:rsid w:val="00134560"/>
    <w:rsid w:val="001345B4"/>
    <w:rsid w:val="001346B6"/>
    <w:rsid w:val="001347B3"/>
    <w:rsid w:val="00134835"/>
    <w:rsid w:val="00134857"/>
    <w:rsid w:val="0013485D"/>
    <w:rsid w:val="001348C5"/>
    <w:rsid w:val="001348E0"/>
    <w:rsid w:val="00134912"/>
    <w:rsid w:val="00134A8F"/>
    <w:rsid w:val="00134AB8"/>
    <w:rsid w:val="00134BEF"/>
    <w:rsid w:val="00134CA7"/>
    <w:rsid w:val="00134CB1"/>
    <w:rsid w:val="00134D53"/>
    <w:rsid w:val="00134D76"/>
    <w:rsid w:val="00134D87"/>
    <w:rsid w:val="00134DA8"/>
    <w:rsid w:val="00134E6D"/>
    <w:rsid w:val="00134F1F"/>
    <w:rsid w:val="00134F63"/>
    <w:rsid w:val="001350F6"/>
    <w:rsid w:val="00135112"/>
    <w:rsid w:val="0013514B"/>
    <w:rsid w:val="00135323"/>
    <w:rsid w:val="0013533A"/>
    <w:rsid w:val="00135404"/>
    <w:rsid w:val="00135412"/>
    <w:rsid w:val="00135508"/>
    <w:rsid w:val="00135509"/>
    <w:rsid w:val="001356A0"/>
    <w:rsid w:val="001356D1"/>
    <w:rsid w:val="00135786"/>
    <w:rsid w:val="0013596A"/>
    <w:rsid w:val="001359B7"/>
    <w:rsid w:val="00135A57"/>
    <w:rsid w:val="00135B2B"/>
    <w:rsid w:val="00135C54"/>
    <w:rsid w:val="00135C7D"/>
    <w:rsid w:val="00135C87"/>
    <w:rsid w:val="00135DAF"/>
    <w:rsid w:val="00135DBB"/>
    <w:rsid w:val="00135DE5"/>
    <w:rsid w:val="00135E17"/>
    <w:rsid w:val="00136020"/>
    <w:rsid w:val="00136047"/>
    <w:rsid w:val="001360C4"/>
    <w:rsid w:val="00136219"/>
    <w:rsid w:val="00136287"/>
    <w:rsid w:val="00136331"/>
    <w:rsid w:val="001363CC"/>
    <w:rsid w:val="0013645C"/>
    <w:rsid w:val="00136466"/>
    <w:rsid w:val="00136513"/>
    <w:rsid w:val="001366E5"/>
    <w:rsid w:val="0013686D"/>
    <w:rsid w:val="001368CC"/>
    <w:rsid w:val="00136901"/>
    <w:rsid w:val="00136970"/>
    <w:rsid w:val="00136C05"/>
    <w:rsid w:val="00136C87"/>
    <w:rsid w:val="00136C91"/>
    <w:rsid w:val="00136DAB"/>
    <w:rsid w:val="00136DB3"/>
    <w:rsid w:val="00136DE0"/>
    <w:rsid w:val="00136E87"/>
    <w:rsid w:val="00136F4F"/>
    <w:rsid w:val="00136FE9"/>
    <w:rsid w:val="001370E6"/>
    <w:rsid w:val="00137149"/>
    <w:rsid w:val="001371A9"/>
    <w:rsid w:val="0013727E"/>
    <w:rsid w:val="001372AE"/>
    <w:rsid w:val="001372D6"/>
    <w:rsid w:val="00137400"/>
    <w:rsid w:val="001375FC"/>
    <w:rsid w:val="001376A8"/>
    <w:rsid w:val="00137856"/>
    <w:rsid w:val="00137946"/>
    <w:rsid w:val="00137A85"/>
    <w:rsid w:val="00137AB4"/>
    <w:rsid w:val="00137B32"/>
    <w:rsid w:val="00137D38"/>
    <w:rsid w:val="00137DC0"/>
    <w:rsid w:val="00137DCB"/>
    <w:rsid w:val="00137EC8"/>
    <w:rsid w:val="00137ECF"/>
    <w:rsid w:val="001400C1"/>
    <w:rsid w:val="00140174"/>
    <w:rsid w:val="00140184"/>
    <w:rsid w:val="001401D8"/>
    <w:rsid w:val="00140216"/>
    <w:rsid w:val="0014032F"/>
    <w:rsid w:val="00140397"/>
    <w:rsid w:val="0014050C"/>
    <w:rsid w:val="00140530"/>
    <w:rsid w:val="00140533"/>
    <w:rsid w:val="001405D6"/>
    <w:rsid w:val="00140637"/>
    <w:rsid w:val="00140651"/>
    <w:rsid w:val="00140842"/>
    <w:rsid w:val="00140956"/>
    <w:rsid w:val="00140A46"/>
    <w:rsid w:val="00140A58"/>
    <w:rsid w:val="00140AB0"/>
    <w:rsid w:val="00140B97"/>
    <w:rsid w:val="00140C8B"/>
    <w:rsid w:val="00140CAD"/>
    <w:rsid w:val="00140CEA"/>
    <w:rsid w:val="00140F56"/>
    <w:rsid w:val="00140F89"/>
    <w:rsid w:val="00140F96"/>
    <w:rsid w:val="00141098"/>
    <w:rsid w:val="001410B5"/>
    <w:rsid w:val="00141143"/>
    <w:rsid w:val="001412AB"/>
    <w:rsid w:val="00141348"/>
    <w:rsid w:val="00141456"/>
    <w:rsid w:val="00141472"/>
    <w:rsid w:val="001414F2"/>
    <w:rsid w:val="00141837"/>
    <w:rsid w:val="0014185E"/>
    <w:rsid w:val="00141862"/>
    <w:rsid w:val="0014186F"/>
    <w:rsid w:val="001419F7"/>
    <w:rsid w:val="00141B06"/>
    <w:rsid w:val="00141C99"/>
    <w:rsid w:val="00141D46"/>
    <w:rsid w:val="00141D7C"/>
    <w:rsid w:val="00141DE7"/>
    <w:rsid w:val="00141DF8"/>
    <w:rsid w:val="00141F0B"/>
    <w:rsid w:val="0014205A"/>
    <w:rsid w:val="00142139"/>
    <w:rsid w:val="00142150"/>
    <w:rsid w:val="001422BF"/>
    <w:rsid w:val="0014231E"/>
    <w:rsid w:val="0014236E"/>
    <w:rsid w:val="0014237E"/>
    <w:rsid w:val="0014240B"/>
    <w:rsid w:val="00142430"/>
    <w:rsid w:val="0014252C"/>
    <w:rsid w:val="0014254F"/>
    <w:rsid w:val="00142610"/>
    <w:rsid w:val="001427EA"/>
    <w:rsid w:val="00142955"/>
    <w:rsid w:val="001429A2"/>
    <w:rsid w:val="001429F9"/>
    <w:rsid w:val="00142AAF"/>
    <w:rsid w:val="00142BDD"/>
    <w:rsid w:val="00142C64"/>
    <w:rsid w:val="00142CE1"/>
    <w:rsid w:val="00142D1C"/>
    <w:rsid w:val="00142DB6"/>
    <w:rsid w:val="00142E40"/>
    <w:rsid w:val="00142F76"/>
    <w:rsid w:val="00142F8D"/>
    <w:rsid w:val="00143043"/>
    <w:rsid w:val="0014318F"/>
    <w:rsid w:val="00143213"/>
    <w:rsid w:val="00143421"/>
    <w:rsid w:val="001434BE"/>
    <w:rsid w:val="001435BE"/>
    <w:rsid w:val="0014361C"/>
    <w:rsid w:val="001437A8"/>
    <w:rsid w:val="001438BF"/>
    <w:rsid w:val="001439A7"/>
    <w:rsid w:val="00143C58"/>
    <w:rsid w:val="00143C84"/>
    <w:rsid w:val="00143D02"/>
    <w:rsid w:val="00143D8F"/>
    <w:rsid w:val="00143D90"/>
    <w:rsid w:val="00143FFF"/>
    <w:rsid w:val="00144011"/>
    <w:rsid w:val="0014404F"/>
    <w:rsid w:val="001441A3"/>
    <w:rsid w:val="0014424B"/>
    <w:rsid w:val="0014425C"/>
    <w:rsid w:val="00144329"/>
    <w:rsid w:val="00144342"/>
    <w:rsid w:val="0014435F"/>
    <w:rsid w:val="001443A1"/>
    <w:rsid w:val="001444EF"/>
    <w:rsid w:val="001444FE"/>
    <w:rsid w:val="0014458B"/>
    <w:rsid w:val="001446BA"/>
    <w:rsid w:val="0014477A"/>
    <w:rsid w:val="00144847"/>
    <w:rsid w:val="0014488A"/>
    <w:rsid w:val="001448E5"/>
    <w:rsid w:val="00144A58"/>
    <w:rsid w:val="00144B75"/>
    <w:rsid w:val="00144E74"/>
    <w:rsid w:val="001450C7"/>
    <w:rsid w:val="001450ED"/>
    <w:rsid w:val="00145136"/>
    <w:rsid w:val="00145138"/>
    <w:rsid w:val="0014527B"/>
    <w:rsid w:val="001452BD"/>
    <w:rsid w:val="001452F7"/>
    <w:rsid w:val="001453A3"/>
    <w:rsid w:val="001453FE"/>
    <w:rsid w:val="00145499"/>
    <w:rsid w:val="001454D8"/>
    <w:rsid w:val="0014551F"/>
    <w:rsid w:val="00145596"/>
    <w:rsid w:val="0014560C"/>
    <w:rsid w:val="00145704"/>
    <w:rsid w:val="00145715"/>
    <w:rsid w:val="0014579A"/>
    <w:rsid w:val="001457E5"/>
    <w:rsid w:val="00145965"/>
    <w:rsid w:val="00145A36"/>
    <w:rsid w:val="00145AC0"/>
    <w:rsid w:val="00145ADF"/>
    <w:rsid w:val="00145BFD"/>
    <w:rsid w:val="00145C87"/>
    <w:rsid w:val="00145CB6"/>
    <w:rsid w:val="00145CDD"/>
    <w:rsid w:val="00145DF4"/>
    <w:rsid w:val="00145E06"/>
    <w:rsid w:val="00145EDB"/>
    <w:rsid w:val="00145EE9"/>
    <w:rsid w:val="00145F3F"/>
    <w:rsid w:val="00145FD6"/>
    <w:rsid w:val="00146003"/>
    <w:rsid w:val="0014605D"/>
    <w:rsid w:val="001460A4"/>
    <w:rsid w:val="0014624B"/>
    <w:rsid w:val="00146291"/>
    <w:rsid w:val="001462CD"/>
    <w:rsid w:val="0014631C"/>
    <w:rsid w:val="0014636F"/>
    <w:rsid w:val="001463B3"/>
    <w:rsid w:val="001463DE"/>
    <w:rsid w:val="00146470"/>
    <w:rsid w:val="00146499"/>
    <w:rsid w:val="001464B2"/>
    <w:rsid w:val="001464C4"/>
    <w:rsid w:val="00146511"/>
    <w:rsid w:val="0014655F"/>
    <w:rsid w:val="001465E8"/>
    <w:rsid w:val="00146671"/>
    <w:rsid w:val="00146723"/>
    <w:rsid w:val="00146726"/>
    <w:rsid w:val="001467DD"/>
    <w:rsid w:val="001468D5"/>
    <w:rsid w:val="0014694C"/>
    <w:rsid w:val="0014696E"/>
    <w:rsid w:val="001469D4"/>
    <w:rsid w:val="00146A4E"/>
    <w:rsid w:val="00146A8B"/>
    <w:rsid w:val="00146ACA"/>
    <w:rsid w:val="00146AE0"/>
    <w:rsid w:val="00146B52"/>
    <w:rsid w:val="00146CEC"/>
    <w:rsid w:val="00146D02"/>
    <w:rsid w:val="00146D7F"/>
    <w:rsid w:val="00146DB4"/>
    <w:rsid w:val="00146DF6"/>
    <w:rsid w:val="00146E1E"/>
    <w:rsid w:val="00146E3C"/>
    <w:rsid w:val="0014710A"/>
    <w:rsid w:val="00147152"/>
    <w:rsid w:val="001471D9"/>
    <w:rsid w:val="00147221"/>
    <w:rsid w:val="00147270"/>
    <w:rsid w:val="001472DF"/>
    <w:rsid w:val="00147301"/>
    <w:rsid w:val="001473D2"/>
    <w:rsid w:val="00147419"/>
    <w:rsid w:val="0014749A"/>
    <w:rsid w:val="0014751C"/>
    <w:rsid w:val="001475FE"/>
    <w:rsid w:val="00147638"/>
    <w:rsid w:val="0014764A"/>
    <w:rsid w:val="001478A4"/>
    <w:rsid w:val="00147908"/>
    <w:rsid w:val="001479AD"/>
    <w:rsid w:val="001479E3"/>
    <w:rsid w:val="00147AC2"/>
    <w:rsid w:val="00147B6B"/>
    <w:rsid w:val="00147C3C"/>
    <w:rsid w:val="00147C7A"/>
    <w:rsid w:val="00147D18"/>
    <w:rsid w:val="00147D33"/>
    <w:rsid w:val="00147DB1"/>
    <w:rsid w:val="00147E98"/>
    <w:rsid w:val="00147F3D"/>
    <w:rsid w:val="00150073"/>
    <w:rsid w:val="001501FB"/>
    <w:rsid w:val="001502CF"/>
    <w:rsid w:val="00150308"/>
    <w:rsid w:val="001503E0"/>
    <w:rsid w:val="00150532"/>
    <w:rsid w:val="00150576"/>
    <w:rsid w:val="0015057E"/>
    <w:rsid w:val="0015067C"/>
    <w:rsid w:val="001506B7"/>
    <w:rsid w:val="001507DD"/>
    <w:rsid w:val="00150819"/>
    <w:rsid w:val="00150867"/>
    <w:rsid w:val="001508BC"/>
    <w:rsid w:val="00150A0E"/>
    <w:rsid w:val="00150B15"/>
    <w:rsid w:val="00150BDD"/>
    <w:rsid w:val="00150C59"/>
    <w:rsid w:val="00150CC2"/>
    <w:rsid w:val="00150D07"/>
    <w:rsid w:val="00150D2B"/>
    <w:rsid w:val="00150D85"/>
    <w:rsid w:val="00150E6D"/>
    <w:rsid w:val="00150ED7"/>
    <w:rsid w:val="001510C1"/>
    <w:rsid w:val="0015110F"/>
    <w:rsid w:val="00151214"/>
    <w:rsid w:val="0015125A"/>
    <w:rsid w:val="0015125B"/>
    <w:rsid w:val="0015147E"/>
    <w:rsid w:val="0015148A"/>
    <w:rsid w:val="0015159B"/>
    <w:rsid w:val="001515E5"/>
    <w:rsid w:val="00151625"/>
    <w:rsid w:val="0015169D"/>
    <w:rsid w:val="001517EA"/>
    <w:rsid w:val="001518C1"/>
    <w:rsid w:val="00151933"/>
    <w:rsid w:val="00151947"/>
    <w:rsid w:val="00151987"/>
    <w:rsid w:val="00151A20"/>
    <w:rsid w:val="00151AC9"/>
    <w:rsid w:val="00151B09"/>
    <w:rsid w:val="00151B12"/>
    <w:rsid w:val="00151BA1"/>
    <w:rsid w:val="00151BAC"/>
    <w:rsid w:val="00151C16"/>
    <w:rsid w:val="00151C49"/>
    <w:rsid w:val="00151CF2"/>
    <w:rsid w:val="00151D87"/>
    <w:rsid w:val="00151D95"/>
    <w:rsid w:val="00151DB4"/>
    <w:rsid w:val="00151DCF"/>
    <w:rsid w:val="00151E01"/>
    <w:rsid w:val="00151E30"/>
    <w:rsid w:val="00151E4A"/>
    <w:rsid w:val="0015207E"/>
    <w:rsid w:val="00152139"/>
    <w:rsid w:val="0015220B"/>
    <w:rsid w:val="00152233"/>
    <w:rsid w:val="0015229A"/>
    <w:rsid w:val="001522E7"/>
    <w:rsid w:val="00152358"/>
    <w:rsid w:val="0015239D"/>
    <w:rsid w:val="001524CC"/>
    <w:rsid w:val="00152581"/>
    <w:rsid w:val="00152627"/>
    <w:rsid w:val="001526E6"/>
    <w:rsid w:val="0015282C"/>
    <w:rsid w:val="0015288B"/>
    <w:rsid w:val="00152ABC"/>
    <w:rsid w:val="00152B22"/>
    <w:rsid w:val="00152BD5"/>
    <w:rsid w:val="00152DA3"/>
    <w:rsid w:val="00152DA9"/>
    <w:rsid w:val="00152DD1"/>
    <w:rsid w:val="00152DEA"/>
    <w:rsid w:val="00152E60"/>
    <w:rsid w:val="00152E64"/>
    <w:rsid w:val="00152E75"/>
    <w:rsid w:val="00153048"/>
    <w:rsid w:val="0015312D"/>
    <w:rsid w:val="00153183"/>
    <w:rsid w:val="0015319E"/>
    <w:rsid w:val="001531A7"/>
    <w:rsid w:val="001531B0"/>
    <w:rsid w:val="0015323D"/>
    <w:rsid w:val="001532A2"/>
    <w:rsid w:val="0015331C"/>
    <w:rsid w:val="00153524"/>
    <w:rsid w:val="001536D2"/>
    <w:rsid w:val="001536FF"/>
    <w:rsid w:val="0015370C"/>
    <w:rsid w:val="0015373C"/>
    <w:rsid w:val="001537DE"/>
    <w:rsid w:val="0015399E"/>
    <w:rsid w:val="00153BD8"/>
    <w:rsid w:val="00153C69"/>
    <w:rsid w:val="00153C7B"/>
    <w:rsid w:val="00153DE8"/>
    <w:rsid w:val="00153E0D"/>
    <w:rsid w:val="00153E1F"/>
    <w:rsid w:val="00153F01"/>
    <w:rsid w:val="00153F3C"/>
    <w:rsid w:val="001540C4"/>
    <w:rsid w:val="00154374"/>
    <w:rsid w:val="001543EC"/>
    <w:rsid w:val="00154480"/>
    <w:rsid w:val="0015448E"/>
    <w:rsid w:val="0015449C"/>
    <w:rsid w:val="001545B3"/>
    <w:rsid w:val="001546D0"/>
    <w:rsid w:val="00154704"/>
    <w:rsid w:val="0015472D"/>
    <w:rsid w:val="0015477B"/>
    <w:rsid w:val="00154796"/>
    <w:rsid w:val="001547C3"/>
    <w:rsid w:val="001548A4"/>
    <w:rsid w:val="001548E9"/>
    <w:rsid w:val="00154A1C"/>
    <w:rsid w:val="00154A85"/>
    <w:rsid w:val="00154C5D"/>
    <w:rsid w:val="00154D5F"/>
    <w:rsid w:val="00154D8E"/>
    <w:rsid w:val="00154D96"/>
    <w:rsid w:val="00154D97"/>
    <w:rsid w:val="00154E45"/>
    <w:rsid w:val="0015503D"/>
    <w:rsid w:val="001550FA"/>
    <w:rsid w:val="001551A8"/>
    <w:rsid w:val="001553AF"/>
    <w:rsid w:val="0015542C"/>
    <w:rsid w:val="00155473"/>
    <w:rsid w:val="001554D3"/>
    <w:rsid w:val="00155509"/>
    <w:rsid w:val="0015550F"/>
    <w:rsid w:val="00155585"/>
    <w:rsid w:val="00155762"/>
    <w:rsid w:val="001557AD"/>
    <w:rsid w:val="0015584E"/>
    <w:rsid w:val="00155AFB"/>
    <w:rsid w:val="00155B7C"/>
    <w:rsid w:val="00155EB6"/>
    <w:rsid w:val="00155F1F"/>
    <w:rsid w:val="00155F41"/>
    <w:rsid w:val="00155F53"/>
    <w:rsid w:val="00155F65"/>
    <w:rsid w:val="00155F76"/>
    <w:rsid w:val="00155FCC"/>
    <w:rsid w:val="00156008"/>
    <w:rsid w:val="00156034"/>
    <w:rsid w:val="00156040"/>
    <w:rsid w:val="001561A0"/>
    <w:rsid w:val="001561C0"/>
    <w:rsid w:val="00156255"/>
    <w:rsid w:val="00156338"/>
    <w:rsid w:val="0015643B"/>
    <w:rsid w:val="001564A1"/>
    <w:rsid w:val="001565BB"/>
    <w:rsid w:val="0015660F"/>
    <w:rsid w:val="0015666E"/>
    <w:rsid w:val="00156711"/>
    <w:rsid w:val="00156780"/>
    <w:rsid w:val="00156994"/>
    <w:rsid w:val="00156A5D"/>
    <w:rsid w:val="00156B59"/>
    <w:rsid w:val="00156BBD"/>
    <w:rsid w:val="00156CC3"/>
    <w:rsid w:val="00156D37"/>
    <w:rsid w:val="00156E77"/>
    <w:rsid w:val="00156E9C"/>
    <w:rsid w:val="00156EE4"/>
    <w:rsid w:val="00156F5A"/>
    <w:rsid w:val="00157154"/>
    <w:rsid w:val="001571A8"/>
    <w:rsid w:val="001571AC"/>
    <w:rsid w:val="001571E1"/>
    <w:rsid w:val="001572A6"/>
    <w:rsid w:val="001572F1"/>
    <w:rsid w:val="00157331"/>
    <w:rsid w:val="001574AF"/>
    <w:rsid w:val="001574E8"/>
    <w:rsid w:val="00157635"/>
    <w:rsid w:val="00157649"/>
    <w:rsid w:val="001576CB"/>
    <w:rsid w:val="00157702"/>
    <w:rsid w:val="001578A5"/>
    <w:rsid w:val="001578A6"/>
    <w:rsid w:val="0015791F"/>
    <w:rsid w:val="00157974"/>
    <w:rsid w:val="001579D4"/>
    <w:rsid w:val="00157A8D"/>
    <w:rsid w:val="00157AAB"/>
    <w:rsid w:val="00157B9C"/>
    <w:rsid w:val="00157BF8"/>
    <w:rsid w:val="00157C1F"/>
    <w:rsid w:val="00157D7A"/>
    <w:rsid w:val="00157E95"/>
    <w:rsid w:val="00160093"/>
    <w:rsid w:val="001603C8"/>
    <w:rsid w:val="00160472"/>
    <w:rsid w:val="0016062D"/>
    <w:rsid w:val="00160676"/>
    <w:rsid w:val="001606AF"/>
    <w:rsid w:val="001606DD"/>
    <w:rsid w:val="0016074C"/>
    <w:rsid w:val="00160754"/>
    <w:rsid w:val="00160863"/>
    <w:rsid w:val="0016086E"/>
    <w:rsid w:val="00160F41"/>
    <w:rsid w:val="00160F9D"/>
    <w:rsid w:val="00161024"/>
    <w:rsid w:val="001610F1"/>
    <w:rsid w:val="00161141"/>
    <w:rsid w:val="0016120F"/>
    <w:rsid w:val="00161246"/>
    <w:rsid w:val="001613CB"/>
    <w:rsid w:val="0016143E"/>
    <w:rsid w:val="00161514"/>
    <w:rsid w:val="00161595"/>
    <w:rsid w:val="001615D2"/>
    <w:rsid w:val="001615F1"/>
    <w:rsid w:val="001615F2"/>
    <w:rsid w:val="00161606"/>
    <w:rsid w:val="00161801"/>
    <w:rsid w:val="0016185B"/>
    <w:rsid w:val="00161874"/>
    <w:rsid w:val="00161A13"/>
    <w:rsid w:val="00161A4F"/>
    <w:rsid w:val="00161ADD"/>
    <w:rsid w:val="00161BB4"/>
    <w:rsid w:val="00161E72"/>
    <w:rsid w:val="00161E77"/>
    <w:rsid w:val="00161EB2"/>
    <w:rsid w:val="00161F34"/>
    <w:rsid w:val="00161F6B"/>
    <w:rsid w:val="0016201A"/>
    <w:rsid w:val="001620B2"/>
    <w:rsid w:val="00162114"/>
    <w:rsid w:val="00162190"/>
    <w:rsid w:val="00162268"/>
    <w:rsid w:val="0016231E"/>
    <w:rsid w:val="00162444"/>
    <w:rsid w:val="00162625"/>
    <w:rsid w:val="0016266C"/>
    <w:rsid w:val="001626FB"/>
    <w:rsid w:val="00162702"/>
    <w:rsid w:val="001627A5"/>
    <w:rsid w:val="001627DB"/>
    <w:rsid w:val="001627F0"/>
    <w:rsid w:val="00162A81"/>
    <w:rsid w:val="00162A9F"/>
    <w:rsid w:val="00162B9A"/>
    <w:rsid w:val="00162BCF"/>
    <w:rsid w:val="00162C8A"/>
    <w:rsid w:val="00162D4C"/>
    <w:rsid w:val="00162E6C"/>
    <w:rsid w:val="001630AC"/>
    <w:rsid w:val="00163128"/>
    <w:rsid w:val="0016320F"/>
    <w:rsid w:val="001632A9"/>
    <w:rsid w:val="001632B9"/>
    <w:rsid w:val="00163338"/>
    <w:rsid w:val="00163354"/>
    <w:rsid w:val="001633D4"/>
    <w:rsid w:val="00163455"/>
    <w:rsid w:val="001636AD"/>
    <w:rsid w:val="0016376F"/>
    <w:rsid w:val="001639E5"/>
    <w:rsid w:val="00163AA0"/>
    <w:rsid w:val="00163AB9"/>
    <w:rsid w:val="00163B1B"/>
    <w:rsid w:val="00163C2E"/>
    <w:rsid w:val="00163C65"/>
    <w:rsid w:val="00163E57"/>
    <w:rsid w:val="00163E5F"/>
    <w:rsid w:val="00163F9D"/>
    <w:rsid w:val="0016406D"/>
    <w:rsid w:val="001640E3"/>
    <w:rsid w:val="001640FA"/>
    <w:rsid w:val="00164184"/>
    <w:rsid w:val="001641A1"/>
    <w:rsid w:val="00164211"/>
    <w:rsid w:val="00164244"/>
    <w:rsid w:val="0016427C"/>
    <w:rsid w:val="00164345"/>
    <w:rsid w:val="0016436A"/>
    <w:rsid w:val="00164398"/>
    <w:rsid w:val="00164407"/>
    <w:rsid w:val="001644B1"/>
    <w:rsid w:val="0016453C"/>
    <w:rsid w:val="001645C9"/>
    <w:rsid w:val="0016464E"/>
    <w:rsid w:val="001646B7"/>
    <w:rsid w:val="0016477B"/>
    <w:rsid w:val="001647DB"/>
    <w:rsid w:val="0016484C"/>
    <w:rsid w:val="00164866"/>
    <w:rsid w:val="00164871"/>
    <w:rsid w:val="001648DD"/>
    <w:rsid w:val="001649EA"/>
    <w:rsid w:val="00164A09"/>
    <w:rsid w:val="00164A0C"/>
    <w:rsid w:val="00164A87"/>
    <w:rsid w:val="00164B40"/>
    <w:rsid w:val="00164B83"/>
    <w:rsid w:val="00164C4E"/>
    <w:rsid w:val="00164DCF"/>
    <w:rsid w:val="00164EC6"/>
    <w:rsid w:val="00165042"/>
    <w:rsid w:val="00165180"/>
    <w:rsid w:val="00165185"/>
    <w:rsid w:val="001651D6"/>
    <w:rsid w:val="00165202"/>
    <w:rsid w:val="0016544F"/>
    <w:rsid w:val="001654AF"/>
    <w:rsid w:val="001654E5"/>
    <w:rsid w:val="00165544"/>
    <w:rsid w:val="001655A9"/>
    <w:rsid w:val="00165667"/>
    <w:rsid w:val="00165668"/>
    <w:rsid w:val="001656AC"/>
    <w:rsid w:val="00165731"/>
    <w:rsid w:val="00165736"/>
    <w:rsid w:val="00165787"/>
    <w:rsid w:val="00165811"/>
    <w:rsid w:val="0016585D"/>
    <w:rsid w:val="001658B9"/>
    <w:rsid w:val="00165A10"/>
    <w:rsid w:val="00165A8D"/>
    <w:rsid w:val="00165A8E"/>
    <w:rsid w:val="00165B41"/>
    <w:rsid w:val="00165B59"/>
    <w:rsid w:val="00165B66"/>
    <w:rsid w:val="00165C42"/>
    <w:rsid w:val="00165C89"/>
    <w:rsid w:val="00165CC5"/>
    <w:rsid w:val="00165D0E"/>
    <w:rsid w:val="00165D4C"/>
    <w:rsid w:val="00165E81"/>
    <w:rsid w:val="00166147"/>
    <w:rsid w:val="001661DA"/>
    <w:rsid w:val="00166257"/>
    <w:rsid w:val="001663E7"/>
    <w:rsid w:val="001664C1"/>
    <w:rsid w:val="00166515"/>
    <w:rsid w:val="001665E6"/>
    <w:rsid w:val="00166788"/>
    <w:rsid w:val="001668F4"/>
    <w:rsid w:val="0016692E"/>
    <w:rsid w:val="00166A05"/>
    <w:rsid w:val="00166A2C"/>
    <w:rsid w:val="00166A2F"/>
    <w:rsid w:val="00166AEE"/>
    <w:rsid w:val="00166AF4"/>
    <w:rsid w:val="00166B98"/>
    <w:rsid w:val="00166C1A"/>
    <w:rsid w:val="00166C9F"/>
    <w:rsid w:val="00166CEB"/>
    <w:rsid w:val="00166E2F"/>
    <w:rsid w:val="00166F01"/>
    <w:rsid w:val="00166F3D"/>
    <w:rsid w:val="001670B0"/>
    <w:rsid w:val="001670EB"/>
    <w:rsid w:val="00167225"/>
    <w:rsid w:val="0016723C"/>
    <w:rsid w:val="0016727D"/>
    <w:rsid w:val="0016730C"/>
    <w:rsid w:val="0016737A"/>
    <w:rsid w:val="001673B3"/>
    <w:rsid w:val="001673E3"/>
    <w:rsid w:val="00167415"/>
    <w:rsid w:val="00167425"/>
    <w:rsid w:val="0016754D"/>
    <w:rsid w:val="00167645"/>
    <w:rsid w:val="0016764F"/>
    <w:rsid w:val="0016770F"/>
    <w:rsid w:val="00167713"/>
    <w:rsid w:val="00167729"/>
    <w:rsid w:val="001677CA"/>
    <w:rsid w:val="00167832"/>
    <w:rsid w:val="00167B0D"/>
    <w:rsid w:val="00167BDD"/>
    <w:rsid w:val="00167CEF"/>
    <w:rsid w:val="00167D46"/>
    <w:rsid w:val="00167E0F"/>
    <w:rsid w:val="00167E56"/>
    <w:rsid w:val="00167EF8"/>
    <w:rsid w:val="00167F3E"/>
    <w:rsid w:val="00170014"/>
    <w:rsid w:val="0017022B"/>
    <w:rsid w:val="001704CF"/>
    <w:rsid w:val="001706AE"/>
    <w:rsid w:val="00170747"/>
    <w:rsid w:val="0017075D"/>
    <w:rsid w:val="00170776"/>
    <w:rsid w:val="00170900"/>
    <w:rsid w:val="0017091C"/>
    <w:rsid w:val="00170A14"/>
    <w:rsid w:val="00170A34"/>
    <w:rsid w:val="00170AC2"/>
    <w:rsid w:val="00170B28"/>
    <w:rsid w:val="00170C25"/>
    <w:rsid w:val="00170CA4"/>
    <w:rsid w:val="00170CD2"/>
    <w:rsid w:val="00170DFE"/>
    <w:rsid w:val="00170E58"/>
    <w:rsid w:val="00170E77"/>
    <w:rsid w:val="00170EA5"/>
    <w:rsid w:val="00170EAF"/>
    <w:rsid w:val="00170F59"/>
    <w:rsid w:val="00170FB2"/>
    <w:rsid w:val="0017116E"/>
    <w:rsid w:val="00171197"/>
    <w:rsid w:val="00171289"/>
    <w:rsid w:val="0017141B"/>
    <w:rsid w:val="001714BC"/>
    <w:rsid w:val="001714C0"/>
    <w:rsid w:val="001714D3"/>
    <w:rsid w:val="001714D5"/>
    <w:rsid w:val="00171599"/>
    <w:rsid w:val="001716FB"/>
    <w:rsid w:val="001719A8"/>
    <w:rsid w:val="00171A1D"/>
    <w:rsid w:val="00171BB7"/>
    <w:rsid w:val="00171BE7"/>
    <w:rsid w:val="00171C02"/>
    <w:rsid w:val="00171C73"/>
    <w:rsid w:val="00171CBA"/>
    <w:rsid w:val="00171CEA"/>
    <w:rsid w:val="00171EBD"/>
    <w:rsid w:val="00171ED8"/>
    <w:rsid w:val="00171F18"/>
    <w:rsid w:val="001720A7"/>
    <w:rsid w:val="001722D4"/>
    <w:rsid w:val="001722FC"/>
    <w:rsid w:val="00172347"/>
    <w:rsid w:val="0017237F"/>
    <w:rsid w:val="001726DD"/>
    <w:rsid w:val="0017270D"/>
    <w:rsid w:val="00172878"/>
    <w:rsid w:val="001728DB"/>
    <w:rsid w:val="00172B3B"/>
    <w:rsid w:val="00172BEB"/>
    <w:rsid w:val="00172C7B"/>
    <w:rsid w:val="00172E55"/>
    <w:rsid w:val="00172F6F"/>
    <w:rsid w:val="00172F9D"/>
    <w:rsid w:val="0017311C"/>
    <w:rsid w:val="00173357"/>
    <w:rsid w:val="00173432"/>
    <w:rsid w:val="00173483"/>
    <w:rsid w:val="001734AD"/>
    <w:rsid w:val="00173521"/>
    <w:rsid w:val="00173531"/>
    <w:rsid w:val="001737DC"/>
    <w:rsid w:val="001738F6"/>
    <w:rsid w:val="0017392A"/>
    <w:rsid w:val="00173A14"/>
    <w:rsid w:val="00173A4D"/>
    <w:rsid w:val="00173A74"/>
    <w:rsid w:val="00173B28"/>
    <w:rsid w:val="00173B64"/>
    <w:rsid w:val="00173DC3"/>
    <w:rsid w:val="00173E7A"/>
    <w:rsid w:val="00173EEA"/>
    <w:rsid w:val="00173F89"/>
    <w:rsid w:val="00173FC1"/>
    <w:rsid w:val="001740D4"/>
    <w:rsid w:val="0017410C"/>
    <w:rsid w:val="001741D4"/>
    <w:rsid w:val="0017420B"/>
    <w:rsid w:val="001742FE"/>
    <w:rsid w:val="00174355"/>
    <w:rsid w:val="00174432"/>
    <w:rsid w:val="001744BF"/>
    <w:rsid w:val="0017453A"/>
    <w:rsid w:val="00174579"/>
    <w:rsid w:val="001745B8"/>
    <w:rsid w:val="0017469E"/>
    <w:rsid w:val="0017471E"/>
    <w:rsid w:val="0017479F"/>
    <w:rsid w:val="00174808"/>
    <w:rsid w:val="0017482E"/>
    <w:rsid w:val="001748A8"/>
    <w:rsid w:val="001748C5"/>
    <w:rsid w:val="001748F3"/>
    <w:rsid w:val="0017491B"/>
    <w:rsid w:val="00174949"/>
    <w:rsid w:val="001749E8"/>
    <w:rsid w:val="00174A8B"/>
    <w:rsid w:val="00174A8C"/>
    <w:rsid w:val="00174DB5"/>
    <w:rsid w:val="00174FCC"/>
    <w:rsid w:val="00175009"/>
    <w:rsid w:val="00175071"/>
    <w:rsid w:val="001750B5"/>
    <w:rsid w:val="0017519F"/>
    <w:rsid w:val="001751C1"/>
    <w:rsid w:val="00175255"/>
    <w:rsid w:val="0017527A"/>
    <w:rsid w:val="0017531F"/>
    <w:rsid w:val="0017532C"/>
    <w:rsid w:val="00175331"/>
    <w:rsid w:val="0017535B"/>
    <w:rsid w:val="0017548A"/>
    <w:rsid w:val="001754D5"/>
    <w:rsid w:val="00175536"/>
    <w:rsid w:val="00175583"/>
    <w:rsid w:val="00175895"/>
    <w:rsid w:val="00175A73"/>
    <w:rsid w:val="00175B55"/>
    <w:rsid w:val="00175BE9"/>
    <w:rsid w:val="00175C1F"/>
    <w:rsid w:val="00175CE1"/>
    <w:rsid w:val="00175DE2"/>
    <w:rsid w:val="00175DEF"/>
    <w:rsid w:val="00175E85"/>
    <w:rsid w:val="00175ED4"/>
    <w:rsid w:val="00175FE1"/>
    <w:rsid w:val="00176131"/>
    <w:rsid w:val="001761F0"/>
    <w:rsid w:val="0017626E"/>
    <w:rsid w:val="00176286"/>
    <w:rsid w:val="001762D4"/>
    <w:rsid w:val="00176366"/>
    <w:rsid w:val="001763B1"/>
    <w:rsid w:val="001763BB"/>
    <w:rsid w:val="00176424"/>
    <w:rsid w:val="001764CD"/>
    <w:rsid w:val="0017650C"/>
    <w:rsid w:val="0017654C"/>
    <w:rsid w:val="001765D6"/>
    <w:rsid w:val="0017674C"/>
    <w:rsid w:val="0017676A"/>
    <w:rsid w:val="001768C1"/>
    <w:rsid w:val="00176986"/>
    <w:rsid w:val="0017699E"/>
    <w:rsid w:val="00176A04"/>
    <w:rsid w:val="00176A69"/>
    <w:rsid w:val="00176AB5"/>
    <w:rsid w:val="00176ABD"/>
    <w:rsid w:val="00176AE1"/>
    <w:rsid w:val="00176B38"/>
    <w:rsid w:val="00176B41"/>
    <w:rsid w:val="00176B61"/>
    <w:rsid w:val="00176BBA"/>
    <w:rsid w:val="00176C07"/>
    <w:rsid w:val="00176C2F"/>
    <w:rsid w:val="00176CBF"/>
    <w:rsid w:val="00176D29"/>
    <w:rsid w:val="00176D9D"/>
    <w:rsid w:val="00176DED"/>
    <w:rsid w:val="00176EC0"/>
    <w:rsid w:val="00176EDB"/>
    <w:rsid w:val="00176F8D"/>
    <w:rsid w:val="00176FEF"/>
    <w:rsid w:val="00177065"/>
    <w:rsid w:val="00177067"/>
    <w:rsid w:val="001770BA"/>
    <w:rsid w:val="0017716B"/>
    <w:rsid w:val="0017727C"/>
    <w:rsid w:val="00177471"/>
    <w:rsid w:val="001774EA"/>
    <w:rsid w:val="0017764D"/>
    <w:rsid w:val="00177924"/>
    <w:rsid w:val="00177973"/>
    <w:rsid w:val="00177988"/>
    <w:rsid w:val="00177B1A"/>
    <w:rsid w:val="00177D06"/>
    <w:rsid w:val="00177D31"/>
    <w:rsid w:val="00177EB9"/>
    <w:rsid w:val="00177FC5"/>
    <w:rsid w:val="00180006"/>
    <w:rsid w:val="0018001A"/>
    <w:rsid w:val="00180085"/>
    <w:rsid w:val="001800E9"/>
    <w:rsid w:val="0018011E"/>
    <w:rsid w:val="00180165"/>
    <w:rsid w:val="001801CF"/>
    <w:rsid w:val="001801E2"/>
    <w:rsid w:val="001801FE"/>
    <w:rsid w:val="00180218"/>
    <w:rsid w:val="0018027F"/>
    <w:rsid w:val="001802C5"/>
    <w:rsid w:val="00180399"/>
    <w:rsid w:val="001804AA"/>
    <w:rsid w:val="00180707"/>
    <w:rsid w:val="00180728"/>
    <w:rsid w:val="00180823"/>
    <w:rsid w:val="0018084F"/>
    <w:rsid w:val="00180966"/>
    <w:rsid w:val="001809E6"/>
    <w:rsid w:val="00180A19"/>
    <w:rsid w:val="00180AF0"/>
    <w:rsid w:val="00180B2F"/>
    <w:rsid w:val="00180BB6"/>
    <w:rsid w:val="00180C35"/>
    <w:rsid w:val="00180D84"/>
    <w:rsid w:val="00180E1B"/>
    <w:rsid w:val="00180E37"/>
    <w:rsid w:val="0018107F"/>
    <w:rsid w:val="0018124A"/>
    <w:rsid w:val="0018133D"/>
    <w:rsid w:val="0018134B"/>
    <w:rsid w:val="001814E1"/>
    <w:rsid w:val="00181631"/>
    <w:rsid w:val="00181646"/>
    <w:rsid w:val="00181705"/>
    <w:rsid w:val="0018179C"/>
    <w:rsid w:val="0018185B"/>
    <w:rsid w:val="001818E0"/>
    <w:rsid w:val="00181915"/>
    <w:rsid w:val="00181AE7"/>
    <w:rsid w:val="00181B60"/>
    <w:rsid w:val="00181B81"/>
    <w:rsid w:val="00181BC2"/>
    <w:rsid w:val="00181C01"/>
    <w:rsid w:val="00181C16"/>
    <w:rsid w:val="00181CA6"/>
    <w:rsid w:val="00181DC5"/>
    <w:rsid w:val="00181DCB"/>
    <w:rsid w:val="00181EB7"/>
    <w:rsid w:val="00181FD9"/>
    <w:rsid w:val="00182009"/>
    <w:rsid w:val="001821A5"/>
    <w:rsid w:val="0018220B"/>
    <w:rsid w:val="00182286"/>
    <w:rsid w:val="0018229D"/>
    <w:rsid w:val="001822F4"/>
    <w:rsid w:val="00182369"/>
    <w:rsid w:val="001823AC"/>
    <w:rsid w:val="001823B9"/>
    <w:rsid w:val="001823EF"/>
    <w:rsid w:val="00182651"/>
    <w:rsid w:val="0018276B"/>
    <w:rsid w:val="00182828"/>
    <w:rsid w:val="001828C6"/>
    <w:rsid w:val="00182965"/>
    <w:rsid w:val="00182969"/>
    <w:rsid w:val="001829BE"/>
    <w:rsid w:val="00182A1B"/>
    <w:rsid w:val="00182A36"/>
    <w:rsid w:val="00182BA6"/>
    <w:rsid w:val="00182BC6"/>
    <w:rsid w:val="00182D46"/>
    <w:rsid w:val="00182E77"/>
    <w:rsid w:val="00182F6A"/>
    <w:rsid w:val="00182F79"/>
    <w:rsid w:val="00183023"/>
    <w:rsid w:val="00183062"/>
    <w:rsid w:val="00183100"/>
    <w:rsid w:val="00183154"/>
    <w:rsid w:val="0018317D"/>
    <w:rsid w:val="001831C8"/>
    <w:rsid w:val="001831D1"/>
    <w:rsid w:val="001831F8"/>
    <w:rsid w:val="00183296"/>
    <w:rsid w:val="00183342"/>
    <w:rsid w:val="0018338F"/>
    <w:rsid w:val="0018348E"/>
    <w:rsid w:val="001834AA"/>
    <w:rsid w:val="001835F8"/>
    <w:rsid w:val="0018372A"/>
    <w:rsid w:val="0018385A"/>
    <w:rsid w:val="001838D3"/>
    <w:rsid w:val="00183A72"/>
    <w:rsid w:val="00183B07"/>
    <w:rsid w:val="00183B1C"/>
    <w:rsid w:val="00183B64"/>
    <w:rsid w:val="00183C55"/>
    <w:rsid w:val="00183CCD"/>
    <w:rsid w:val="00183D2E"/>
    <w:rsid w:val="00183E57"/>
    <w:rsid w:val="00183EF2"/>
    <w:rsid w:val="00183FA7"/>
    <w:rsid w:val="00184040"/>
    <w:rsid w:val="00184070"/>
    <w:rsid w:val="0018415B"/>
    <w:rsid w:val="0018416D"/>
    <w:rsid w:val="00184272"/>
    <w:rsid w:val="00184336"/>
    <w:rsid w:val="001843E0"/>
    <w:rsid w:val="001843F5"/>
    <w:rsid w:val="0018442F"/>
    <w:rsid w:val="0018451E"/>
    <w:rsid w:val="00184527"/>
    <w:rsid w:val="00184718"/>
    <w:rsid w:val="001847FB"/>
    <w:rsid w:val="00184870"/>
    <w:rsid w:val="0018488E"/>
    <w:rsid w:val="00184904"/>
    <w:rsid w:val="00184955"/>
    <w:rsid w:val="001849EA"/>
    <w:rsid w:val="00184A01"/>
    <w:rsid w:val="00184B09"/>
    <w:rsid w:val="00184B29"/>
    <w:rsid w:val="00184C0B"/>
    <w:rsid w:val="00184C19"/>
    <w:rsid w:val="00184CE1"/>
    <w:rsid w:val="00184DEE"/>
    <w:rsid w:val="00184DFF"/>
    <w:rsid w:val="00184EE2"/>
    <w:rsid w:val="00184F82"/>
    <w:rsid w:val="001850B0"/>
    <w:rsid w:val="00185110"/>
    <w:rsid w:val="001851C6"/>
    <w:rsid w:val="00185280"/>
    <w:rsid w:val="001854BB"/>
    <w:rsid w:val="00185530"/>
    <w:rsid w:val="00185762"/>
    <w:rsid w:val="0018590E"/>
    <w:rsid w:val="00185AC0"/>
    <w:rsid w:val="00185AEB"/>
    <w:rsid w:val="00185B11"/>
    <w:rsid w:val="00185C5F"/>
    <w:rsid w:val="00185CEC"/>
    <w:rsid w:val="00185D08"/>
    <w:rsid w:val="00185D3A"/>
    <w:rsid w:val="00185DEA"/>
    <w:rsid w:val="00185E81"/>
    <w:rsid w:val="00185EB8"/>
    <w:rsid w:val="00185F44"/>
    <w:rsid w:val="00185F9D"/>
    <w:rsid w:val="00185FEE"/>
    <w:rsid w:val="001860D9"/>
    <w:rsid w:val="001861F6"/>
    <w:rsid w:val="001862AE"/>
    <w:rsid w:val="00186337"/>
    <w:rsid w:val="0018633A"/>
    <w:rsid w:val="00186358"/>
    <w:rsid w:val="001863E0"/>
    <w:rsid w:val="001863E9"/>
    <w:rsid w:val="0018649C"/>
    <w:rsid w:val="001864A1"/>
    <w:rsid w:val="001864A5"/>
    <w:rsid w:val="0018667F"/>
    <w:rsid w:val="001866DB"/>
    <w:rsid w:val="001866F8"/>
    <w:rsid w:val="001867AE"/>
    <w:rsid w:val="00186864"/>
    <w:rsid w:val="001868A6"/>
    <w:rsid w:val="00186A22"/>
    <w:rsid w:val="00186A80"/>
    <w:rsid w:val="00186AAD"/>
    <w:rsid w:val="00186AC2"/>
    <w:rsid w:val="00186BE4"/>
    <w:rsid w:val="00186C88"/>
    <w:rsid w:val="00186CC0"/>
    <w:rsid w:val="00186DF1"/>
    <w:rsid w:val="00186FCA"/>
    <w:rsid w:val="00187092"/>
    <w:rsid w:val="00187164"/>
    <w:rsid w:val="00187293"/>
    <w:rsid w:val="001872D1"/>
    <w:rsid w:val="00187353"/>
    <w:rsid w:val="001873B2"/>
    <w:rsid w:val="0018745A"/>
    <w:rsid w:val="001874E2"/>
    <w:rsid w:val="00187546"/>
    <w:rsid w:val="00187585"/>
    <w:rsid w:val="00187683"/>
    <w:rsid w:val="001876D6"/>
    <w:rsid w:val="00187749"/>
    <w:rsid w:val="0018776F"/>
    <w:rsid w:val="0018777D"/>
    <w:rsid w:val="0018779B"/>
    <w:rsid w:val="00187834"/>
    <w:rsid w:val="0018788F"/>
    <w:rsid w:val="00187922"/>
    <w:rsid w:val="001879C6"/>
    <w:rsid w:val="001879ED"/>
    <w:rsid w:val="00187A1E"/>
    <w:rsid w:val="00187B92"/>
    <w:rsid w:val="00187C05"/>
    <w:rsid w:val="00187D09"/>
    <w:rsid w:val="00187D3F"/>
    <w:rsid w:val="00187E26"/>
    <w:rsid w:val="00187E79"/>
    <w:rsid w:val="00187ECA"/>
    <w:rsid w:val="00190191"/>
    <w:rsid w:val="001902D5"/>
    <w:rsid w:val="001902DE"/>
    <w:rsid w:val="001903BE"/>
    <w:rsid w:val="0019046C"/>
    <w:rsid w:val="00190474"/>
    <w:rsid w:val="00190576"/>
    <w:rsid w:val="00190652"/>
    <w:rsid w:val="001906D5"/>
    <w:rsid w:val="00190704"/>
    <w:rsid w:val="0019070A"/>
    <w:rsid w:val="001907B4"/>
    <w:rsid w:val="001907F4"/>
    <w:rsid w:val="00190A69"/>
    <w:rsid w:val="00190A6E"/>
    <w:rsid w:val="00190B1C"/>
    <w:rsid w:val="00190B47"/>
    <w:rsid w:val="00190C10"/>
    <w:rsid w:val="00190D27"/>
    <w:rsid w:val="00190D55"/>
    <w:rsid w:val="00190DC5"/>
    <w:rsid w:val="00190E5E"/>
    <w:rsid w:val="00190E71"/>
    <w:rsid w:val="00190F15"/>
    <w:rsid w:val="00190F31"/>
    <w:rsid w:val="00190FF8"/>
    <w:rsid w:val="00191033"/>
    <w:rsid w:val="0019104A"/>
    <w:rsid w:val="0019107E"/>
    <w:rsid w:val="00191089"/>
    <w:rsid w:val="001910E1"/>
    <w:rsid w:val="001910E8"/>
    <w:rsid w:val="001910EA"/>
    <w:rsid w:val="001910F9"/>
    <w:rsid w:val="00191157"/>
    <w:rsid w:val="001911AA"/>
    <w:rsid w:val="001913FF"/>
    <w:rsid w:val="0019154A"/>
    <w:rsid w:val="00191616"/>
    <w:rsid w:val="00191749"/>
    <w:rsid w:val="001917BC"/>
    <w:rsid w:val="001918A4"/>
    <w:rsid w:val="00191915"/>
    <w:rsid w:val="00191952"/>
    <w:rsid w:val="001919EE"/>
    <w:rsid w:val="00191A1A"/>
    <w:rsid w:val="00191A28"/>
    <w:rsid w:val="00191A2B"/>
    <w:rsid w:val="00191AB0"/>
    <w:rsid w:val="00191ACE"/>
    <w:rsid w:val="00191C21"/>
    <w:rsid w:val="00191DA8"/>
    <w:rsid w:val="00191DB5"/>
    <w:rsid w:val="00191E11"/>
    <w:rsid w:val="00191E41"/>
    <w:rsid w:val="00191ECD"/>
    <w:rsid w:val="00191F82"/>
    <w:rsid w:val="00192048"/>
    <w:rsid w:val="001921E8"/>
    <w:rsid w:val="00192273"/>
    <w:rsid w:val="0019229C"/>
    <w:rsid w:val="001922EE"/>
    <w:rsid w:val="00192317"/>
    <w:rsid w:val="001923AC"/>
    <w:rsid w:val="00192468"/>
    <w:rsid w:val="00192554"/>
    <w:rsid w:val="0019257D"/>
    <w:rsid w:val="00192588"/>
    <w:rsid w:val="001926A6"/>
    <w:rsid w:val="0019282E"/>
    <w:rsid w:val="001928AA"/>
    <w:rsid w:val="001928BE"/>
    <w:rsid w:val="00192907"/>
    <w:rsid w:val="00192994"/>
    <w:rsid w:val="00192A07"/>
    <w:rsid w:val="00192BB0"/>
    <w:rsid w:val="00192BC8"/>
    <w:rsid w:val="00192C3E"/>
    <w:rsid w:val="00192C79"/>
    <w:rsid w:val="00192C7B"/>
    <w:rsid w:val="00192CF9"/>
    <w:rsid w:val="00192D28"/>
    <w:rsid w:val="00192E55"/>
    <w:rsid w:val="00192F56"/>
    <w:rsid w:val="0019306F"/>
    <w:rsid w:val="001930BE"/>
    <w:rsid w:val="0019326C"/>
    <w:rsid w:val="0019331A"/>
    <w:rsid w:val="00193435"/>
    <w:rsid w:val="00193510"/>
    <w:rsid w:val="0019361C"/>
    <w:rsid w:val="00193707"/>
    <w:rsid w:val="0019371C"/>
    <w:rsid w:val="00193727"/>
    <w:rsid w:val="0019377A"/>
    <w:rsid w:val="001937A5"/>
    <w:rsid w:val="001937CF"/>
    <w:rsid w:val="001938FE"/>
    <w:rsid w:val="00193A11"/>
    <w:rsid w:val="00193AB1"/>
    <w:rsid w:val="00193AB4"/>
    <w:rsid w:val="00193ABD"/>
    <w:rsid w:val="00193B23"/>
    <w:rsid w:val="00193B35"/>
    <w:rsid w:val="00193B4C"/>
    <w:rsid w:val="00193B83"/>
    <w:rsid w:val="00193BBE"/>
    <w:rsid w:val="00193CF3"/>
    <w:rsid w:val="00193E52"/>
    <w:rsid w:val="00193EEF"/>
    <w:rsid w:val="00193FB1"/>
    <w:rsid w:val="0019422A"/>
    <w:rsid w:val="001942FA"/>
    <w:rsid w:val="00194528"/>
    <w:rsid w:val="0019457A"/>
    <w:rsid w:val="001945F4"/>
    <w:rsid w:val="0019466A"/>
    <w:rsid w:val="001946D7"/>
    <w:rsid w:val="001946E6"/>
    <w:rsid w:val="00194723"/>
    <w:rsid w:val="00194796"/>
    <w:rsid w:val="001947B2"/>
    <w:rsid w:val="0019483E"/>
    <w:rsid w:val="001948CD"/>
    <w:rsid w:val="00194975"/>
    <w:rsid w:val="001949A7"/>
    <w:rsid w:val="00194BB9"/>
    <w:rsid w:val="00194BC8"/>
    <w:rsid w:val="00194C4A"/>
    <w:rsid w:val="00194C6D"/>
    <w:rsid w:val="00194D59"/>
    <w:rsid w:val="00194D5E"/>
    <w:rsid w:val="00194D77"/>
    <w:rsid w:val="00194D93"/>
    <w:rsid w:val="00194DBC"/>
    <w:rsid w:val="00195058"/>
    <w:rsid w:val="00195072"/>
    <w:rsid w:val="0019508D"/>
    <w:rsid w:val="00195094"/>
    <w:rsid w:val="001950F0"/>
    <w:rsid w:val="00195117"/>
    <w:rsid w:val="00195276"/>
    <w:rsid w:val="001952E4"/>
    <w:rsid w:val="0019532D"/>
    <w:rsid w:val="0019538B"/>
    <w:rsid w:val="001953A0"/>
    <w:rsid w:val="00195410"/>
    <w:rsid w:val="00195437"/>
    <w:rsid w:val="0019546A"/>
    <w:rsid w:val="001954B0"/>
    <w:rsid w:val="001954B6"/>
    <w:rsid w:val="00195535"/>
    <w:rsid w:val="0019553C"/>
    <w:rsid w:val="001956A7"/>
    <w:rsid w:val="0019572C"/>
    <w:rsid w:val="00195739"/>
    <w:rsid w:val="00195795"/>
    <w:rsid w:val="0019581F"/>
    <w:rsid w:val="0019583C"/>
    <w:rsid w:val="00195851"/>
    <w:rsid w:val="001958B4"/>
    <w:rsid w:val="00195B48"/>
    <w:rsid w:val="00195B77"/>
    <w:rsid w:val="00195C4C"/>
    <w:rsid w:val="00195D5E"/>
    <w:rsid w:val="00195E49"/>
    <w:rsid w:val="00195E90"/>
    <w:rsid w:val="00196259"/>
    <w:rsid w:val="001962DF"/>
    <w:rsid w:val="001963F9"/>
    <w:rsid w:val="0019647F"/>
    <w:rsid w:val="001964A8"/>
    <w:rsid w:val="001964F8"/>
    <w:rsid w:val="0019659D"/>
    <w:rsid w:val="001966BE"/>
    <w:rsid w:val="00196813"/>
    <w:rsid w:val="00196838"/>
    <w:rsid w:val="001969F8"/>
    <w:rsid w:val="00196A7E"/>
    <w:rsid w:val="00196B7B"/>
    <w:rsid w:val="00196BB9"/>
    <w:rsid w:val="00196BBA"/>
    <w:rsid w:val="00196BBC"/>
    <w:rsid w:val="00196C94"/>
    <w:rsid w:val="00196CC8"/>
    <w:rsid w:val="00196D7D"/>
    <w:rsid w:val="00196ED1"/>
    <w:rsid w:val="00196ED4"/>
    <w:rsid w:val="00196FF8"/>
    <w:rsid w:val="0019707A"/>
    <w:rsid w:val="001970BB"/>
    <w:rsid w:val="0019710C"/>
    <w:rsid w:val="001972BE"/>
    <w:rsid w:val="001973D2"/>
    <w:rsid w:val="0019748F"/>
    <w:rsid w:val="001974EE"/>
    <w:rsid w:val="001975C3"/>
    <w:rsid w:val="00197605"/>
    <w:rsid w:val="0019765F"/>
    <w:rsid w:val="00197685"/>
    <w:rsid w:val="001976D0"/>
    <w:rsid w:val="00197714"/>
    <w:rsid w:val="001977D6"/>
    <w:rsid w:val="0019782A"/>
    <w:rsid w:val="0019785A"/>
    <w:rsid w:val="001978C8"/>
    <w:rsid w:val="0019797A"/>
    <w:rsid w:val="001979D2"/>
    <w:rsid w:val="001979E9"/>
    <w:rsid w:val="00197B6C"/>
    <w:rsid w:val="00197B7C"/>
    <w:rsid w:val="00197C2C"/>
    <w:rsid w:val="00197C2D"/>
    <w:rsid w:val="00197C33"/>
    <w:rsid w:val="00197C58"/>
    <w:rsid w:val="00197C7E"/>
    <w:rsid w:val="00197CDD"/>
    <w:rsid w:val="00197EBB"/>
    <w:rsid w:val="00197EE3"/>
    <w:rsid w:val="001A0175"/>
    <w:rsid w:val="001A024A"/>
    <w:rsid w:val="001A03E9"/>
    <w:rsid w:val="001A0408"/>
    <w:rsid w:val="001A04AB"/>
    <w:rsid w:val="001A050E"/>
    <w:rsid w:val="001A0634"/>
    <w:rsid w:val="001A06A9"/>
    <w:rsid w:val="001A0747"/>
    <w:rsid w:val="001A0840"/>
    <w:rsid w:val="001A0914"/>
    <w:rsid w:val="001A0934"/>
    <w:rsid w:val="001A0A97"/>
    <w:rsid w:val="001A0A9F"/>
    <w:rsid w:val="001A0AE4"/>
    <w:rsid w:val="001A0AFD"/>
    <w:rsid w:val="001A0BBB"/>
    <w:rsid w:val="001A0BD8"/>
    <w:rsid w:val="001A0BE0"/>
    <w:rsid w:val="001A0BE2"/>
    <w:rsid w:val="001A0C29"/>
    <w:rsid w:val="001A0D83"/>
    <w:rsid w:val="001A0DAE"/>
    <w:rsid w:val="001A0F28"/>
    <w:rsid w:val="001A0F34"/>
    <w:rsid w:val="001A0F42"/>
    <w:rsid w:val="001A1039"/>
    <w:rsid w:val="001A107E"/>
    <w:rsid w:val="001A126C"/>
    <w:rsid w:val="001A1338"/>
    <w:rsid w:val="001A134D"/>
    <w:rsid w:val="001A13A1"/>
    <w:rsid w:val="001A1585"/>
    <w:rsid w:val="001A17DD"/>
    <w:rsid w:val="001A185B"/>
    <w:rsid w:val="001A1999"/>
    <w:rsid w:val="001A1A4F"/>
    <w:rsid w:val="001A1B0F"/>
    <w:rsid w:val="001A1B2F"/>
    <w:rsid w:val="001A1B3F"/>
    <w:rsid w:val="001A1B55"/>
    <w:rsid w:val="001A1CEA"/>
    <w:rsid w:val="001A1D4E"/>
    <w:rsid w:val="001A1E3B"/>
    <w:rsid w:val="001A1EC9"/>
    <w:rsid w:val="001A1EFB"/>
    <w:rsid w:val="001A1FE9"/>
    <w:rsid w:val="001A2068"/>
    <w:rsid w:val="001A20DC"/>
    <w:rsid w:val="001A2109"/>
    <w:rsid w:val="001A21BF"/>
    <w:rsid w:val="001A2244"/>
    <w:rsid w:val="001A22B1"/>
    <w:rsid w:val="001A233E"/>
    <w:rsid w:val="001A234C"/>
    <w:rsid w:val="001A2676"/>
    <w:rsid w:val="001A273F"/>
    <w:rsid w:val="001A2783"/>
    <w:rsid w:val="001A27B7"/>
    <w:rsid w:val="001A287D"/>
    <w:rsid w:val="001A28C9"/>
    <w:rsid w:val="001A293E"/>
    <w:rsid w:val="001A29CC"/>
    <w:rsid w:val="001A2AA9"/>
    <w:rsid w:val="001A2B79"/>
    <w:rsid w:val="001A2B7E"/>
    <w:rsid w:val="001A2BF1"/>
    <w:rsid w:val="001A2C79"/>
    <w:rsid w:val="001A2EF9"/>
    <w:rsid w:val="001A2F92"/>
    <w:rsid w:val="001A2FDF"/>
    <w:rsid w:val="001A2FF5"/>
    <w:rsid w:val="001A3034"/>
    <w:rsid w:val="001A30AF"/>
    <w:rsid w:val="001A30CF"/>
    <w:rsid w:val="001A30F4"/>
    <w:rsid w:val="001A3108"/>
    <w:rsid w:val="001A3296"/>
    <w:rsid w:val="001A32FD"/>
    <w:rsid w:val="001A3322"/>
    <w:rsid w:val="001A3367"/>
    <w:rsid w:val="001A33D3"/>
    <w:rsid w:val="001A3412"/>
    <w:rsid w:val="001A34F8"/>
    <w:rsid w:val="001A3541"/>
    <w:rsid w:val="001A354D"/>
    <w:rsid w:val="001A36B6"/>
    <w:rsid w:val="001A3757"/>
    <w:rsid w:val="001A38EC"/>
    <w:rsid w:val="001A3903"/>
    <w:rsid w:val="001A3A43"/>
    <w:rsid w:val="001A3A8A"/>
    <w:rsid w:val="001A3B50"/>
    <w:rsid w:val="001A3BEE"/>
    <w:rsid w:val="001A3C16"/>
    <w:rsid w:val="001A3CC9"/>
    <w:rsid w:val="001A3D34"/>
    <w:rsid w:val="001A3D99"/>
    <w:rsid w:val="001A3DF3"/>
    <w:rsid w:val="001A3E7C"/>
    <w:rsid w:val="001A3E8F"/>
    <w:rsid w:val="001A3F14"/>
    <w:rsid w:val="001A3F69"/>
    <w:rsid w:val="001A40C9"/>
    <w:rsid w:val="001A40F0"/>
    <w:rsid w:val="001A41F9"/>
    <w:rsid w:val="001A447E"/>
    <w:rsid w:val="001A45B2"/>
    <w:rsid w:val="001A45F2"/>
    <w:rsid w:val="001A4629"/>
    <w:rsid w:val="001A4643"/>
    <w:rsid w:val="001A4660"/>
    <w:rsid w:val="001A474B"/>
    <w:rsid w:val="001A4845"/>
    <w:rsid w:val="001A48AC"/>
    <w:rsid w:val="001A48C4"/>
    <w:rsid w:val="001A4A38"/>
    <w:rsid w:val="001A4B30"/>
    <w:rsid w:val="001A4BCF"/>
    <w:rsid w:val="001A4BF7"/>
    <w:rsid w:val="001A4C9D"/>
    <w:rsid w:val="001A4D98"/>
    <w:rsid w:val="001A4E01"/>
    <w:rsid w:val="001A4E16"/>
    <w:rsid w:val="001A4F03"/>
    <w:rsid w:val="001A4F50"/>
    <w:rsid w:val="001A4F7A"/>
    <w:rsid w:val="001A4F9B"/>
    <w:rsid w:val="001A4FC7"/>
    <w:rsid w:val="001A509D"/>
    <w:rsid w:val="001A50C7"/>
    <w:rsid w:val="001A5128"/>
    <w:rsid w:val="001A52FF"/>
    <w:rsid w:val="001A532E"/>
    <w:rsid w:val="001A5343"/>
    <w:rsid w:val="001A5366"/>
    <w:rsid w:val="001A53C5"/>
    <w:rsid w:val="001A5431"/>
    <w:rsid w:val="001A5463"/>
    <w:rsid w:val="001A5486"/>
    <w:rsid w:val="001A5528"/>
    <w:rsid w:val="001A567D"/>
    <w:rsid w:val="001A56D0"/>
    <w:rsid w:val="001A580E"/>
    <w:rsid w:val="001A58B3"/>
    <w:rsid w:val="001A590A"/>
    <w:rsid w:val="001A592B"/>
    <w:rsid w:val="001A5932"/>
    <w:rsid w:val="001A59C2"/>
    <w:rsid w:val="001A5A71"/>
    <w:rsid w:val="001A5B51"/>
    <w:rsid w:val="001A5BE9"/>
    <w:rsid w:val="001A5C32"/>
    <w:rsid w:val="001A5DC2"/>
    <w:rsid w:val="001A5DF0"/>
    <w:rsid w:val="001A5E2B"/>
    <w:rsid w:val="001A602E"/>
    <w:rsid w:val="001A6091"/>
    <w:rsid w:val="001A60D1"/>
    <w:rsid w:val="001A610B"/>
    <w:rsid w:val="001A6135"/>
    <w:rsid w:val="001A6200"/>
    <w:rsid w:val="001A6222"/>
    <w:rsid w:val="001A6266"/>
    <w:rsid w:val="001A62B3"/>
    <w:rsid w:val="001A62D8"/>
    <w:rsid w:val="001A62E1"/>
    <w:rsid w:val="001A6317"/>
    <w:rsid w:val="001A6416"/>
    <w:rsid w:val="001A64EA"/>
    <w:rsid w:val="001A65E6"/>
    <w:rsid w:val="001A66A1"/>
    <w:rsid w:val="001A670A"/>
    <w:rsid w:val="001A6781"/>
    <w:rsid w:val="001A67A3"/>
    <w:rsid w:val="001A685C"/>
    <w:rsid w:val="001A6892"/>
    <w:rsid w:val="001A68B5"/>
    <w:rsid w:val="001A68F3"/>
    <w:rsid w:val="001A690A"/>
    <w:rsid w:val="001A69E5"/>
    <w:rsid w:val="001A6BBC"/>
    <w:rsid w:val="001A6CA2"/>
    <w:rsid w:val="001A6EC6"/>
    <w:rsid w:val="001A6EDD"/>
    <w:rsid w:val="001A6F05"/>
    <w:rsid w:val="001A6F08"/>
    <w:rsid w:val="001A6F72"/>
    <w:rsid w:val="001A6F8B"/>
    <w:rsid w:val="001A7024"/>
    <w:rsid w:val="001A706F"/>
    <w:rsid w:val="001A7137"/>
    <w:rsid w:val="001A71CB"/>
    <w:rsid w:val="001A7225"/>
    <w:rsid w:val="001A729C"/>
    <w:rsid w:val="001A72D4"/>
    <w:rsid w:val="001A748B"/>
    <w:rsid w:val="001A74C5"/>
    <w:rsid w:val="001A7535"/>
    <w:rsid w:val="001A768E"/>
    <w:rsid w:val="001A769E"/>
    <w:rsid w:val="001A782A"/>
    <w:rsid w:val="001A78B2"/>
    <w:rsid w:val="001A7990"/>
    <w:rsid w:val="001A7A97"/>
    <w:rsid w:val="001A7B23"/>
    <w:rsid w:val="001A7B6F"/>
    <w:rsid w:val="001A7B96"/>
    <w:rsid w:val="001A7BA5"/>
    <w:rsid w:val="001A7BA7"/>
    <w:rsid w:val="001A7BF0"/>
    <w:rsid w:val="001A7E13"/>
    <w:rsid w:val="001A7E81"/>
    <w:rsid w:val="001A7F67"/>
    <w:rsid w:val="001B0155"/>
    <w:rsid w:val="001B0161"/>
    <w:rsid w:val="001B029E"/>
    <w:rsid w:val="001B0308"/>
    <w:rsid w:val="001B0331"/>
    <w:rsid w:val="001B036A"/>
    <w:rsid w:val="001B03F6"/>
    <w:rsid w:val="001B0444"/>
    <w:rsid w:val="001B0476"/>
    <w:rsid w:val="001B056E"/>
    <w:rsid w:val="001B0581"/>
    <w:rsid w:val="001B05F5"/>
    <w:rsid w:val="001B061D"/>
    <w:rsid w:val="001B067B"/>
    <w:rsid w:val="001B06A3"/>
    <w:rsid w:val="001B0834"/>
    <w:rsid w:val="001B0886"/>
    <w:rsid w:val="001B08A1"/>
    <w:rsid w:val="001B08B2"/>
    <w:rsid w:val="001B0913"/>
    <w:rsid w:val="001B0921"/>
    <w:rsid w:val="001B0AA2"/>
    <w:rsid w:val="001B0ADC"/>
    <w:rsid w:val="001B0B58"/>
    <w:rsid w:val="001B0B9B"/>
    <w:rsid w:val="001B0BE9"/>
    <w:rsid w:val="001B0C29"/>
    <w:rsid w:val="001B0D3D"/>
    <w:rsid w:val="001B0DFD"/>
    <w:rsid w:val="001B0E04"/>
    <w:rsid w:val="001B0E07"/>
    <w:rsid w:val="001B0F31"/>
    <w:rsid w:val="001B0F58"/>
    <w:rsid w:val="001B0FF4"/>
    <w:rsid w:val="001B100F"/>
    <w:rsid w:val="001B11C5"/>
    <w:rsid w:val="001B1226"/>
    <w:rsid w:val="001B130A"/>
    <w:rsid w:val="001B136A"/>
    <w:rsid w:val="001B14CE"/>
    <w:rsid w:val="001B14F3"/>
    <w:rsid w:val="001B150C"/>
    <w:rsid w:val="001B1702"/>
    <w:rsid w:val="001B18B9"/>
    <w:rsid w:val="001B19A6"/>
    <w:rsid w:val="001B19CB"/>
    <w:rsid w:val="001B19FD"/>
    <w:rsid w:val="001B1A49"/>
    <w:rsid w:val="001B1AC8"/>
    <w:rsid w:val="001B1B09"/>
    <w:rsid w:val="001B1B4E"/>
    <w:rsid w:val="001B1BCB"/>
    <w:rsid w:val="001B1C17"/>
    <w:rsid w:val="001B2111"/>
    <w:rsid w:val="001B2206"/>
    <w:rsid w:val="001B22A1"/>
    <w:rsid w:val="001B22A8"/>
    <w:rsid w:val="001B2330"/>
    <w:rsid w:val="001B2375"/>
    <w:rsid w:val="001B249E"/>
    <w:rsid w:val="001B2605"/>
    <w:rsid w:val="001B2618"/>
    <w:rsid w:val="001B261F"/>
    <w:rsid w:val="001B2620"/>
    <w:rsid w:val="001B270B"/>
    <w:rsid w:val="001B2782"/>
    <w:rsid w:val="001B2788"/>
    <w:rsid w:val="001B2799"/>
    <w:rsid w:val="001B2884"/>
    <w:rsid w:val="001B2917"/>
    <w:rsid w:val="001B2AAE"/>
    <w:rsid w:val="001B2BD2"/>
    <w:rsid w:val="001B2C9C"/>
    <w:rsid w:val="001B2F9A"/>
    <w:rsid w:val="001B2FD6"/>
    <w:rsid w:val="001B3035"/>
    <w:rsid w:val="001B30AC"/>
    <w:rsid w:val="001B30E3"/>
    <w:rsid w:val="001B31E3"/>
    <w:rsid w:val="001B3520"/>
    <w:rsid w:val="001B353C"/>
    <w:rsid w:val="001B354E"/>
    <w:rsid w:val="001B364C"/>
    <w:rsid w:val="001B36B5"/>
    <w:rsid w:val="001B374A"/>
    <w:rsid w:val="001B3880"/>
    <w:rsid w:val="001B3978"/>
    <w:rsid w:val="001B3990"/>
    <w:rsid w:val="001B3A09"/>
    <w:rsid w:val="001B3A67"/>
    <w:rsid w:val="001B3A84"/>
    <w:rsid w:val="001B3C0A"/>
    <w:rsid w:val="001B3CB5"/>
    <w:rsid w:val="001B3D59"/>
    <w:rsid w:val="001B3DD5"/>
    <w:rsid w:val="001B3EAA"/>
    <w:rsid w:val="001B3F2C"/>
    <w:rsid w:val="001B4052"/>
    <w:rsid w:val="001B4068"/>
    <w:rsid w:val="001B40D8"/>
    <w:rsid w:val="001B4104"/>
    <w:rsid w:val="001B41A5"/>
    <w:rsid w:val="001B42E2"/>
    <w:rsid w:val="001B436F"/>
    <w:rsid w:val="001B446B"/>
    <w:rsid w:val="001B4487"/>
    <w:rsid w:val="001B4549"/>
    <w:rsid w:val="001B4580"/>
    <w:rsid w:val="001B46B5"/>
    <w:rsid w:val="001B476A"/>
    <w:rsid w:val="001B4783"/>
    <w:rsid w:val="001B487F"/>
    <w:rsid w:val="001B4888"/>
    <w:rsid w:val="001B49CB"/>
    <w:rsid w:val="001B4A57"/>
    <w:rsid w:val="001B4A94"/>
    <w:rsid w:val="001B4C1B"/>
    <w:rsid w:val="001B4C29"/>
    <w:rsid w:val="001B4DFF"/>
    <w:rsid w:val="001B4E26"/>
    <w:rsid w:val="001B4E44"/>
    <w:rsid w:val="001B4ED9"/>
    <w:rsid w:val="001B4F1B"/>
    <w:rsid w:val="001B5010"/>
    <w:rsid w:val="001B50B4"/>
    <w:rsid w:val="001B5137"/>
    <w:rsid w:val="001B51E5"/>
    <w:rsid w:val="001B5200"/>
    <w:rsid w:val="001B5256"/>
    <w:rsid w:val="001B526C"/>
    <w:rsid w:val="001B52CF"/>
    <w:rsid w:val="001B5309"/>
    <w:rsid w:val="001B5350"/>
    <w:rsid w:val="001B53AB"/>
    <w:rsid w:val="001B56F3"/>
    <w:rsid w:val="001B56F8"/>
    <w:rsid w:val="001B571F"/>
    <w:rsid w:val="001B58C3"/>
    <w:rsid w:val="001B5999"/>
    <w:rsid w:val="001B599D"/>
    <w:rsid w:val="001B5AF2"/>
    <w:rsid w:val="001B5B40"/>
    <w:rsid w:val="001B5D7A"/>
    <w:rsid w:val="001B5DF9"/>
    <w:rsid w:val="001B6002"/>
    <w:rsid w:val="001B60A0"/>
    <w:rsid w:val="001B6123"/>
    <w:rsid w:val="001B6166"/>
    <w:rsid w:val="001B61A6"/>
    <w:rsid w:val="001B61EE"/>
    <w:rsid w:val="001B62AE"/>
    <w:rsid w:val="001B6499"/>
    <w:rsid w:val="001B652D"/>
    <w:rsid w:val="001B6581"/>
    <w:rsid w:val="001B65E3"/>
    <w:rsid w:val="001B65FB"/>
    <w:rsid w:val="001B661E"/>
    <w:rsid w:val="001B6691"/>
    <w:rsid w:val="001B66F9"/>
    <w:rsid w:val="001B67A9"/>
    <w:rsid w:val="001B68B4"/>
    <w:rsid w:val="001B68C3"/>
    <w:rsid w:val="001B6964"/>
    <w:rsid w:val="001B699C"/>
    <w:rsid w:val="001B6A24"/>
    <w:rsid w:val="001B6A51"/>
    <w:rsid w:val="001B6D5A"/>
    <w:rsid w:val="001B6E30"/>
    <w:rsid w:val="001B6FE5"/>
    <w:rsid w:val="001B6FF5"/>
    <w:rsid w:val="001B70A2"/>
    <w:rsid w:val="001B7179"/>
    <w:rsid w:val="001B7189"/>
    <w:rsid w:val="001B723D"/>
    <w:rsid w:val="001B7305"/>
    <w:rsid w:val="001B7311"/>
    <w:rsid w:val="001B73A7"/>
    <w:rsid w:val="001B7451"/>
    <w:rsid w:val="001B754B"/>
    <w:rsid w:val="001B758F"/>
    <w:rsid w:val="001B7597"/>
    <w:rsid w:val="001B763F"/>
    <w:rsid w:val="001B76C7"/>
    <w:rsid w:val="001B76E3"/>
    <w:rsid w:val="001B76EC"/>
    <w:rsid w:val="001B770B"/>
    <w:rsid w:val="001B7710"/>
    <w:rsid w:val="001B775C"/>
    <w:rsid w:val="001B776A"/>
    <w:rsid w:val="001B781B"/>
    <w:rsid w:val="001B7950"/>
    <w:rsid w:val="001B7951"/>
    <w:rsid w:val="001B7966"/>
    <w:rsid w:val="001B7A2F"/>
    <w:rsid w:val="001B7A3F"/>
    <w:rsid w:val="001B7AD0"/>
    <w:rsid w:val="001B7BAB"/>
    <w:rsid w:val="001B7C77"/>
    <w:rsid w:val="001B7D61"/>
    <w:rsid w:val="001B7D91"/>
    <w:rsid w:val="001B7DAE"/>
    <w:rsid w:val="001B7EC5"/>
    <w:rsid w:val="001B7FAF"/>
    <w:rsid w:val="001C0042"/>
    <w:rsid w:val="001C006C"/>
    <w:rsid w:val="001C0126"/>
    <w:rsid w:val="001C0179"/>
    <w:rsid w:val="001C01EB"/>
    <w:rsid w:val="001C0258"/>
    <w:rsid w:val="001C02B6"/>
    <w:rsid w:val="001C02EC"/>
    <w:rsid w:val="001C03E0"/>
    <w:rsid w:val="001C0421"/>
    <w:rsid w:val="001C0430"/>
    <w:rsid w:val="001C045B"/>
    <w:rsid w:val="001C04E8"/>
    <w:rsid w:val="001C0556"/>
    <w:rsid w:val="001C0628"/>
    <w:rsid w:val="001C07AE"/>
    <w:rsid w:val="001C08C2"/>
    <w:rsid w:val="001C0914"/>
    <w:rsid w:val="001C09D9"/>
    <w:rsid w:val="001C09F1"/>
    <w:rsid w:val="001C0A07"/>
    <w:rsid w:val="001C0AC3"/>
    <w:rsid w:val="001C0B17"/>
    <w:rsid w:val="001C0BCC"/>
    <w:rsid w:val="001C0D2B"/>
    <w:rsid w:val="001C0D72"/>
    <w:rsid w:val="001C1026"/>
    <w:rsid w:val="001C1175"/>
    <w:rsid w:val="001C119A"/>
    <w:rsid w:val="001C12BB"/>
    <w:rsid w:val="001C1323"/>
    <w:rsid w:val="001C1377"/>
    <w:rsid w:val="001C1405"/>
    <w:rsid w:val="001C1408"/>
    <w:rsid w:val="001C1447"/>
    <w:rsid w:val="001C145E"/>
    <w:rsid w:val="001C14E8"/>
    <w:rsid w:val="001C1509"/>
    <w:rsid w:val="001C16CA"/>
    <w:rsid w:val="001C1794"/>
    <w:rsid w:val="001C17C9"/>
    <w:rsid w:val="001C18E9"/>
    <w:rsid w:val="001C1958"/>
    <w:rsid w:val="001C19C6"/>
    <w:rsid w:val="001C1A8A"/>
    <w:rsid w:val="001C1CCE"/>
    <w:rsid w:val="001C1D9E"/>
    <w:rsid w:val="001C1E68"/>
    <w:rsid w:val="001C1ECF"/>
    <w:rsid w:val="001C1ED2"/>
    <w:rsid w:val="001C1F64"/>
    <w:rsid w:val="001C1FA4"/>
    <w:rsid w:val="001C1FC2"/>
    <w:rsid w:val="001C219F"/>
    <w:rsid w:val="001C22E6"/>
    <w:rsid w:val="001C23AF"/>
    <w:rsid w:val="001C2482"/>
    <w:rsid w:val="001C2524"/>
    <w:rsid w:val="001C2537"/>
    <w:rsid w:val="001C2603"/>
    <w:rsid w:val="001C2667"/>
    <w:rsid w:val="001C26E4"/>
    <w:rsid w:val="001C26ED"/>
    <w:rsid w:val="001C2801"/>
    <w:rsid w:val="001C281F"/>
    <w:rsid w:val="001C28F3"/>
    <w:rsid w:val="001C2959"/>
    <w:rsid w:val="001C2A91"/>
    <w:rsid w:val="001C2B38"/>
    <w:rsid w:val="001C2C36"/>
    <w:rsid w:val="001C2D9C"/>
    <w:rsid w:val="001C2F2B"/>
    <w:rsid w:val="001C3029"/>
    <w:rsid w:val="001C30B9"/>
    <w:rsid w:val="001C30C8"/>
    <w:rsid w:val="001C3145"/>
    <w:rsid w:val="001C318D"/>
    <w:rsid w:val="001C3192"/>
    <w:rsid w:val="001C31BC"/>
    <w:rsid w:val="001C31BD"/>
    <w:rsid w:val="001C32EC"/>
    <w:rsid w:val="001C3367"/>
    <w:rsid w:val="001C3495"/>
    <w:rsid w:val="001C34C2"/>
    <w:rsid w:val="001C3607"/>
    <w:rsid w:val="001C3638"/>
    <w:rsid w:val="001C3735"/>
    <w:rsid w:val="001C373B"/>
    <w:rsid w:val="001C375A"/>
    <w:rsid w:val="001C3956"/>
    <w:rsid w:val="001C3969"/>
    <w:rsid w:val="001C39F6"/>
    <w:rsid w:val="001C3B50"/>
    <w:rsid w:val="001C3B79"/>
    <w:rsid w:val="001C3BF9"/>
    <w:rsid w:val="001C3C03"/>
    <w:rsid w:val="001C3CCE"/>
    <w:rsid w:val="001C3D60"/>
    <w:rsid w:val="001C3E09"/>
    <w:rsid w:val="001C3E7B"/>
    <w:rsid w:val="001C3E9B"/>
    <w:rsid w:val="001C3F4A"/>
    <w:rsid w:val="001C3FD1"/>
    <w:rsid w:val="001C411E"/>
    <w:rsid w:val="001C4167"/>
    <w:rsid w:val="001C41CE"/>
    <w:rsid w:val="001C425C"/>
    <w:rsid w:val="001C4260"/>
    <w:rsid w:val="001C42C1"/>
    <w:rsid w:val="001C4330"/>
    <w:rsid w:val="001C44AF"/>
    <w:rsid w:val="001C4528"/>
    <w:rsid w:val="001C460A"/>
    <w:rsid w:val="001C4696"/>
    <w:rsid w:val="001C46B4"/>
    <w:rsid w:val="001C47A1"/>
    <w:rsid w:val="001C484D"/>
    <w:rsid w:val="001C492F"/>
    <w:rsid w:val="001C4944"/>
    <w:rsid w:val="001C4954"/>
    <w:rsid w:val="001C4959"/>
    <w:rsid w:val="001C49E7"/>
    <w:rsid w:val="001C4A33"/>
    <w:rsid w:val="001C4B9E"/>
    <w:rsid w:val="001C4CD3"/>
    <w:rsid w:val="001C4CE6"/>
    <w:rsid w:val="001C4CF8"/>
    <w:rsid w:val="001C4D22"/>
    <w:rsid w:val="001C4D59"/>
    <w:rsid w:val="001C4D6A"/>
    <w:rsid w:val="001C4FEC"/>
    <w:rsid w:val="001C504B"/>
    <w:rsid w:val="001C51CE"/>
    <w:rsid w:val="001C526F"/>
    <w:rsid w:val="001C547A"/>
    <w:rsid w:val="001C5483"/>
    <w:rsid w:val="001C54E7"/>
    <w:rsid w:val="001C5546"/>
    <w:rsid w:val="001C574E"/>
    <w:rsid w:val="001C58A6"/>
    <w:rsid w:val="001C590C"/>
    <w:rsid w:val="001C5963"/>
    <w:rsid w:val="001C5A5B"/>
    <w:rsid w:val="001C5AAC"/>
    <w:rsid w:val="001C5B15"/>
    <w:rsid w:val="001C5C1F"/>
    <w:rsid w:val="001C5C6F"/>
    <w:rsid w:val="001C5D79"/>
    <w:rsid w:val="001C5D8A"/>
    <w:rsid w:val="001C5F63"/>
    <w:rsid w:val="001C5FB2"/>
    <w:rsid w:val="001C61FD"/>
    <w:rsid w:val="001C621A"/>
    <w:rsid w:val="001C6300"/>
    <w:rsid w:val="001C6355"/>
    <w:rsid w:val="001C6430"/>
    <w:rsid w:val="001C64CE"/>
    <w:rsid w:val="001C65CD"/>
    <w:rsid w:val="001C6779"/>
    <w:rsid w:val="001C6785"/>
    <w:rsid w:val="001C680D"/>
    <w:rsid w:val="001C6A16"/>
    <w:rsid w:val="001C6AC8"/>
    <w:rsid w:val="001C6AD4"/>
    <w:rsid w:val="001C6ADB"/>
    <w:rsid w:val="001C6BE9"/>
    <w:rsid w:val="001C6C59"/>
    <w:rsid w:val="001C6C6C"/>
    <w:rsid w:val="001C6D47"/>
    <w:rsid w:val="001C6E08"/>
    <w:rsid w:val="001C6ED3"/>
    <w:rsid w:val="001C6F04"/>
    <w:rsid w:val="001C6F09"/>
    <w:rsid w:val="001C6F8A"/>
    <w:rsid w:val="001C6FE1"/>
    <w:rsid w:val="001C719C"/>
    <w:rsid w:val="001C7210"/>
    <w:rsid w:val="001C724F"/>
    <w:rsid w:val="001C75B3"/>
    <w:rsid w:val="001C76BE"/>
    <w:rsid w:val="001C775E"/>
    <w:rsid w:val="001C7855"/>
    <w:rsid w:val="001C786D"/>
    <w:rsid w:val="001C78BC"/>
    <w:rsid w:val="001C794A"/>
    <w:rsid w:val="001C7A62"/>
    <w:rsid w:val="001C7B1F"/>
    <w:rsid w:val="001C7B25"/>
    <w:rsid w:val="001C7B3C"/>
    <w:rsid w:val="001C7B88"/>
    <w:rsid w:val="001C7B8C"/>
    <w:rsid w:val="001C7C96"/>
    <w:rsid w:val="001C7C9E"/>
    <w:rsid w:val="001C7D2F"/>
    <w:rsid w:val="001C7DD0"/>
    <w:rsid w:val="001C7E3E"/>
    <w:rsid w:val="001C7E41"/>
    <w:rsid w:val="001C7F09"/>
    <w:rsid w:val="001C7FB3"/>
    <w:rsid w:val="001C7FF1"/>
    <w:rsid w:val="001D00E4"/>
    <w:rsid w:val="001D0185"/>
    <w:rsid w:val="001D01EA"/>
    <w:rsid w:val="001D0328"/>
    <w:rsid w:val="001D03EC"/>
    <w:rsid w:val="001D0411"/>
    <w:rsid w:val="001D05C1"/>
    <w:rsid w:val="001D05CC"/>
    <w:rsid w:val="001D0641"/>
    <w:rsid w:val="001D07A0"/>
    <w:rsid w:val="001D07DC"/>
    <w:rsid w:val="001D0892"/>
    <w:rsid w:val="001D08ED"/>
    <w:rsid w:val="001D0942"/>
    <w:rsid w:val="001D0967"/>
    <w:rsid w:val="001D0A1D"/>
    <w:rsid w:val="001D0A55"/>
    <w:rsid w:val="001D0C1E"/>
    <w:rsid w:val="001D0CFF"/>
    <w:rsid w:val="001D0D62"/>
    <w:rsid w:val="001D0D8D"/>
    <w:rsid w:val="001D0DA8"/>
    <w:rsid w:val="001D129F"/>
    <w:rsid w:val="001D13A6"/>
    <w:rsid w:val="001D13EE"/>
    <w:rsid w:val="001D141C"/>
    <w:rsid w:val="001D1447"/>
    <w:rsid w:val="001D1479"/>
    <w:rsid w:val="001D1495"/>
    <w:rsid w:val="001D14D0"/>
    <w:rsid w:val="001D15A9"/>
    <w:rsid w:val="001D15D1"/>
    <w:rsid w:val="001D163A"/>
    <w:rsid w:val="001D16C2"/>
    <w:rsid w:val="001D1708"/>
    <w:rsid w:val="001D178A"/>
    <w:rsid w:val="001D17C4"/>
    <w:rsid w:val="001D18B1"/>
    <w:rsid w:val="001D1965"/>
    <w:rsid w:val="001D1A62"/>
    <w:rsid w:val="001D1AF2"/>
    <w:rsid w:val="001D1B28"/>
    <w:rsid w:val="001D1B68"/>
    <w:rsid w:val="001D1B93"/>
    <w:rsid w:val="001D1C3A"/>
    <w:rsid w:val="001D1CF4"/>
    <w:rsid w:val="001D1E99"/>
    <w:rsid w:val="001D2053"/>
    <w:rsid w:val="001D20A0"/>
    <w:rsid w:val="001D20C9"/>
    <w:rsid w:val="001D20F4"/>
    <w:rsid w:val="001D211D"/>
    <w:rsid w:val="001D21D1"/>
    <w:rsid w:val="001D21FD"/>
    <w:rsid w:val="001D2250"/>
    <w:rsid w:val="001D2361"/>
    <w:rsid w:val="001D238A"/>
    <w:rsid w:val="001D23BB"/>
    <w:rsid w:val="001D24B0"/>
    <w:rsid w:val="001D25BD"/>
    <w:rsid w:val="001D25BE"/>
    <w:rsid w:val="001D264C"/>
    <w:rsid w:val="001D2800"/>
    <w:rsid w:val="001D29D8"/>
    <w:rsid w:val="001D2AA6"/>
    <w:rsid w:val="001D2B0F"/>
    <w:rsid w:val="001D2C0C"/>
    <w:rsid w:val="001D2C67"/>
    <w:rsid w:val="001D2D3A"/>
    <w:rsid w:val="001D2D5F"/>
    <w:rsid w:val="001D2E45"/>
    <w:rsid w:val="001D2E95"/>
    <w:rsid w:val="001D2F42"/>
    <w:rsid w:val="001D2F8D"/>
    <w:rsid w:val="001D2FE9"/>
    <w:rsid w:val="001D3045"/>
    <w:rsid w:val="001D3070"/>
    <w:rsid w:val="001D3181"/>
    <w:rsid w:val="001D3331"/>
    <w:rsid w:val="001D339C"/>
    <w:rsid w:val="001D388D"/>
    <w:rsid w:val="001D3995"/>
    <w:rsid w:val="001D39DC"/>
    <w:rsid w:val="001D3A7C"/>
    <w:rsid w:val="001D3B2F"/>
    <w:rsid w:val="001D3B46"/>
    <w:rsid w:val="001D3B69"/>
    <w:rsid w:val="001D3CCA"/>
    <w:rsid w:val="001D3CE5"/>
    <w:rsid w:val="001D3CEB"/>
    <w:rsid w:val="001D3D7E"/>
    <w:rsid w:val="001D3E04"/>
    <w:rsid w:val="001D3F43"/>
    <w:rsid w:val="001D3F54"/>
    <w:rsid w:val="001D3F57"/>
    <w:rsid w:val="001D4000"/>
    <w:rsid w:val="001D4010"/>
    <w:rsid w:val="001D416C"/>
    <w:rsid w:val="001D4299"/>
    <w:rsid w:val="001D43E3"/>
    <w:rsid w:val="001D43FA"/>
    <w:rsid w:val="001D445A"/>
    <w:rsid w:val="001D4597"/>
    <w:rsid w:val="001D472A"/>
    <w:rsid w:val="001D477C"/>
    <w:rsid w:val="001D47AE"/>
    <w:rsid w:val="001D4898"/>
    <w:rsid w:val="001D48FC"/>
    <w:rsid w:val="001D49DC"/>
    <w:rsid w:val="001D4ADB"/>
    <w:rsid w:val="001D4AE9"/>
    <w:rsid w:val="001D4C49"/>
    <w:rsid w:val="001D4C92"/>
    <w:rsid w:val="001D4D01"/>
    <w:rsid w:val="001D4DA8"/>
    <w:rsid w:val="001D4DF4"/>
    <w:rsid w:val="001D4E02"/>
    <w:rsid w:val="001D4EC0"/>
    <w:rsid w:val="001D4F06"/>
    <w:rsid w:val="001D4F0F"/>
    <w:rsid w:val="001D5025"/>
    <w:rsid w:val="001D5026"/>
    <w:rsid w:val="001D5055"/>
    <w:rsid w:val="001D5065"/>
    <w:rsid w:val="001D508B"/>
    <w:rsid w:val="001D52EA"/>
    <w:rsid w:val="001D52FD"/>
    <w:rsid w:val="001D5492"/>
    <w:rsid w:val="001D5689"/>
    <w:rsid w:val="001D5857"/>
    <w:rsid w:val="001D591B"/>
    <w:rsid w:val="001D5937"/>
    <w:rsid w:val="001D5B48"/>
    <w:rsid w:val="001D5B77"/>
    <w:rsid w:val="001D5CF1"/>
    <w:rsid w:val="001D5D04"/>
    <w:rsid w:val="001D5D71"/>
    <w:rsid w:val="001D5D76"/>
    <w:rsid w:val="001D5DDC"/>
    <w:rsid w:val="001D5E44"/>
    <w:rsid w:val="001D5E6E"/>
    <w:rsid w:val="001D5EC0"/>
    <w:rsid w:val="001D5F32"/>
    <w:rsid w:val="001D5F55"/>
    <w:rsid w:val="001D5F6B"/>
    <w:rsid w:val="001D5FDD"/>
    <w:rsid w:val="001D6046"/>
    <w:rsid w:val="001D60B2"/>
    <w:rsid w:val="001D6295"/>
    <w:rsid w:val="001D629A"/>
    <w:rsid w:val="001D62D9"/>
    <w:rsid w:val="001D6388"/>
    <w:rsid w:val="001D638A"/>
    <w:rsid w:val="001D63EF"/>
    <w:rsid w:val="001D66C9"/>
    <w:rsid w:val="001D672C"/>
    <w:rsid w:val="001D676C"/>
    <w:rsid w:val="001D679F"/>
    <w:rsid w:val="001D67B8"/>
    <w:rsid w:val="001D67E1"/>
    <w:rsid w:val="001D6806"/>
    <w:rsid w:val="001D6859"/>
    <w:rsid w:val="001D6996"/>
    <w:rsid w:val="001D6A5F"/>
    <w:rsid w:val="001D6A90"/>
    <w:rsid w:val="001D6AA9"/>
    <w:rsid w:val="001D6B78"/>
    <w:rsid w:val="001D6C2E"/>
    <w:rsid w:val="001D6C66"/>
    <w:rsid w:val="001D6CAC"/>
    <w:rsid w:val="001D6CF4"/>
    <w:rsid w:val="001D6D04"/>
    <w:rsid w:val="001D6DAE"/>
    <w:rsid w:val="001D6DB9"/>
    <w:rsid w:val="001D6E1A"/>
    <w:rsid w:val="001D6F09"/>
    <w:rsid w:val="001D6F96"/>
    <w:rsid w:val="001D7032"/>
    <w:rsid w:val="001D70C3"/>
    <w:rsid w:val="001D70E9"/>
    <w:rsid w:val="001D7167"/>
    <w:rsid w:val="001D7207"/>
    <w:rsid w:val="001D7267"/>
    <w:rsid w:val="001D74E2"/>
    <w:rsid w:val="001D758F"/>
    <w:rsid w:val="001D762F"/>
    <w:rsid w:val="001D765E"/>
    <w:rsid w:val="001D769D"/>
    <w:rsid w:val="001D7753"/>
    <w:rsid w:val="001D783F"/>
    <w:rsid w:val="001D78E4"/>
    <w:rsid w:val="001D7946"/>
    <w:rsid w:val="001D7965"/>
    <w:rsid w:val="001D797C"/>
    <w:rsid w:val="001D79E1"/>
    <w:rsid w:val="001D7A8E"/>
    <w:rsid w:val="001D7AA8"/>
    <w:rsid w:val="001D7BBB"/>
    <w:rsid w:val="001D7BDC"/>
    <w:rsid w:val="001D7C24"/>
    <w:rsid w:val="001D7C8C"/>
    <w:rsid w:val="001D7CF1"/>
    <w:rsid w:val="001D7D7C"/>
    <w:rsid w:val="001D7DB3"/>
    <w:rsid w:val="001D7F3F"/>
    <w:rsid w:val="001D7F84"/>
    <w:rsid w:val="001E0148"/>
    <w:rsid w:val="001E0179"/>
    <w:rsid w:val="001E01CB"/>
    <w:rsid w:val="001E024C"/>
    <w:rsid w:val="001E030E"/>
    <w:rsid w:val="001E0350"/>
    <w:rsid w:val="001E0440"/>
    <w:rsid w:val="001E0458"/>
    <w:rsid w:val="001E0470"/>
    <w:rsid w:val="001E05AC"/>
    <w:rsid w:val="001E05C9"/>
    <w:rsid w:val="001E06EE"/>
    <w:rsid w:val="001E0784"/>
    <w:rsid w:val="001E0804"/>
    <w:rsid w:val="001E091A"/>
    <w:rsid w:val="001E092F"/>
    <w:rsid w:val="001E0965"/>
    <w:rsid w:val="001E0AD3"/>
    <w:rsid w:val="001E0B6A"/>
    <w:rsid w:val="001E0BBF"/>
    <w:rsid w:val="001E0C7B"/>
    <w:rsid w:val="001E0D6F"/>
    <w:rsid w:val="001E0E9F"/>
    <w:rsid w:val="001E0EF1"/>
    <w:rsid w:val="001E0F2F"/>
    <w:rsid w:val="001E1033"/>
    <w:rsid w:val="001E1258"/>
    <w:rsid w:val="001E1297"/>
    <w:rsid w:val="001E12CE"/>
    <w:rsid w:val="001E12F2"/>
    <w:rsid w:val="001E133D"/>
    <w:rsid w:val="001E1406"/>
    <w:rsid w:val="001E14EC"/>
    <w:rsid w:val="001E155E"/>
    <w:rsid w:val="001E1560"/>
    <w:rsid w:val="001E15DE"/>
    <w:rsid w:val="001E16F0"/>
    <w:rsid w:val="001E16F7"/>
    <w:rsid w:val="001E18B7"/>
    <w:rsid w:val="001E1993"/>
    <w:rsid w:val="001E19E5"/>
    <w:rsid w:val="001E1A31"/>
    <w:rsid w:val="001E1A82"/>
    <w:rsid w:val="001E1BDD"/>
    <w:rsid w:val="001E1C45"/>
    <w:rsid w:val="001E1CAA"/>
    <w:rsid w:val="001E1E1F"/>
    <w:rsid w:val="001E1F31"/>
    <w:rsid w:val="001E1F55"/>
    <w:rsid w:val="001E2059"/>
    <w:rsid w:val="001E2075"/>
    <w:rsid w:val="001E2348"/>
    <w:rsid w:val="001E2412"/>
    <w:rsid w:val="001E24C8"/>
    <w:rsid w:val="001E253B"/>
    <w:rsid w:val="001E2575"/>
    <w:rsid w:val="001E2635"/>
    <w:rsid w:val="001E26B8"/>
    <w:rsid w:val="001E2837"/>
    <w:rsid w:val="001E28A1"/>
    <w:rsid w:val="001E28EC"/>
    <w:rsid w:val="001E2981"/>
    <w:rsid w:val="001E29BF"/>
    <w:rsid w:val="001E2A4D"/>
    <w:rsid w:val="001E2B21"/>
    <w:rsid w:val="001E2B3B"/>
    <w:rsid w:val="001E2D28"/>
    <w:rsid w:val="001E2D72"/>
    <w:rsid w:val="001E2E3B"/>
    <w:rsid w:val="001E2F09"/>
    <w:rsid w:val="001E2F81"/>
    <w:rsid w:val="001E3002"/>
    <w:rsid w:val="001E3054"/>
    <w:rsid w:val="001E306F"/>
    <w:rsid w:val="001E3085"/>
    <w:rsid w:val="001E30BB"/>
    <w:rsid w:val="001E30E7"/>
    <w:rsid w:val="001E3170"/>
    <w:rsid w:val="001E328D"/>
    <w:rsid w:val="001E32EF"/>
    <w:rsid w:val="001E339D"/>
    <w:rsid w:val="001E33AC"/>
    <w:rsid w:val="001E36A0"/>
    <w:rsid w:val="001E36CA"/>
    <w:rsid w:val="001E3785"/>
    <w:rsid w:val="001E3836"/>
    <w:rsid w:val="001E3872"/>
    <w:rsid w:val="001E3894"/>
    <w:rsid w:val="001E3944"/>
    <w:rsid w:val="001E3945"/>
    <w:rsid w:val="001E396B"/>
    <w:rsid w:val="001E3A0B"/>
    <w:rsid w:val="001E3A85"/>
    <w:rsid w:val="001E3B18"/>
    <w:rsid w:val="001E3BFF"/>
    <w:rsid w:val="001E3C39"/>
    <w:rsid w:val="001E3C5C"/>
    <w:rsid w:val="001E3CEC"/>
    <w:rsid w:val="001E3D23"/>
    <w:rsid w:val="001E3DB6"/>
    <w:rsid w:val="001E3DC4"/>
    <w:rsid w:val="001E3E39"/>
    <w:rsid w:val="001E3EAE"/>
    <w:rsid w:val="001E3FEB"/>
    <w:rsid w:val="001E40C1"/>
    <w:rsid w:val="001E40D3"/>
    <w:rsid w:val="001E4152"/>
    <w:rsid w:val="001E41BE"/>
    <w:rsid w:val="001E421A"/>
    <w:rsid w:val="001E42B4"/>
    <w:rsid w:val="001E4358"/>
    <w:rsid w:val="001E4543"/>
    <w:rsid w:val="001E45BF"/>
    <w:rsid w:val="001E45D5"/>
    <w:rsid w:val="001E4874"/>
    <w:rsid w:val="001E48A6"/>
    <w:rsid w:val="001E48D6"/>
    <w:rsid w:val="001E4A4C"/>
    <w:rsid w:val="001E4A50"/>
    <w:rsid w:val="001E4AB6"/>
    <w:rsid w:val="001E4B01"/>
    <w:rsid w:val="001E4B8A"/>
    <w:rsid w:val="001E4BCB"/>
    <w:rsid w:val="001E4C29"/>
    <w:rsid w:val="001E4C86"/>
    <w:rsid w:val="001E4D19"/>
    <w:rsid w:val="001E4FA8"/>
    <w:rsid w:val="001E510B"/>
    <w:rsid w:val="001E52A7"/>
    <w:rsid w:val="001E5385"/>
    <w:rsid w:val="001E53F0"/>
    <w:rsid w:val="001E5463"/>
    <w:rsid w:val="001E5490"/>
    <w:rsid w:val="001E5545"/>
    <w:rsid w:val="001E55A3"/>
    <w:rsid w:val="001E5822"/>
    <w:rsid w:val="001E586C"/>
    <w:rsid w:val="001E58F5"/>
    <w:rsid w:val="001E5921"/>
    <w:rsid w:val="001E5BF2"/>
    <w:rsid w:val="001E5D24"/>
    <w:rsid w:val="001E5D81"/>
    <w:rsid w:val="001E5F24"/>
    <w:rsid w:val="001E60E1"/>
    <w:rsid w:val="001E6200"/>
    <w:rsid w:val="001E6276"/>
    <w:rsid w:val="001E6502"/>
    <w:rsid w:val="001E65DE"/>
    <w:rsid w:val="001E66BC"/>
    <w:rsid w:val="001E676C"/>
    <w:rsid w:val="001E67E7"/>
    <w:rsid w:val="001E682A"/>
    <w:rsid w:val="001E6855"/>
    <w:rsid w:val="001E686D"/>
    <w:rsid w:val="001E68DC"/>
    <w:rsid w:val="001E68EF"/>
    <w:rsid w:val="001E6A82"/>
    <w:rsid w:val="001E6C2C"/>
    <w:rsid w:val="001E6C43"/>
    <w:rsid w:val="001E6C4D"/>
    <w:rsid w:val="001E6D24"/>
    <w:rsid w:val="001E6D3A"/>
    <w:rsid w:val="001E6F58"/>
    <w:rsid w:val="001E6F88"/>
    <w:rsid w:val="001E70C5"/>
    <w:rsid w:val="001E7108"/>
    <w:rsid w:val="001E72E1"/>
    <w:rsid w:val="001E733E"/>
    <w:rsid w:val="001E742F"/>
    <w:rsid w:val="001E7441"/>
    <w:rsid w:val="001E7472"/>
    <w:rsid w:val="001E75F6"/>
    <w:rsid w:val="001E7619"/>
    <w:rsid w:val="001E7645"/>
    <w:rsid w:val="001E76C6"/>
    <w:rsid w:val="001E7735"/>
    <w:rsid w:val="001E77BE"/>
    <w:rsid w:val="001E77BF"/>
    <w:rsid w:val="001E7825"/>
    <w:rsid w:val="001E79C8"/>
    <w:rsid w:val="001E7A77"/>
    <w:rsid w:val="001E7C47"/>
    <w:rsid w:val="001E7D5F"/>
    <w:rsid w:val="001E7D79"/>
    <w:rsid w:val="001E7E65"/>
    <w:rsid w:val="001E7E72"/>
    <w:rsid w:val="001E7F62"/>
    <w:rsid w:val="001E7F89"/>
    <w:rsid w:val="001F0112"/>
    <w:rsid w:val="001F01FD"/>
    <w:rsid w:val="001F02A9"/>
    <w:rsid w:val="001F034D"/>
    <w:rsid w:val="001F0380"/>
    <w:rsid w:val="001F0431"/>
    <w:rsid w:val="001F04C7"/>
    <w:rsid w:val="001F0572"/>
    <w:rsid w:val="001F0731"/>
    <w:rsid w:val="001F0750"/>
    <w:rsid w:val="001F08A3"/>
    <w:rsid w:val="001F08DA"/>
    <w:rsid w:val="001F09C9"/>
    <w:rsid w:val="001F0A1C"/>
    <w:rsid w:val="001F0B4B"/>
    <w:rsid w:val="001F0D11"/>
    <w:rsid w:val="001F0D65"/>
    <w:rsid w:val="001F0E13"/>
    <w:rsid w:val="001F0E2F"/>
    <w:rsid w:val="001F0E5B"/>
    <w:rsid w:val="001F0E89"/>
    <w:rsid w:val="001F0FF2"/>
    <w:rsid w:val="001F10B3"/>
    <w:rsid w:val="001F10ED"/>
    <w:rsid w:val="001F12FE"/>
    <w:rsid w:val="001F1386"/>
    <w:rsid w:val="001F13BF"/>
    <w:rsid w:val="001F149B"/>
    <w:rsid w:val="001F15BD"/>
    <w:rsid w:val="001F1785"/>
    <w:rsid w:val="001F1831"/>
    <w:rsid w:val="001F1899"/>
    <w:rsid w:val="001F18EF"/>
    <w:rsid w:val="001F1917"/>
    <w:rsid w:val="001F1AA5"/>
    <w:rsid w:val="001F1C13"/>
    <w:rsid w:val="001F1C62"/>
    <w:rsid w:val="001F1C99"/>
    <w:rsid w:val="001F1CEA"/>
    <w:rsid w:val="001F1D46"/>
    <w:rsid w:val="001F1DAF"/>
    <w:rsid w:val="001F1DD7"/>
    <w:rsid w:val="001F2055"/>
    <w:rsid w:val="001F209C"/>
    <w:rsid w:val="001F20B3"/>
    <w:rsid w:val="001F20B4"/>
    <w:rsid w:val="001F21E4"/>
    <w:rsid w:val="001F21FE"/>
    <w:rsid w:val="001F2268"/>
    <w:rsid w:val="001F2276"/>
    <w:rsid w:val="001F2372"/>
    <w:rsid w:val="001F24DE"/>
    <w:rsid w:val="001F25BA"/>
    <w:rsid w:val="001F25F0"/>
    <w:rsid w:val="001F2666"/>
    <w:rsid w:val="001F26BF"/>
    <w:rsid w:val="001F26C7"/>
    <w:rsid w:val="001F28A8"/>
    <w:rsid w:val="001F298F"/>
    <w:rsid w:val="001F29A4"/>
    <w:rsid w:val="001F29F0"/>
    <w:rsid w:val="001F2A0A"/>
    <w:rsid w:val="001F2A0D"/>
    <w:rsid w:val="001F2B27"/>
    <w:rsid w:val="001F2B91"/>
    <w:rsid w:val="001F2BE6"/>
    <w:rsid w:val="001F2C24"/>
    <w:rsid w:val="001F2D25"/>
    <w:rsid w:val="001F2DBF"/>
    <w:rsid w:val="001F2DCB"/>
    <w:rsid w:val="001F2E61"/>
    <w:rsid w:val="001F2E91"/>
    <w:rsid w:val="001F3049"/>
    <w:rsid w:val="001F3079"/>
    <w:rsid w:val="001F30A3"/>
    <w:rsid w:val="001F30C6"/>
    <w:rsid w:val="001F3187"/>
    <w:rsid w:val="001F31C3"/>
    <w:rsid w:val="001F3320"/>
    <w:rsid w:val="001F3357"/>
    <w:rsid w:val="001F3414"/>
    <w:rsid w:val="001F3516"/>
    <w:rsid w:val="001F3686"/>
    <w:rsid w:val="001F36AD"/>
    <w:rsid w:val="001F36C9"/>
    <w:rsid w:val="001F3781"/>
    <w:rsid w:val="001F38DB"/>
    <w:rsid w:val="001F3BE1"/>
    <w:rsid w:val="001F3C4E"/>
    <w:rsid w:val="001F3CEF"/>
    <w:rsid w:val="001F3D11"/>
    <w:rsid w:val="001F3DEC"/>
    <w:rsid w:val="001F3EE7"/>
    <w:rsid w:val="001F3F8A"/>
    <w:rsid w:val="001F3F98"/>
    <w:rsid w:val="001F4034"/>
    <w:rsid w:val="001F407D"/>
    <w:rsid w:val="001F40C3"/>
    <w:rsid w:val="001F4118"/>
    <w:rsid w:val="001F414A"/>
    <w:rsid w:val="001F416B"/>
    <w:rsid w:val="001F431E"/>
    <w:rsid w:val="001F437F"/>
    <w:rsid w:val="001F43A0"/>
    <w:rsid w:val="001F442B"/>
    <w:rsid w:val="001F4448"/>
    <w:rsid w:val="001F4522"/>
    <w:rsid w:val="001F455E"/>
    <w:rsid w:val="001F4711"/>
    <w:rsid w:val="001F4733"/>
    <w:rsid w:val="001F4786"/>
    <w:rsid w:val="001F4791"/>
    <w:rsid w:val="001F49CE"/>
    <w:rsid w:val="001F4AEE"/>
    <w:rsid w:val="001F4B53"/>
    <w:rsid w:val="001F4C7D"/>
    <w:rsid w:val="001F4D47"/>
    <w:rsid w:val="001F4F2A"/>
    <w:rsid w:val="001F5045"/>
    <w:rsid w:val="001F5051"/>
    <w:rsid w:val="001F5155"/>
    <w:rsid w:val="001F5172"/>
    <w:rsid w:val="001F52A1"/>
    <w:rsid w:val="001F5317"/>
    <w:rsid w:val="001F53AC"/>
    <w:rsid w:val="001F53DA"/>
    <w:rsid w:val="001F54C2"/>
    <w:rsid w:val="001F5569"/>
    <w:rsid w:val="001F557C"/>
    <w:rsid w:val="001F5643"/>
    <w:rsid w:val="001F5666"/>
    <w:rsid w:val="001F567A"/>
    <w:rsid w:val="001F574A"/>
    <w:rsid w:val="001F57DF"/>
    <w:rsid w:val="001F5842"/>
    <w:rsid w:val="001F589E"/>
    <w:rsid w:val="001F58F9"/>
    <w:rsid w:val="001F59F2"/>
    <w:rsid w:val="001F5A44"/>
    <w:rsid w:val="001F5A51"/>
    <w:rsid w:val="001F5A9D"/>
    <w:rsid w:val="001F5AED"/>
    <w:rsid w:val="001F5B0C"/>
    <w:rsid w:val="001F5B74"/>
    <w:rsid w:val="001F5D7A"/>
    <w:rsid w:val="001F5E71"/>
    <w:rsid w:val="001F5F8A"/>
    <w:rsid w:val="001F6048"/>
    <w:rsid w:val="001F6091"/>
    <w:rsid w:val="001F61D7"/>
    <w:rsid w:val="001F626F"/>
    <w:rsid w:val="001F62A0"/>
    <w:rsid w:val="001F62B8"/>
    <w:rsid w:val="001F642C"/>
    <w:rsid w:val="001F6471"/>
    <w:rsid w:val="001F64BF"/>
    <w:rsid w:val="001F657E"/>
    <w:rsid w:val="001F6649"/>
    <w:rsid w:val="001F67F3"/>
    <w:rsid w:val="001F6898"/>
    <w:rsid w:val="001F69F4"/>
    <w:rsid w:val="001F6A5B"/>
    <w:rsid w:val="001F6A82"/>
    <w:rsid w:val="001F6B22"/>
    <w:rsid w:val="001F6B70"/>
    <w:rsid w:val="001F6BB0"/>
    <w:rsid w:val="001F6C58"/>
    <w:rsid w:val="001F6CBB"/>
    <w:rsid w:val="001F6DB2"/>
    <w:rsid w:val="001F6E05"/>
    <w:rsid w:val="001F6E76"/>
    <w:rsid w:val="001F6EE6"/>
    <w:rsid w:val="001F6FD5"/>
    <w:rsid w:val="001F7012"/>
    <w:rsid w:val="001F70D4"/>
    <w:rsid w:val="001F7106"/>
    <w:rsid w:val="001F7144"/>
    <w:rsid w:val="001F72FD"/>
    <w:rsid w:val="001F7333"/>
    <w:rsid w:val="001F7345"/>
    <w:rsid w:val="001F736A"/>
    <w:rsid w:val="001F73BA"/>
    <w:rsid w:val="001F73CB"/>
    <w:rsid w:val="001F75EA"/>
    <w:rsid w:val="001F75FB"/>
    <w:rsid w:val="001F7749"/>
    <w:rsid w:val="001F7818"/>
    <w:rsid w:val="001F78FC"/>
    <w:rsid w:val="001F7998"/>
    <w:rsid w:val="001F7B73"/>
    <w:rsid w:val="001F7B78"/>
    <w:rsid w:val="001F7C34"/>
    <w:rsid w:val="001F7E63"/>
    <w:rsid w:val="00200010"/>
    <w:rsid w:val="0020005D"/>
    <w:rsid w:val="00200135"/>
    <w:rsid w:val="0020015E"/>
    <w:rsid w:val="002001E7"/>
    <w:rsid w:val="0020038F"/>
    <w:rsid w:val="00200465"/>
    <w:rsid w:val="00200492"/>
    <w:rsid w:val="002005C4"/>
    <w:rsid w:val="002005E3"/>
    <w:rsid w:val="0020066B"/>
    <w:rsid w:val="0020070B"/>
    <w:rsid w:val="00200727"/>
    <w:rsid w:val="00200774"/>
    <w:rsid w:val="00200823"/>
    <w:rsid w:val="002008A7"/>
    <w:rsid w:val="002008FA"/>
    <w:rsid w:val="00200B00"/>
    <w:rsid w:val="00200B79"/>
    <w:rsid w:val="00200C73"/>
    <w:rsid w:val="00200C97"/>
    <w:rsid w:val="00200D63"/>
    <w:rsid w:val="00200E35"/>
    <w:rsid w:val="00200EE7"/>
    <w:rsid w:val="002010C9"/>
    <w:rsid w:val="0020110F"/>
    <w:rsid w:val="00201119"/>
    <w:rsid w:val="00201291"/>
    <w:rsid w:val="00201299"/>
    <w:rsid w:val="002014A5"/>
    <w:rsid w:val="0020175E"/>
    <w:rsid w:val="0020178E"/>
    <w:rsid w:val="002017E0"/>
    <w:rsid w:val="00201835"/>
    <w:rsid w:val="002019FD"/>
    <w:rsid w:val="00201AEC"/>
    <w:rsid w:val="00201B62"/>
    <w:rsid w:val="00201B79"/>
    <w:rsid w:val="00201BF1"/>
    <w:rsid w:val="00201C9E"/>
    <w:rsid w:val="00201DE9"/>
    <w:rsid w:val="00201DED"/>
    <w:rsid w:val="00201E4E"/>
    <w:rsid w:val="002020F0"/>
    <w:rsid w:val="0020210E"/>
    <w:rsid w:val="002022BD"/>
    <w:rsid w:val="00202318"/>
    <w:rsid w:val="0020234D"/>
    <w:rsid w:val="002023C6"/>
    <w:rsid w:val="002023D6"/>
    <w:rsid w:val="00202418"/>
    <w:rsid w:val="0020247C"/>
    <w:rsid w:val="00202519"/>
    <w:rsid w:val="002025A1"/>
    <w:rsid w:val="00202704"/>
    <w:rsid w:val="00202825"/>
    <w:rsid w:val="00202871"/>
    <w:rsid w:val="002028B5"/>
    <w:rsid w:val="00202A20"/>
    <w:rsid w:val="00202AFA"/>
    <w:rsid w:val="00202BF8"/>
    <w:rsid w:val="00202C6D"/>
    <w:rsid w:val="00202CA8"/>
    <w:rsid w:val="00202CC9"/>
    <w:rsid w:val="00202DB4"/>
    <w:rsid w:val="00202E24"/>
    <w:rsid w:val="00202E4C"/>
    <w:rsid w:val="00202F6F"/>
    <w:rsid w:val="0020309F"/>
    <w:rsid w:val="00203169"/>
    <w:rsid w:val="002031DE"/>
    <w:rsid w:val="002031EE"/>
    <w:rsid w:val="0020321C"/>
    <w:rsid w:val="0020331C"/>
    <w:rsid w:val="002034E9"/>
    <w:rsid w:val="0020359C"/>
    <w:rsid w:val="002035EE"/>
    <w:rsid w:val="0020364E"/>
    <w:rsid w:val="002037B6"/>
    <w:rsid w:val="0020380F"/>
    <w:rsid w:val="002038CC"/>
    <w:rsid w:val="00203913"/>
    <w:rsid w:val="00203978"/>
    <w:rsid w:val="0020397D"/>
    <w:rsid w:val="002039D1"/>
    <w:rsid w:val="00203B5B"/>
    <w:rsid w:val="00203C47"/>
    <w:rsid w:val="00203CBE"/>
    <w:rsid w:val="00203CED"/>
    <w:rsid w:val="00203DFE"/>
    <w:rsid w:val="00203FCA"/>
    <w:rsid w:val="00203FF4"/>
    <w:rsid w:val="0020401E"/>
    <w:rsid w:val="00204109"/>
    <w:rsid w:val="00204129"/>
    <w:rsid w:val="00204171"/>
    <w:rsid w:val="002041AF"/>
    <w:rsid w:val="002044E3"/>
    <w:rsid w:val="0020452E"/>
    <w:rsid w:val="0020455D"/>
    <w:rsid w:val="002045B1"/>
    <w:rsid w:val="00204699"/>
    <w:rsid w:val="002046BD"/>
    <w:rsid w:val="0020483B"/>
    <w:rsid w:val="00204866"/>
    <w:rsid w:val="0020497D"/>
    <w:rsid w:val="00204CAA"/>
    <w:rsid w:val="00204D08"/>
    <w:rsid w:val="00204D21"/>
    <w:rsid w:val="00204DCB"/>
    <w:rsid w:val="00204E78"/>
    <w:rsid w:val="00204EFA"/>
    <w:rsid w:val="0020507E"/>
    <w:rsid w:val="002050C6"/>
    <w:rsid w:val="002051F9"/>
    <w:rsid w:val="00205292"/>
    <w:rsid w:val="002052CA"/>
    <w:rsid w:val="00205410"/>
    <w:rsid w:val="0020544E"/>
    <w:rsid w:val="002054B2"/>
    <w:rsid w:val="002054E7"/>
    <w:rsid w:val="00205506"/>
    <w:rsid w:val="002055C3"/>
    <w:rsid w:val="0020568C"/>
    <w:rsid w:val="0020570D"/>
    <w:rsid w:val="0020572A"/>
    <w:rsid w:val="0020574A"/>
    <w:rsid w:val="0020574F"/>
    <w:rsid w:val="0020584C"/>
    <w:rsid w:val="00205A29"/>
    <w:rsid w:val="00205AD9"/>
    <w:rsid w:val="00205C0B"/>
    <w:rsid w:val="00205C1C"/>
    <w:rsid w:val="00205C5C"/>
    <w:rsid w:val="00205C61"/>
    <w:rsid w:val="00205CB9"/>
    <w:rsid w:val="00205D34"/>
    <w:rsid w:val="00205E1F"/>
    <w:rsid w:val="00205E2F"/>
    <w:rsid w:val="00205EE9"/>
    <w:rsid w:val="002060BD"/>
    <w:rsid w:val="002060CF"/>
    <w:rsid w:val="002065BC"/>
    <w:rsid w:val="00206686"/>
    <w:rsid w:val="0020677C"/>
    <w:rsid w:val="0020679B"/>
    <w:rsid w:val="00206836"/>
    <w:rsid w:val="0020689F"/>
    <w:rsid w:val="002068E2"/>
    <w:rsid w:val="0020691C"/>
    <w:rsid w:val="00206980"/>
    <w:rsid w:val="00206B54"/>
    <w:rsid w:val="00206C50"/>
    <w:rsid w:val="00206C89"/>
    <w:rsid w:val="00206D12"/>
    <w:rsid w:val="00206D86"/>
    <w:rsid w:val="00206E58"/>
    <w:rsid w:val="0020701C"/>
    <w:rsid w:val="0020705A"/>
    <w:rsid w:val="0020713F"/>
    <w:rsid w:val="002071E4"/>
    <w:rsid w:val="00207421"/>
    <w:rsid w:val="00207452"/>
    <w:rsid w:val="00207546"/>
    <w:rsid w:val="0020754B"/>
    <w:rsid w:val="00207565"/>
    <w:rsid w:val="002075A7"/>
    <w:rsid w:val="002075B3"/>
    <w:rsid w:val="00207749"/>
    <w:rsid w:val="002077DB"/>
    <w:rsid w:val="00207823"/>
    <w:rsid w:val="0020784B"/>
    <w:rsid w:val="00207AE7"/>
    <w:rsid w:val="00207B5B"/>
    <w:rsid w:val="00207B70"/>
    <w:rsid w:val="00207C73"/>
    <w:rsid w:val="00207CC4"/>
    <w:rsid w:val="00207D80"/>
    <w:rsid w:val="00207F1E"/>
    <w:rsid w:val="00210066"/>
    <w:rsid w:val="00210084"/>
    <w:rsid w:val="00210096"/>
    <w:rsid w:val="0021009D"/>
    <w:rsid w:val="0021019A"/>
    <w:rsid w:val="00210284"/>
    <w:rsid w:val="002102E7"/>
    <w:rsid w:val="0021044B"/>
    <w:rsid w:val="0021045A"/>
    <w:rsid w:val="0021048E"/>
    <w:rsid w:val="0021056B"/>
    <w:rsid w:val="00210581"/>
    <w:rsid w:val="0021061C"/>
    <w:rsid w:val="002106BC"/>
    <w:rsid w:val="002106E9"/>
    <w:rsid w:val="00210724"/>
    <w:rsid w:val="00210761"/>
    <w:rsid w:val="00210773"/>
    <w:rsid w:val="002108B2"/>
    <w:rsid w:val="002108C1"/>
    <w:rsid w:val="002108C5"/>
    <w:rsid w:val="002108F2"/>
    <w:rsid w:val="0021097A"/>
    <w:rsid w:val="00210A19"/>
    <w:rsid w:val="00210C81"/>
    <w:rsid w:val="00210CBF"/>
    <w:rsid w:val="00210D22"/>
    <w:rsid w:val="00210D3D"/>
    <w:rsid w:val="00210EEA"/>
    <w:rsid w:val="00210EFD"/>
    <w:rsid w:val="00210F6A"/>
    <w:rsid w:val="00210FDA"/>
    <w:rsid w:val="0021108B"/>
    <w:rsid w:val="00211097"/>
    <w:rsid w:val="002110C8"/>
    <w:rsid w:val="002111AD"/>
    <w:rsid w:val="0021123F"/>
    <w:rsid w:val="00211321"/>
    <w:rsid w:val="00211402"/>
    <w:rsid w:val="00211410"/>
    <w:rsid w:val="0021147C"/>
    <w:rsid w:val="002114DC"/>
    <w:rsid w:val="00211502"/>
    <w:rsid w:val="0021153A"/>
    <w:rsid w:val="0021157E"/>
    <w:rsid w:val="00211672"/>
    <w:rsid w:val="002116AE"/>
    <w:rsid w:val="002116B7"/>
    <w:rsid w:val="00211715"/>
    <w:rsid w:val="0021172D"/>
    <w:rsid w:val="00211742"/>
    <w:rsid w:val="00211834"/>
    <w:rsid w:val="0021183C"/>
    <w:rsid w:val="00211842"/>
    <w:rsid w:val="002118CC"/>
    <w:rsid w:val="00211974"/>
    <w:rsid w:val="002119F5"/>
    <w:rsid w:val="00211A6B"/>
    <w:rsid w:val="00211BB8"/>
    <w:rsid w:val="00211BF0"/>
    <w:rsid w:val="00211CF0"/>
    <w:rsid w:val="00211E0A"/>
    <w:rsid w:val="00211E1B"/>
    <w:rsid w:val="00211FC3"/>
    <w:rsid w:val="0021204D"/>
    <w:rsid w:val="0021208D"/>
    <w:rsid w:val="002121CB"/>
    <w:rsid w:val="002121E8"/>
    <w:rsid w:val="00212315"/>
    <w:rsid w:val="002124EA"/>
    <w:rsid w:val="0021257D"/>
    <w:rsid w:val="002125C6"/>
    <w:rsid w:val="00212655"/>
    <w:rsid w:val="0021273B"/>
    <w:rsid w:val="00212780"/>
    <w:rsid w:val="00212782"/>
    <w:rsid w:val="002127FC"/>
    <w:rsid w:val="00212889"/>
    <w:rsid w:val="002128F8"/>
    <w:rsid w:val="002128FB"/>
    <w:rsid w:val="00212B00"/>
    <w:rsid w:val="00212B62"/>
    <w:rsid w:val="00212BA9"/>
    <w:rsid w:val="00212BCC"/>
    <w:rsid w:val="00212C17"/>
    <w:rsid w:val="00212CEE"/>
    <w:rsid w:val="00212CFC"/>
    <w:rsid w:val="00212D5F"/>
    <w:rsid w:val="00212DBC"/>
    <w:rsid w:val="00212E2D"/>
    <w:rsid w:val="00213135"/>
    <w:rsid w:val="00213292"/>
    <w:rsid w:val="002132B9"/>
    <w:rsid w:val="002133CF"/>
    <w:rsid w:val="00213414"/>
    <w:rsid w:val="00213466"/>
    <w:rsid w:val="0021349C"/>
    <w:rsid w:val="0021360B"/>
    <w:rsid w:val="00213613"/>
    <w:rsid w:val="00213649"/>
    <w:rsid w:val="002136FE"/>
    <w:rsid w:val="002137A4"/>
    <w:rsid w:val="0021385B"/>
    <w:rsid w:val="0021393B"/>
    <w:rsid w:val="002139C6"/>
    <w:rsid w:val="00213B0E"/>
    <w:rsid w:val="00213B75"/>
    <w:rsid w:val="00213BF3"/>
    <w:rsid w:val="00213C29"/>
    <w:rsid w:val="00213DBC"/>
    <w:rsid w:val="00213F15"/>
    <w:rsid w:val="00213F1A"/>
    <w:rsid w:val="002140DC"/>
    <w:rsid w:val="00214258"/>
    <w:rsid w:val="002143D5"/>
    <w:rsid w:val="0021441F"/>
    <w:rsid w:val="0021452D"/>
    <w:rsid w:val="00214612"/>
    <w:rsid w:val="002146C9"/>
    <w:rsid w:val="00214887"/>
    <w:rsid w:val="0021490B"/>
    <w:rsid w:val="00214AD7"/>
    <w:rsid w:val="00214B5E"/>
    <w:rsid w:val="00214B7E"/>
    <w:rsid w:val="00214C14"/>
    <w:rsid w:val="00214C29"/>
    <w:rsid w:val="00214D96"/>
    <w:rsid w:val="00214E2C"/>
    <w:rsid w:val="00214E76"/>
    <w:rsid w:val="002151E8"/>
    <w:rsid w:val="002152B7"/>
    <w:rsid w:val="002152DE"/>
    <w:rsid w:val="0021536D"/>
    <w:rsid w:val="002153E7"/>
    <w:rsid w:val="00215453"/>
    <w:rsid w:val="002154A0"/>
    <w:rsid w:val="00215520"/>
    <w:rsid w:val="00215638"/>
    <w:rsid w:val="00215688"/>
    <w:rsid w:val="00215693"/>
    <w:rsid w:val="002156E7"/>
    <w:rsid w:val="00215788"/>
    <w:rsid w:val="002157D5"/>
    <w:rsid w:val="002157EF"/>
    <w:rsid w:val="00215895"/>
    <w:rsid w:val="002158EE"/>
    <w:rsid w:val="002159CD"/>
    <w:rsid w:val="002159E2"/>
    <w:rsid w:val="00215AF0"/>
    <w:rsid w:val="00215B55"/>
    <w:rsid w:val="00215C14"/>
    <w:rsid w:val="00215CBF"/>
    <w:rsid w:val="00215E2D"/>
    <w:rsid w:val="0021601B"/>
    <w:rsid w:val="0021605C"/>
    <w:rsid w:val="00216067"/>
    <w:rsid w:val="00216079"/>
    <w:rsid w:val="00216089"/>
    <w:rsid w:val="00216142"/>
    <w:rsid w:val="00216155"/>
    <w:rsid w:val="002161A7"/>
    <w:rsid w:val="00216208"/>
    <w:rsid w:val="00216241"/>
    <w:rsid w:val="002162C7"/>
    <w:rsid w:val="0021643C"/>
    <w:rsid w:val="0021643E"/>
    <w:rsid w:val="00216482"/>
    <w:rsid w:val="00216551"/>
    <w:rsid w:val="002165DD"/>
    <w:rsid w:val="00216658"/>
    <w:rsid w:val="002166E3"/>
    <w:rsid w:val="0021688F"/>
    <w:rsid w:val="002168F0"/>
    <w:rsid w:val="0021698D"/>
    <w:rsid w:val="00216A3A"/>
    <w:rsid w:val="00216A8F"/>
    <w:rsid w:val="00216B9A"/>
    <w:rsid w:val="00216BB8"/>
    <w:rsid w:val="00216CD8"/>
    <w:rsid w:val="00216D32"/>
    <w:rsid w:val="00216DC2"/>
    <w:rsid w:val="00216DE1"/>
    <w:rsid w:val="00216DE6"/>
    <w:rsid w:val="00216E83"/>
    <w:rsid w:val="00216FEE"/>
    <w:rsid w:val="00217020"/>
    <w:rsid w:val="002170F8"/>
    <w:rsid w:val="0021712A"/>
    <w:rsid w:val="0021718E"/>
    <w:rsid w:val="002171DA"/>
    <w:rsid w:val="00217286"/>
    <w:rsid w:val="00217289"/>
    <w:rsid w:val="0021729A"/>
    <w:rsid w:val="00217319"/>
    <w:rsid w:val="00217334"/>
    <w:rsid w:val="0021736A"/>
    <w:rsid w:val="002173E1"/>
    <w:rsid w:val="002174C7"/>
    <w:rsid w:val="002174F8"/>
    <w:rsid w:val="0021752B"/>
    <w:rsid w:val="002176D1"/>
    <w:rsid w:val="0021777F"/>
    <w:rsid w:val="002177D5"/>
    <w:rsid w:val="0021783E"/>
    <w:rsid w:val="0021791B"/>
    <w:rsid w:val="00217975"/>
    <w:rsid w:val="00217BBA"/>
    <w:rsid w:val="00217C11"/>
    <w:rsid w:val="00217C22"/>
    <w:rsid w:val="00217C2A"/>
    <w:rsid w:val="00217C71"/>
    <w:rsid w:val="00217D12"/>
    <w:rsid w:val="00217ED4"/>
    <w:rsid w:val="00217F48"/>
    <w:rsid w:val="0022019A"/>
    <w:rsid w:val="002201D4"/>
    <w:rsid w:val="002201DA"/>
    <w:rsid w:val="00220321"/>
    <w:rsid w:val="00220392"/>
    <w:rsid w:val="0022041B"/>
    <w:rsid w:val="0022053E"/>
    <w:rsid w:val="002205B9"/>
    <w:rsid w:val="00220621"/>
    <w:rsid w:val="002206AD"/>
    <w:rsid w:val="002206F9"/>
    <w:rsid w:val="002207EC"/>
    <w:rsid w:val="0022087A"/>
    <w:rsid w:val="0022089E"/>
    <w:rsid w:val="002208CA"/>
    <w:rsid w:val="00220A9E"/>
    <w:rsid w:val="00220B32"/>
    <w:rsid w:val="00220B78"/>
    <w:rsid w:val="00220BAD"/>
    <w:rsid w:val="00220C34"/>
    <w:rsid w:val="00220C45"/>
    <w:rsid w:val="00220EF2"/>
    <w:rsid w:val="00221168"/>
    <w:rsid w:val="00221369"/>
    <w:rsid w:val="00221376"/>
    <w:rsid w:val="002213CF"/>
    <w:rsid w:val="00221658"/>
    <w:rsid w:val="00221728"/>
    <w:rsid w:val="0022178B"/>
    <w:rsid w:val="00221879"/>
    <w:rsid w:val="002218E3"/>
    <w:rsid w:val="00221938"/>
    <w:rsid w:val="002219DD"/>
    <w:rsid w:val="002219F7"/>
    <w:rsid w:val="00221A1D"/>
    <w:rsid w:val="00221A6A"/>
    <w:rsid w:val="00221AA5"/>
    <w:rsid w:val="00221B22"/>
    <w:rsid w:val="00221C81"/>
    <w:rsid w:val="00221CBB"/>
    <w:rsid w:val="00221D4A"/>
    <w:rsid w:val="00221F6F"/>
    <w:rsid w:val="0022203C"/>
    <w:rsid w:val="0022206D"/>
    <w:rsid w:val="002222FE"/>
    <w:rsid w:val="0022241B"/>
    <w:rsid w:val="002224AD"/>
    <w:rsid w:val="0022252F"/>
    <w:rsid w:val="00222592"/>
    <w:rsid w:val="002225AA"/>
    <w:rsid w:val="002225C9"/>
    <w:rsid w:val="002225F4"/>
    <w:rsid w:val="0022281C"/>
    <w:rsid w:val="00222AB2"/>
    <w:rsid w:val="00222B51"/>
    <w:rsid w:val="00222BD5"/>
    <w:rsid w:val="00222BEA"/>
    <w:rsid w:val="00222C5A"/>
    <w:rsid w:val="00222C63"/>
    <w:rsid w:val="00222CB8"/>
    <w:rsid w:val="00222CF1"/>
    <w:rsid w:val="00222D14"/>
    <w:rsid w:val="00222E06"/>
    <w:rsid w:val="00222F9C"/>
    <w:rsid w:val="0022301C"/>
    <w:rsid w:val="00223029"/>
    <w:rsid w:val="0022319B"/>
    <w:rsid w:val="00223204"/>
    <w:rsid w:val="00223274"/>
    <w:rsid w:val="00223294"/>
    <w:rsid w:val="00223667"/>
    <w:rsid w:val="002237F8"/>
    <w:rsid w:val="00223825"/>
    <w:rsid w:val="00223995"/>
    <w:rsid w:val="00223A16"/>
    <w:rsid w:val="00223A5B"/>
    <w:rsid w:val="00223B65"/>
    <w:rsid w:val="00223BCB"/>
    <w:rsid w:val="00223D77"/>
    <w:rsid w:val="00223F2F"/>
    <w:rsid w:val="00224007"/>
    <w:rsid w:val="00224019"/>
    <w:rsid w:val="00224042"/>
    <w:rsid w:val="002240AC"/>
    <w:rsid w:val="002242CB"/>
    <w:rsid w:val="0022434B"/>
    <w:rsid w:val="00224370"/>
    <w:rsid w:val="002244A3"/>
    <w:rsid w:val="00224543"/>
    <w:rsid w:val="002245A9"/>
    <w:rsid w:val="002246E8"/>
    <w:rsid w:val="0022472A"/>
    <w:rsid w:val="002247F2"/>
    <w:rsid w:val="00224828"/>
    <w:rsid w:val="002248CA"/>
    <w:rsid w:val="002248CB"/>
    <w:rsid w:val="00224965"/>
    <w:rsid w:val="00224A4B"/>
    <w:rsid w:val="00224AC2"/>
    <w:rsid w:val="00224B8F"/>
    <w:rsid w:val="00224CA0"/>
    <w:rsid w:val="00224D73"/>
    <w:rsid w:val="00224D91"/>
    <w:rsid w:val="00224DC3"/>
    <w:rsid w:val="00224F92"/>
    <w:rsid w:val="0022503A"/>
    <w:rsid w:val="0022520C"/>
    <w:rsid w:val="00225240"/>
    <w:rsid w:val="0022529A"/>
    <w:rsid w:val="00225304"/>
    <w:rsid w:val="0022535F"/>
    <w:rsid w:val="00225363"/>
    <w:rsid w:val="0022540F"/>
    <w:rsid w:val="0022559F"/>
    <w:rsid w:val="002255B2"/>
    <w:rsid w:val="00225670"/>
    <w:rsid w:val="00225683"/>
    <w:rsid w:val="002256B3"/>
    <w:rsid w:val="002258FF"/>
    <w:rsid w:val="00225947"/>
    <w:rsid w:val="002259A5"/>
    <w:rsid w:val="00225A81"/>
    <w:rsid w:val="00225AAC"/>
    <w:rsid w:val="00225AE8"/>
    <w:rsid w:val="00225B80"/>
    <w:rsid w:val="00225C0C"/>
    <w:rsid w:val="00225C1C"/>
    <w:rsid w:val="00225D83"/>
    <w:rsid w:val="00225E8F"/>
    <w:rsid w:val="00225F3B"/>
    <w:rsid w:val="00225FE1"/>
    <w:rsid w:val="002260C7"/>
    <w:rsid w:val="002260CF"/>
    <w:rsid w:val="00226192"/>
    <w:rsid w:val="002261EF"/>
    <w:rsid w:val="002261FB"/>
    <w:rsid w:val="00226204"/>
    <w:rsid w:val="00226207"/>
    <w:rsid w:val="0022637C"/>
    <w:rsid w:val="002263B9"/>
    <w:rsid w:val="002263BB"/>
    <w:rsid w:val="0022640F"/>
    <w:rsid w:val="00226411"/>
    <w:rsid w:val="00226516"/>
    <w:rsid w:val="0022652D"/>
    <w:rsid w:val="0022654A"/>
    <w:rsid w:val="0022657E"/>
    <w:rsid w:val="00226674"/>
    <w:rsid w:val="002266AD"/>
    <w:rsid w:val="0022675D"/>
    <w:rsid w:val="0022691D"/>
    <w:rsid w:val="002269ED"/>
    <w:rsid w:val="00226A3F"/>
    <w:rsid w:val="00226AE9"/>
    <w:rsid w:val="00226B20"/>
    <w:rsid w:val="00226B53"/>
    <w:rsid w:val="00226C71"/>
    <w:rsid w:val="00226C8F"/>
    <w:rsid w:val="00226D63"/>
    <w:rsid w:val="00226EB5"/>
    <w:rsid w:val="00226FED"/>
    <w:rsid w:val="002270F3"/>
    <w:rsid w:val="00227105"/>
    <w:rsid w:val="00227136"/>
    <w:rsid w:val="002272EF"/>
    <w:rsid w:val="0022743B"/>
    <w:rsid w:val="002274BC"/>
    <w:rsid w:val="00227570"/>
    <w:rsid w:val="00227761"/>
    <w:rsid w:val="0022793B"/>
    <w:rsid w:val="002279BA"/>
    <w:rsid w:val="002279FC"/>
    <w:rsid w:val="00227B2D"/>
    <w:rsid w:val="00227BD9"/>
    <w:rsid w:val="00227C3C"/>
    <w:rsid w:val="00227CD5"/>
    <w:rsid w:val="00227D19"/>
    <w:rsid w:val="00227D75"/>
    <w:rsid w:val="00227DB7"/>
    <w:rsid w:val="00227E4C"/>
    <w:rsid w:val="00227EDD"/>
    <w:rsid w:val="00227F96"/>
    <w:rsid w:val="0023012C"/>
    <w:rsid w:val="00230149"/>
    <w:rsid w:val="0023017A"/>
    <w:rsid w:val="0023018B"/>
    <w:rsid w:val="00230196"/>
    <w:rsid w:val="00230275"/>
    <w:rsid w:val="0023027C"/>
    <w:rsid w:val="002303B9"/>
    <w:rsid w:val="002303D2"/>
    <w:rsid w:val="0023044F"/>
    <w:rsid w:val="002304DE"/>
    <w:rsid w:val="002305FF"/>
    <w:rsid w:val="0023063A"/>
    <w:rsid w:val="002306B0"/>
    <w:rsid w:val="00230753"/>
    <w:rsid w:val="00230A39"/>
    <w:rsid w:val="00230A74"/>
    <w:rsid w:val="00230D59"/>
    <w:rsid w:val="00230E60"/>
    <w:rsid w:val="00230E98"/>
    <w:rsid w:val="002310FE"/>
    <w:rsid w:val="00231180"/>
    <w:rsid w:val="00231234"/>
    <w:rsid w:val="002312A8"/>
    <w:rsid w:val="0023152A"/>
    <w:rsid w:val="00231588"/>
    <w:rsid w:val="002315E8"/>
    <w:rsid w:val="00231716"/>
    <w:rsid w:val="002317C3"/>
    <w:rsid w:val="00231893"/>
    <w:rsid w:val="00231898"/>
    <w:rsid w:val="0023190E"/>
    <w:rsid w:val="00231926"/>
    <w:rsid w:val="0023194C"/>
    <w:rsid w:val="00231A7F"/>
    <w:rsid w:val="00231AB7"/>
    <w:rsid w:val="00231B5F"/>
    <w:rsid w:val="00231B60"/>
    <w:rsid w:val="00231BAB"/>
    <w:rsid w:val="00231BC5"/>
    <w:rsid w:val="00231DBF"/>
    <w:rsid w:val="00231F2F"/>
    <w:rsid w:val="00231F69"/>
    <w:rsid w:val="00232009"/>
    <w:rsid w:val="002320EA"/>
    <w:rsid w:val="00232399"/>
    <w:rsid w:val="002323C9"/>
    <w:rsid w:val="002323FA"/>
    <w:rsid w:val="00232434"/>
    <w:rsid w:val="00232449"/>
    <w:rsid w:val="00232600"/>
    <w:rsid w:val="002326CC"/>
    <w:rsid w:val="002326E1"/>
    <w:rsid w:val="00232806"/>
    <w:rsid w:val="002328FB"/>
    <w:rsid w:val="00232919"/>
    <w:rsid w:val="002329C7"/>
    <w:rsid w:val="002329D2"/>
    <w:rsid w:val="00232A64"/>
    <w:rsid w:val="00232AD8"/>
    <w:rsid w:val="00232B47"/>
    <w:rsid w:val="00232BC3"/>
    <w:rsid w:val="00232C56"/>
    <w:rsid w:val="00232C5B"/>
    <w:rsid w:val="00232C8E"/>
    <w:rsid w:val="00232C99"/>
    <w:rsid w:val="00232D3D"/>
    <w:rsid w:val="00232D4B"/>
    <w:rsid w:val="00232E03"/>
    <w:rsid w:val="00232F0D"/>
    <w:rsid w:val="00233027"/>
    <w:rsid w:val="00233120"/>
    <w:rsid w:val="00233181"/>
    <w:rsid w:val="002331BC"/>
    <w:rsid w:val="0023322A"/>
    <w:rsid w:val="0023323F"/>
    <w:rsid w:val="00233261"/>
    <w:rsid w:val="0023328F"/>
    <w:rsid w:val="002332E3"/>
    <w:rsid w:val="00233334"/>
    <w:rsid w:val="00233486"/>
    <w:rsid w:val="0023349F"/>
    <w:rsid w:val="002334E2"/>
    <w:rsid w:val="002334F9"/>
    <w:rsid w:val="00233590"/>
    <w:rsid w:val="002335EE"/>
    <w:rsid w:val="0023363B"/>
    <w:rsid w:val="00233642"/>
    <w:rsid w:val="00233707"/>
    <w:rsid w:val="0023375B"/>
    <w:rsid w:val="002337C6"/>
    <w:rsid w:val="00233822"/>
    <w:rsid w:val="002338FA"/>
    <w:rsid w:val="00233934"/>
    <w:rsid w:val="00233A5A"/>
    <w:rsid w:val="00233C7A"/>
    <w:rsid w:val="00233C9D"/>
    <w:rsid w:val="00233CF3"/>
    <w:rsid w:val="00233DED"/>
    <w:rsid w:val="00233E2F"/>
    <w:rsid w:val="00233F1C"/>
    <w:rsid w:val="00233F76"/>
    <w:rsid w:val="00233F81"/>
    <w:rsid w:val="00233FA0"/>
    <w:rsid w:val="00234053"/>
    <w:rsid w:val="0023405C"/>
    <w:rsid w:val="00234194"/>
    <w:rsid w:val="002341CA"/>
    <w:rsid w:val="00234223"/>
    <w:rsid w:val="002342F3"/>
    <w:rsid w:val="00234397"/>
    <w:rsid w:val="0023450D"/>
    <w:rsid w:val="00234639"/>
    <w:rsid w:val="002346E4"/>
    <w:rsid w:val="00234708"/>
    <w:rsid w:val="00234761"/>
    <w:rsid w:val="00234A7C"/>
    <w:rsid w:val="00234C03"/>
    <w:rsid w:val="00234C7B"/>
    <w:rsid w:val="00234CB7"/>
    <w:rsid w:val="00234D11"/>
    <w:rsid w:val="00234D65"/>
    <w:rsid w:val="00234EA8"/>
    <w:rsid w:val="00234EBC"/>
    <w:rsid w:val="0023510E"/>
    <w:rsid w:val="002351ED"/>
    <w:rsid w:val="002351F8"/>
    <w:rsid w:val="00235250"/>
    <w:rsid w:val="0023535D"/>
    <w:rsid w:val="0023545F"/>
    <w:rsid w:val="00235567"/>
    <w:rsid w:val="002355D5"/>
    <w:rsid w:val="00235777"/>
    <w:rsid w:val="002357B9"/>
    <w:rsid w:val="002357C9"/>
    <w:rsid w:val="0023587C"/>
    <w:rsid w:val="00235979"/>
    <w:rsid w:val="00235A1B"/>
    <w:rsid w:val="00235C2A"/>
    <w:rsid w:val="00235C34"/>
    <w:rsid w:val="00235D6A"/>
    <w:rsid w:val="00235D6C"/>
    <w:rsid w:val="00235DDA"/>
    <w:rsid w:val="00235E68"/>
    <w:rsid w:val="00235F1C"/>
    <w:rsid w:val="00235FE8"/>
    <w:rsid w:val="00236012"/>
    <w:rsid w:val="002360B8"/>
    <w:rsid w:val="002361F9"/>
    <w:rsid w:val="0023640D"/>
    <w:rsid w:val="00236417"/>
    <w:rsid w:val="00236634"/>
    <w:rsid w:val="002366BC"/>
    <w:rsid w:val="00236893"/>
    <w:rsid w:val="00236A64"/>
    <w:rsid w:val="00236BBE"/>
    <w:rsid w:val="00236BD4"/>
    <w:rsid w:val="00236BE8"/>
    <w:rsid w:val="00236C14"/>
    <w:rsid w:val="00236DB3"/>
    <w:rsid w:val="00236FF4"/>
    <w:rsid w:val="00236FFA"/>
    <w:rsid w:val="0023703B"/>
    <w:rsid w:val="00237225"/>
    <w:rsid w:val="0023729B"/>
    <w:rsid w:val="0023750A"/>
    <w:rsid w:val="00237588"/>
    <w:rsid w:val="002375D9"/>
    <w:rsid w:val="00237601"/>
    <w:rsid w:val="002376AE"/>
    <w:rsid w:val="002376D3"/>
    <w:rsid w:val="002376E5"/>
    <w:rsid w:val="002377D9"/>
    <w:rsid w:val="002378C4"/>
    <w:rsid w:val="00237977"/>
    <w:rsid w:val="0023798E"/>
    <w:rsid w:val="00237AC7"/>
    <w:rsid w:val="00237AEE"/>
    <w:rsid w:val="00237BF0"/>
    <w:rsid w:val="00237D78"/>
    <w:rsid w:val="00237DFC"/>
    <w:rsid w:val="00237EDF"/>
    <w:rsid w:val="00240109"/>
    <w:rsid w:val="00240116"/>
    <w:rsid w:val="0024012F"/>
    <w:rsid w:val="0024026D"/>
    <w:rsid w:val="00240367"/>
    <w:rsid w:val="00240458"/>
    <w:rsid w:val="002404F6"/>
    <w:rsid w:val="00240532"/>
    <w:rsid w:val="0024055A"/>
    <w:rsid w:val="002405B1"/>
    <w:rsid w:val="002405D1"/>
    <w:rsid w:val="00240649"/>
    <w:rsid w:val="0024065B"/>
    <w:rsid w:val="002406DC"/>
    <w:rsid w:val="002406ED"/>
    <w:rsid w:val="00240767"/>
    <w:rsid w:val="00240825"/>
    <w:rsid w:val="00240851"/>
    <w:rsid w:val="002409B5"/>
    <w:rsid w:val="002409E8"/>
    <w:rsid w:val="00240A42"/>
    <w:rsid w:val="00240A83"/>
    <w:rsid w:val="00240B5E"/>
    <w:rsid w:val="00240B74"/>
    <w:rsid w:val="00240BA0"/>
    <w:rsid w:val="00240BA3"/>
    <w:rsid w:val="00240C82"/>
    <w:rsid w:val="00240C88"/>
    <w:rsid w:val="00240F3A"/>
    <w:rsid w:val="00240F40"/>
    <w:rsid w:val="00240F80"/>
    <w:rsid w:val="00240FE2"/>
    <w:rsid w:val="00241026"/>
    <w:rsid w:val="002410C2"/>
    <w:rsid w:val="0024121D"/>
    <w:rsid w:val="00241226"/>
    <w:rsid w:val="00241297"/>
    <w:rsid w:val="00241398"/>
    <w:rsid w:val="00241434"/>
    <w:rsid w:val="00241600"/>
    <w:rsid w:val="00241601"/>
    <w:rsid w:val="0024167E"/>
    <w:rsid w:val="002416E2"/>
    <w:rsid w:val="0024171F"/>
    <w:rsid w:val="00241738"/>
    <w:rsid w:val="00241744"/>
    <w:rsid w:val="00241758"/>
    <w:rsid w:val="002417DC"/>
    <w:rsid w:val="002418CB"/>
    <w:rsid w:val="00241919"/>
    <w:rsid w:val="00241930"/>
    <w:rsid w:val="00241971"/>
    <w:rsid w:val="002419FB"/>
    <w:rsid w:val="00241A16"/>
    <w:rsid w:val="00241A4A"/>
    <w:rsid w:val="00241BB8"/>
    <w:rsid w:val="00241BF8"/>
    <w:rsid w:val="00241D10"/>
    <w:rsid w:val="00241E01"/>
    <w:rsid w:val="00241E1C"/>
    <w:rsid w:val="00241E2A"/>
    <w:rsid w:val="00241E2E"/>
    <w:rsid w:val="00241EE6"/>
    <w:rsid w:val="00241FF5"/>
    <w:rsid w:val="00242136"/>
    <w:rsid w:val="0024220C"/>
    <w:rsid w:val="00242227"/>
    <w:rsid w:val="0024222E"/>
    <w:rsid w:val="0024224F"/>
    <w:rsid w:val="002422A5"/>
    <w:rsid w:val="00242523"/>
    <w:rsid w:val="00242531"/>
    <w:rsid w:val="00242590"/>
    <w:rsid w:val="0024259E"/>
    <w:rsid w:val="0024272E"/>
    <w:rsid w:val="00242808"/>
    <w:rsid w:val="002428A8"/>
    <w:rsid w:val="0024290A"/>
    <w:rsid w:val="00242AC1"/>
    <w:rsid w:val="00242AF0"/>
    <w:rsid w:val="00242B26"/>
    <w:rsid w:val="00242B3B"/>
    <w:rsid w:val="00242B75"/>
    <w:rsid w:val="00242B7D"/>
    <w:rsid w:val="00242D0E"/>
    <w:rsid w:val="00242F01"/>
    <w:rsid w:val="0024302F"/>
    <w:rsid w:val="00243096"/>
    <w:rsid w:val="002430BD"/>
    <w:rsid w:val="00243121"/>
    <w:rsid w:val="0024329B"/>
    <w:rsid w:val="002433F9"/>
    <w:rsid w:val="00243429"/>
    <w:rsid w:val="002435B8"/>
    <w:rsid w:val="0024393E"/>
    <w:rsid w:val="00243A19"/>
    <w:rsid w:val="00243A24"/>
    <w:rsid w:val="00243A9C"/>
    <w:rsid w:val="00243AD3"/>
    <w:rsid w:val="00243AEA"/>
    <w:rsid w:val="00243BB9"/>
    <w:rsid w:val="00243BC3"/>
    <w:rsid w:val="00243C14"/>
    <w:rsid w:val="00243C46"/>
    <w:rsid w:val="00243E56"/>
    <w:rsid w:val="00243F20"/>
    <w:rsid w:val="00243F2D"/>
    <w:rsid w:val="00243FF6"/>
    <w:rsid w:val="0024415C"/>
    <w:rsid w:val="002443AD"/>
    <w:rsid w:val="002443C8"/>
    <w:rsid w:val="00244432"/>
    <w:rsid w:val="002444E7"/>
    <w:rsid w:val="00244521"/>
    <w:rsid w:val="00244583"/>
    <w:rsid w:val="002445CC"/>
    <w:rsid w:val="0024475F"/>
    <w:rsid w:val="00244780"/>
    <w:rsid w:val="00244804"/>
    <w:rsid w:val="002448B0"/>
    <w:rsid w:val="002448F5"/>
    <w:rsid w:val="0024492B"/>
    <w:rsid w:val="00244938"/>
    <w:rsid w:val="00244A27"/>
    <w:rsid w:val="00244A61"/>
    <w:rsid w:val="00244AF6"/>
    <w:rsid w:val="00244BDA"/>
    <w:rsid w:val="00244CEB"/>
    <w:rsid w:val="00244F7D"/>
    <w:rsid w:val="00244FA5"/>
    <w:rsid w:val="00245027"/>
    <w:rsid w:val="0024504D"/>
    <w:rsid w:val="002450CA"/>
    <w:rsid w:val="002451C7"/>
    <w:rsid w:val="00245237"/>
    <w:rsid w:val="002452CE"/>
    <w:rsid w:val="0024530F"/>
    <w:rsid w:val="00245314"/>
    <w:rsid w:val="00245323"/>
    <w:rsid w:val="0024534B"/>
    <w:rsid w:val="002453F6"/>
    <w:rsid w:val="0024543D"/>
    <w:rsid w:val="002454D8"/>
    <w:rsid w:val="00245533"/>
    <w:rsid w:val="002455DA"/>
    <w:rsid w:val="002456D7"/>
    <w:rsid w:val="002456E5"/>
    <w:rsid w:val="002457C8"/>
    <w:rsid w:val="00245803"/>
    <w:rsid w:val="0024581E"/>
    <w:rsid w:val="002458C5"/>
    <w:rsid w:val="002458FA"/>
    <w:rsid w:val="00245BC4"/>
    <w:rsid w:val="00245C9C"/>
    <w:rsid w:val="00245D01"/>
    <w:rsid w:val="00245E70"/>
    <w:rsid w:val="00245F90"/>
    <w:rsid w:val="00245FB8"/>
    <w:rsid w:val="00246070"/>
    <w:rsid w:val="0024607F"/>
    <w:rsid w:val="002460DC"/>
    <w:rsid w:val="002460EC"/>
    <w:rsid w:val="0024612F"/>
    <w:rsid w:val="002461F3"/>
    <w:rsid w:val="00246241"/>
    <w:rsid w:val="0024625F"/>
    <w:rsid w:val="002462FF"/>
    <w:rsid w:val="00246335"/>
    <w:rsid w:val="0024633D"/>
    <w:rsid w:val="0024646A"/>
    <w:rsid w:val="00246520"/>
    <w:rsid w:val="002466A0"/>
    <w:rsid w:val="002466CB"/>
    <w:rsid w:val="002466CC"/>
    <w:rsid w:val="002468DE"/>
    <w:rsid w:val="002468FC"/>
    <w:rsid w:val="00246965"/>
    <w:rsid w:val="00246997"/>
    <w:rsid w:val="00246BC0"/>
    <w:rsid w:val="00246C16"/>
    <w:rsid w:val="00246C39"/>
    <w:rsid w:val="00246C40"/>
    <w:rsid w:val="00246D31"/>
    <w:rsid w:val="00246DA6"/>
    <w:rsid w:val="00246DE3"/>
    <w:rsid w:val="00246E29"/>
    <w:rsid w:val="00246EC3"/>
    <w:rsid w:val="00246F11"/>
    <w:rsid w:val="00246F5F"/>
    <w:rsid w:val="00247002"/>
    <w:rsid w:val="00247030"/>
    <w:rsid w:val="002470E8"/>
    <w:rsid w:val="002470F5"/>
    <w:rsid w:val="00247150"/>
    <w:rsid w:val="0024717A"/>
    <w:rsid w:val="0024720D"/>
    <w:rsid w:val="00247231"/>
    <w:rsid w:val="0024725E"/>
    <w:rsid w:val="00247292"/>
    <w:rsid w:val="00247295"/>
    <w:rsid w:val="002472C7"/>
    <w:rsid w:val="002473D9"/>
    <w:rsid w:val="00247571"/>
    <w:rsid w:val="00247658"/>
    <w:rsid w:val="0024765B"/>
    <w:rsid w:val="00247AA2"/>
    <w:rsid w:val="00247AA6"/>
    <w:rsid w:val="00247AF6"/>
    <w:rsid w:val="00247B20"/>
    <w:rsid w:val="00247D7C"/>
    <w:rsid w:val="00247EC2"/>
    <w:rsid w:val="00247F54"/>
    <w:rsid w:val="00247FB0"/>
    <w:rsid w:val="00250261"/>
    <w:rsid w:val="00250369"/>
    <w:rsid w:val="002504C9"/>
    <w:rsid w:val="0025073E"/>
    <w:rsid w:val="00250791"/>
    <w:rsid w:val="002507E0"/>
    <w:rsid w:val="0025081C"/>
    <w:rsid w:val="00250849"/>
    <w:rsid w:val="00250874"/>
    <w:rsid w:val="002508CA"/>
    <w:rsid w:val="00250907"/>
    <w:rsid w:val="0025092D"/>
    <w:rsid w:val="00250A4C"/>
    <w:rsid w:val="00250C51"/>
    <w:rsid w:val="00250CFB"/>
    <w:rsid w:val="00250DE7"/>
    <w:rsid w:val="00250DFE"/>
    <w:rsid w:val="00250EC5"/>
    <w:rsid w:val="00250EE5"/>
    <w:rsid w:val="00250F0C"/>
    <w:rsid w:val="00250F6C"/>
    <w:rsid w:val="00250FD1"/>
    <w:rsid w:val="00251063"/>
    <w:rsid w:val="0025129D"/>
    <w:rsid w:val="00251361"/>
    <w:rsid w:val="0025149C"/>
    <w:rsid w:val="002514ED"/>
    <w:rsid w:val="00251588"/>
    <w:rsid w:val="00251614"/>
    <w:rsid w:val="002516DA"/>
    <w:rsid w:val="0025180F"/>
    <w:rsid w:val="00251814"/>
    <w:rsid w:val="0025185E"/>
    <w:rsid w:val="0025186F"/>
    <w:rsid w:val="002518F5"/>
    <w:rsid w:val="00251905"/>
    <w:rsid w:val="00251A27"/>
    <w:rsid w:val="00251A51"/>
    <w:rsid w:val="00251A67"/>
    <w:rsid w:val="00251A75"/>
    <w:rsid w:val="00251D21"/>
    <w:rsid w:val="00251DE2"/>
    <w:rsid w:val="00251E1C"/>
    <w:rsid w:val="00251E4F"/>
    <w:rsid w:val="00251E6D"/>
    <w:rsid w:val="00251EEB"/>
    <w:rsid w:val="00251FB7"/>
    <w:rsid w:val="00252010"/>
    <w:rsid w:val="00252013"/>
    <w:rsid w:val="00252181"/>
    <w:rsid w:val="002521C1"/>
    <w:rsid w:val="00252257"/>
    <w:rsid w:val="002522FD"/>
    <w:rsid w:val="00252312"/>
    <w:rsid w:val="00252355"/>
    <w:rsid w:val="0025237F"/>
    <w:rsid w:val="0025244F"/>
    <w:rsid w:val="00252495"/>
    <w:rsid w:val="00252560"/>
    <w:rsid w:val="00252782"/>
    <w:rsid w:val="00252793"/>
    <w:rsid w:val="002527CB"/>
    <w:rsid w:val="002527DB"/>
    <w:rsid w:val="00252865"/>
    <w:rsid w:val="00252886"/>
    <w:rsid w:val="0025288E"/>
    <w:rsid w:val="002528E0"/>
    <w:rsid w:val="00252938"/>
    <w:rsid w:val="002529AB"/>
    <w:rsid w:val="002529C0"/>
    <w:rsid w:val="002529C6"/>
    <w:rsid w:val="002529CE"/>
    <w:rsid w:val="00252B0C"/>
    <w:rsid w:val="00252B75"/>
    <w:rsid w:val="00252BDB"/>
    <w:rsid w:val="00252CDA"/>
    <w:rsid w:val="00252D24"/>
    <w:rsid w:val="00252D94"/>
    <w:rsid w:val="00252DB6"/>
    <w:rsid w:val="00252DED"/>
    <w:rsid w:val="00252EB5"/>
    <w:rsid w:val="00252F56"/>
    <w:rsid w:val="00252F7F"/>
    <w:rsid w:val="00252F99"/>
    <w:rsid w:val="002531B4"/>
    <w:rsid w:val="0025326F"/>
    <w:rsid w:val="002532EF"/>
    <w:rsid w:val="00253303"/>
    <w:rsid w:val="0025334B"/>
    <w:rsid w:val="002533FB"/>
    <w:rsid w:val="00253424"/>
    <w:rsid w:val="00253426"/>
    <w:rsid w:val="002534B8"/>
    <w:rsid w:val="00253552"/>
    <w:rsid w:val="002535AF"/>
    <w:rsid w:val="002535C1"/>
    <w:rsid w:val="002535E6"/>
    <w:rsid w:val="00253678"/>
    <w:rsid w:val="002536DD"/>
    <w:rsid w:val="00253ADF"/>
    <w:rsid w:val="00253B16"/>
    <w:rsid w:val="00253BD7"/>
    <w:rsid w:val="00253CC9"/>
    <w:rsid w:val="00253D16"/>
    <w:rsid w:val="00253D50"/>
    <w:rsid w:val="00253D6E"/>
    <w:rsid w:val="00253E3C"/>
    <w:rsid w:val="00253FC9"/>
    <w:rsid w:val="00254001"/>
    <w:rsid w:val="00254166"/>
    <w:rsid w:val="00254173"/>
    <w:rsid w:val="002541C8"/>
    <w:rsid w:val="0025420D"/>
    <w:rsid w:val="002542C2"/>
    <w:rsid w:val="002543F9"/>
    <w:rsid w:val="00254459"/>
    <w:rsid w:val="0025445D"/>
    <w:rsid w:val="00254616"/>
    <w:rsid w:val="002546B8"/>
    <w:rsid w:val="0025472D"/>
    <w:rsid w:val="0025473B"/>
    <w:rsid w:val="002547C1"/>
    <w:rsid w:val="00254823"/>
    <w:rsid w:val="00254879"/>
    <w:rsid w:val="002548D4"/>
    <w:rsid w:val="00254A4D"/>
    <w:rsid w:val="00254ACC"/>
    <w:rsid w:val="00254AEC"/>
    <w:rsid w:val="00254B15"/>
    <w:rsid w:val="00254C27"/>
    <w:rsid w:val="00254C56"/>
    <w:rsid w:val="00254C61"/>
    <w:rsid w:val="00254C6E"/>
    <w:rsid w:val="00254CC1"/>
    <w:rsid w:val="00254CE9"/>
    <w:rsid w:val="00254E04"/>
    <w:rsid w:val="00254E31"/>
    <w:rsid w:val="00254EBB"/>
    <w:rsid w:val="00254FC0"/>
    <w:rsid w:val="00255049"/>
    <w:rsid w:val="0025511D"/>
    <w:rsid w:val="00255165"/>
    <w:rsid w:val="002553EC"/>
    <w:rsid w:val="002554A4"/>
    <w:rsid w:val="0025557C"/>
    <w:rsid w:val="00255725"/>
    <w:rsid w:val="0025575C"/>
    <w:rsid w:val="002557FB"/>
    <w:rsid w:val="0025594E"/>
    <w:rsid w:val="00255ABC"/>
    <w:rsid w:val="00255AEC"/>
    <w:rsid w:val="00255B0C"/>
    <w:rsid w:val="00255BBE"/>
    <w:rsid w:val="00255C22"/>
    <w:rsid w:val="00255CA6"/>
    <w:rsid w:val="00255DF1"/>
    <w:rsid w:val="00255E4F"/>
    <w:rsid w:val="00255FE2"/>
    <w:rsid w:val="002561CF"/>
    <w:rsid w:val="002561DC"/>
    <w:rsid w:val="00256248"/>
    <w:rsid w:val="0025637C"/>
    <w:rsid w:val="002563C6"/>
    <w:rsid w:val="002566C4"/>
    <w:rsid w:val="002566DD"/>
    <w:rsid w:val="0025671C"/>
    <w:rsid w:val="0025694E"/>
    <w:rsid w:val="00256961"/>
    <w:rsid w:val="002569A1"/>
    <w:rsid w:val="00256BFE"/>
    <w:rsid w:val="00256C72"/>
    <w:rsid w:val="00256CCF"/>
    <w:rsid w:val="00256D18"/>
    <w:rsid w:val="00256DF2"/>
    <w:rsid w:val="00256EB1"/>
    <w:rsid w:val="00256F0A"/>
    <w:rsid w:val="00256F80"/>
    <w:rsid w:val="00256FC1"/>
    <w:rsid w:val="00257121"/>
    <w:rsid w:val="002571F4"/>
    <w:rsid w:val="0025720D"/>
    <w:rsid w:val="00257281"/>
    <w:rsid w:val="0025733C"/>
    <w:rsid w:val="00257432"/>
    <w:rsid w:val="0025743A"/>
    <w:rsid w:val="0025757F"/>
    <w:rsid w:val="002575BA"/>
    <w:rsid w:val="002576A7"/>
    <w:rsid w:val="0025770B"/>
    <w:rsid w:val="00257733"/>
    <w:rsid w:val="0025776A"/>
    <w:rsid w:val="002577AD"/>
    <w:rsid w:val="002577C6"/>
    <w:rsid w:val="002578A0"/>
    <w:rsid w:val="0025793B"/>
    <w:rsid w:val="00257989"/>
    <w:rsid w:val="00257999"/>
    <w:rsid w:val="00257C2E"/>
    <w:rsid w:val="00257C9A"/>
    <w:rsid w:val="00257CE2"/>
    <w:rsid w:val="00257DC7"/>
    <w:rsid w:val="00257E00"/>
    <w:rsid w:val="00257E60"/>
    <w:rsid w:val="00257E7D"/>
    <w:rsid w:val="00257E94"/>
    <w:rsid w:val="00257EA4"/>
    <w:rsid w:val="00257EC4"/>
    <w:rsid w:val="00257F56"/>
    <w:rsid w:val="00257FD6"/>
    <w:rsid w:val="00257FFA"/>
    <w:rsid w:val="0026008C"/>
    <w:rsid w:val="0026015D"/>
    <w:rsid w:val="00260184"/>
    <w:rsid w:val="00260189"/>
    <w:rsid w:val="002601AD"/>
    <w:rsid w:val="00260282"/>
    <w:rsid w:val="0026049C"/>
    <w:rsid w:val="002608CB"/>
    <w:rsid w:val="00260925"/>
    <w:rsid w:val="002609E5"/>
    <w:rsid w:val="002609F8"/>
    <w:rsid w:val="00260A38"/>
    <w:rsid w:val="00260A80"/>
    <w:rsid w:val="00260BA4"/>
    <w:rsid w:val="00260C78"/>
    <w:rsid w:val="00260D25"/>
    <w:rsid w:val="00260D74"/>
    <w:rsid w:val="00260E94"/>
    <w:rsid w:val="00260F3D"/>
    <w:rsid w:val="00260F58"/>
    <w:rsid w:val="0026110F"/>
    <w:rsid w:val="0026128F"/>
    <w:rsid w:val="00261317"/>
    <w:rsid w:val="002613B5"/>
    <w:rsid w:val="002613DD"/>
    <w:rsid w:val="002613F0"/>
    <w:rsid w:val="002614B6"/>
    <w:rsid w:val="0026150A"/>
    <w:rsid w:val="0026161A"/>
    <w:rsid w:val="002616B3"/>
    <w:rsid w:val="002617B3"/>
    <w:rsid w:val="00261A98"/>
    <w:rsid w:val="00261AD7"/>
    <w:rsid w:val="00261B21"/>
    <w:rsid w:val="00261BEB"/>
    <w:rsid w:val="00261C26"/>
    <w:rsid w:val="00261D37"/>
    <w:rsid w:val="00261D69"/>
    <w:rsid w:val="00261DBD"/>
    <w:rsid w:val="00261E7B"/>
    <w:rsid w:val="00261F77"/>
    <w:rsid w:val="00262199"/>
    <w:rsid w:val="00262247"/>
    <w:rsid w:val="00262286"/>
    <w:rsid w:val="0026232B"/>
    <w:rsid w:val="0026239B"/>
    <w:rsid w:val="00262838"/>
    <w:rsid w:val="00262A49"/>
    <w:rsid w:val="00262A4D"/>
    <w:rsid w:val="00262B1D"/>
    <w:rsid w:val="00262B49"/>
    <w:rsid w:val="00262B58"/>
    <w:rsid w:val="00262B92"/>
    <w:rsid w:val="00262C5D"/>
    <w:rsid w:val="00262CB3"/>
    <w:rsid w:val="00262CC9"/>
    <w:rsid w:val="00262D41"/>
    <w:rsid w:val="00262ED0"/>
    <w:rsid w:val="00262F70"/>
    <w:rsid w:val="00262FAC"/>
    <w:rsid w:val="00263143"/>
    <w:rsid w:val="0026314A"/>
    <w:rsid w:val="002631A7"/>
    <w:rsid w:val="002632AC"/>
    <w:rsid w:val="002632C9"/>
    <w:rsid w:val="002632F2"/>
    <w:rsid w:val="002632F7"/>
    <w:rsid w:val="002633A8"/>
    <w:rsid w:val="002633C4"/>
    <w:rsid w:val="0026345B"/>
    <w:rsid w:val="0026345F"/>
    <w:rsid w:val="0026349D"/>
    <w:rsid w:val="00263519"/>
    <w:rsid w:val="00263549"/>
    <w:rsid w:val="0026359D"/>
    <w:rsid w:val="002635A8"/>
    <w:rsid w:val="002638A3"/>
    <w:rsid w:val="002638FC"/>
    <w:rsid w:val="0026399D"/>
    <w:rsid w:val="00263A0C"/>
    <w:rsid w:val="00263A4E"/>
    <w:rsid w:val="00263B2E"/>
    <w:rsid w:val="00263B5D"/>
    <w:rsid w:val="00263D84"/>
    <w:rsid w:val="00263ECA"/>
    <w:rsid w:val="00263F49"/>
    <w:rsid w:val="00263FA7"/>
    <w:rsid w:val="00263FAD"/>
    <w:rsid w:val="00264085"/>
    <w:rsid w:val="00264206"/>
    <w:rsid w:val="0026422C"/>
    <w:rsid w:val="00264251"/>
    <w:rsid w:val="0026427D"/>
    <w:rsid w:val="00264294"/>
    <w:rsid w:val="002642A5"/>
    <w:rsid w:val="002642CE"/>
    <w:rsid w:val="002642D5"/>
    <w:rsid w:val="002642F3"/>
    <w:rsid w:val="00264344"/>
    <w:rsid w:val="0026435F"/>
    <w:rsid w:val="00264382"/>
    <w:rsid w:val="002643C1"/>
    <w:rsid w:val="0026449F"/>
    <w:rsid w:val="002644BA"/>
    <w:rsid w:val="00264577"/>
    <w:rsid w:val="002645C4"/>
    <w:rsid w:val="0026460C"/>
    <w:rsid w:val="00264636"/>
    <w:rsid w:val="00264641"/>
    <w:rsid w:val="0026465D"/>
    <w:rsid w:val="00264709"/>
    <w:rsid w:val="00264786"/>
    <w:rsid w:val="002647A7"/>
    <w:rsid w:val="002647B5"/>
    <w:rsid w:val="0026488B"/>
    <w:rsid w:val="00264969"/>
    <w:rsid w:val="00264988"/>
    <w:rsid w:val="00264A43"/>
    <w:rsid w:val="00264B5F"/>
    <w:rsid w:val="00264C30"/>
    <w:rsid w:val="00264CA2"/>
    <w:rsid w:val="00264CD0"/>
    <w:rsid w:val="00264D39"/>
    <w:rsid w:val="00264DED"/>
    <w:rsid w:val="00264E7A"/>
    <w:rsid w:val="00264ED7"/>
    <w:rsid w:val="0026503B"/>
    <w:rsid w:val="0026505C"/>
    <w:rsid w:val="002653CA"/>
    <w:rsid w:val="002653D0"/>
    <w:rsid w:val="002653FE"/>
    <w:rsid w:val="002654E2"/>
    <w:rsid w:val="002656DF"/>
    <w:rsid w:val="002656EA"/>
    <w:rsid w:val="0026586C"/>
    <w:rsid w:val="00265926"/>
    <w:rsid w:val="00265A7A"/>
    <w:rsid w:val="00265A85"/>
    <w:rsid w:val="00265B18"/>
    <w:rsid w:val="00265B61"/>
    <w:rsid w:val="00265B79"/>
    <w:rsid w:val="00265B98"/>
    <w:rsid w:val="00265BC3"/>
    <w:rsid w:val="00265BDF"/>
    <w:rsid w:val="00265BEF"/>
    <w:rsid w:val="00265C46"/>
    <w:rsid w:val="00265D33"/>
    <w:rsid w:val="00265F3A"/>
    <w:rsid w:val="00265F7D"/>
    <w:rsid w:val="00266017"/>
    <w:rsid w:val="0026601C"/>
    <w:rsid w:val="00266057"/>
    <w:rsid w:val="0026607C"/>
    <w:rsid w:val="002660B8"/>
    <w:rsid w:val="002660E5"/>
    <w:rsid w:val="0026610B"/>
    <w:rsid w:val="00266130"/>
    <w:rsid w:val="002662B2"/>
    <w:rsid w:val="002662C2"/>
    <w:rsid w:val="002662F0"/>
    <w:rsid w:val="002664D2"/>
    <w:rsid w:val="002664F9"/>
    <w:rsid w:val="00266513"/>
    <w:rsid w:val="00266598"/>
    <w:rsid w:val="0026664B"/>
    <w:rsid w:val="00266701"/>
    <w:rsid w:val="00266751"/>
    <w:rsid w:val="00266886"/>
    <w:rsid w:val="002668BA"/>
    <w:rsid w:val="002669C3"/>
    <w:rsid w:val="002669E0"/>
    <w:rsid w:val="00266A07"/>
    <w:rsid w:val="00266AB1"/>
    <w:rsid w:val="00266AD3"/>
    <w:rsid w:val="00266B3B"/>
    <w:rsid w:val="00266B7C"/>
    <w:rsid w:val="00266D13"/>
    <w:rsid w:val="00266F0B"/>
    <w:rsid w:val="00266F44"/>
    <w:rsid w:val="00266F62"/>
    <w:rsid w:val="00266F7C"/>
    <w:rsid w:val="00266FAC"/>
    <w:rsid w:val="0026701C"/>
    <w:rsid w:val="0026702F"/>
    <w:rsid w:val="00267069"/>
    <w:rsid w:val="002671D9"/>
    <w:rsid w:val="0026720A"/>
    <w:rsid w:val="0026724C"/>
    <w:rsid w:val="002673FC"/>
    <w:rsid w:val="002674A2"/>
    <w:rsid w:val="00267573"/>
    <w:rsid w:val="0026762A"/>
    <w:rsid w:val="0026764A"/>
    <w:rsid w:val="002676D0"/>
    <w:rsid w:val="002677E5"/>
    <w:rsid w:val="0026780D"/>
    <w:rsid w:val="0026791C"/>
    <w:rsid w:val="00267A10"/>
    <w:rsid w:val="00267A81"/>
    <w:rsid w:val="00267AF9"/>
    <w:rsid w:val="00267B57"/>
    <w:rsid w:val="00267BDA"/>
    <w:rsid w:val="00267D0C"/>
    <w:rsid w:val="00267F25"/>
    <w:rsid w:val="00267F7E"/>
    <w:rsid w:val="00270028"/>
    <w:rsid w:val="0027003E"/>
    <w:rsid w:val="0027004D"/>
    <w:rsid w:val="0027010F"/>
    <w:rsid w:val="0027023C"/>
    <w:rsid w:val="002702CE"/>
    <w:rsid w:val="00270354"/>
    <w:rsid w:val="0027048F"/>
    <w:rsid w:val="0027059D"/>
    <w:rsid w:val="002705E1"/>
    <w:rsid w:val="002705EC"/>
    <w:rsid w:val="0027065C"/>
    <w:rsid w:val="00270673"/>
    <w:rsid w:val="00270714"/>
    <w:rsid w:val="0027073F"/>
    <w:rsid w:val="00270767"/>
    <w:rsid w:val="00270804"/>
    <w:rsid w:val="00270814"/>
    <w:rsid w:val="002708CC"/>
    <w:rsid w:val="00270954"/>
    <w:rsid w:val="00270988"/>
    <w:rsid w:val="002709CC"/>
    <w:rsid w:val="00270B52"/>
    <w:rsid w:val="00270B66"/>
    <w:rsid w:val="00270B7F"/>
    <w:rsid w:val="00270BB2"/>
    <w:rsid w:val="00270E4F"/>
    <w:rsid w:val="00270EA3"/>
    <w:rsid w:val="00270F55"/>
    <w:rsid w:val="00270FE4"/>
    <w:rsid w:val="0027100E"/>
    <w:rsid w:val="00271012"/>
    <w:rsid w:val="0027107D"/>
    <w:rsid w:val="002712BC"/>
    <w:rsid w:val="0027140F"/>
    <w:rsid w:val="002714F0"/>
    <w:rsid w:val="0027151A"/>
    <w:rsid w:val="00271590"/>
    <w:rsid w:val="002715BA"/>
    <w:rsid w:val="002715BF"/>
    <w:rsid w:val="002715D3"/>
    <w:rsid w:val="002715FE"/>
    <w:rsid w:val="0027165A"/>
    <w:rsid w:val="00271680"/>
    <w:rsid w:val="00271686"/>
    <w:rsid w:val="002716C5"/>
    <w:rsid w:val="0027177C"/>
    <w:rsid w:val="0027180F"/>
    <w:rsid w:val="00271843"/>
    <w:rsid w:val="002718A9"/>
    <w:rsid w:val="002718D7"/>
    <w:rsid w:val="00271928"/>
    <w:rsid w:val="0027194A"/>
    <w:rsid w:val="00271BDB"/>
    <w:rsid w:val="00271BDC"/>
    <w:rsid w:val="00271D6A"/>
    <w:rsid w:val="00271DB7"/>
    <w:rsid w:val="00271F02"/>
    <w:rsid w:val="00271F61"/>
    <w:rsid w:val="00271F91"/>
    <w:rsid w:val="0027205B"/>
    <w:rsid w:val="00272071"/>
    <w:rsid w:val="002720CC"/>
    <w:rsid w:val="0027212A"/>
    <w:rsid w:val="00272211"/>
    <w:rsid w:val="00272331"/>
    <w:rsid w:val="002723C8"/>
    <w:rsid w:val="002723D6"/>
    <w:rsid w:val="002724E3"/>
    <w:rsid w:val="002724F4"/>
    <w:rsid w:val="0027259A"/>
    <w:rsid w:val="0027274A"/>
    <w:rsid w:val="002728DF"/>
    <w:rsid w:val="00272A08"/>
    <w:rsid w:val="00272B7B"/>
    <w:rsid w:val="00272C08"/>
    <w:rsid w:val="00272C69"/>
    <w:rsid w:val="00272D80"/>
    <w:rsid w:val="00272DA9"/>
    <w:rsid w:val="0027311B"/>
    <w:rsid w:val="002731CA"/>
    <w:rsid w:val="00273235"/>
    <w:rsid w:val="00273263"/>
    <w:rsid w:val="00273377"/>
    <w:rsid w:val="00273453"/>
    <w:rsid w:val="00273610"/>
    <w:rsid w:val="0027366F"/>
    <w:rsid w:val="0027372C"/>
    <w:rsid w:val="00273762"/>
    <w:rsid w:val="0027387B"/>
    <w:rsid w:val="00273892"/>
    <w:rsid w:val="00273947"/>
    <w:rsid w:val="00273A08"/>
    <w:rsid w:val="00273A10"/>
    <w:rsid w:val="00273A3F"/>
    <w:rsid w:val="00273A7D"/>
    <w:rsid w:val="00273AD5"/>
    <w:rsid w:val="00273B94"/>
    <w:rsid w:val="00273BE5"/>
    <w:rsid w:val="00273CCE"/>
    <w:rsid w:val="00273CDC"/>
    <w:rsid w:val="00273CE6"/>
    <w:rsid w:val="00273CFB"/>
    <w:rsid w:val="00273DF3"/>
    <w:rsid w:val="00273F91"/>
    <w:rsid w:val="00273F97"/>
    <w:rsid w:val="00274016"/>
    <w:rsid w:val="00274117"/>
    <w:rsid w:val="0027418F"/>
    <w:rsid w:val="002741C1"/>
    <w:rsid w:val="002742B3"/>
    <w:rsid w:val="0027448F"/>
    <w:rsid w:val="002746EA"/>
    <w:rsid w:val="0027491E"/>
    <w:rsid w:val="002749FF"/>
    <w:rsid w:val="00274A2E"/>
    <w:rsid w:val="00274AA2"/>
    <w:rsid w:val="00274C14"/>
    <w:rsid w:val="00274DDF"/>
    <w:rsid w:val="00274E2B"/>
    <w:rsid w:val="00274E93"/>
    <w:rsid w:val="00274E99"/>
    <w:rsid w:val="00275042"/>
    <w:rsid w:val="002750EA"/>
    <w:rsid w:val="0027539F"/>
    <w:rsid w:val="002753AD"/>
    <w:rsid w:val="002753B3"/>
    <w:rsid w:val="00275485"/>
    <w:rsid w:val="0027550F"/>
    <w:rsid w:val="0027563B"/>
    <w:rsid w:val="002756E6"/>
    <w:rsid w:val="00275730"/>
    <w:rsid w:val="00275778"/>
    <w:rsid w:val="00275819"/>
    <w:rsid w:val="00275882"/>
    <w:rsid w:val="002759C8"/>
    <w:rsid w:val="00275ABF"/>
    <w:rsid w:val="00275B34"/>
    <w:rsid w:val="00275BBE"/>
    <w:rsid w:val="00275C25"/>
    <w:rsid w:val="00275FEA"/>
    <w:rsid w:val="00275FF9"/>
    <w:rsid w:val="002760F4"/>
    <w:rsid w:val="00276130"/>
    <w:rsid w:val="00276161"/>
    <w:rsid w:val="0027639C"/>
    <w:rsid w:val="002764D0"/>
    <w:rsid w:val="00276518"/>
    <w:rsid w:val="00276561"/>
    <w:rsid w:val="002765DB"/>
    <w:rsid w:val="00276663"/>
    <w:rsid w:val="002766AA"/>
    <w:rsid w:val="002766D9"/>
    <w:rsid w:val="002767CA"/>
    <w:rsid w:val="00276836"/>
    <w:rsid w:val="00276919"/>
    <w:rsid w:val="002769AF"/>
    <w:rsid w:val="002769BB"/>
    <w:rsid w:val="00276AD6"/>
    <w:rsid w:val="00276B29"/>
    <w:rsid w:val="00276B9C"/>
    <w:rsid w:val="00276C48"/>
    <w:rsid w:val="00276D80"/>
    <w:rsid w:val="00276DFE"/>
    <w:rsid w:val="00276E13"/>
    <w:rsid w:val="00276F3E"/>
    <w:rsid w:val="00276FB3"/>
    <w:rsid w:val="00276FBD"/>
    <w:rsid w:val="00277016"/>
    <w:rsid w:val="002772F7"/>
    <w:rsid w:val="00277401"/>
    <w:rsid w:val="00277402"/>
    <w:rsid w:val="00277436"/>
    <w:rsid w:val="002774BE"/>
    <w:rsid w:val="00277579"/>
    <w:rsid w:val="0027757D"/>
    <w:rsid w:val="00277593"/>
    <w:rsid w:val="002775A8"/>
    <w:rsid w:val="00277666"/>
    <w:rsid w:val="002776AC"/>
    <w:rsid w:val="002777B6"/>
    <w:rsid w:val="00277889"/>
    <w:rsid w:val="0027788B"/>
    <w:rsid w:val="002778D6"/>
    <w:rsid w:val="002778E3"/>
    <w:rsid w:val="00277937"/>
    <w:rsid w:val="002779C1"/>
    <w:rsid w:val="002779E0"/>
    <w:rsid w:val="00277A2A"/>
    <w:rsid w:val="00277BE2"/>
    <w:rsid w:val="00277D53"/>
    <w:rsid w:val="00277EC9"/>
    <w:rsid w:val="00277ECD"/>
    <w:rsid w:val="00277ED8"/>
    <w:rsid w:val="00277F04"/>
    <w:rsid w:val="00277FA7"/>
    <w:rsid w:val="00280018"/>
    <w:rsid w:val="002800B0"/>
    <w:rsid w:val="002800B1"/>
    <w:rsid w:val="00280181"/>
    <w:rsid w:val="0028024D"/>
    <w:rsid w:val="0028025A"/>
    <w:rsid w:val="002802CE"/>
    <w:rsid w:val="00280382"/>
    <w:rsid w:val="0028044B"/>
    <w:rsid w:val="00280527"/>
    <w:rsid w:val="002805EA"/>
    <w:rsid w:val="00280626"/>
    <w:rsid w:val="00280649"/>
    <w:rsid w:val="00280670"/>
    <w:rsid w:val="002806AC"/>
    <w:rsid w:val="002806ED"/>
    <w:rsid w:val="00280736"/>
    <w:rsid w:val="002807ED"/>
    <w:rsid w:val="0028084F"/>
    <w:rsid w:val="002808C3"/>
    <w:rsid w:val="002808C8"/>
    <w:rsid w:val="002808D4"/>
    <w:rsid w:val="00280996"/>
    <w:rsid w:val="00280B3E"/>
    <w:rsid w:val="00280C90"/>
    <w:rsid w:val="00280D9C"/>
    <w:rsid w:val="00280DE5"/>
    <w:rsid w:val="00280E0A"/>
    <w:rsid w:val="00280E66"/>
    <w:rsid w:val="00280FB7"/>
    <w:rsid w:val="00280FC9"/>
    <w:rsid w:val="0028108F"/>
    <w:rsid w:val="0028109B"/>
    <w:rsid w:val="002810A3"/>
    <w:rsid w:val="0028118D"/>
    <w:rsid w:val="002811A7"/>
    <w:rsid w:val="002811BF"/>
    <w:rsid w:val="00281329"/>
    <w:rsid w:val="0028139F"/>
    <w:rsid w:val="00281425"/>
    <w:rsid w:val="0028149E"/>
    <w:rsid w:val="002814FC"/>
    <w:rsid w:val="002818F4"/>
    <w:rsid w:val="00281947"/>
    <w:rsid w:val="00281960"/>
    <w:rsid w:val="00281A02"/>
    <w:rsid w:val="00281B36"/>
    <w:rsid w:val="00281CC9"/>
    <w:rsid w:val="00281D59"/>
    <w:rsid w:val="00281D99"/>
    <w:rsid w:val="00281DC5"/>
    <w:rsid w:val="00281E6A"/>
    <w:rsid w:val="00281F44"/>
    <w:rsid w:val="002820C1"/>
    <w:rsid w:val="00282179"/>
    <w:rsid w:val="0028219F"/>
    <w:rsid w:val="0028221A"/>
    <w:rsid w:val="002822AC"/>
    <w:rsid w:val="0028251D"/>
    <w:rsid w:val="00282576"/>
    <w:rsid w:val="0028269D"/>
    <w:rsid w:val="002826BE"/>
    <w:rsid w:val="0028285B"/>
    <w:rsid w:val="00282861"/>
    <w:rsid w:val="00282880"/>
    <w:rsid w:val="0028288C"/>
    <w:rsid w:val="002829C8"/>
    <w:rsid w:val="00282A0F"/>
    <w:rsid w:val="00282A1C"/>
    <w:rsid w:val="00282BB2"/>
    <w:rsid w:val="00282BFD"/>
    <w:rsid w:val="00282C00"/>
    <w:rsid w:val="00282DBE"/>
    <w:rsid w:val="00282E1A"/>
    <w:rsid w:val="00282E4F"/>
    <w:rsid w:val="00282FE4"/>
    <w:rsid w:val="00283036"/>
    <w:rsid w:val="002831F9"/>
    <w:rsid w:val="0028322E"/>
    <w:rsid w:val="0028337E"/>
    <w:rsid w:val="002833ED"/>
    <w:rsid w:val="002834BD"/>
    <w:rsid w:val="002834F7"/>
    <w:rsid w:val="002835D8"/>
    <w:rsid w:val="0028363B"/>
    <w:rsid w:val="002836A4"/>
    <w:rsid w:val="00283805"/>
    <w:rsid w:val="0028386D"/>
    <w:rsid w:val="00283A44"/>
    <w:rsid w:val="00283B24"/>
    <w:rsid w:val="00283BC1"/>
    <w:rsid w:val="00283C0E"/>
    <w:rsid w:val="00283C26"/>
    <w:rsid w:val="00283C53"/>
    <w:rsid w:val="00283CE2"/>
    <w:rsid w:val="00283CF9"/>
    <w:rsid w:val="00283D7A"/>
    <w:rsid w:val="00283E59"/>
    <w:rsid w:val="00283E5F"/>
    <w:rsid w:val="00284099"/>
    <w:rsid w:val="002840EF"/>
    <w:rsid w:val="00284101"/>
    <w:rsid w:val="00284147"/>
    <w:rsid w:val="00284167"/>
    <w:rsid w:val="002841A6"/>
    <w:rsid w:val="00284314"/>
    <w:rsid w:val="00284418"/>
    <w:rsid w:val="0028454B"/>
    <w:rsid w:val="002845F8"/>
    <w:rsid w:val="002845FB"/>
    <w:rsid w:val="00284642"/>
    <w:rsid w:val="00284662"/>
    <w:rsid w:val="002846FC"/>
    <w:rsid w:val="002848E0"/>
    <w:rsid w:val="0028497A"/>
    <w:rsid w:val="002849AA"/>
    <w:rsid w:val="00284AAE"/>
    <w:rsid w:val="00284BB1"/>
    <w:rsid w:val="00284BF4"/>
    <w:rsid w:val="00284CBD"/>
    <w:rsid w:val="00284DB7"/>
    <w:rsid w:val="00284DFA"/>
    <w:rsid w:val="00284E0E"/>
    <w:rsid w:val="00284E2D"/>
    <w:rsid w:val="00284FF9"/>
    <w:rsid w:val="0028508A"/>
    <w:rsid w:val="002850FB"/>
    <w:rsid w:val="0028535A"/>
    <w:rsid w:val="00285448"/>
    <w:rsid w:val="00285452"/>
    <w:rsid w:val="00285557"/>
    <w:rsid w:val="0028566A"/>
    <w:rsid w:val="00285677"/>
    <w:rsid w:val="002856BD"/>
    <w:rsid w:val="00285745"/>
    <w:rsid w:val="002857B7"/>
    <w:rsid w:val="00285896"/>
    <w:rsid w:val="00285911"/>
    <w:rsid w:val="0028593E"/>
    <w:rsid w:val="00285965"/>
    <w:rsid w:val="00285996"/>
    <w:rsid w:val="00285A0B"/>
    <w:rsid w:val="00285A22"/>
    <w:rsid w:val="00285B39"/>
    <w:rsid w:val="00285BBE"/>
    <w:rsid w:val="00285C41"/>
    <w:rsid w:val="00285C58"/>
    <w:rsid w:val="00285E19"/>
    <w:rsid w:val="00285F04"/>
    <w:rsid w:val="002860E7"/>
    <w:rsid w:val="0028618F"/>
    <w:rsid w:val="002862A6"/>
    <w:rsid w:val="002863A9"/>
    <w:rsid w:val="002863E8"/>
    <w:rsid w:val="0028647D"/>
    <w:rsid w:val="002864BB"/>
    <w:rsid w:val="0028668D"/>
    <w:rsid w:val="002866A5"/>
    <w:rsid w:val="0028676C"/>
    <w:rsid w:val="00286A66"/>
    <w:rsid w:val="00286BC9"/>
    <w:rsid w:val="00286C56"/>
    <w:rsid w:val="00286C69"/>
    <w:rsid w:val="00286CCA"/>
    <w:rsid w:val="00286DF5"/>
    <w:rsid w:val="00286E34"/>
    <w:rsid w:val="00286E3A"/>
    <w:rsid w:val="0028703B"/>
    <w:rsid w:val="002870C2"/>
    <w:rsid w:val="0028710F"/>
    <w:rsid w:val="00287278"/>
    <w:rsid w:val="002872E0"/>
    <w:rsid w:val="0028730F"/>
    <w:rsid w:val="002873B2"/>
    <w:rsid w:val="00287490"/>
    <w:rsid w:val="002874BD"/>
    <w:rsid w:val="002874D4"/>
    <w:rsid w:val="00287508"/>
    <w:rsid w:val="00287549"/>
    <w:rsid w:val="00287769"/>
    <w:rsid w:val="002877A9"/>
    <w:rsid w:val="002878A7"/>
    <w:rsid w:val="002878B1"/>
    <w:rsid w:val="002878C3"/>
    <w:rsid w:val="00287B1A"/>
    <w:rsid w:val="00287B9C"/>
    <w:rsid w:val="00287BCB"/>
    <w:rsid w:val="00287BEB"/>
    <w:rsid w:val="00287D86"/>
    <w:rsid w:val="00287D89"/>
    <w:rsid w:val="00287F42"/>
    <w:rsid w:val="00287F81"/>
    <w:rsid w:val="00290153"/>
    <w:rsid w:val="002901CE"/>
    <w:rsid w:val="00290231"/>
    <w:rsid w:val="00290251"/>
    <w:rsid w:val="00290270"/>
    <w:rsid w:val="002902C3"/>
    <w:rsid w:val="002902FF"/>
    <w:rsid w:val="0029036F"/>
    <w:rsid w:val="002903A6"/>
    <w:rsid w:val="0029041E"/>
    <w:rsid w:val="00290442"/>
    <w:rsid w:val="00290496"/>
    <w:rsid w:val="00290511"/>
    <w:rsid w:val="00290666"/>
    <w:rsid w:val="00290780"/>
    <w:rsid w:val="002907E4"/>
    <w:rsid w:val="0029088E"/>
    <w:rsid w:val="002908DA"/>
    <w:rsid w:val="0029094F"/>
    <w:rsid w:val="002909A8"/>
    <w:rsid w:val="002909BD"/>
    <w:rsid w:val="00290AA2"/>
    <w:rsid w:val="00290C8C"/>
    <w:rsid w:val="0029105D"/>
    <w:rsid w:val="00291080"/>
    <w:rsid w:val="0029108E"/>
    <w:rsid w:val="00291155"/>
    <w:rsid w:val="00291318"/>
    <w:rsid w:val="0029131A"/>
    <w:rsid w:val="00291322"/>
    <w:rsid w:val="00291336"/>
    <w:rsid w:val="002915A5"/>
    <w:rsid w:val="002916D6"/>
    <w:rsid w:val="00291862"/>
    <w:rsid w:val="0029193D"/>
    <w:rsid w:val="002919FB"/>
    <w:rsid w:val="00291A6A"/>
    <w:rsid w:val="00291AA8"/>
    <w:rsid w:val="00291AD8"/>
    <w:rsid w:val="00291C3D"/>
    <w:rsid w:val="00291C76"/>
    <w:rsid w:val="00291C94"/>
    <w:rsid w:val="00291CD5"/>
    <w:rsid w:val="00291EB6"/>
    <w:rsid w:val="00291F38"/>
    <w:rsid w:val="0029225A"/>
    <w:rsid w:val="00292335"/>
    <w:rsid w:val="0029235F"/>
    <w:rsid w:val="00292367"/>
    <w:rsid w:val="00292463"/>
    <w:rsid w:val="002925B1"/>
    <w:rsid w:val="00292650"/>
    <w:rsid w:val="00292766"/>
    <w:rsid w:val="0029276E"/>
    <w:rsid w:val="002928DC"/>
    <w:rsid w:val="00292942"/>
    <w:rsid w:val="0029295E"/>
    <w:rsid w:val="00292AAC"/>
    <w:rsid w:val="00292AF6"/>
    <w:rsid w:val="00292AFA"/>
    <w:rsid w:val="00292CB5"/>
    <w:rsid w:val="00292CDB"/>
    <w:rsid w:val="00292D5E"/>
    <w:rsid w:val="00292E4B"/>
    <w:rsid w:val="00292F07"/>
    <w:rsid w:val="00293030"/>
    <w:rsid w:val="0029316D"/>
    <w:rsid w:val="0029318D"/>
    <w:rsid w:val="002932CC"/>
    <w:rsid w:val="0029331F"/>
    <w:rsid w:val="0029333B"/>
    <w:rsid w:val="00293361"/>
    <w:rsid w:val="002933B4"/>
    <w:rsid w:val="002933B9"/>
    <w:rsid w:val="002933ED"/>
    <w:rsid w:val="00293447"/>
    <w:rsid w:val="00293657"/>
    <w:rsid w:val="00293677"/>
    <w:rsid w:val="002936BD"/>
    <w:rsid w:val="00293829"/>
    <w:rsid w:val="002938E4"/>
    <w:rsid w:val="00293966"/>
    <w:rsid w:val="002939E4"/>
    <w:rsid w:val="00293AA9"/>
    <w:rsid w:val="00293ADF"/>
    <w:rsid w:val="00293B95"/>
    <w:rsid w:val="00293BED"/>
    <w:rsid w:val="00293C2D"/>
    <w:rsid w:val="00293D62"/>
    <w:rsid w:val="00293DF6"/>
    <w:rsid w:val="00293E25"/>
    <w:rsid w:val="00293E2A"/>
    <w:rsid w:val="00293EA5"/>
    <w:rsid w:val="00293EAB"/>
    <w:rsid w:val="00293F52"/>
    <w:rsid w:val="00293FC1"/>
    <w:rsid w:val="00294016"/>
    <w:rsid w:val="0029405B"/>
    <w:rsid w:val="002942A1"/>
    <w:rsid w:val="00294345"/>
    <w:rsid w:val="0029434A"/>
    <w:rsid w:val="0029441E"/>
    <w:rsid w:val="0029455C"/>
    <w:rsid w:val="00294560"/>
    <w:rsid w:val="0029458E"/>
    <w:rsid w:val="002945B8"/>
    <w:rsid w:val="002945F6"/>
    <w:rsid w:val="0029461B"/>
    <w:rsid w:val="00294678"/>
    <w:rsid w:val="002946A5"/>
    <w:rsid w:val="0029471F"/>
    <w:rsid w:val="0029476B"/>
    <w:rsid w:val="0029484E"/>
    <w:rsid w:val="00294939"/>
    <w:rsid w:val="002949F2"/>
    <w:rsid w:val="00294B2D"/>
    <w:rsid w:val="00294B36"/>
    <w:rsid w:val="00294C42"/>
    <w:rsid w:val="00294C72"/>
    <w:rsid w:val="00294C7A"/>
    <w:rsid w:val="00294C81"/>
    <w:rsid w:val="00294F16"/>
    <w:rsid w:val="00294F8C"/>
    <w:rsid w:val="00295136"/>
    <w:rsid w:val="002951E4"/>
    <w:rsid w:val="002951EB"/>
    <w:rsid w:val="00295273"/>
    <w:rsid w:val="002952D4"/>
    <w:rsid w:val="002953A5"/>
    <w:rsid w:val="002953B4"/>
    <w:rsid w:val="00295486"/>
    <w:rsid w:val="0029558A"/>
    <w:rsid w:val="002955DE"/>
    <w:rsid w:val="00295636"/>
    <w:rsid w:val="0029565C"/>
    <w:rsid w:val="0029577F"/>
    <w:rsid w:val="00295882"/>
    <w:rsid w:val="00295883"/>
    <w:rsid w:val="00295A7A"/>
    <w:rsid w:val="00295AEA"/>
    <w:rsid w:val="00295B83"/>
    <w:rsid w:val="00295BCE"/>
    <w:rsid w:val="00295C35"/>
    <w:rsid w:val="00295C41"/>
    <w:rsid w:val="00295C9D"/>
    <w:rsid w:val="00295DA8"/>
    <w:rsid w:val="00295E14"/>
    <w:rsid w:val="00295FD8"/>
    <w:rsid w:val="00296024"/>
    <w:rsid w:val="0029608C"/>
    <w:rsid w:val="002960F0"/>
    <w:rsid w:val="002961F1"/>
    <w:rsid w:val="00296268"/>
    <w:rsid w:val="00296292"/>
    <w:rsid w:val="002962B3"/>
    <w:rsid w:val="00296376"/>
    <w:rsid w:val="0029660C"/>
    <w:rsid w:val="0029678A"/>
    <w:rsid w:val="00296792"/>
    <w:rsid w:val="00296915"/>
    <w:rsid w:val="00296987"/>
    <w:rsid w:val="0029699A"/>
    <w:rsid w:val="002969D6"/>
    <w:rsid w:val="00296AB5"/>
    <w:rsid w:val="00296C26"/>
    <w:rsid w:val="00296D28"/>
    <w:rsid w:val="00296E7E"/>
    <w:rsid w:val="00296E97"/>
    <w:rsid w:val="00296EA5"/>
    <w:rsid w:val="00296EF3"/>
    <w:rsid w:val="00296F0A"/>
    <w:rsid w:val="00296F33"/>
    <w:rsid w:val="00296F52"/>
    <w:rsid w:val="00296FE2"/>
    <w:rsid w:val="00297067"/>
    <w:rsid w:val="00297199"/>
    <w:rsid w:val="002971FF"/>
    <w:rsid w:val="0029725E"/>
    <w:rsid w:val="00297286"/>
    <w:rsid w:val="00297370"/>
    <w:rsid w:val="002973C0"/>
    <w:rsid w:val="002973D2"/>
    <w:rsid w:val="002973F2"/>
    <w:rsid w:val="002974BD"/>
    <w:rsid w:val="00297690"/>
    <w:rsid w:val="002976DC"/>
    <w:rsid w:val="002978A0"/>
    <w:rsid w:val="00297915"/>
    <w:rsid w:val="00297923"/>
    <w:rsid w:val="0029793A"/>
    <w:rsid w:val="00297A7E"/>
    <w:rsid w:val="00297AB7"/>
    <w:rsid w:val="00297B34"/>
    <w:rsid w:val="00297B5E"/>
    <w:rsid w:val="00297B82"/>
    <w:rsid w:val="00297B8B"/>
    <w:rsid w:val="00297BAD"/>
    <w:rsid w:val="00297BCB"/>
    <w:rsid w:val="00297C0B"/>
    <w:rsid w:val="00297CAF"/>
    <w:rsid w:val="00297CD9"/>
    <w:rsid w:val="00297D2D"/>
    <w:rsid w:val="00297D3D"/>
    <w:rsid w:val="00297E53"/>
    <w:rsid w:val="00297E9D"/>
    <w:rsid w:val="002A0032"/>
    <w:rsid w:val="002A0172"/>
    <w:rsid w:val="002A02EC"/>
    <w:rsid w:val="002A02EF"/>
    <w:rsid w:val="002A03E4"/>
    <w:rsid w:val="002A0401"/>
    <w:rsid w:val="002A0473"/>
    <w:rsid w:val="002A04A9"/>
    <w:rsid w:val="002A0583"/>
    <w:rsid w:val="002A0756"/>
    <w:rsid w:val="002A08B1"/>
    <w:rsid w:val="002A08DE"/>
    <w:rsid w:val="002A0993"/>
    <w:rsid w:val="002A09A2"/>
    <w:rsid w:val="002A0A50"/>
    <w:rsid w:val="002A0ADF"/>
    <w:rsid w:val="002A0B16"/>
    <w:rsid w:val="002A0CC9"/>
    <w:rsid w:val="002A0D38"/>
    <w:rsid w:val="002A0D81"/>
    <w:rsid w:val="002A0DB3"/>
    <w:rsid w:val="002A0DC6"/>
    <w:rsid w:val="002A0E5C"/>
    <w:rsid w:val="002A0F68"/>
    <w:rsid w:val="002A1039"/>
    <w:rsid w:val="002A1096"/>
    <w:rsid w:val="002A1166"/>
    <w:rsid w:val="002A119D"/>
    <w:rsid w:val="002A1247"/>
    <w:rsid w:val="002A125C"/>
    <w:rsid w:val="002A1260"/>
    <w:rsid w:val="002A1293"/>
    <w:rsid w:val="002A138C"/>
    <w:rsid w:val="002A13DC"/>
    <w:rsid w:val="002A1482"/>
    <w:rsid w:val="002A1689"/>
    <w:rsid w:val="002A16D9"/>
    <w:rsid w:val="002A1800"/>
    <w:rsid w:val="002A1806"/>
    <w:rsid w:val="002A18D5"/>
    <w:rsid w:val="002A1A1B"/>
    <w:rsid w:val="002A1A23"/>
    <w:rsid w:val="002A1B08"/>
    <w:rsid w:val="002A1B3A"/>
    <w:rsid w:val="002A1B4F"/>
    <w:rsid w:val="002A1B60"/>
    <w:rsid w:val="002A1B6A"/>
    <w:rsid w:val="002A1C1E"/>
    <w:rsid w:val="002A1C7B"/>
    <w:rsid w:val="002A1D12"/>
    <w:rsid w:val="002A1D61"/>
    <w:rsid w:val="002A1EEC"/>
    <w:rsid w:val="002A1FFB"/>
    <w:rsid w:val="002A203B"/>
    <w:rsid w:val="002A208A"/>
    <w:rsid w:val="002A2096"/>
    <w:rsid w:val="002A219B"/>
    <w:rsid w:val="002A2273"/>
    <w:rsid w:val="002A227B"/>
    <w:rsid w:val="002A22AF"/>
    <w:rsid w:val="002A22BF"/>
    <w:rsid w:val="002A2452"/>
    <w:rsid w:val="002A2454"/>
    <w:rsid w:val="002A2472"/>
    <w:rsid w:val="002A2501"/>
    <w:rsid w:val="002A2536"/>
    <w:rsid w:val="002A256A"/>
    <w:rsid w:val="002A25C4"/>
    <w:rsid w:val="002A2618"/>
    <w:rsid w:val="002A263E"/>
    <w:rsid w:val="002A2685"/>
    <w:rsid w:val="002A26D4"/>
    <w:rsid w:val="002A2738"/>
    <w:rsid w:val="002A27C3"/>
    <w:rsid w:val="002A28E5"/>
    <w:rsid w:val="002A2A2B"/>
    <w:rsid w:val="002A2A2C"/>
    <w:rsid w:val="002A2CB0"/>
    <w:rsid w:val="002A2D85"/>
    <w:rsid w:val="002A2E90"/>
    <w:rsid w:val="002A2E9C"/>
    <w:rsid w:val="002A2ECF"/>
    <w:rsid w:val="002A2F6B"/>
    <w:rsid w:val="002A2F70"/>
    <w:rsid w:val="002A2FB9"/>
    <w:rsid w:val="002A3021"/>
    <w:rsid w:val="002A30C2"/>
    <w:rsid w:val="002A3152"/>
    <w:rsid w:val="002A317C"/>
    <w:rsid w:val="002A32CD"/>
    <w:rsid w:val="002A33BD"/>
    <w:rsid w:val="002A3523"/>
    <w:rsid w:val="002A3722"/>
    <w:rsid w:val="002A3755"/>
    <w:rsid w:val="002A378C"/>
    <w:rsid w:val="002A3823"/>
    <w:rsid w:val="002A3A57"/>
    <w:rsid w:val="002A3B00"/>
    <w:rsid w:val="002A3C11"/>
    <w:rsid w:val="002A3CDD"/>
    <w:rsid w:val="002A3D31"/>
    <w:rsid w:val="002A3D68"/>
    <w:rsid w:val="002A3D71"/>
    <w:rsid w:val="002A3D9F"/>
    <w:rsid w:val="002A3F9E"/>
    <w:rsid w:val="002A3FB8"/>
    <w:rsid w:val="002A4014"/>
    <w:rsid w:val="002A4156"/>
    <w:rsid w:val="002A4259"/>
    <w:rsid w:val="002A428E"/>
    <w:rsid w:val="002A43B0"/>
    <w:rsid w:val="002A4538"/>
    <w:rsid w:val="002A462D"/>
    <w:rsid w:val="002A46A4"/>
    <w:rsid w:val="002A472A"/>
    <w:rsid w:val="002A483C"/>
    <w:rsid w:val="002A48D5"/>
    <w:rsid w:val="002A4924"/>
    <w:rsid w:val="002A4AED"/>
    <w:rsid w:val="002A4B58"/>
    <w:rsid w:val="002A4B66"/>
    <w:rsid w:val="002A4BBB"/>
    <w:rsid w:val="002A4BE1"/>
    <w:rsid w:val="002A4C0E"/>
    <w:rsid w:val="002A4C69"/>
    <w:rsid w:val="002A4D13"/>
    <w:rsid w:val="002A4D20"/>
    <w:rsid w:val="002A4F6C"/>
    <w:rsid w:val="002A50BC"/>
    <w:rsid w:val="002A50ED"/>
    <w:rsid w:val="002A5164"/>
    <w:rsid w:val="002A516D"/>
    <w:rsid w:val="002A524C"/>
    <w:rsid w:val="002A5345"/>
    <w:rsid w:val="002A53B3"/>
    <w:rsid w:val="002A544D"/>
    <w:rsid w:val="002A54B3"/>
    <w:rsid w:val="002A5534"/>
    <w:rsid w:val="002A56D3"/>
    <w:rsid w:val="002A5729"/>
    <w:rsid w:val="002A57A1"/>
    <w:rsid w:val="002A5805"/>
    <w:rsid w:val="002A5912"/>
    <w:rsid w:val="002A5A0B"/>
    <w:rsid w:val="002A5A89"/>
    <w:rsid w:val="002A5B84"/>
    <w:rsid w:val="002A5C1B"/>
    <w:rsid w:val="002A5C33"/>
    <w:rsid w:val="002A5D19"/>
    <w:rsid w:val="002A5D5C"/>
    <w:rsid w:val="002A5E3F"/>
    <w:rsid w:val="002A5E5B"/>
    <w:rsid w:val="002A5F16"/>
    <w:rsid w:val="002A5F4B"/>
    <w:rsid w:val="002A609F"/>
    <w:rsid w:val="002A613E"/>
    <w:rsid w:val="002A6201"/>
    <w:rsid w:val="002A62E2"/>
    <w:rsid w:val="002A6678"/>
    <w:rsid w:val="002A6753"/>
    <w:rsid w:val="002A67E3"/>
    <w:rsid w:val="002A698C"/>
    <w:rsid w:val="002A6ABB"/>
    <w:rsid w:val="002A6AFD"/>
    <w:rsid w:val="002A6B83"/>
    <w:rsid w:val="002A6C1C"/>
    <w:rsid w:val="002A6C3E"/>
    <w:rsid w:val="002A6C83"/>
    <w:rsid w:val="002A6C8B"/>
    <w:rsid w:val="002A6CDF"/>
    <w:rsid w:val="002A6DD1"/>
    <w:rsid w:val="002A6E02"/>
    <w:rsid w:val="002A6E30"/>
    <w:rsid w:val="002A6E8D"/>
    <w:rsid w:val="002A6EE0"/>
    <w:rsid w:val="002A7078"/>
    <w:rsid w:val="002A7085"/>
    <w:rsid w:val="002A70C3"/>
    <w:rsid w:val="002A70E3"/>
    <w:rsid w:val="002A7108"/>
    <w:rsid w:val="002A715D"/>
    <w:rsid w:val="002A71C4"/>
    <w:rsid w:val="002A731F"/>
    <w:rsid w:val="002A7324"/>
    <w:rsid w:val="002A74D0"/>
    <w:rsid w:val="002A758A"/>
    <w:rsid w:val="002A7590"/>
    <w:rsid w:val="002A75B7"/>
    <w:rsid w:val="002A778E"/>
    <w:rsid w:val="002A7792"/>
    <w:rsid w:val="002A786A"/>
    <w:rsid w:val="002A7927"/>
    <w:rsid w:val="002A7938"/>
    <w:rsid w:val="002A7B85"/>
    <w:rsid w:val="002A7B9A"/>
    <w:rsid w:val="002A7C32"/>
    <w:rsid w:val="002A7D82"/>
    <w:rsid w:val="002A7D92"/>
    <w:rsid w:val="002B008D"/>
    <w:rsid w:val="002B0168"/>
    <w:rsid w:val="002B023C"/>
    <w:rsid w:val="002B02AB"/>
    <w:rsid w:val="002B0307"/>
    <w:rsid w:val="002B03ED"/>
    <w:rsid w:val="002B0413"/>
    <w:rsid w:val="002B0452"/>
    <w:rsid w:val="002B045E"/>
    <w:rsid w:val="002B05CD"/>
    <w:rsid w:val="002B05D6"/>
    <w:rsid w:val="002B05EC"/>
    <w:rsid w:val="002B06D0"/>
    <w:rsid w:val="002B0724"/>
    <w:rsid w:val="002B0760"/>
    <w:rsid w:val="002B08DE"/>
    <w:rsid w:val="002B09AC"/>
    <w:rsid w:val="002B09C1"/>
    <w:rsid w:val="002B09FE"/>
    <w:rsid w:val="002B0A4B"/>
    <w:rsid w:val="002B0AA7"/>
    <w:rsid w:val="002B0D14"/>
    <w:rsid w:val="002B0DE2"/>
    <w:rsid w:val="002B0E4B"/>
    <w:rsid w:val="002B0E63"/>
    <w:rsid w:val="002B0F10"/>
    <w:rsid w:val="002B10F6"/>
    <w:rsid w:val="002B1138"/>
    <w:rsid w:val="002B1161"/>
    <w:rsid w:val="002B11AF"/>
    <w:rsid w:val="002B13B0"/>
    <w:rsid w:val="002B13EA"/>
    <w:rsid w:val="002B1552"/>
    <w:rsid w:val="002B1553"/>
    <w:rsid w:val="002B1578"/>
    <w:rsid w:val="002B16F4"/>
    <w:rsid w:val="002B173E"/>
    <w:rsid w:val="002B1743"/>
    <w:rsid w:val="002B17B4"/>
    <w:rsid w:val="002B18A8"/>
    <w:rsid w:val="002B1951"/>
    <w:rsid w:val="002B1955"/>
    <w:rsid w:val="002B19E0"/>
    <w:rsid w:val="002B1A18"/>
    <w:rsid w:val="002B1A4C"/>
    <w:rsid w:val="002B1A5F"/>
    <w:rsid w:val="002B1B03"/>
    <w:rsid w:val="002B1B05"/>
    <w:rsid w:val="002B1B57"/>
    <w:rsid w:val="002B1B5E"/>
    <w:rsid w:val="002B1C2F"/>
    <w:rsid w:val="002B1C4B"/>
    <w:rsid w:val="002B1C61"/>
    <w:rsid w:val="002B1D06"/>
    <w:rsid w:val="002B1DBC"/>
    <w:rsid w:val="002B1DE1"/>
    <w:rsid w:val="002B1FA2"/>
    <w:rsid w:val="002B20C0"/>
    <w:rsid w:val="002B2257"/>
    <w:rsid w:val="002B2269"/>
    <w:rsid w:val="002B23C0"/>
    <w:rsid w:val="002B2433"/>
    <w:rsid w:val="002B243A"/>
    <w:rsid w:val="002B24C2"/>
    <w:rsid w:val="002B25CE"/>
    <w:rsid w:val="002B25DF"/>
    <w:rsid w:val="002B2635"/>
    <w:rsid w:val="002B2664"/>
    <w:rsid w:val="002B268B"/>
    <w:rsid w:val="002B2700"/>
    <w:rsid w:val="002B280E"/>
    <w:rsid w:val="002B2817"/>
    <w:rsid w:val="002B29A5"/>
    <w:rsid w:val="002B29BE"/>
    <w:rsid w:val="002B29FE"/>
    <w:rsid w:val="002B2D6F"/>
    <w:rsid w:val="002B2EC2"/>
    <w:rsid w:val="002B2F73"/>
    <w:rsid w:val="002B2FD6"/>
    <w:rsid w:val="002B304C"/>
    <w:rsid w:val="002B3354"/>
    <w:rsid w:val="002B341F"/>
    <w:rsid w:val="002B34D4"/>
    <w:rsid w:val="002B354D"/>
    <w:rsid w:val="002B3585"/>
    <w:rsid w:val="002B360A"/>
    <w:rsid w:val="002B3628"/>
    <w:rsid w:val="002B36FB"/>
    <w:rsid w:val="002B3885"/>
    <w:rsid w:val="002B38EC"/>
    <w:rsid w:val="002B391E"/>
    <w:rsid w:val="002B392A"/>
    <w:rsid w:val="002B397F"/>
    <w:rsid w:val="002B39BE"/>
    <w:rsid w:val="002B3A57"/>
    <w:rsid w:val="002B3A5F"/>
    <w:rsid w:val="002B3B13"/>
    <w:rsid w:val="002B3DC2"/>
    <w:rsid w:val="002B3FBE"/>
    <w:rsid w:val="002B401A"/>
    <w:rsid w:val="002B4039"/>
    <w:rsid w:val="002B408E"/>
    <w:rsid w:val="002B40C2"/>
    <w:rsid w:val="002B424A"/>
    <w:rsid w:val="002B42B7"/>
    <w:rsid w:val="002B4353"/>
    <w:rsid w:val="002B438A"/>
    <w:rsid w:val="002B43E0"/>
    <w:rsid w:val="002B4488"/>
    <w:rsid w:val="002B469A"/>
    <w:rsid w:val="002B4813"/>
    <w:rsid w:val="002B485B"/>
    <w:rsid w:val="002B4860"/>
    <w:rsid w:val="002B4893"/>
    <w:rsid w:val="002B4896"/>
    <w:rsid w:val="002B492B"/>
    <w:rsid w:val="002B4B51"/>
    <w:rsid w:val="002B4B77"/>
    <w:rsid w:val="002B4C68"/>
    <w:rsid w:val="002B4CC6"/>
    <w:rsid w:val="002B4E0D"/>
    <w:rsid w:val="002B4E1D"/>
    <w:rsid w:val="002B4EA3"/>
    <w:rsid w:val="002B4EB1"/>
    <w:rsid w:val="002B4F46"/>
    <w:rsid w:val="002B511F"/>
    <w:rsid w:val="002B5163"/>
    <w:rsid w:val="002B5230"/>
    <w:rsid w:val="002B526A"/>
    <w:rsid w:val="002B5298"/>
    <w:rsid w:val="002B532F"/>
    <w:rsid w:val="002B53D6"/>
    <w:rsid w:val="002B5400"/>
    <w:rsid w:val="002B5429"/>
    <w:rsid w:val="002B548F"/>
    <w:rsid w:val="002B559B"/>
    <w:rsid w:val="002B56E0"/>
    <w:rsid w:val="002B56F4"/>
    <w:rsid w:val="002B575F"/>
    <w:rsid w:val="002B57D2"/>
    <w:rsid w:val="002B57F9"/>
    <w:rsid w:val="002B5A3B"/>
    <w:rsid w:val="002B5A56"/>
    <w:rsid w:val="002B5A73"/>
    <w:rsid w:val="002B5A9A"/>
    <w:rsid w:val="002B5BCE"/>
    <w:rsid w:val="002B5C3E"/>
    <w:rsid w:val="002B5CD0"/>
    <w:rsid w:val="002B5DE1"/>
    <w:rsid w:val="002B5E48"/>
    <w:rsid w:val="002B5E9F"/>
    <w:rsid w:val="002B5EFB"/>
    <w:rsid w:val="002B5F0D"/>
    <w:rsid w:val="002B5FFD"/>
    <w:rsid w:val="002B6043"/>
    <w:rsid w:val="002B604A"/>
    <w:rsid w:val="002B6117"/>
    <w:rsid w:val="002B622C"/>
    <w:rsid w:val="002B6367"/>
    <w:rsid w:val="002B63E0"/>
    <w:rsid w:val="002B6413"/>
    <w:rsid w:val="002B642A"/>
    <w:rsid w:val="002B64A8"/>
    <w:rsid w:val="002B6529"/>
    <w:rsid w:val="002B65E8"/>
    <w:rsid w:val="002B66DC"/>
    <w:rsid w:val="002B67E5"/>
    <w:rsid w:val="002B6846"/>
    <w:rsid w:val="002B6860"/>
    <w:rsid w:val="002B68F5"/>
    <w:rsid w:val="002B691F"/>
    <w:rsid w:val="002B6B68"/>
    <w:rsid w:val="002B6B7F"/>
    <w:rsid w:val="002B6B97"/>
    <w:rsid w:val="002B6BF7"/>
    <w:rsid w:val="002B6D5F"/>
    <w:rsid w:val="002B6D6D"/>
    <w:rsid w:val="002B6DED"/>
    <w:rsid w:val="002B6E02"/>
    <w:rsid w:val="002B6E3F"/>
    <w:rsid w:val="002B6E57"/>
    <w:rsid w:val="002B6F22"/>
    <w:rsid w:val="002B6F97"/>
    <w:rsid w:val="002B702B"/>
    <w:rsid w:val="002B703C"/>
    <w:rsid w:val="002B706F"/>
    <w:rsid w:val="002B7138"/>
    <w:rsid w:val="002B71F5"/>
    <w:rsid w:val="002B7285"/>
    <w:rsid w:val="002B72F7"/>
    <w:rsid w:val="002B7508"/>
    <w:rsid w:val="002B7562"/>
    <w:rsid w:val="002B7839"/>
    <w:rsid w:val="002B78AA"/>
    <w:rsid w:val="002B7930"/>
    <w:rsid w:val="002B7A6F"/>
    <w:rsid w:val="002B7A8C"/>
    <w:rsid w:val="002B7B20"/>
    <w:rsid w:val="002B7B8E"/>
    <w:rsid w:val="002B7BEE"/>
    <w:rsid w:val="002B7C49"/>
    <w:rsid w:val="002B7D36"/>
    <w:rsid w:val="002B7D9A"/>
    <w:rsid w:val="002B7DDC"/>
    <w:rsid w:val="002B7E0D"/>
    <w:rsid w:val="002B7E59"/>
    <w:rsid w:val="002B7E9F"/>
    <w:rsid w:val="002B7EAC"/>
    <w:rsid w:val="002C00D8"/>
    <w:rsid w:val="002C00FC"/>
    <w:rsid w:val="002C0123"/>
    <w:rsid w:val="002C015A"/>
    <w:rsid w:val="002C01B5"/>
    <w:rsid w:val="002C01C1"/>
    <w:rsid w:val="002C0288"/>
    <w:rsid w:val="002C02A4"/>
    <w:rsid w:val="002C0380"/>
    <w:rsid w:val="002C0381"/>
    <w:rsid w:val="002C0434"/>
    <w:rsid w:val="002C04B4"/>
    <w:rsid w:val="002C0642"/>
    <w:rsid w:val="002C0655"/>
    <w:rsid w:val="002C06C8"/>
    <w:rsid w:val="002C074E"/>
    <w:rsid w:val="002C0759"/>
    <w:rsid w:val="002C07D2"/>
    <w:rsid w:val="002C082D"/>
    <w:rsid w:val="002C0895"/>
    <w:rsid w:val="002C0A0C"/>
    <w:rsid w:val="002C0ACE"/>
    <w:rsid w:val="002C0B6D"/>
    <w:rsid w:val="002C0DBB"/>
    <w:rsid w:val="002C0F72"/>
    <w:rsid w:val="002C1071"/>
    <w:rsid w:val="002C1179"/>
    <w:rsid w:val="002C11BE"/>
    <w:rsid w:val="002C11CF"/>
    <w:rsid w:val="002C125A"/>
    <w:rsid w:val="002C12B7"/>
    <w:rsid w:val="002C14A5"/>
    <w:rsid w:val="002C14D9"/>
    <w:rsid w:val="002C14FF"/>
    <w:rsid w:val="002C150C"/>
    <w:rsid w:val="002C153B"/>
    <w:rsid w:val="002C1543"/>
    <w:rsid w:val="002C154B"/>
    <w:rsid w:val="002C1562"/>
    <w:rsid w:val="002C1609"/>
    <w:rsid w:val="002C1664"/>
    <w:rsid w:val="002C16CC"/>
    <w:rsid w:val="002C174B"/>
    <w:rsid w:val="002C1771"/>
    <w:rsid w:val="002C187C"/>
    <w:rsid w:val="002C19BC"/>
    <w:rsid w:val="002C1CAA"/>
    <w:rsid w:val="002C1CEB"/>
    <w:rsid w:val="002C1D06"/>
    <w:rsid w:val="002C1D26"/>
    <w:rsid w:val="002C1DE1"/>
    <w:rsid w:val="002C1DF3"/>
    <w:rsid w:val="002C1E36"/>
    <w:rsid w:val="002C1E87"/>
    <w:rsid w:val="002C1F3C"/>
    <w:rsid w:val="002C1FEE"/>
    <w:rsid w:val="002C2033"/>
    <w:rsid w:val="002C2116"/>
    <w:rsid w:val="002C2165"/>
    <w:rsid w:val="002C21F4"/>
    <w:rsid w:val="002C23BA"/>
    <w:rsid w:val="002C24F7"/>
    <w:rsid w:val="002C2507"/>
    <w:rsid w:val="002C2508"/>
    <w:rsid w:val="002C2567"/>
    <w:rsid w:val="002C2590"/>
    <w:rsid w:val="002C260C"/>
    <w:rsid w:val="002C2731"/>
    <w:rsid w:val="002C2757"/>
    <w:rsid w:val="002C2831"/>
    <w:rsid w:val="002C284D"/>
    <w:rsid w:val="002C2954"/>
    <w:rsid w:val="002C2974"/>
    <w:rsid w:val="002C2994"/>
    <w:rsid w:val="002C29D6"/>
    <w:rsid w:val="002C2ABB"/>
    <w:rsid w:val="002C2B04"/>
    <w:rsid w:val="002C2BA5"/>
    <w:rsid w:val="002C2BB9"/>
    <w:rsid w:val="002C2C68"/>
    <w:rsid w:val="002C2CCF"/>
    <w:rsid w:val="002C2DFF"/>
    <w:rsid w:val="002C309C"/>
    <w:rsid w:val="002C3103"/>
    <w:rsid w:val="002C3187"/>
    <w:rsid w:val="002C3218"/>
    <w:rsid w:val="002C3258"/>
    <w:rsid w:val="002C326C"/>
    <w:rsid w:val="002C32AA"/>
    <w:rsid w:val="002C3315"/>
    <w:rsid w:val="002C3341"/>
    <w:rsid w:val="002C342F"/>
    <w:rsid w:val="002C347F"/>
    <w:rsid w:val="002C34DA"/>
    <w:rsid w:val="002C3544"/>
    <w:rsid w:val="002C3548"/>
    <w:rsid w:val="002C354A"/>
    <w:rsid w:val="002C361D"/>
    <w:rsid w:val="002C3621"/>
    <w:rsid w:val="002C367A"/>
    <w:rsid w:val="002C36AD"/>
    <w:rsid w:val="002C3716"/>
    <w:rsid w:val="002C3740"/>
    <w:rsid w:val="002C377C"/>
    <w:rsid w:val="002C381D"/>
    <w:rsid w:val="002C3893"/>
    <w:rsid w:val="002C3A29"/>
    <w:rsid w:val="002C3A60"/>
    <w:rsid w:val="002C3A9D"/>
    <w:rsid w:val="002C3B97"/>
    <w:rsid w:val="002C3DE9"/>
    <w:rsid w:val="002C3E3C"/>
    <w:rsid w:val="002C3E47"/>
    <w:rsid w:val="002C406F"/>
    <w:rsid w:val="002C40B0"/>
    <w:rsid w:val="002C412E"/>
    <w:rsid w:val="002C41AC"/>
    <w:rsid w:val="002C4212"/>
    <w:rsid w:val="002C42BA"/>
    <w:rsid w:val="002C436B"/>
    <w:rsid w:val="002C450D"/>
    <w:rsid w:val="002C4545"/>
    <w:rsid w:val="002C4714"/>
    <w:rsid w:val="002C499A"/>
    <w:rsid w:val="002C49FA"/>
    <w:rsid w:val="002C4A7C"/>
    <w:rsid w:val="002C4ABB"/>
    <w:rsid w:val="002C4B97"/>
    <w:rsid w:val="002C4C48"/>
    <w:rsid w:val="002C4C84"/>
    <w:rsid w:val="002C4D1A"/>
    <w:rsid w:val="002C4D34"/>
    <w:rsid w:val="002C4E6E"/>
    <w:rsid w:val="002C4E95"/>
    <w:rsid w:val="002C4F41"/>
    <w:rsid w:val="002C4F63"/>
    <w:rsid w:val="002C4FF5"/>
    <w:rsid w:val="002C5040"/>
    <w:rsid w:val="002C5155"/>
    <w:rsid w:val="002C54D7"/>
    <w:rsid w:val="002C54F5"/>
    <w:rsid w:val="002C5529"/>
    <w:rsid w:val="002C556D"/>
    <w:rsid w:val="002C55BC"/>
    <w:rsid w:val="002C5627"/>
    <w:rsid w:val="002C5653"/>
    <w:rsid w:val="002C56BF"/>
    <w:rsid w:val="002C5796"/>
    <w:rsid w:val="002C57EC"/>
    <w:rsid w:val="002C588F"/>
    <w:rsid w:val="002C58C4"/>
    <w:rsid w:val="002C5A0C"/>
    <w:rsid w:val="002C5A5A"/>
    <w:rsid w:val="002C5BB0"/>
    <w:rsid w:val="002C5BEA"/>
    <w:rsid w:val="002C5CEC"/>
    <w:rsid w:val="002C5DC2"/>
    <w:rsid w:val="002C5DF4"/>
    <w:rsid w:val="002C5E92"/>
    <w:rsid w:val="002C5F2C"/>
    <w:rsid w:val="002C60C0"/>
    <w:rsid w:val="002C6121"/>
    <w:rsid w:val="002C61E1"/>
    <w:rsid w:val="002C621D"/>
    <w:rsid w:val="002C6356"/>
    <w:rsid w:val="002C64CB"/>
    <w:rsid w:val="002C6519"/>
    <w:rsid w:val="002C6544"/>
    <w:rsid w:val="002C6560"/>
    <w:rsid w:val="002C66A4"/>
    <w:rsid w:val="002C67C8"/>
    <w:rsid w:val="002C6806"/>
    <w:rsid w:val="002C68E3"/>
    <w:rsid w:val="002C68FF"/>
    <w:rsid w:val="002C6908"/>
    <w:rsid w:val="002C69E6"/>
    <w:rsid w:val="002C6A34"/>
    <w:rsid w:val="002C6A60"/>
    <w:rsid w:val="002C6B48"/>
    <w:rsid w:val="002C6B49"/>
    <w:rsid w:val="002C6E9D"/>
    <w:rsid w:val="002C7021"/>
    <w:rsid w:val="002C706E"/>
    <w:rsid w:val="002C70AE"/>
    <w:rsid w:val="002C730F"/>
    <w:rsid w:val="002C73DC"/>
    <w:rsid w:val="002C7410"/>
    <w:rsid w:val="002C749E"/>
    <w:rsid w:val="002C7503"/>
    <w:rsid w:val="002C754C"/>
    <w:rsid w:val="002C7699"/>
    <w:rsid w:val="002C7A5E"/>
    <w:rsid w:val="002C7AE5"/>
    <w:rsid w:val="002C7B23"/>
    <w:rsid w:val="002C7B64"/>
    <w:rsid w:val="002C7B71"/>
    <w:rsid w:val="002C7B9A"/>
    <w:rsid w:val="002C7EBF"/>
    <w:rsid w:val="002D016D"/>
    <w:rsid w:val="002D01B3"/>
    <w:rsid w:val="002D01E7"/>
    <w:rsid w:val="002D02B7"/>
    <w:rsid w:val="002D0479"/>
    <w:rsid w:val="002D04C5"/>
    <w:rsid w:val="002D05DB"/>
    <w:rsid w:val="002D0606"/>
    <w:rsid w:val="002D0770"/>
    <w:rsid w:val="002D07C8"/>
    <w:rsid w:val="002D087F"/>
    <w:rsid w:val="002D08DB"/>
    <w:rsid w:val="002D08F3"/>
    <w:rsid w:val="002D09D4"/>
    <w:rsid w:val="002D0A11"/>
    <w:rsid w:val="002D0A4E"/>
    <w:rsid w:val="002D0A6A"/>
    <w:rsid w:val="002D0ABF"/>
    <w:rsid w:val="002D0AF6"/>
    <w:rsid w:val="002D0B04"/>
    <w:rsid w:val="002D0B3D"/>
    <w:rsid w:val="002D0B7A"/>
    <w:rsid w:val="002D0B8E"/>
    <w:rsid w:val="002D0BEF"/>
    <w:rsid w:val="002D0BF8"/>
    <w:rsid w:val="002D0D96"/>
    <w:rsid w:val="002D0DAA"/>
    <w:rsid w:val="002D0E00"/>
    <w:rsid w:val="002D0E2D"/>
    <w:rsid w:val="002D0E5E"/>
    <w:rsid w:val="002D0EBD"/>
    <w:rsid w:val="002D0F3B"/>
    <w:rsid w:val="002D1175"/>
    <w:rsid w:val="002D117E"/>
    <w:rsid w:val="002D11AE"/>
    <w:rsid w:val="002D1395"/>
    <w:rsid w:val="002D1496"/>
    <w:rsid w:val="002D1821"/>
    <w:rsid w:val="002D18DF"/>
    <w:rsid w:val="002D1B54"/>
    <w:rsid w:val="002D1BA2"/>
    <w:rsid w:val="002D1BC8"/>
    <w:rsid w:val="002D1C80"/>
    <w:rsid w:val="002D1FE0"/>
    <w:rsid w:val="002D212B"/>
    <w:rsid w:val="002D2140"/>
    <w:rsid w:val="002D2405"/>
    <w:rsid w:val="002D24E3"/>
    <w:rsid w:val="002D24F3"/>
    <w:rsid w:val="002D25AA"/>
    <w:rsid w:val="002D25AC"/>
    <w:rsid w:val="002D25D0"/>
    <w:rsid w:val="002D26A0"/>
    <w:rsid w:val="002D2A89"/>
    <w:rsid w:val="002D2AE9"/>
    <w:rsid w:val="002D2B53"/>
    <w:rsid w:val="002D2BA8"/>
    <w:rsid w:val="002D2BF5"/>
    <w:rsid w:val="002D2C3C"/>
    <w:rsid w:val="002D2D12"/>
    <w:rsid w:val="002D2F8D"/>
    <w:rsid w:val="002D3168"/>
    <w:rsid w:val="002D3266"/>
    <w:rsid w:val="002D32A4"/>
    <w:rsid w:val="002D33BF"/>
    <w:rsid w:val="002D34A0"/>
    <w:rsid w:val="002D34EB"/>
    <w:rsid w:val="002D356B"/>
    <w:rsid w:val="002D358E"/>
    <w:rsid w:val="002D3599"/>
    <w:rsid w:val="002D36D4"/>
    <w:rsid w:val="002D374F"/>
    <w:rsid w:val="002D3A70"/>
    <w:rsid w:val="002D3CFB"/>
    <w:rsid w:val="002D3DD9"/>
    <w:rsid w:val="002D408B"/>
    <w:rsid w:val="002D40B1"/>
    <w:rsid w:val="002D411F"/>
    <w:rsid w:val="002D413B"/>
    <w:rsid w:val="002D42B3"/>
    <w:rsid w:val="002D4490"/>
    <w:rsid w:val="002D4552"/>
    <w:rsid w:val="002D4863"/>
    <w:rsid w:val="002D4966"/>
    <w:rsid w:val="002D49A0"/>
    <w:rsid w:val="002D49DD"/>
    <w:rsid w:val="002D4A04"/>
    <w:rsid w:val="002D4ADA"/>
    <w:rsid w:val="002D4BBA"/>
    <w:rsid w:val="002D4BFD"/>
    <w:rsid w:val="002D4C00"/>
    <w:rsid w:val="002D4CA2"/>
    <w:rsid w:val="002D4D42"/>
    <w:rsid w:val="002D4D7C"/>
    <w:rsid w:val="002D4DF2"/>
    <w:rsid w:val="002D50E0"/>
    <w:rsid w:val="002D5127"/>
    <w:rsid w:val="002D5159"/>
    <w:rsid w:val="002D51F4"/>
    <w:rsid w:val="002D5256"/>
    <w:rsid w:val="002D525B"/>
    <w:rsid w:val="002D52FB"/>
    <w:rsid w:val="002D5399"/>
    <w:rsid w:val="002D53CE"/>
    <w:rsid w:val="002D53E2"/>
    <w:rsid w:val="002D5549"/>
    <w:rsid w:val="002D5577"/>
    <w:rsid w:val="002D5735"/>
    <w:rsid w:val="002D591B"/>
    <w:rsid w:val="002D5980"/>
    <w:rsid w:val="002D598B"/>
    <w:rsid w:val="002D59F6"/>
    <w:rsid w:val="002D5A09"/>
    <w:rsid w:val="002D5B58"/>
    <w:rsid w:val="002D5BB0"/>
    <w:rsid w:val="002D5BFF"/>
    <w:rsid w:val="002D5C42"/>
    <w:rsid w:val="002D5DCC"/>
    <w:rsid w:val="002D5FBA"/>
    <w:rsid w:val="002D61CD"/>
    <w:rsid w:val="002D61DA"/>
    <w:rsid w:val="002D63F5"/>
    <w:rsid w:val="002D6476"/>
    <w:rsid w:val="002D64E9"/>
    <w:rsid w:val="002D65AE"/>
    <w:rsid w:val="002D66E3"/>
    <w:rsid w:val="002D67AA"/>
    <w:rsid w:val="002D67AF"/>
    <w:rsid w:val="002D67CB"/>
    <w:rsid w:val="002D6808"/>
    <w:rsid w:val="002D6879"/>
    <w:rsid w:val="002D68EB"/>
    <w:rsid w:val="002D697A"/>
    <w:rsid w:val="002D69C6"/>
    <w:rsid w:val="002D6A3C"/>
    <w:rsid w:val="002D6AFE"/>
    <w:rsid w:val="002D6B39"/>
    <w:rsid w:val="002D6B54"/>
    <w:rsid w:val="002D6BEB"/>
    <w:rsid w:val="002D6C3D"/>
    <w:rsid w:val="002D6C77"/>
    <w:rsid w:val="002D6CBB"/>
    <w:rsid w:val="002D6E90"/>
    <w:rsid w:val="002D6F20"/>
    <w:rsid w:val="002D6FBD"/>
    <w:rsid w:val="002D6FDC"/>
    <w:rsid w:val="002D6FF2"/>
    <w:rsid w:val="002D725A"/>
    <w:rsid w:val="002D72B3"/>
    <w:rsid w:val="002D732B"/>
    <w:rsid w:val="002D7386"/>
    <w:rsid w:val="002D73C9"/>
    <w:rsid w:val="002D73F6"/>
    <w:rsid w:val="002D740E"/>
    <w:rsid w:val="002D76DD"/>
    <w:rsid w:val="002D77E3"/>
    <w:rsid w:val="002D78AD"/>
    <w:rsid w:val="002D7979"/>
    <w:rsid w:val="002D7B81"/>
    <w:rsid w:val="002D7CE4"/>
    <w:rsid w:val="002D7D11"/>
    <w:rsid w:val="002D7D1C"/>
    <w:rsid w:val="002D7D6B"/>
    <w:rsid w:val="002D7F5E"/>
    <w:rsid w:val="002D7F60"/>
    <w:rsid w:val="002D7FC0"/>
    <w:rsid w:val="002E0010"/>
    <w:rsid w:val="002E0169"/>
    <w:rsid w:val="002E0239"/>
    <w:rsid w:val="002E034A"/>
    <w:rsid w:val="002E0355"/>
    <w:rsid w:val="002E0399"/>
    <w:rsid w:val="002E04F2"/>
    <w:rsid w:val="002E055D"/>
    <w:rsid w:val="002E0587"/>
    <w:rsid w:val="002E05F6"/>
    <w:rsid w:val="002E0648"/>
    <w:rsid w:val="002E06F3"/>
    <w:rsid w:val="002E0702"/>
    <w:rsid w:val="002E07AD"/>
    <w:rsid w:val="002E07FD"/>
    <w:rsid w:val="002E0882"/>
    <w:rsid w:val="002E08CA"/>
    <w:rsid w:val="002E0914"/>
    <w:rsid w:val="002E096C"/>
    <w:rsid w:val="002E098F"/>
    <w:rsid w:val="002E0A4B"/>
    <w:rsid w:val="002E0AB9"/>
    <w:rsid w:val="002E0B1F"/>
    <w:rsid w:val="002E0B57"/>
    <w:rsid w:val="002E0B89"/>
    <w:rsid w:val="002E0BEB"/>
    <w:rsid w:val="002E0C07"/>
    <w:rsid w:val="002E0C9F"/>
    <w:rsid w:val="002E0D8A"/>
    <w:rsid w:val="002E0DE2"/>
    <w:rsid w:val="002E0E00"/>
    <w:rsid w:val="002E0ED1"/>
    <w:rsid w:val="002E0EDF"/>
    <w:rsid w:val="002E0FC9"/>
    <w:rsid w:val="002E1166"/>
    <w:rsid w:val="002E128C"/>
    <w:rsid w:val="002E12FC"/>
    <w:rsid w:val="002E13BF"/>
    <w:rsid w:val="002E147A"/>
    <w:rsid w:val="002E16DD"/>
    <w:rsid w:val="002E1844"/>
    <w:rsid w:val="002E1910"/>
    <w:rsid w:val="002E1943"/>
    <w:rsid w:val="002E19DD"/>
    <w:rsid w:val="002E19DE"/>
    <w:rsid w:val="002E1AB7"/>
    <w:rsid w:val="002E1AF8"/>
    <w:rsid w:val="002E1BE8"/>
    <w:rsid w:val="002E1D78"/>
    <w:rsid w:val="002E1E9C"/>
    <w:rsid w:val="002E1F60"/>
    <w:rsid w:val="002E1FA3"/>
    <w:rsid w:val="002E20A3"/>
    <w:rsid w:val="002E213C"/>
    <w:rsid w:val="002E2211"/>
    <w:rsid w:val="002E2328"/>
    <w:rsid w:val="002E2457"/>
    <w:rsid w:val="002E24AF"/>
    <w:rsid w:val="002E24B1"/>
    <w:rsid w:val="002E259A"/>
    <w:rsid w:val="002E25AB"/>
    <w:rsid w:val="002E2632"/>
    <w:rsid w:val="002E2765"/>
    <w:rsid w:val="002E285B"/>
    <w:rsid w:val="002E2956"/>
    <w:rsid w:val="002E2A15"/>
    <w:rsid w:val="002E2CB9"/>
    <w:rsid w:val="002E2CCC"/>
    <w:rsid w:val="002E2CF2"/>
    <w:rsid w:val="002E2CFB"/>
    <w:rsid w:val="002E2D2B"/>
    <w:rsid w:val="002E2D4F"/>
    <w:rsid w:val="002E2D6C"/>
    <w:rsid w:val="002E2F94"/>
    <w:rsid w:val="002E3012"/>
    <w:rsid w:val="002E3013"/>
    <w:rsid w:val="002E307E"/>
    <w:rsid w:val="002E30C2"/>
    <w:rsid w:val="002E315F"/>
    <w:rsid w:val="002E3179"/>
    <w:rsid w:val="002E31B4"/>
    <w:rsid w:val="002E31D4"/>
    <w:rsid w:val="002E31E6"/>
    <w:rsid w:val="002E3377"/>
    <w:rsid w:val="002E3436"/>
    <w:rsid w:val="002E366D"/>
    <w:rsid w:val="002E36DE"/>
    <w:rsid w:val="002E3724"/>
    <w:rsid w:val="002E37E1"/>
    <w:rsid w:val="002E3825"/>
    <w:rsid w:val="002E38EF"/>
    <w:rsid w:val="002E396C"/>
    <w:rsid w:val="002E3AC7"/>
    <w:rsid w:val="002E3B9C"/>
    <w:rsid w:val="002E3D0D"/>
    <w:rsid w:val="002E3DF5"/>
    <w:rsid w:val="002E3E91"/>
    <w:rsid w:val="002E3F47"/>
    <w:rsid w:val="002E3F79"/>
    <w:rsid w:val="002E4077"/>
    <w:rsid w:val="002E417E"/>
    <w:rsid w:val="002E427B"/>
    <w:rsid w:val="002E4289"/>
    <w:rsid w:val="002E42ED"/>
    <w:rsid w:val="002E4316"/>
    <w:rsid w:val="002E43FB"/>
    <w:rsid w:val="002E44BE"/>
    <w:rsid w:val="002E44D5"/>
    <w:rsid w:val="002E4562"/>
    <w:rsid w:val="002E4566"/>
    <w:rsid w:val="002E459F"/>
    <w:rsid w:val="002E46E4"/>
    <w:rsid w:val="002E473F"/>
    <w:rsid w:val="002E4746"/>
    <w:rsid w:val="002E4753"/>
    <w:rsid w:val="002E487D"/>
    <w:rsid w:val="002E48B6"/>
    <w:rsid w:val="002E494C"/>
    <w:rsid w:val="002E4AA3"/>
    <w:rsid w:val="002E4AAA"/>
    <w:rsid w:val="002E4B56"/>
    <w:rsid w:val="002E4CD0"/>
    <w:rsid w:val="002E4D49"/>
    <w:rsid w:val="002E4E25"/>
    <w:rsid w:val="002E4E8C"/>
    <w:rsid w:val="002E4F61"/>
    <w:rsid w:val="002E4FF5"/>
    <w:rsid w:val="002E5018"/>
    <w:rsid w:val="002E516E"/>
    <w:rsid w:val="002E524C"/>
    <w:rsid w:val="002E525D"/>
    <w:rsid w:val="002E53CC"/>
    <w:rsid w:val="002E5473"/>
    <w:rsid w:val="002E559B"/>
    <w:rsid w:val="002E56E1"/>
    <w:rsid w:val="002E577A"/>
    <w:rsid w:val="002E5781"/>
    <w:rsid w:val="002E57A2"/>
    <w:rsid w:val="002E5919"/>
    <w:rsid w:val="002E598A"/>
    <w:rsid w:val="002E5994"/>
    <w:rsid w:val="002E5A32"/>
    <w:rsid w:val="002E5A8F"/>
    <w:rsid w:val="002E5CCE"/>
    <w:rsid w:val="002E5D85"/>
    <w:rsid w:val="002E5D95"/>
    <w:rsid w:val="002E5E08"/>
    <w:rsid w:val="002E5E09"/>
    <w:rsid w:val="002E5E43"/>
    <w:rsid w:val="002E5F62"/>
    <w:rsid w:val="002E5FB2"/>
    <w:rsid w:val="002E5FC0"/>
    <w:rsid w:val="002E5FD2"/>
    <w:rsid w:val="002E603C"/>
    <w:rsid w:val="002E604C"/>
    <w:rsid w:val="002E60DF"/>
    <w:rsid w:val="002E60E9"/>
    <w:rsid w:val="002E6119"/>
    <w:rsid w:val="002E61B0"/>
    <w:rsid w:val="002E62E2"/>
    <w:rsid w:val="002E64A2"/>
    <w:rsid w:val="002E6559"/>
    <w:rsid w:val="002E6596"/>
    <w:rsid w:val="002E661F"/>
    <w:rsid w:val="002E665E"/>
    <w:rsid w:val="002E6660"/>
    <w:rsid w:val="002E66AC"/>
    <w:rsid w:val="002E66EB"/>
    <w:rsid w:val="002E6724"/>
    <w:rsid w:val="002E6977"/>
    <w:rsid w:val="002E69CC"/>
    <w:rsid w:val="002E69F0"/>
    <w:rsid w:val="002E6A18"/>
    <w:rsid w:val="002E6A33"/>
    <w:rsid w:val="002E6A34"/>
    <w:rsid w:val="002E6A70"/>
    <w:rsid w:val="002E6AC0"/>
    <w:rsid w:val="002E6AC8"/>
    <w:rsid w:val="002E6B1E"/>
    <w:rsid w:val="002E6C7C"/>
    <w:rsid w:val="002E6CAC"/>
    <w:rsid w:val="002E6CDC"/>
    <w:rsid w:val="002E6EED"/>
    <w:rsid w:val="002E6EFE"/>
    <w:rsid w:val="002E7043"/>
    <w:rsid w:val="002E7104"/>
    <w:rsid w:val="002E71E9"/>
    <w:rsid w:val="002E72B0"/>
    <w:rsid w:val="002E72EC"/>
    <w:rsid w:val="002E73A5"/>
    <w:rsid w:val="002E73D7"/>
    <w:rsid w:val="002E7439"/>
    <w:rsid w:val="002E7486"/>
    <w:rsid w:val="002E764A"/>
    <w:rsid w:val="002E76EB"/>
    <w:rsid w:val="002E77AA"/>
    <w:rsid w:val="002E77CA"/>
    <w:rsid w:val="002E77D3"/>
    <w:rsid w:val="002E797D"/>
    <w:rsid w:val="002E79DE"/>
    <w:rsid w:val="002E79FC"/>
    <w:rsid w:val="002E7AA9"/>
    <w:rsid w:val="002E7AD3"/>
    <w:rsid w:val="002E7D29"/>
    <w:rsid w:val="002E7DA9"/>
    <w:rsid w:val="002E7EDB"/>
    <w:rsid w:val="002F006A"/>
    <w:rsid w:val="002F00C5"/>
    <w:rsid w:val="002F01FC"/>
    <w:rsid w:val="002F02E8"/>
    <w:rsid w:val="002F03CD"/>
    <w:rsid w:val="002F0426"/>
    <w:rsid w:val="002F045D"/>
    <w:rsid w:val="002F04AA"/>
    <w:rsid w:val="002F04BE"/>
    <w:rsid w:val="002F0622"/>
    <w:rsid w:val="002F0689"/>
    <w:rsid w:val="002F0911"/>
    <w:rsid w:val="002F0926"/>
    <w:rsid w:val="002F092E"/>
    <w:rsid w:val="002F0B4E"/>
    <w:rsid w:val="002F0C33"/>
    <w:rsid w:val="002F0C8C"/>
    <w:rsid w:val="002F0CD6"/>
    <w:rsid w:val="002F0CF4"/>
    <w:rsid w:val="002F0D14"/>
    <w:rsid w:val="002F0D3F"/>
    <w:rsid w:val="002F0DAE"/>
    <w:rsid w:val="002F0DB1"/>
    <w:rsid w:val="002F0DFD"/>
    <w:rsid w:val="002F0E01"/>
    <w:rsid w:val="002F0E24"/>
    <w:rsid w:val="002F0E85"/>
    <w:rsid w:val="002F0FE3"/>
    <w:rsid w:val="002F0FF1"/>
    <w:rsid w:val="002F10B7"/>
    <w:rsid w:val="002F11AD"/>
    <w:rsid w:val="002F120C"/>
    <w:rsid w:val="002F12A6"/>
    <w:rsid w:val="002F131D"/>
    <w:rsid w:val="002F1346"/>
    <w:rsid w:val="002F1350"/>
    <w:rsid w:val="002F1441"/>
    <w:rsid w:val="002F148C"/>
    <w:rsid w:val="002F1603"/>
    <w:rsid w:val="002F1649"/>
    <w:rsid w:val="002F16F3"/>
    <w:rsid w:val="002F1715"/>
    <w:rsid w:val="002F1734"/>
    <w:rsid w:val="002F179E"/>
    <w:rsid w:val="002F17BC"/>
    <w:rsid w:val="002F1869"/>
    <w:rsid w:val="002F1A29"/>
    <w:rsid w:val="002F1A90"/>
    <w:rsid w:val="002F1A9F"/>
    <w:rsid w:val="002F1B70"/>
    <w:rsid w:val="002F1C39"/>
    <w:rsid w:val="002F1CDA"/>
    <w:rsid w:val="002F1F0F"/>
    <w:rsid w:val="002F1F7A"/>
    <w:rsid w:val="002F1FC3"/>
    <w:rsid w:val="002F1FFE"/>
    <w:rsid w:val="002F207C"/>
    <w:rsid w:val="002F2081"/>
    <w:rsid w:val="002F20B8"/>
    <w:rsid w:val="002F2116"/>
    <w:rsid w:val="002F2272"/>
    <w:rsid w:val="002F231F"/>
    <w:rsid w:val="002F2403"/>
    <w:rsid w:val="002F2414"/>
    <w:rsid w:val="002F2435"/>
    <w:rsid w:val="002F244A"/>
    <w:rsid w:val="002F24D0"/>
    <w:rsid w:val="002F259A"/>
    <w:rsid w:val="002F26E1"/>
    <w:rsid w:val="002F26FA"/>
    <w:rsid w:val="002F2729"/>
    <w:rsid w:val="002F2882"/>
    <w:rsid w:val="002F2B1A"/>
    <w:rsid w:val="002F2C58"/>
    <w:rsid w:val="002F2D3F"/>
    <w:rsid w:val="002F2D52"/>
    <w:rsid w:val="002F2EA7"/>
    <w:rsid w:val="002F2EB0"/>
    <w:rsid w:val="002F2EDB"/>
    <w:rsid w:val="002F2F1C"/>
    <w:rsid w:val="002F2F58"/>
    <w:rsid w:val="002F3034"/>
    <w:rsid w:val="002F3066"/>
    <w:rsid w:val="002F30F4"/>
    <w:rsid w:val="002F3264"/>
    <w:rsid w:val="002F32F2"/>
    <w:rsid w:val="002F33A0"/>
    <w:rsid w:val="002F33EA"/>
    <w:rsid w:val="002F340E"/>
    <w:rsid w:val="002F34E1"/>
    <w:rsid w:val="002F34F8"/>
    <w:rsid w:val="002F35E0"/>
    <w:rsid w:val="002F3889"/>
    <w:rsid w:val="002F3A62"/>
    <w:rsid w:val="002F3ACA"/>
    <w:rsid w:val="002F3AE8"/>
    <w:rsid w:val="002F3D0C"/>
    <w:rsid w:val="002F3DDE"/>
    <w:rsid w:val="002F3E32"/>
    <w:rsid w:val="002F3E63"/>
    <w:rsid w:val="002F3E7C"/>
    <w:rsid w:val="002F3EA9"/>
    <w:rsid w:val="002F3F05"/>
    <w:rsid w:val="002F3F7F"/>
    <w:rsid w:val="002F3FF4"/>
    <w:rsid w:val="002F4064"/>
    <w:rsid w:val="002F4070"/>
    <w:rsid w:val="002F4090"/>
    <w:rsid w:val="002F40BE"/>
    <w:rsid w:val="002F412C"/>
    <w:rsid w:val="002F41CC"/>
    <w:rsid w:val="002F424B"/>
    <w:rsid w:val="002F427A"/>
    <w:rsid w:val="002F42A9"/>
    <w:rsid w:val="002F43C9"/>
    <w:rsid w:val="002F43CC"/>
    <w:rsid w:val="002F43F8"/>
    <w:rsid w:val="002F4497"/>
    <w:rsid w:val="002F45C7"/>
    <w:rsid w:val="002F4840"/>
    <w:rsid w:val="002F48E0"/>
    <w:rsid w:val="002F48F7"/>
    <w:rsid w:val="002F4AA5"/>
    <w:rsid w:val="002F4B26"/>
    <w:rsid w:val="002F4BDB"/>
    <w:rsid w:val="002F4E00"/>
    <w:rsid w:val="002F4E85"/>
    <w:rsid w:val="002F4EAB"/>
    <w:rsid w:val="002F4ECB"/>
    <w:rsid w:val="002F4F0D"/>
    <w:rsid w:val="002F4F59"/>
    <w:rsid w:val="002F50A6"/>
    <w:rsid w:val="002F5444"/>
    <w:rsid w:val="002F5458"/>
    <w:rsid w:val="002F56CB"/>
    <w:rsid w:val="002F572F"/>
    <w:rsid w:val="002F5788"/>
    <w:rsid w:val="002F5793"/>
    <w:rsid w:val="002F5854"/>
    <w:rsid w:val="002F5880"/>
    <w:rsid w:val="002F5994"/>
    <w:rsid w:val="002F5AC4"/>
    <w:rsid w:val="002F5AE2"/>
    <w:rsid w:val="002F5B06"/>
    <w:rsid w:val="002F5B66"/>
    <w:rsid w:val="002F5B72"/>
    <w:rsid w:val="002F5C16"/>
    <w:rsid w:val="002F5D02"/>
    <w:rsid w:val="002F5D05"/>
    <w:rsid w:val="002F5D4A"/>
    <w:rsid w:val="002F5DFF"/>
    <w:rsid w:val="002F5E06"/>
    <w:rsid w:val="002F5EA0"/>
    <w:rsid w:val="002F6024"/>
    <w:rsid w:val="002F60D4"/>
    <w:rsid w:val="002F60F3"/>
    <w:rsid w:val="002F6131"/>
    <w:rsid w:val="002F617C"/>
    <w:rsid w:val="002F61AF"/>
    <w:rsid w:val="002F623D"/>
    <w:rsid w:val="002F6284"/>
    <w:rsid w:val="002F63CF"/>
    <w:rsid w:val="002F6452"/>
    <w:rsid w:val="002F6459"/>
    <w:rsid w:val="002F65D6"/>
    <w:rsid w:val="002F6832"/>
    <w:rsid w:val="002F6876"/>
    <w:rsid w:val="002F68D4"/>
    <w:rsid w:val="002F693F"/>
    <w:rsid w:val="002F69B1"/>
    <w:rsid w:val="002F69F2"/>
    <w:rsid w:val="002F6CDA"/>
    <w:rsid w:val="002F6D89"/>
    <w:rsid w:val="002F6DD4"/>
    <w:rsid w:val="002F6E06"/>
    <w:rsid w:val="002F70C9"/>
    <w:rsid w:val="002F70D2"/>
    <w:rsid w:val="002F7160"/>
    <w:rsid w:val="002F7183"/>
    <w:rsid w:val="002F71E9"/>
    <w:rsid w:val="002F7369"/>
    <w:rsid w:val="002F74C0"/>
    <w:rsid w:val="002F74C9"/>
    <w:rsid w:val="002F7680"/>
    <w:rsid w:val="002F77BB"/>
    <w:rsid w:val="002F7868"/>
    <w:rsid w:val="002F7957"/>
    <w:rsid w:val="002F79DC"/>
    <w:rsid w:val="002F7A87"/>
    <w:rsid w:val="002F7B64"/>
    <w:rsid w:val="002F7E1C"/>
    <w:rsid w:val="00300027"/>
    <w:rsid w:val="0030005B"/>
    <w:rsid w:val="0030019F"/>
    <w:rsid w:val="003003FC"/>
    <w:rsid w:val="003004A8"/>
    <w:rsid w:val="0030068D"/>
    <w:rsid w:val="00300698"/>
    <w:rsid w:val="0030069B"/>
    <w:rsid w:val="003006A5"/>
    <w:rsid w:val="003009B7"/>
    <w:rsid w:val="00300AB2"/>
    <w:rsid w:val="00300B38"/>
    <w:rsid w:val="00300B54"/>
    <w:rsid w:val="00300BE8"/>
    <w:rsid w:val="00300D2F"/>
    <w:rsid w:val="00300D80"/>
    <w:rsid w:val="00300D89"/>
    <w:rsid w:val="00300DDB"/>
    <w:rsid w:val="00300DE4"/>
    <w:rsid w:val="00300E33"/>
    <w:rsid w:val="00300EA8"/>
    <w:rsid w:val="00300F9F"/>
    <w:rsid w:val="00300FED"/>
    <w:rsid w:val="003010E8"/>
    <w:rsid w:val="003011C5"/>
    <w:rsid w:val="0030139E"/>
    <w:rsid w:val="003014B2"/>
    <w:rsid w:val="003014FD"/>
    <w:rsid w:val="00301541"/>
    <w:rsid w:val="00301557"/>
    <w:rsid w:val="003015CD"/>
    <w:rsid w:val="00301782"/>
    <w:rsid w:val="00301830"/>
    <w:rsid w:val="0030187B"/>
    <w:rsid w:val="003018B5"/>
    <w:rsid w:val="00301AB1"/>
    <w:rsid w:val="00301C50"/>
    <w:rsid w:val="00301CC7"/>
    <w:rsid w:val="00301CCE"/>
    <w:rsid w:val="00301D63"/>
    <w:rsid w:val="00301DBB"/>
    <w:rsid w:val="00301E15"/>
    <w:rsid w:val="00301E8A"/>
    <w:rsid w:val="00301F2F"/>
    <w:rsid w:val="00301F60"/>
    <w:rsid w:val="00301FDD"/>
    <w:rsid w:val="00301FE9"/>
    <w:rsid w:val="00302007"/>
    <w:rsid w:val="0030204B"/>
    <w:rsid w:val="003020DA"/>
    <w:rsid w:val="0030216C"/>
    <w:rsid w:val="003021DF"/>
    <w:rsid w:val="003022FE"/>
    <w:rsid w:val="00302304"/>
    <w:rsid w:val="00302352"/>
    <w:rsid w:val="003023E2"/>
    <w:rsid w:val="003023F9"/>
    <w:rsid w:val="0030240E"/>
    <w:rsid w:val="00302442"/>
    <w:rsid w:val="003025D7"/>
    <w:rsid w:val="00302675"/>
    <w:rsid w:val="003026B8"/>
    <w:rsid w:val="003026F1"/>
    <w:rsid w:val="003026F7"/>
    <w:rsid w:val="00302753"/>
    <w:rsid w:val="003027E9"/>
    <w:rsid w:val="003028D2"/>
    <w:rsid w:val="00302923"/>
    <w:rsid w:val="003029C8"/>
    <w:rsid w:val="00302A84"/>
    <w:rsid w:val="00302AB4"/>
    <w:rsid w:val="00302AC5"/>
    <w:rsid w:val="00302B56"/>
    <w:rsid w:val="00302B98"/>
    <w:rsid w:val="00302D22"/>
    <w:rsid w:val="00302D55"/>
    <w:rsid w:val="00302D56"/>
    <w:rsid w:val="00302D89"/>
    <w:rsid w:val="00302E2A"/>
    <w:rsid w:val="00302E2D"/>
    <w:rsid w:val="00302E47"/>
    <w:rsid w:val="00302E56"/>
    <w:rsid w:val="00302F0E"/>
    <w:rsid w:val="00302F5E"/>
    <w:rsid w:val="00303107"/>
    <w:rsid w:val="00303125"/>
    <w:rsid w:val="00303172"/>
    <w:rsid w:val="003031DC"/>
    <w:rsid w:val="003032CB"/>
    <w:rsid w:val="003032FD"/>
    <w:rsid w:val="0030332D"/>
    <w:rsid w:val="00303338"/>
    <w:rsid w:val="0030333D"/>
    <w:rsid w:val="0030357D"/>
    <w:rsid w:val="003035B0"/>
    <w:rsid w:val="003035CA"/>
    <w:rsid w:val="003035DB"/>
    <w:rsid w:val="0030362A"/>
    <w:rsid w:val="003036B4"/>
    <w:rsid w:val="0030373A"/>
    <w:rsid w:val="0030376E"/>
    <w:rsid w:val="003037A4"/>
    <w:rsid w:val="00303887"/>
    <w:rsid w:val="00303951"/>
    <w:rsid w:val="003039B6"/>
    <w:rsid w:val="00303A35"/>
    <w:rsid w:val="00303ADC"/>
    <w:rsid w:val="00303B0D"/>
    <w:rsid w:val="00303B65"/>
    <w:rsid w:val="00303C24"/>
    <w:rsid w:val="00303C4D"/>
    <w:rsid w:val="00303CBA"/>
    <w:rsid w:val="00303D19"/>
    <w:rsid w:val="00303D21"/>
    <w:rsid w:val="00303D47"/>
    <w:rsid w:val="00303D4B"/>
    <w:rsid w:val="00303DB8"/>
    <w:rsid w:val="00303E67"/>
    <w:rsid w:val="00303EDA"/>
    <w:rsid w:val="00303EF4"/>
    <w:rsid w:val="00304192"/>
    <w:rsid w:val="0030428A"/>
    <w:rsid w:val="003042CD"/>
    <w:rsid w:val="003043AB"/>
    <w:rsid w:val="003043C0"/>
    <w:rsid w:val="00304401"/>
    <w:rsid w:val="003045FF"/>
    <w:rsid w:val="0030462A"/>
    <w:rsid w:val="003046B3"/>
    <w:rsid w:val="00304750"/>
    <w:rsid w:val="00304802"/>
    <w:rsid w:val="003048BE"/>
    <w:rsid w:val="00304A53"/>
    <w:rsid w:val="00304A6D"/>
    <w:rsid w:val="00304A8A"/>
    <w:rsid w:val="00304B91"/>
    <w:rsid w:val="00304B9C"/>
    <w:rsid w:val="00304C41"/>
    <w:rsid w:val="00304CCF"/>
    <w:rsid w:val="00304D28"/>
    <w:rsid w:val="00304E14"/>
    <w:rsid w:val="00304E74"/>
    <w:rsid w:val="00304F67"/>
    <w:rsid w:val="00304FBC"/>
    <w:rsid w:val="0030525B"/>
    <w:rsid w:val="00305360"/>
    <w:rsid w:val="00305386"/>
    <w:rsid w:val="00305502"/>
    <w:rsid w:val="00305539"/>
    <w:rsid w:val="003055BE"/>
    <w:rsid w:val="003055DF"/>
    <w:rsid w:val="00305802"/>
    <w:rsid w:val="0030583C"/>
    <w:rsid w:val="00305941"/>
    <w:rsid w:val="0030599D"/>
    <w:rsid w:val="00305AA0"/>
    <w:rsid w:val="00305B2A"/>
    <w:rsid w:val="00305B5A"/>
    <w:rsid w:val="00305D02"/>
    <w:rsid w:val="00305DC7"/>
    <w:rsid w:val="00305F17"/>
    <w:rsid w:val="00305F95"/>
    <w:rsid w:val="003060EE"/>
    <w:rsid w:val="00306131"/>
    <w:rsid w:val="0030616B"/>
    <w:rsid w:val="00306178"/>
    <w:rsid w:val="003062A4"/>
    <w:rsid w:val="003064CC"/>
    <w:rsid w:val="00306531"/>
    <w:rsid w:val="0030653B"/>
    <w:rsid w:val="00306744"/>
    <w:rsid w:val="00306836"/>
    <w:rsid w:val="0030685E"/>
    <w:rsid w:val="003068EB"/>
    <w:rsid w:val="0030698F"/>
    <w:rsid w:val="003069A9"/>
    <w:rsid w:val="003069EA"/>
    <w:rsid w:val="00306A54"/>
    <w:rsid w:val="00306B48"/>
    <w:rsid w:val="00306BBE"/>
    <w:rsid w:val="00306CB7"/>
    <w:rsid w:val="00306E9A"/>
    <w:rsid w:val="00306EDB"/>
    <w:rsid w:val="00306EF9"/>
    <w:rsid w:val="0030707B"/>
    <w:rsid w:val="00307106"/>
    <w:rsid w:val="003071D5"/>
    <w:rsid w:val="00307250"/>
    <w:rsid w:val="003072A2"/>
    <w:rsid w:val="003072D0"/>
    <w:rsid w:val="003072FC"/>
    <w:rsid w:val="00307319"/>
    <w:rsid w:val="0030744A"/>
    <w:rsid w:val="00307489"/>
    <w:rsid w:val="0030748B"/>
    <w:rsid w:val="003074E0"/>
    <w:rsid w:val="00307628"/>
    <w:rsid w:val="003076D2"/>
    <w:rsid w:val="00307776"/>
    <w:rsid w:val="0030777C"/>
    <w:rsid w:val="00307795"/>
    <w:rsid w:val="00307A0D"/>
    <w:rsid w:val="00307A40"/>
    <w:rsid w:val="00307A4F"/>
    <w:rsid w:val="00307AEA"/>
    <w:rsid w:val="00307B94"/>
    <w:rsid w:val="00307C93"/>
    <w:rsid w:val="00307F8E"/>
    <w:rsid w:val="00310006"/>
    <w:rsid w:val="0031000E"/>
    <w:rsid w:val="003101E4"/>
    <w:rsid w:val="00310286"/>
    <w:rsid w:val="00310292"/>
    <w:rsid w:val="003102AF"/>
    <w:rsid w:val="0031031A"/>
    <w:rsid w:val="00310321"/>
    <w:rsid w:val="00310353"/>
    <w:rsid w:val="003103A9"/>
    <w:rsid w:val="00310517"/>
    <w:rsid w:val="00310551"/>
    <w:rsid w:val="0031055B"/>
    <w:rsid w:val="00310602"/>
    <w:rsid w:val="003106B9"/>
    <w:rsid w:val="003106DE"/>
    <w:rsid w:val="003106EE"/>
    <w:rsid w:val="00310708"/>
    <w:rsid w:val="00310750"/>
    <w:rsid w:val="003107B9"/>
    <w:rsid w:val="00310818"/>
    <w:rsid w:val="00310848"/>
    <w:rsid w:val="00310A54"/>
    <w:rsid w:val="00310ACF"/>
    <w:rsid w:val="00310B1E"/>
    <w:rsid w:val="00310BCF"/>
    <w:rsid w:val="00310C37"/>
    <w:rsid w:val="00310D2E"/>
    <w:rsid w:val="00310DBB"/>
    <w:rsid w:val="00310DEE"/>
    <w:rsid w:val="00310F07"/>
    <w:rsid w:val="00310F2C"/>
    <w:rsid w:val="00311114"/>
    <w:rsid w:val="003111AC"/>
    <w:rsid w:val="00311406"/>
    <w:rsid w:val="00311439"/>
    <w:rsid w:val="00311478"/>
    <w:rsid w:val="003114A8"/>
    <w:rsid w:val="00311549"/>
    <w:rsid w:val="003115AC"/>
    <w:rsid w:val="003115BF"/>
    <w:rsid w:val="00311603"/>
    <w:rsid w:val="00311646"/>
    <w:rsid w:val="0031166D"/>
    <w:rsid w:val="003117A2"/>
    <w:rsid w:val="00311803"/>
    <w:rsid w:val="0031180D"/>
    <w:rsid w:val="003118EE"/>
    <w:rsid w:val="003118F1"/>
    <w:rsid w:val="00311943"/>
    <w:rsid w:val="00311947"/>
    <w:rsid w:val="00311986"/>
    <w:rsid w:val="0031198E"/>
    <w:rsid w:val="00311AEF"/>
    <w:rsid w:val="00311BEB"/>
    <w:rsid w:val="00311BFC"/>
    <w:rsid w:val="00311CE8"/>
    <w:rsid w:val="00311D49"/>
    <w:rsid w:val="00311DCB"/>
    <w:rsid w:val="00311F66"/>
    <w:rsid w:val="00311F89"/>
    <w:rsid w:val="00312003"/>
    <w:rsid w:val="00312082"/>
    <w:rsid w:val="003122A8"/>
    <w:rsid w:val="00312388"/>
    <w:rsid w:val="003123C2"/>
    <w:rsid w:val="00312417"/>
    <w:rsid w:val="003124D5"/>
    <w:rsid w:val="00312516"/>
    <w:rsid w:val="0031258C"/>
    <w:rsid w:val="00312653"/>
    <w:rsid w:val="003126B5"/>
    <w:rsid w:val="003126B8"/>
    <w:rsid w:val="00312703"/>
    <w:rsid w:val="003127F7"/>
    <w:rsid w:val="00312862"/>
    <w:rsid w:val="0031286B"/>
    <w:rsid w:val="00312914"/>
    <w:rsid w:val="00312BDC"/>
    <w:rsid w:val="00312D9F"/>
    <w:rsid w:val="00312DB5"/>
    <w:rsid w:val="00312E08"/>
    <w:rsid w:val="00312E25"/>
    <w:rsid w:val="00312ED7"/>
    <w:rsid w:val="00312F2C"/>
    <w:rsid w:val="00312F9F"/>
    <w:rsid w:val="00312FB4"/>
    <w:rsid w:val="0031300F"/>
    <w:rsid w:val="0031308C"/>
    <w:rsid w:val="00313149"/>
    <w:rsid w:val="003132E3"/>
    <w:rsid w:val="003133EA"/>
    <w:rsid w:val="00313469"/>
    <w:rsid w:val="00313498"/>
    <w:rsid w:val="003134A2"/>
    <w:rsid w:val="0031358D"/>
    <w:rsid w:val="003135E2"/>
    <w:rsid w:val="00313721"/>
    <w:rsid w:val="0031378F"/>
    <w:rsid w:val="003137F5"/>
    <w:rsid w:val="00313A1C"/>
    <w:rsid w:val="00313A1E"/>
    <w:rsid w:val="00313A30"/>
    <w:rsid w:val="00313B25"/>
    <w:rsid w:val="00313C78"/>
    <w:rsid w:val="00313D44"/>
    <w:rsid w:val="00313E94"/>
    <w:rsid w:val="00313EBA"/>
    <w:rsid w:val="00313EFD"/>
    <w:rsid w:val="00313F69"/>
    <w:rsid w:val="00313FA0"/>
    <w:rsid w:val="0031404F"/>
    <w:rsid w:val="003140B8"/>
    <w:rsid w:val="00314257"/>
    <w:rsid w:val="003142E9"/>
    <w:rsid w:val="0031437D"/>
    <w:rsid w:val="00314417"/>
    <w:rsid w:val="00314455"/>
    <w:rsid w:val="00314510"/>
    <w:rsid w:val="00314518"/>
    <w:rsid w:val="00314602"/>
    <w:rsid w:val="00314690"/>
    <w:rsid w:val="00314691"/>
    <w:rsid w:val="003146E4"/>
    <w:rsid w:val="00314720"/>
    <w:rsid w:val="0031478D"/>
    <w:rsid w:val="00314890"/>
    <w:rsid w:val="0031493A"/>
    <w:rsid w:val="0031495C"/>
    <w:rsid w:val="00314AA8"/>
    <w:rsid w:val="00314AB0"/>
    <w:rsid w:val="00314B04"/>
    <w:rsid w:val="00314F31"/>
    <w:rsid w:val="00314FB9"/>
    <w:rsid w:val="0031500E"/>
    <w:rsid w:val="00315171"/>
    <w:rsid w:val="003151D5"/>
    <w:rsid w:val="00315217"/>
    <w:rsid w:val="0031531E"/>
    <w:rsid w:val="00315382"/>
    <w:rsid w:val="0031540D"/>
    <w:rsid w:val="0031546B"/>
    <w:rsid w:val="0031567F"/>
    <w:rsid w:val="0031574B"/>
    <w:rsid w:val="003158B3"/>
    <w:rsid w:val="003158DE"/>
    <w:rsid w:val="003159B2"/>
    <w:rsid w:val="00315A03"/>
    <w:rsid w:val="00315A3D"/>
    <w:rsid w:val="00315B25"/>
    <w:rsid w:val="00315B2B"/>
    <w:rsid w:val="00315BEF"/>
    <w:rsid w:val="00315C2D"/>
    <w:rsid w:val="00315CC1"/>
    <w:rsid w:val="00315D36"/>
    <w:rsid w:val="00315DB3"/>
    <w:rsid w:val="00315E3B"/>
    <w:rsid w:val="00315EB5"/>
    <w:rsid w:val="00315ECB"/>
    <w:rsid w:val="00315F05"/>
    <w:rsid w:val="00315F1B"/>
    <w:rsid w:val="00315FD0"/>
    <w:rsid w:val="00316041"/>
    <w:rsid w:val="0031619F"/>
    <w:rsid w:val="0031620B"/>
    <w:rsid w:val="00316217"/>
    <w:rsid w:val="00316344"/>
    <w:rsid w:val="003163C9"/>
    <w:rsid w:val="00316519"/>
    <w:rsid w:val="00316542"/>
    <w:rsid w:val="0031658B"/>
    <w:rsid w:val="0031671D"/>
    <w:rsid w:val="0031675A"/>
    <w:rsid w:val="003167DB"/>
    <w:rsid w:val="00316808"/>
    <w:rsid w:val="0031689A"/>
    <w:rsid w:val="003168BF"/>
    <w:rsid w:val="00316922"/>
    <w:rsid w:val="003169F2"/>
    <w:rsid w:val="00316B05"/>
    <w:rsid w:val="00316B73"/>
    <w:rsid w:val="00316BB3"/>
    <w:rsid w:val="00316BDA"/>
    <w:rsid w:val="00316C4E"/>
    <w:rsid w:val="00316C76"/>
    <w:rsid w:val="00316CA9"/>
    <w:rsid w:val="00316D09"/>
    <w:rsid w:val="00316D54"/>
    <w:rsid w:val="00316DA3"/>
    <w:rsid w:val="003170C0"/>
    <w:rsid w:val="0031713A"/>
    <w:rsid w:val="00317212"/>
    <w:rsid w:val="0031728D"/>
    <w:rsid w:val="003172EB"/>
    <w:rsid w:val="0031741E"/>
    <w:rsid w:val="0031747D"/>
    <w:rsid w:val="0031754F"/>
    <w:rsid w:val="0031757C"/>
    <w:rsid w:val="003176A0"/>
    <w:rsid w:val="003176D7"/>
    <w:rsid w:val="00317836"/>
    <w:rsid w:val="00317888"/>
    <w:rsid w:val="00317915"/>
    <w:rsid w:val="0031792F"/>
    <w:rsid w:val="00317A3D"/>
    <w:rsid w:val="00317A61"/>
    <w:rsid w:val="00317A8C"/>
    <w:rsid w:val="00317AA9"/>
    <w:rsid w:val="00317BA7"/>
    <w:rsid w:val="00317CE0"/>
    <w:rsid w:val="00317D4B"/>
    <w:rsid w:val="00317F2F"/>
    <w:rsid w:val="0032000B"/>
    <w:rsid w:val="00320057"/>
    <w:rsid w:val="00320096"/>
    <w:rsid w:val="003200D5"/>
    <w:rsid w:val="00320119"/>
    <w:rsid w:val="00320249"/>
    <w:rsid w:val="00320481"/>
    <w:rsid w:val="003204B8"/>
    <w:rsid w:val="003204E9"/>
    <w:rsid w:val="0032057F"/>
    <w:rsid w:val="003205E7"/>
    <w:rsid w:val="00320656"/>
    <w:rsid w:val="003206A8"/>
    <w:rsid w:val="003207D1"/>
    <w:rsid w:val="00320848"/>
    <w:rsid w:val="00320892"/>
    <w:rsid w:val="00320922"/>
    <w:rsid w:val="00320ABD"/>
    <w:rsid w:val="00320B01"/>
    <w:rsid w:val="00320B1A"/>
    <w:rsid w:val="00320B41"/>
    <w:rsid w:val="00320BA6"/>
    <w:rsid w:val="00320C20"/>
    <w:rsid w:val="00320D90"/>
    <w:rsid w:val="00320E3C"/>
    <w:rsid w:val="00320E47"/>
    <w:rsid w:val="00320E9A"/>
    <w:rsid w:val="00320EB7"/>
    <w:rsid w:val="003210A6"/>
    <w:rsid w:val="003210C2"/>
    <w:rsid w:val="003210CA"/>
    <w:rsid w:val="00321190"/>
    <w:rsid w:val="003211B3"/>
    <w:rsid w:val="0032125C"/>
    <w:rsid w:val="003212F8"/>
    <w:rsid w:val="0032136D"/>
    <w:rsid w:val="00321401"/>
    <w:rsid w:val="003216B0"/>
    <w:rsid w:val="003216F6"/>
    <w:rsid w:val="0032171F"/>
    <w:rsid w:val="0032172E"/>
    <w:rsid w:val="003217BC"/>
    <w:rsid w:val="003219DC"/>
    <w:rsid w:val="00321A74"/>
    <w:rsid w:val="00321AA6"/>
    <w:rsid w:val="00321B5B"/>
    <w:rsid w:val="00321BC8"/>
    <w:rsid w:val="00321BFA"/>
    <w:rsid w:val="00321CB9"/>
    <w:rsid w:val="00321EA3"/>
    <w:rsid w:val="00321F15"/>
    <w:rsid w:val="00321FB6"/>
    <w:rsid w:val="00321FD6"/>
    <w:rsid w:val="00322046"/>
    <w:rsid w:val="00322061"/>
    <w:rsid w:val="00322215"/>
    <w:rsid w:val="0032223F"/>
    <w:rsid w:val="003223C3"/>
    <w:rsid w:val="00322564"/>
    <w:rsid w:val="003225C8"/>
    <w:rsid w:val="003225E8"/>
    <w:rsid w:val="00322608"/>
    <w:rsid w:val="00322612"/>
    <w:rsid w:val="00322615"/>
    <w:rsid w:val="00322618"/>
    <w:rsid w:val="003226AD"/>
    <w:rsid w:val="0032273E"/>
    <w:rsid w:val="00322772"/>
    <w:rsid w:val="003229C8"/>
    <w:rsid w:val="00322A10"/>
    <w:rsid w:val="00322A41"/>
    <w:rsid w:val="00322B51"/>
    <w:rsid w:val="00322BD1"/>
    <w:rsid w:val="00322BE4"/>
    <w:rsid w:val="00322C1C"/>
    <w:rsid w:val="00322C8B"/>
    <w:rsid w:val="00322CF9"/>
    <w:rsid w:val="00322D05"/>
    <w:rsid w:val="00322D90"/>
    <w:rsid w:val="00322DBE"/>
    <w:rsid w:val="00322F4F"/>
    <w:rsid w:val="00323043"/>
    <w:rsid w:val="003231C2"/>
    <w:rsid w:val="00323220"/>
    <w:rsid w:val="003232C6"/>
    <w:rsid w:val="0032333F"/>
    <w:rsid w:val="003233CF"/>
    <w:rsid w:val="00323499"/>
    <w:rsid w:val="003235A7"/>
    <w:rsid w:val="003235B8"/>
    <w:rsid w:val="00323733"/>
    <w:rsid w:val="0032378A"/>
    <w:rsid w:val="003237A0"/>
    <w:rsid w:val="00323946"/>
    <w:rsid w:val="003239E1"/>
    <w:rsid w:val="00323B97"/>
    <w:rsid w:val="00323C05"/>
    <w:rsid w:val="00323CB7"/>
    <w:rsid w:val="00323D59"/>
    <w:rsid w:val="00323E16"/>
    <w:rsid w:val="00323E1E"/>
    <w:rsid w:val="00324041"/>
    <w:rsid w:val="00324097"/>
    <w:rsid w:val="003240ED"/>
    <w:rsid w:val="003240F3"/>
    <w:rsid w:val="003241E5"/>
    <w:rsid w:val="003241E6"/>
    <w:rsid w:val="00324309"/>
    <w:rsid w:val="003243F3"/>
    <w:rsid w:val="00324406"/>
    <w:rsid w:val="00324440"/>
    <w:rsid w:val="00324489"/>
    <w:rsid w:val="00324577"/>
    <w:rsid w:val="00324643"/>
    <w:rsid w:val="00324651"/>
    <w:rsid w:val="003247C4"/>
    <w:rsid w:val="00324818"/>
    <w:rsid w:val="0032482D"/>
    <w:rsid w:val="00324932"/>
    <w:rsid w:val="00324AB0"/>
    <w:rsid w:val="00324AFA"/>
    <w:rsid w:val="00324B5B"/>
    <w:rsid w:val="00324BBE"/>
    <w:rsid w:val="00324C3E"/>
    <w:rsid w:val="00324CA3"/>
    <w:rsid w:val="00324E21"/>
    <w:rsid w:val="00324F0F"/>
    <w:rsid w:val="00324F3D"/>
    <w:rsid w:val="00324F82"/>
    <w:rsid w:val="00325008"/>
    <w:rsid w:val="00325229"/>
    <w:rsid w:val="003252F3"/>
    <w:rsid w:val="003253D2"/>
    <w:rsid w:val="003253E0"/>
    <w:rsid w:val="00325594"/>
    <w:rsid w:val="003255CC"/>
    <w:rsid w:val="003256A7"/>
    <w:rsid w:val="00325701"/>
    <w:rsid w:val="003258C6"/>
    <w:rsid w:val="003258D5"/>
    <w:rsid w:val="003258DB"/>
    <w:rsid w:val="003258EC"/>
    <w:rsid w:val="00325AD8"/>
    <w:rsid w:val="00325B5E"/>
    <w:rsid w:val="00325BBB"/>
    <w:rsid w:val="00325C02"/>
    <w:rsid w:val="00325C89"/>
    <w:rsid w:val="00325D2C"/>
    <w:rsid w:val="00325D37"/>
    <w:rsid w:val="00325DA6"/>
    <w:rsid w:val="00325DDF"/>
    <w:rsid w:val="00325E2A"/>
    <w:rsid w:val="00325EFE"/>
    <w:rsid w:val="00326252"/>
    <w:rsid w:val="003262A6"/>
    <w:rsid w:val="003262C6"/>
    <w:rsid w:val="00326420"/>
    <w:rsid w:val="0032643B"/>
    <w:rsid w:val="0032649A"/>
    <w:rsid w:val="003264B9"/>
    <w:rsid w:val="00326541"/>
    <w:rsid w:val="00326673"/>
    <w:rsid w:val="003266B9"/>
    <w:rsid w:val="00326714"/>
    <w:rsid w:val="00326748"/>
    <w:rsid w:val="0032683D"/>
    <w:rsid w:val="0032699E"/>
    <w:rsid w:val="003269AF"/>
    <w:rsid w:val="003269F8"/>
    <w:rsid w:val="00326A0E"/>
    <w:rsid w:val="00326BE1"/>
    <w:rsid w:val="00326C07"/>
    <w:rsid w:val="00326D4B"/>
    <w:rsid w:val="00326D92"/>
    <w:rsid w:val="00326E1C"/>
    <w:rsid w:val="00326E3F"/>
    <w:rsid w:val="00326E65"/>
    <w:rsid w:val="00326ECA"/>
    <w:rsid w:val="00327038"/>
    <w:rsid w:val="00327204"/>
    <w:rsid w:val="00327330"/>
    <w:rsid w:val="00327340"/>
    <w:rsid w:val="00327347"/>
    <w:rsid w:val="00327353"/>
    <w:rsid w:val="003273EC"/>
    <w:rsid w:val="003274A6"/>
    <w:rsid w:val="003274EF"/>
    <w:rsid w:val="0032758C"/>
    <w:rsid w:val="0032758F"/>
    <w:rsid w:val="00327631"/>
    <w:rsid w:val="00327651"/>
    <w:rsid w:val="0032767F"/>
    <w:rsid w:val="0032769D"/>
    <w:rsid w:val="00327741"/>
    <w:rsid w:val="003277D4"/>
    <w:rsid w:val="0032784E"/>
    <w:rsid w:val="00327860"/>
    <w:rsid w:val="0032786D"/>
    <w:rsid w:val="003279DB"/>
    <w:rsid w:val="00327A03"/>
    <w:rsid w:val="00327A3B"/>
    <w:rsid w:val="00327A9E"/>
    <w:rsid w:val="00327DB6"/>
    <w:rsid w:val="00327E7C"/>
    <w:rsid w:val="00327ECA"/>
    <w:rsid w:val="00330025"/>
    <w:rsid w:val="00330135"/>
    <w:rsid w:val="00330239"/>
    <w:rsid w:val="00330272"/>
    <w:rsid w:val="0033031A"/>
    <w:rsid w:val="00330421"/>
    <w:rsid w:val="00330424"/>
    <w:rsid w:val="003304FC"/>
    <w:rsid w:val="0033068A"/>
    <w:rsid w:val="00330786"/>
    <w:rsid w:val="003307AE"/>
    <w:rsid w:val="0033083C"/>
    <w:rsid w:val="003308B6"/>
    <w:rsid w:val="003308DE"/>
    <w:rsid w:val="00330978"/>
    <w:rsid w:val="00330A12"/>
    <w:rsid w:val="00330A96"/>
    <w:rsid w:val="00330B09"/>
    <w:rsid w:val="00330C27"/>
    <w:rsid w:val="00330C5A"/>
    <w:rsid w:val="00330D0B"/>
    <w:rsid w:val="00330DA0"/>
    <w:rsid w:val="00330E24"/>
    <w:rsid w:val="00330EC3"/>
    <w:rsid w:val="00330F8D"/>
    <w:rsid w:val="003310CE"/>
    <w:rsid w:val="003310E3"/>
    <w:rsid w:val="003310E5"/>
    <w:rsid w:val="003310E9"/>
    <w:rsid w:val="003310FB"/>
    <w:rsid w:val="0033119E"/>
    <w:rsid w:val="00331352"/>
    <w:rsid w:val="00331444"/>
    <w:rsid w:val="0033156C"/>
    <w:rsid w:val="00331616"/>
    <w:rsid w:val="00331641"/>
    <w:rsid w:val="003318EA"/>
    <w:rsid w:val="0033190F"/>
    <w:rsid w:val="00331B66"/>
    <w:rsid w:val="00331BC9"/>
    <w:rsid w:val="00331BD7"/>
    <w:rsid w:val="00331C1C"/>
    <w:rsid w:val="00331D37"/>
    <w:rsid w:val="00331D6D"/>
    <w:rsid w:val="00331D87"/>
    <w:rsid w:val="00331DB9"/>
    <w:rsid w:val="00331E16"/>
    <w:rsid w:val="00331E79"/>
    <w:rsid w:val="00331EE4"/>
    <w:rsid w:val="00331FB2"/>
    <w:rsid w:val="00332003"/>
    <w:rsid w:val="00332006"/>
    <w:rsid w:val="00332015"/>
    <w:rsid w:val="00332026"/>
    <w:rsid w:val="00332123"/>
    <w:rsid w:val="00332220"/>
    <w:rsid w:val="003322FC"/>
    <w:rsid w:val="00332416"/>
    <w:rsid w:val="0033247D"/>
    <w:rsid w:val="0033247F"/>
    <w:rsid w:val="00332538"/>
    <w:rsid w:val="0033254B"/>
    <w:rsid w:val="003325CF"/>
    <w:rsid w:val="0033265C"/>
    <w:rsid w:val="0033278A"/>
    <w:rsid w:val="003327D0"/>
    <w:rsid w:val="003327DB"/>
    <w:rsid w:val="0033281F"/>
    <w:rsid w:val="003329FE"/>
    <w:rsid w:val="00332A30"/>
    <w:rsid w:val="00332A84"/>
    <w:rsid w:val="00332B4A"/>
    <w:rsid w:val="00332B9E"/>
    <w:rsid w:val="00332CFA"/>
    <w:rsid w:val="00332D2D"/>
    <w:rsid w:val="00332D35"/>
    <w:rsid w:val="00332E15"/>
    <w:rsid w:val="00332E46"/>
    <w:rsid w:val="00332EC3"/>
    <w:rsid w:val="00332F67"/>
    <w:rsid w:val="00332FA2"/>
    <w:rsid w:val="00332FE4"/>
    <w:rsid w:val="0033334C"/>
    <w:rsid w:val="00333467"/>
    <w:rsid w:val="00333542"/>
    <w:rsid w:val="00333623"/>
    <w:rsid w:val="0033365E"/>
    <w:rsid w:val="003336F0"/>
    <w:rsid w:val="00333760"/>
    <w:rsid w:val="0033378E"/>
    <w:rsid w:val="00333872"/>
    <w:rsid w:val="003338AE"/>
    <w:rsid w:val="00333909"/>
    <w:rsid w:val="00333923"/>
    <w:rsid w:val="00333987"/>
    <w:rsid w:val="00333BCC"/>
    <w:rsid w:val="00333C57"/>
    <w:rsid w:val="00333C78"/>
    <w:rsid w:val="00333D84"/>
    <w:rsid w:val="00333EFD"/>
    <w:rsid w:val="003340AE"/>
    <w:rsid w:val="003341BD"/>
    <w:rsid w:val="00334208"/>
    <w:rsid w:val="00334297"/>
    <w:rsid w:val="00334389"/>
    <w:rsid w:val="00334432"/>
    <w:rsid w:val="00334439"/>
    <w:rsid w:val="0033457F"/>
    <w:rsid w:val="003345B7"/>
    <w:rsid w:val="003345FB"/>
    <w:rsid w:val="00334693"/>
    <w:rsid w:val="003346C0"/>
    <w:rsid w:val="00334723"/>
    <w:rsid w:val="0033478D"/>
    <w:rsid w:val="003348E5"/>
    <w:rsid w:val="0033499A"/>
    <w:rsid w:val="00334A6E"/>
    <w:rsid w:val="00334AAD"/>
    <w:rsid w:val="00334B43"/>
    <w:rsid w:val="00334C08"/>
    <w:rsid w:val="00334C18"/>
    <w:rsid w:val="00334C4E"/>
    <w:rsid w:val="00334DC7"/>
    <w:rsid w:val="00334DDE"/>
    <w:rsid w:val="00334E17"/>
    <w:rsid w:val="00334E21"/>
    <w:rsid w:val="00334E27"/>
    <w:rsid w:val="00334E41"/>
    <w:rsid w:val="00334FEA"/>
    <w:rsid w:val="00335074"/>
    <w:rsid w:val="00335205"/>
    <w:rsid w:val="003354CE"/>
    <w:rsid w:val="0033561A"/>
    <w:rsid w:val="00335A87"/>
    <w:rsid w:val="00335AAA"/>
    <w:rsid w:val="00335BCE"/>
    <w:rsid w:val="00335BEF"/>
    <w:rsid w:val="00335BF1"/>
    <w:rsid w:val="00335CCC"/>
    <w:rsid w:val="00335D21"/>
    <w:rsid w:val="00335E17"/>
    <w:rsid w:val="00335E71"/>
    <w:rsid w:val="00335ED6"/>
    <w:rsid w:val="00335EED"/>
    <w:rsid w:val="00335F29"/>
    <w:rsid w:val="00335FBB"/>
    <w:rsid w:val="00336095"/>
    <w:rsid w:val="00336193"/>
    <w:rsid w:val="00336253"/>
    <w:rsid w:val="00336284"/>
    <w:rsid w:val="0033636C"/>
    <w:rsid w:val="003363F5"/>
    <w:rsid w:val="00336444"/>
    <w:rsid w:val="00336462"/>
    <w:rsid w:val="003364AA"/>
    <w:rsid w:val="003364C8"/>
    <w:rsid w:val="00336652"/>
    <w:rsid w:val="00336687"/>
    <w:rsid w:val="00336701"/>
    <w:rsid w:val="003368ED"/>
    <w:rsid w:val="00336A9B"/>
    <w:rsid w:val="00336BF2"/>
    <w:rsid w:val="00336C2A"/>
    <w:rsid w:val="00336D0E"/>
    <w:rsid w:val="00336D46"/>
    <w:rsid w:val="00336DCA"/>
    <w:rsid w:val="00336EDB"/>
    <w:rsid w:val="00336F7F"/>
    <w:rsid w:val="00336F9E"/>
    <w:rsid w:val="00336FB3"/>
    <w:rsid w:val="00337184"/>
    <w:rsid w:val="0033718E"/>
    <w:rsid w:val="0033757C"/>
    <w:rsid w:val="00337639"/>
    <w:rsid w:val="00337750"/>
    <w:rsid w:val="0033788F"/>
    <w:rsid w:val="003378BF"/>
    <w:rsid w:val="00337917"/>
    <w:rsid w:val="0033795C"/>
    <w:rsid w:val="00337988"/>
    <w:rsid w:val="00337A17"/>
    <w:rsid w:val="00337A80"/>
    <w:rsid w:val="00337B64"/>
    <w:rsid w:val="00337D17"/>
    <w:rsid w:val="00337D71"/>
    <w:rsid w:val="00337D80"/>
    <w:rsid w:val="00337F2D"/>
    <w:rsid w:val="00337FA2"/>
    <w:rsid w:val="00337FE8"/>
    <w:rsid w:val="0034004E"/>
    <w:rsid w:val="003400FA"/>
    <w:rsid w:val="00340109"/>
    <w:rsid w:val="00340155"/>
    <w:rsid w:val="00340207"/>
    <w:rsid w:val="00340354"/>
    <w:rsid w:val="003403B5"/>
    <w:rsid w:val="00340473"/>
    <w:rsid w:val="003404E2"/>
    <w:rsid w:val="003404F4"/>
    <w:rsid w:val="00340540"/>
    <w:rsid w:val="0034057A"/>
    <w:rsid w:val="00340604"/>
    <w:rsid w:val="00340605"/>
    <w:rsid w:val="0034064D"/>
    <w:rsid w:val="003406C5"/>
    <w:rsid w:val="00340734"/>
    <w:rsid w:val="0034076E"/>
    <w:rsid w:val="0034080A"/>
    <w:rsid w:val="00340853"/>
    <w:rsid w:val="003408F1"/>
    <w:rsid w:val="0034093E"/>
    <w:rsid w:val="00340B54"/>
    <w:rsid w:val="00340CF6"/>
    <w:rsid w:val="00340D7B"/>
    <w:rsid w:val="00340DD7"/>
    <w:rsid w:val="00340EDB"/>
    <w:rsid w:val="00340EE5"/>
    <w:rsid w:val="00340F21"/>
    <w:rsid w:val="00341061"/>
    <w:rsid w:val="00341278"/>
    <w:rsid w:val="003412B4"/>
    <w:rsid w:val="003412C4"/>
    <w:rsid w:val="003412E6"/>
    <w:rsid w:val="003412E8"/>
    <w:rsid w:val="003413A2"/>
    <w:rsid w:val="0034141D"/>
    <w:rsid w:val="0034154B"/>
    <w:rsid w:val="00341550"/>
    <w:rsid w:val="003416DA"/>
    <w:rsid w:val="00341731"/>
    <w:rsid w:val="0034174F"/>
    <w:rsid w:val="003417DA"/>
    <w:rsid w:val="0034180C"/>
    <w:rsid w:val="00341859"/>
    <w:rsid w:val="00341888"/>
    <w:rsid w:val="00341889"/>
    <w:rsid w:val="003418FC"/>
    <w:rsid w:val="0034193D"/>
    <w:rsid w:val="00341AAF"/>
    <w:rsid w:val="00341C1C"/>
    <w:rsid w:val="00341C42"/>
    <w:rsid w:val="00341C67"/>
    <w:rsid w:val="00341D33"/>
    <w:rsid w:val="00341DB6"/>
    <w:rsid w:val="00341DDD"/>
    <w:rsid w:val="00341DEB"/>
    <w:rsid w:val="00341E22"/>
    <w:rsid w:val="00341ED1"/>
    <w:rsid w:val="00341EDE"/>
    <w:rsid w:val="00341F5C"/>
    <w:rsid w:val="00341F6B"/>
    <w:rsid w:val="0034201F"/>
    <w:rsid w:val="00342046"/>
    <w:rsid w:val="00342148"/>
    <w:rsid w:val="003421F7"/>
    <w:rsid w:val="00342220"/>
    <w:rsid w:val="00342226"/>
    <w:rsid w:val="0034227D"/>
    <w:rsid w:val="003422FB"/>
    <w:rsid w:val="00342325"/>
    <w:rsid w:val="00342364"/>
    <w:rsid w:val="00342392"/>
    <w:rsid w:val="00342488"/>
    <w:rsid w:val="00342508"/>
    <w:rsid w:val="003425AA"/>
    <w:rsid w:val="0034266C"/>
    <w:rsid w:val="00342722"/>
    <w:rsid w:val="00342811"/>
    <w:rsid w:val="00342865"/>
    <w:rsid w:val="003429BD"/>
    <w:rsid w:val="00342A12"/>
    <w:rsid w:val="00342A51"/>
    <w:rsid w:val="00342B35"/>
    <w:rsid w:val="00342B7D"/>
    <w:rsid w:val="00342B90"/>
    <w:rsid w:val="00342BE2"/>
    <w:rsid w:val="00342CAD"/>
    <w:rsid w:val="00342D5E"/>
    <w:rsid w:val="00342F67"/>
    <w:rsid w:val="00342F98"/>
    <w:rsid w:val="00342FFD"/>
    <w:rsid w:val="00343000"/>
    <w:rsid w:val="00343258"/>
    <w:rsid w:val="003432A6"/>
    <w:rsid w:val="00343385"/>
    <w:rsid w:val="003433BA"/>
    <w:rsid w:val="00343465"/>
    <w:rsid w:val="0034348B"/>
    <w:rsid w:val="003436D3"/>
    <w:rsid w:val="00343770"/>
    <w:rsid w:val="00343781"/>
    <w:rsid w:val="00343802"/>
    <w:rsid w:val="003438B6"/>
    <w:rsid w:val="003438EF"/>
    <w:rsid w:val="00343A56"/>
    <w:rsid w:val="00343A92"/>
    <w:rsid w:val="00343A9F"/>
    <w:rsid w:val="00343AE3"/>
    <w:rsid w:val="00343BB0"/>
    <w:rsid w:val="00343C65"/>
    <w:rsid w:val="00343CBD"/>
    <w:rsid w:val="00343F1B"/>
    <w:rsid w:val="00343FE9"/>
    <w:rsid w:val="00344008"/>
    <w:rsid w:val="00344235"/>
    <w:rsid w:val="003442D1"/>
    <w:rsid w:val="00344351"/>
    <w:rsid w:val="0034436C"/>
    <w:rsid w:val="0034438A"/>
    <w:rsid w:val="00344390"/>
    <w:rsid w:val="003443F5"/>
    <w:rsid w:val="0034441D"/>
    <w:rsid w:val="00344436"/>
    <w:rsid w:val="00344488"/>
    <w:rsid w:val="0034448B"/>
    <w:rsid w:val="00344698"/>
    <w:rsid w:val="0034472A"/>
    <w:rsid w:val="00344740"/>
    <w:rsid w:val="003447C2"/>
    <w:rsid w:val="003447CC"/>
    <w:rsid w:val="0034499A"/>
    <w:rsid w:val="003449A5"/>
    <w:rsid w:val="00344A2A"/>
    <w:rsid w:val="00344AB4"/>
    <w:rsid w:val="00344B38"/>
    <w:rsid w:val="00344B70"/>
    <w:rsid w:val="00344BA0"/>
    <w:rsid w:val="00344C2C"/>
    <w:rsid w:val="00344C53"/>
    <w:rsid w:val="00344C5B"/>
    <w:rsid w:val="00344C7D"/>
    <w:rsid w:val="00344D31"/>
    <w:rsid w:val="00344D87"/>
    <w:rsid w:val="00344DB1"/>
    <w:rsid w:val="00344E0E"/>
    <w:rsid w:val="00344F36"/>
    <w:rsid w:val="00344FEF"/>
    <w:rsid w:val="0034506A"/>
    <w:rsid w:val="00345077"/>
    <w:rsid w:val="003450F9"/>
    <w:rsid w:val="003451C9"/>
    <w:rsid w:val="003452BC"/>
    <w:rsid w:val="003452D5"/>
    <w:rsid w:val="003452E1"/>
    <w:rsid w:val="0034553F"/>
    <w:rsid w:val="00345553"/>
    <w:rsid w:val="003455C1"/>
    <w:rsid w:val="00345604"/>
    <w:rsid w:val="003456BC"/>
    <w:rsid w:val="00345737"/>
    <w:rsid w:val="003457E0"/>
    <w:rsid w:val="00345865"/>
    <w:rsid w:val="0034587A"/>
    <w:rsid w:val="0034587D"/>
    <w:rsid w:val="00345961"/>
    <w:rsid w:val="00345A06"/>
    <w:rsid w:val="00345AAC"/>
    <w:rsid w:val="00345BBD"/>
    <w:rsid w:val="00345C3F"/>
    <w:rsid w:val="00345CB0"/>
    <w:rsid w:val="00345CC5"/>
    <w:rsid w:val="00345D68"/>
    <w:rsid w:val="00345E10"/>
    <w:rsid w:val="00345EEF"/>
    <w:rsid w:val="00345F2A"/>
    <w:rsid w:val="00345FCF"/>
    <w:rsid w:val="003460B6"/>
    <w:rsid w:val="003460F7"/>
    <w:rsid w:val="003460FC"/>
    <w:rsid w:val="0034610E"/>
    <w:rsid w:val="003462CE"/>
    <w:rsid w:val="0034643F"/>
    <w:rsid w:val="00346446"/>
    <w:rsid w:val="0034644A"/>
    <w:rsid w:val="00346643"/>
    <w:rsid w:val="0034665E"/>
    <w:rsid w:val="003466E6"/>
    <w:rsid w:val="00346796"/>
    <w:rsid w:val="003468D5"/>
    <w:rsid w:val="00346929"/>
    <w:rsid w:val="00346985"/>
    <w:rsid w:val="003469C7"/>
    <w:rsid w:val="00346A18"/>
    <w:rsid w:val="00346B3E"/>
    <w:rsid w:val="00346B9C"/>
    <w:rsid w:val="00346C8A"/>
    <w:rsid w:val="00346C91"/>
    <w:rsid w:val="00346D0B"/>
    <w:rsid w:val="00346F51"/>
    <w:rsid w:val="003470CA"/>
    <w:rsid w:val="003471B2"/>
    <w:rsid w:val="00347294"/>
    <w:rsid w:val="0034729C"/>
    <w:rsid w:val="003472C2"/>
    <w:rsid w:val="0034733D"/>
    <w:rsid w:val="00347412"/>
    <w:rsid w:val="003475E0"/>
    <w:rsid w:val="003476CC"/>
    <w:rsid w:val="003476F7"/>
    <w:rsid w:val="0034778F"/>
    <w:rsid w:val="00347B4D"/>
    <w:rsid w:val="00347D16"/>
    <w:rsid w:val="00347D50"/>
    <w:rsid w:val="00347E11"/>
    <w:rsid w:val="00347EFE"/>
    <w:rsid w:val="00347F5C"/>
    <w:rsid w:val="00347F6F"/>
    <w:rsid w:val="0035007A"/>
    <w:rsid w:val="003500FE"/>
    <w:rsid w:val="003501C6"/>
    <w:rsid w:val="00350236"/>
    <w:rsid w:val="00350309"/>
    <w:rsid w:val="003503FA"/>
    <w:rsid w:val="00350423"/>
    <w:rsid w:val="0035043D"/>
    <w:rsid w:val="0035044B"/>
    <w:rsid w:val="003504EF"/>
    <w:rsid w:val="00350694"/>
    <w:rsid w:val="003506CB"/>
    <w:rsid w:val="00350787"/>
    <w:rsid w:val="003507A0"/>
    <w:rsid w:val="0035080C"/>
    <w:rsid w:val="00350948"/>
    <w:rsid w:val="003509C7"/>
    <w:rsid w:val="00350A42"/>
    <w:rsid w:val="00350A65"/>
    <w:rsid w:val="00350C67"/>
    <w:rsid w:val="00350DDD"/>
    <w:rsid w:val="00350E4F"/>
    <w:rsid w:val="00350E64"/>
    <w:rsid w:val="00350EE2"/>
    <w:rsid w:val="00350F3A"/>
    <w:rsid w:val="00350FAB"/>
    <w:rsid w:val="00350FEE"/>
    <w:rsid w:val="0035103E"/>
    <w:rsid w:val="003511D7"/>
    <w:rsid w:val="00351217"/>
    <w:rsid w:val="00351247"/>
    <w:rsid w:val="00351256"/>
    <w:rsid w:val="00351290"/>
    <w:rsid w:val="00351301"/>
    <w:rsid w:val="00351337"/>
    <w:rsid w:val="00351475"/>
    <w:rsid w:val="0035149B"/>
    <w:rsid w:val="003514DD"/>
    <w:rsid w:val="00351583"/>
    <w:rsid w:val="003515D3"/>
    <w:rsid w:val="003516FE"/>
    <w:rsid w:val="0035170D"/>
    <w:rsid w:val="0035173C"/>
    <w:rsid w:val="00351754"/>
    <w:rsid w:val="00351781"/>
    <w:rsid w:val="00351973"/>
    <w:rsid w:val="00351A00"/>
    <w:rsid w:val="00351A24"/>
    <w:rsid w:val="00351A7C"/>
    <w:rsid w:val="00351E93"/>
    <w:rsid w:val="00352003"/>
    <w:rsid w:val="0035213F"/>
    <w:rsid w:val="003521DA"/>
    <w:rsid w:val="0035223D"/>
    <w:rsid w:val="0035238A"/>
    <w:rsid w:val="003524CD"/>
    <w:rsid w:val="00352569"/>
    <w:rsid w:val="003526CA"/>
    <w:rsid w:val="003526D4"/>
    <w:rsid w:val="0035270A"/>
    <w:rsid w:val="0035273B"/>
    <w:rsid w:val="003527CD"/>
    <w:rsid w:val="00352990"/>
    <w:rsid w:val="0035299E"/>
    <w:rsid w:val="00352BB5"/>
    <w:rsid w:val="00352D06"/>
    <w:rsid w:val="00352D4E"/>
    <w:rsid w:val="00352E7F"/>
    <w:rsid w:val="00352ECA"/>
    <w:rsid w:val="00352FDC"/>
    <w:rsid w:val="00353186"/>
    <w:rsid w:val="003531AC"/>
    <w:rsid w:val="003531BA"/>
    <w:rsid w:val="00353203"/>
    <w:rsid w:val="003533E5"/>
    <w:rsid w:val="003533FB"/>
    <w:rsid w:val="00353401"/>
    <w:rsid w:val="003534D2"/>
    <w:rsid w:val="0035354F"/>
    <w:rsid w:val="00353570"/>
    <w:rsid w:val="00353655"/>
    <w:rsid w:val="0035380B"/>
    <w:rsid w:val="003539A2"/>
    <w:rsid w:val="003539CC"/>
    <w:rsid w:val="00353A96"/>
    <w:rsid w:val="00353AB4"/>
    <w:rsid w:val="00353B1B"/>
    <w:rsid w:val="00353BA0"/>
    <w:rsid w:val="00353C0F"/>
    <w:rsid w:val="00353C37"/>
    <w:rsid w:val="00353C65"/>
    <w:rsid w:val="00353CC4"/>
    <w:rsid w:val="00353D07"/>
    <w:rsid w:val="00353D26"/>
    <w:rsid w:val="00353D87"/>
    <w:rsid w:val="00353DC3"/>
    <w:rsid w:val="00353E1A"/>
    <w:rsid w:val="00353EFA"/>
    <w:rsid w:val="00353F5E"/>
    <w:rsid w:val="00354059"/>
    <w:rsid w:val="0035406B"/>
    <w:rsid w:val="00354124"/>
    <w:rsid w:val="003541D9"/>
    <w:rsid w:val="00354217"/>
    <w:rsid w:val="003546DC"/>
    <w:rsid w:val="0035473A"/>
    <w:rsid w:val="003547B5"/>
    <w:rsid w:val="003548EE"/>
    <w:rsid w:val="003548FA"/>
    <w:rsid w:val="00354965"/>
    <w:rsid w:val="003549E6"/>
    <w:rsid w:val="003549EC"/>
    <w:rsid w:val="00354A44"/>
    <w:rsid w:val="00354A6D"/>
    <w:rsid w:val="00354A7F"/>
    <w:rsid w:val="00354A85"/>
    <w:rsid w:val="00354A94"/>
    <w:rsid w:val="00354AB5"/>
    <w:rsid w:val="00354AE8"/>
    <w:rsid w:val="00354B69"/>
    <w:rsid w:val="00354CC0"/>
    <w:rsid w:val="00354D13"/>
    <w:rsid w:val="00354D94"/>
    <w:rsid w:val="00354EBF"/>
    <w:rsid w:val="00355077"/>
    <w:rsid w:val="0035524F"/>
    <w:rsid w:val="003554BE"/>
    <w:rsid w:val="003554C2"/>
    <w:rsid w:val="0035551A"/>
    <w:rsid w:val="00355616"/>
    <w:rsid w:val="00355673"/>
    <w:rsid w:val="00355746"/>
    <w:rsid w:val="00355833"/>
    <w:rsid w:val="00355896"/>
    <w:rsid w:val="00355898"/>
    <w:rsid w:val="00355A5E"/>
    <w:rsid w:val="00355A6A"/>
    <w:rsid w:val="00355B11"/>
    <w:rsid w:val="00355B47"/>
    <w:rsid w:val="00355BBA"/>
    <w:rsid w:val="00355BD7"/>
    <w:rsid w:val="00355C36"/>
    <w:rsid w:val="00355DF8"/>
    <w:rsid w:val="00355E99"/>
    <w:rsid w:val="00355FD6"/>
    <w:rsid w:val="00356036"/>
    <w:rsid w:val="00356195"/>
    <w:rsid w:val="0035625A"/>
    <w:rsid w:val="00356283"/>
    <w:rsid w:val="003562A5"/>
    <w:rsid w:val="003562CF"/>
    <w:rsid w:val="00356302"/>
    <w:rsid w:val="00356373"/>
    <w:rsid w:val="003563C3"/>
    <w:rsid w:val="003564CB"/>
    <w:rsid w:val="003564FA"/>
    <w:rsid w:val="003565CB"/>
    <w:rsid w:val="003565DD"/>
    <w:rsid w:val="003567A6"/>
    <w:rsid w:val="00356894"/>
    <w:rsid w:val="0035694E"/>
    <w:rsid w:val="00356980"/>
    <w:rsid w:val="003569AA"/>
    <w:rsid w:val="00356A09"/>
    <w:rsid w:val="00356A13"/>
    <w:rsid w:val="00356A1A"/>
    <w:rsid w:val="00356B85"/>
    <w:rsid w:val="00356B97"/>
    <w:rsid w:val="00356B99"/>
    <w:rsid w:val="00356BA9"/>
    <w:rsid w:val="00356C92"/>
    <w:rsid w:val="00356DD5"/>
    <w:rsid w:val="00356FBE"/>
    <w:rsid w:val="0035713C"/>
    <w:rsid w:val="003571C7"/>
    <w:rsid w:val="003574DB"/>
    <w:rsid w:val="00357874"/>
    <w:rsid w:val="003578FC"/>
    <w:rsid w:val="0035793D"/>
    <w:rsid w:val="00357976"/>
    <w:rsid w:val="003579B9"/>
    <w:rsid w:val="003579ED"/>
    <w:rsid w:val="00357A86"/>
    <w:rsid w:val="00357AF7"/>
    <w:rsid w:val="00357B6D"/>
    <w:rsid w:val="00357BA1"/>
    <w:rsid w:val="00357BCB"/>
    <w:rsid w:val="00357D83"/>
    <w:rsid w:val="00357F68"/>
    <w:rsid w:val="00360063"/>
    <w:rsid w:val="00360071"/>
    <w:rsid w:val="00360079"/>
    <w:rsid w:val="00360108"/>
    <w:rsid w:val="0036010E"/>
    <w:rsid w:val="003601D1"/>
    <w:rsid w:val="00360284"/>
    <w:rsid w:val="003603C8"/>
    <w:rsid w:val="00360467"/>
    <w:rsid w:val="00360498"/>
    <w:rsid w:val="00360509"/>
    <w:rsid w:val="00360537"/>
    <w:rsid w:val="003605D7"/>
    <w:rsid w:val="003606D7"/>
    <w:rsid w:val="00360709"/>
    <w:rsid w:val="0036075B"/>
    <w:rsid w:val="0036082D"/>
    <w:rsid w:val="00360839"/>
    <w:rsid w:val="00360959"/>
    <w:rsid w:val="00360A3E"/>
    <w:rsid w:val="00360A62"/>
    <w:rsid w:val="00360B99"/>
    <w:rsid w:val="00360BAF"/>
    <w:rsid w:val="00360BD7"/>
    <w:rsid w:val="00360C46"/>
    <w:rsid w:val="00360CBD"/>
    <w:rsid w:val="00360D65"/>
    <w:rsid w:val="00360EDD"/>
    <w:rsid w:val="00360FCE"/>
    <w:rsid w:val="003610A2"/>
    <w:rsid w:val="003610C0"/>
    <w:rsid w:val="00361140"/>
    <w:rsid w:val="0036114A"/>
    <w:rsid w:val="00361289"/>
    <w:rsid w:val="00361351"/>
    <w:rsid w:val="00361355"/>
    <w:rsid w:val="00361446"/>
    <w:rsid w:val="003614B1"/>
    <w:rsid w:val="00361636"/>
    <w:rsid w:val="00361639"/>
    <w:rsid w:val="00361647"/>
    <w:rsid w:val="0036166E"/>
    <w:rsid w:val="00361895"/>
    <w:rsid w:val="00361A7F"/>
    <w:rsid w:val="00361AAA"/>
    <w:rsid w:val="00361B66"/>
    <w:rsid w:val="00361BAA"/>
    <w:rsid w:val="00361BC6"/>
    <w:rsid w:val="00361BDD"/>
    <w:rsid w:val="00361D7A"/>
    <w:rsid w:val="00361D8B"/>
    <w:rsid w:val="00361DDF"/>
    <w:rsid w:val="00361E46"/>
    <w:rsid w:val="00361E4F"/>
    <w:rsid w:val="00361F91"/>
    <w:rsid w:val="00361FCE"/>
    <w:rsid w:val="0036202E"/>
    <w:rsid w:val="00362054"/>
    <w:rsid w:val="0036208C"/>
    <w:rsid w:val="0036214E"/>
    <w:rsid w:val="0036216F"/>
    <w:rsid w:val="003621D3"/>
    <w:rsid w:val="00362425"/>
    <w:rsid w:val="003625AF"/>
    <w:rsid w:val="003625C6"/>
    <w:rsid w:val="00362699"/>
    <w:rsid w:val="00362798"/>
    <w:rsid w:val="003627C8"/>
    <w:rsid w:val="0036284A"/>
    <w:rsid w:val="00362898"/>
    <w:rsid w:val="003628CD"/>
    <w:rsid w:val="003628FE"/>
    <w:rsid w:val="00362A5B"/>
    <w:rsid w:val="00362B3D"/>
    <w:rsid w:val="00362B64"/>
    <w:rsid w:val="00362BC1"/>
    <w:rsid w:val="00362CCC"/>
    <w:rsid w:val="00362CEC"/>
    <w:rsid w:val="00362D79"/>
    <w:rsid w:val="00362D95"/>
    <w:rsid w:val="00362DA3"/>
    <w:rsid w:val="00362DEE"/>
    <w:rsid w:val="00362E0A"/>
    <w:rsid w:val="00362EC9"/>
    <w:rsid w:val="00362F00"/>
    <w:rsid w:val="00363159"/>
    <w:rsid w:val="003632B0"/>
    <w:rsid w:val="003633A8"/>
    <w:rsid w:val="003633F1"/>
    <w:rsid w:val="00363512"/>
    <w:rsid w:val="0036352C"/>
    <w:rsid w:val="003635AE"/>
    <w:rsid w:val="00363823"/>
    <w:rsid w:val="003638CC"/>
    <w:rsid w:val="00363A0B"/>
    <w:rsid w:val="00363A28"/>
    <w:rsid w:val="00363CFE"/>
    <w:rsid w:val="00363E00"/>
    <w:rsid w:val="00363FF9"/>
    <w:rsid w:val="0036400B"/>
    <w:rsid w:val="00364141"/>
    <w:rsid w:val="00364393"/>
    <w:rsid w:val="003643A1"/>
    <w:rsid w:val="003643F9"/>
    <w:rsid w:val="00364431"/>
    <w:rsid w:val="003644B5"/>
    <w:rsid w:val="00364542"/>
    <w:rsid w:val="00364577"/>
    <w:rsid w:val="00364642"/>
    <w:rsid w:val="0036464A"/>
    <w:rsid w:val="0036477D"/>
    <w:rsid w:val="003647AD"/>
    <w:rsid w:val="00364806"/>
    <w:rsid w:val="003648ED"/>
    <w:rsid w:val="00364944"/>
    <w:rsid w:val="00364953"/>
    <w:rsid w:val="0036495B"/>
    <w:rsid w:val="00364A65"/>
    <w:rsid w:val="00364B20"/>
    <w:rsid w:val="00364B42"/>
    <w:rsid w:val="00364B66"/>
    <w:rsid w:val="00364C4C"/>
    <w:rsid w:val="00364D1E"/>
    <w:rsid w:val="00364DE8"/>
    <w:rsid w:val="00364ED5"/>
    <w:rsid w:val="003650B0"/>
    <w:rsid w:val="003651AF"/>
    <w:rsid w:val="003652CA"/>
    <w:rsid w:val="0036533B"/>
    <w:rsid w:val="003653B4"/>
    <w:rsid w:val="0036544E"/>
    <w:rsid w:val="0036545A"/>
    <w:rsid w:val="003654C8"/>
    <w:rsid w:val="003655AE"/>
    <w:rsid w:val="00365673"/>
    <w:rsid w:val="003657BC"/>
    <w:rsid w:val="00365805"/>
    <w:rsid w:val="00365861"/>
    <w:rsid w:val="003658CD"/>
    <w:rsid w:val="00365A0F"/>
    <w:rsid w:val="00365A35"/>
    <w:rsid w:val="00365B2A"/>
    <w:rsid w:val="00365B83"/>
    <w:rsid w:val="00365C93"/>
    <w:rsid w:val="00365D0D"/>
    <w:rsid w:val="00365DF5"/>
    <w:rsid w:val="00365DF9"/>
    <w:rsid w:val="00365E54"/>
    <w:rsid w:val="00365FEF"/>
    <w:rsid w:val="00366045"/>
    <w:rsid w:val="0036618A"/>
    <w:rsid w:val="003662BF"/>
    <w:rsid w:val="0036633F"/>
    <w:rsid w:val="0036640B"/>
    <w:rsid w:val="00366416"/>
    <w:rsid w:val="00366452"/>
    <w:rsid w:val="0036647A"/>
    <w:rsid w:val="00366508"/>
    <w:rsid w:val="00366510"/>
    <w:rsid w:val="0036655B"/>
    <w:rsid w:val="003665D2"/>
    <w:rsid w:val="003665F8"/>
    <w:rsid w:val="003666B7"/>
    <w:rsid w:val="003666D8"/>
    <w:rsid w:val="0036673A"/>
    <w:rsid w:val="00366855"/>
    <w:rsid w:val="003668F8"/>
    <w:rsid w:val="003669C5"/>
    <w:rsid w:val="00366C56"/>
    <w:rsid w:val="00366C5C"/>
    <w:rsid w:val="00366C76"/>
    <w:rsid w:val="00366CC5"/>
    <w:rsid w:val="00366E38"/>
    <w:rsid w:val="00366E46"/>
    <w:rsid w:val="00366F3F"/>
    <w:rsid w:val="00366F91"/>
    <w:rsid w:val="00366F96"/>
    <w:rsid w:val="00366FCF"/>
    <w:rsid w:val="0036705C"/>
    <w:rsid w:val="00367089"/>
    <w:rsid w:val="0036708B"/>
    <w:rsid w:val="00367097"/>
    <w:rsid w:val="003670E2"/>
    <w:rsid w:val="003670E5"/>
    <w:rsid w:val="0036715A"/>
    <w:rsid w:val="00367213"/>
    <w:rsid w:val="0036729C"/>
    <w:rsid w:val="003672FD"/>
    <w:rsid w:val="00367332"/>
    <w:rsid w:val="00367580"/>
    <w:rsid w:val="003677DA"/>
    <w:rsid w:val="00367847"/>
    <w:rsid w:val="003678D6"/>
    <w:rsid w:val="003678E7"/>
    <w:rsid w:val="003679C5"/>
    <w:rsid w:val="003679EB"/>
    <w:rsid w:val="00367A22"/>
    <w:rsid w:val="00367AF7"/>
    <w:rsid w:val="00367BA1"/>
    <w:rsid w:val="00367BD8"/>
    <w:rsid w:val="00367C0B"/>
    <w:rsid w:val="00367C5A"/>
    <w:rsid w:val="00367C88"/>
    <w:rsid w:val="00367CB9"/>
    <w:rsid w:val="00367E4F"/>
    <w:rsid w:val="00367F63"/>
    <w:rsid w:val="00370013"/>
    <w:rsid w:val="00370017"/>
    <w:rsid w:val="00370036"/>
    <w:rsid w:val="00370157"/>
    <w:rsid w:val="00370199"/>
    <w:rsid w:val="00370232"/>
    <w:rsid w:val="00370253"/>
    <w:rsid w:val="00370272"/>
    <w:rsid w:val="00370354"/>
    <w:rsid w:val="0037037E"/>
    <w:rsid w:val="003703D2"/>
    <w:rsid w:val="00370497"/>
    <w:rsid w:val="003704EF"/>
    <w:rsid w:val="003704F0"/>
    <w:rsid w:val="0037070B"/>
    <w:rsid w:val="0037076B"/>
    <w:rsid w:val="003707AB"/>
    <w:rsid w:val="003707EE"/>
    <w:rsid w:val="00370964"/>
    <w:rsid w:val="0037096C"/>
    <w:rsid w:val="00370996"/>
    <w:rsid w:val="003709BC"/>
    <w:rsid w:val="003709FA"/>
    <w:rsid w:val="00370A8E"/>
    <w:rsid w:val="00370AD8"/>
    <w:rsid w:val="00370B70"/>
    <w:rsid w:val="00370BAC"/>
    <w:rsid w:val="00370D0C"/>
    <w:rsid w:val="00370D3A"/>
    <w:rsid w:val="00370D5D"/>
    <w:rsid w:val="00370DCE"/>
    <w:rsid w:val="00370E03"/>
    <w:rsid w:val="003710C5"/>
    <w:rsid w:val="003710FA"/>
    <w:rsid w:val="00371110"/>
    <w:rsid w:val="003711B9"/>
    <w:rsid w:val="003712A1"/>
    <w:rsid w:val="003712C6"/>
    <w:rsid w:val="003713DB"/>
    <w:rsid w:val="00371400"/>
    <w:rsid w:val="0037146F"/>
    <w:rsid w:val="00371486"/>
    <w:rsid w:val="00371496"/>
    <w:rsid w:val="003714AC"/>
    <w:rsid w:val="003714F9"/>
    <w:rsid w:val="0037169E"/>
    <w:rsid w:val="0037172D"/>
    <w:rsid w:val="00371973"/>
    <w:rsid w:val="00371990"/>
    <w:rsid w:val="00371B7C"/>
    <w:rsid w:val="00371C21"/>
    <w:rsid w:val="00371C38"/>
    <w:rsid w:val="00371CCA"/>
    <w:rsid w:val="00371D2E"/>
    <w:rsid w:val="00371E56"/>
    <w:rsid w:val="00371FE4"/>
    <w:rsid w:val="0037208F"/>
    <w:rsid w:val="0037210F"/>
    <w:rsid w:val="00372302"/>
    <w:rsid w:val="00372393"/>
    <w:rsid w:val="00372427"/>
    <w:rsid w:val="0037247B"/>
    <w:rsid w:val="00372631"/>
    <w:rsid w:val="00372727"/>
    <w:rsid w:val="003727BA"/>
    <w:rsid w:val="003727DB"/>
    <w:rsid w:val="00372800"/>
    <w:rsid w:val="0037282A"/>
    <w:rsid w:val="00372877"/>
    <w:rsid w:val="00372896"/>
    <w:rsid w:val="003728B2"/>
    <w:rsid w:val="00372927"/>
    <w:rsid w:val="003729EC"/>
    <w:rsid w:val="00372A77"/>
    <w:rsid w:val="00372AB0"/>
    <w:rsid w:val="00372AC7"/>
    <w:rsid w:val="00372B4A"/>
    <w:rsid w:val="00372BBF"/>
    <w:rsid w:val="00372BFC"/>
    <w:rsid w:val="00372DE5"/>
    <w:rsid w:val="00372E10"/>
    <w:rsid w:val="00372E96"/>
    <w:rsid w:val="00372EBB"/>
    <w:rsid w:val="00372EFA"/>
    <w:rsid w:val="00373084"/>
    <w:rsid w:val="003730D2"/>
    <w:rsid w:val="003732AA"/>
    <w:rsid w:val="0037331F"/>
    <w:rsid w:val="00373379"/>
    <w:rsid w:val="003733B2"/>
    <w:rsid w:val="003733C7"/>
    <w:rsid w:val="00373429"/>
    <w:rsid w:val="003735E5"/>
    <w:rsid w:val="0037361E"/>
    <w:rsid w:val="00373826"/>
    <w:rsid w:val="00373881"/>
    <w:rsid w:val="003738B4"/>
    <w:rsid w:val="003738BA"/>
    <w:rsid w:val="003739D0"/>
    <w:rsid w:val="003739FD"/>
    <w:rsid w:val="00373B4F"/>
    <w:rsid w:val="00373C10"/>
    <w:rsid w:val="00373C84"/>
    <w:rsid w:val="00374048"/>
    <w:rsid w:val="00374074"/>
    <w:rsid w:val="003740D1"/>
    <w:rsid w:val="00374165"/>
    <w:rsid w:val="0037419D"/>
    <w:rsid w:val="00374203"/>
    <w:rsid w:val="00374223"/>
    <w:rsid w:val="003742D9"/>
    <w:rsid w:val="00374359"/>
    <w:rsid w:val="0037455E"/>
    <w:rsid w:val="00374570"/>
    <w:rsid w:val="003745F8"/>
    <w:rsid w:val="00374613"/>
    <w:rsid w:val="00374746"/>
    <w:rsid w:val="00374789"/>
    <w:rsid w:val="003747FE"/>
    <w:rsid w:val="00374807"/>
    <w:rsid w:val="003748BC"/>
    <w:rsid w:val="003748C6"/>
    <w:rsid w:val="00374A15"/>
    <w:rsid w:val="00374A47"/>
    <w:rsid w:val="00374A75"/>
    <w:rsid w:val="00374A95"/>
    <w:rsid w:val="00374BA2"/>
    <w:rsid w:val="00374BB1"/>
    <w:rsid w:val="00374C8C"/>
    <w:rsid w:val="00374D72"/>
    <w:rsid w:val="00374E14"/>
    <w:rsid w:val="00374F30"/>
    <w:rsid w:val="00374F65"/>
    <w:rsid w:val="00375002"/>
    <w:rsid w:val="00375141"/>
    <w:rsid w:val="003751A6"/>
    <w:rsid w:val="003751DD"/>
    <w:rsid w:val="00375238"/>
    <w:rsid w:val="00375242"/>
    <w:rsid w:val="00375293"/>
    <w:rsid w:val="00375323"/>
    <w:rsid w:val="0037533E"/>
    <w:rsid w:val="00375392"/>
    <w:rsid w:val="003753B0"/>
    <w:rsid w:val="003754EE"/>
    <w:rsid w:val="0037560F"/>
    <w:rsid w:val="00375764"/>
    <w:rsid w:val="003757CD"/>
    <w:rsid w:val="0037586F"/>
    <w:rsid w:val="00375992"/>
    <w:rsid w:val="00375994"/>
    <w:rsid w:val="003759FE"/>
    <w:rsid w:val="00375A22"/>
    <w:rsid w:val="00375A42"/>
    <w:rsid w:val="00375A54"/>
    <w:rsid w:val="00375B0F"/>
    <w:rsid w:val="00375B51"/>
    <w:rsid w:val="00375B87"/>
    <w:rsid w:val="00375CEE"/>
    <w:rsid w:val="00375F27"/>
    <w:rsid w:val="0037607F"/>
    <w:rsid w:val="00376131"/>
    <w:rsid w:val="00376185"/>
    <w:rsid w:val="003762C4"/>
    <w:rsid w:val="003762DB"/>
    <w:rsid w:val="00376533"/>
    <w:rsid w:val="00376553"/>
    <w:rsid w:val="003768B9"/>
    <w:rsid w:val="003768BF"/>
    <w:rsid w:val="0037697B"/>
    <w:rsid w:val="00376999"/>
    <w:rsid w:val="00376B86"/>
    <w:rsid w:val="00376C5F"/>
    <w:rsid w:val="00376CB6"/>
    <w:rsid w:val="00376D5C"/>
    <w:rsid w:val="00376DE1"/>
    <w:rsid w:val="00376EFF"/>
    <w:rsid w:val="00376F75"/>
    <w:rsid w:val="00377032"/>
    <w:rsid w:val="0037709A"/>
    <w:rsid w:val="003770D6"/>
    <w:rsid w:val="003770E6"/>
    <w:rsid w:val="003770FA"/>
    <w:rsid w:val="00377237"/>
    <w:rsid w:val="003772BC"/>
    <w:rsid w:val="003773C9"/>
    <w:rsid w:val="003773E9"/>
    <w:rsid w:val="0037740A"/>
    <w:rsid w:val="00377433"/>
    <w:rsid w:val="00377495"/>
    <w:rsid w:val="00377524"/>
    <w:rsid w:val="003775B6"/>
    <w:rsid w:val="003775D7"/>
    <w:rsid w:val="003775E8"/>
    <w:rsid w:val="003776CD"/>
    <w:rsid w:val="003776DA"/>
    <w:rsid w:val="0037779F"/>
    <w:rsid w:val="003777B0"/>
    <w:rsid w:val="003778F2"/>
    <w:rsid w:val="0037790C"/>
    <w:rsid w:val="00377939"/>
    <w:rsid w:val="00377A24"/>
    <w:rsid w:val="00377A64"/>
    <w:rsid w:val="00377AD5"/>
    <w:rsid w:val="00377BB2"/>
    <w:rsid w:val="00377C4A"/>
    <w:rsid w:val="00377D7E"/>
    <w:rsid w:val="00377DAD"/>
    <w:rsid w:val="00377DC4"/>
    <w:rsid w:val="00377DCA"/>
    <w:rsid w:val="00377F3B"/>
    <w:rsid w:val="00377FBF"/>
    <w:rsid w:val="00377FD6"/>
    <w:rsid w:val="00380033"/>
    <w:rsid w:val="0038014E"/>
    <w:rsid w:val="00380205"/>
    <w:rsid w:val="00380210"/>
    <w:rsid w:val="0038021C"/>
    <w:rsid w:val="00380247"/>
    <w:rsid w:val="00380263"/>
    <w:rsid w:val="003802C1"/>
    <w:rsid w:val="003802C6"/>
    <w:rsid w:val="0038032E"/>
    <w:rsid w:val="0038049B"/>
    <w:rsid w:val="0038053E"/>
    <w:rsid w:val="00380577"/>
    <w:rsid w:val="00380617"/>
    <w:rsid w:val="003806D2"/>
    <w:rsid w:val="0038073E"/>
    <w:rsid w:val="0038075A"/>
    <w:rsid w:val="0038078B"/>
    <w:rsid w:val="003807FD"/>
    <w:rsid w:val="00380813"/>
    <w:rsid w:val="00380881"/>
    <w:rsid w:val="003808D3"/>
    <w:rsid w:val="003808D4"/>
    <w:rsid w:val="00380C4A"/>
    <w:rsid w:val="00380CF1"/>
    <w:rsid w:val="00380D40"/>
    <w:rsid w:val="00380D45"/>
    <w:rsid w:val="00380D55"/>
    <w:rsid w:val="00380EDB"/>
    <w:rsid w:val="00380F59"/>
    <w:rsid w:val="00380FA5"/>
    <w:rsid w:val="003810B3"/>
    <w:rsid w:val="003810ED"/>
    <w:rsid w:val="00381293"/>
    <w:rsid w:val="003812A1"/>
    <w:rsid w:val="0038142F"/>
    <w:rsid w:val="0038143A"/>
    <w:rsid w:val="00381472"/>
    <w:rsid w:val="0038157E"/>
    <w:rsid w:val="00381585"/>
    <w:rsid w:val="003815AC"/>
    <w:rsid w:val="0038161C"/>
    <w:rsid w:val="0038169A"/>
    <w:rsid w:val="00381702"/>
    <w:rsid w:val="00381849"/>
    <w:rsid w:val="0038184F"/>
    <w:rsid w:val="00381867"/>
    <w:rsid w:val="003819E4"/>
    <w:rsid w:val="00381A47"/>
    <w:rsid w:val="00381A71"/>
    <w:rsid w:val="00381AB8"/>
    <w:rsid w:val="00381ACF"/>
    <w:rsid w:val="00381CDD"/>
    <w:rsid w:val="00381D1F"/>
    <w:rsid w:val="00381D53"/>
    <w:rsid w:val="00381DA2"/>
    <w:rsid w:val="00381F99"/>
    <w:rsid w:val="003820CF"/>
    <w:rsid w:val="003820FF"/>
    <w:rsid w:val="003821A7"/>
    <w:rsid w:val="00382309"/>
    <w:rsid w:val="00382342"/>
    <w:rsid w:val="003823AD"/>
    <w:rsid w:val="003823C4"/>
    <w:rsid w:val="00382549"/>
    <w:rsid w:val="003825B9"/>
    <w:rsid w:val="003827D9"/>
    <w:rsid w:val="0038288E"/>
    <w:rsid w:val="00382A47"/>
    <w:rsid w:val="00382AF7"/>
    <w:rsid w:val="00382C96"/>
    <w:rsid w:val="00382E5B"/>
    <w:rsid w:val="00382EC4"/>
    <w:rsid w:val="00382F18"/>
    <w:rsid w:val="00382F37"/>
    <w:rsid w:val="00382FF0"/>
    <w:rsid w:val="00383037"/>
    <w:rsid w:val="00383245"/>
    <w:rsid w:val="0038327F"/>
    <w:rsid w:val="003834ED"/>
    <w:rsid w:val="00383518"/>
    <w:rsid w:val="00383529"/>
    <w:rsid w:val="0038353B"/>
    <w:rsid w:val="003835D5"/>
    <w:rsid w:val="00383606"/>
    <w:rsid w:val="003836C9"/>
    <w:rsid w:val="003837A5"/>
    <w:rsid w:val="00383B38"/>
    <w:rsid w:val="00383BA2"/>
    <w:rsid w:val="00383BC4"/>
    <w:rsid w:val="00383C91"/>
    <w:rsid w:val="00383CB3"/>
    <w:rsid w:val="00383CC2"/>
    <w:rsid w:val="00383E16"/>
    <w:rsid w:val="00383F27"/>
    <w:rsid w:val="0038409C"/>
    <w:rsid w:val="00384109"/>
    <w:rsid w:val="00384199"/>
    <w:rsid w:val="003842CB"/>
    <w:rsid w:val="00384426"/>
    <w:rsid w:val="00384496"/>
    <w:rsid w:val="003846A4"/>
    <w:rsid w:val="0038471C"/>
    <w:rsid w:val="003847B3"/>
    <w:rsid w:val="00384859"/>
    <w:rsid w:val="003848AC"/>
    <w:rsid w:val="0038494F"/>
    <w:rsid w:val="00384A41"/>
    <w:rsid w:val="00384B32"/>
    <w:rsid w:val="00384B51"/>
    <w:rsid w:val="00384BC5"/>
    <w:rsid w:val="00384D0F"/>
    <w:rsid w:val="00384E1A"/>
    <w:rsid w:val="00384E1C"/>
    <w:rsid w:val="00384E7D"/>
    <w:rsid w:val="00384EA0"/>
    <w:rsid w:val="00384EAB"/>
    <w:rsid w:val="00384ED8"/>
    <w:rsid w:val="00384FAF"/>
    <w:rsid w:val="00384FDC"/>
    <w:rsid w:val="00385158"/>
    <w:rsid w:val="00385194"/>
    <w:rsid w:val="003851CE"/>
    <w:rsid w:val="00385315"/>
    <w:rsid w:val="0038541C"/>
    <w:rsid w:val="00385514"/>
    <w:rsid w:val="0038559F"/>
    <w:rsid w:val="003855CE"/>
    <w:rsid w:val="003855D4"/>
    <w:rsid w:val="0038564D"/>
    <w:rsid w:val="003856EC"/>
    <w:rsid w:val="003856F2"/>
    <w:rsid w:val="0038585F"/>
    <w:rsid w:val="0038586B"/>
    <w:rsid w:val="003858A9"/>
    <w:rsid w:val="00385989"/>
    <w:rsid w:val="00385A53"/>
    <w:rsid w:val="00385B5D"/>
    <w:rsid w:val="00385C8E"/>
    <w:rsid w:val="00385CE7"/>
    <w:rsid w:val="00385F30"/>
    <w:rsid w:val="003863C1"/>
    <w:rsid w:val="0038640C"/>
    <w:rsid w:val="0038645F"/>
    <w:rsid w:val="0038653F"/>
    <w:rsid w:val="003865C0"/>
    <w:rsid w:val="0038665F"/>
    <w:rsid w:val="003867B9"/>
    <w:rsid w:val="003867CA"/>
    <w:rsid w:val="003867DF"/>
    <w:rsid w:val="00386828"/>
    <w:rsid w:val="003868FA"/>
    <w:rsid w:val="0038697F"/>
    <w:rsid w:val="00386B91"/>
    <w:rsid w:val="00386B93"/>
    <w:rsid w:val="00386BA6"/>
    <w:rsid w:val="00386C76"/>
    <w:rsid w:val="00386CD6"/>
    <w:rsid w:val="00386D10"/>
    <w:rsid w:val="00386DAC"/>
    <w:rsid w:val="00386EC5"/>
    <w:rsid w:val="00386EE6"/>
    <w:rsid w:val="00386EFB"/>
    <w:rsid w:val="00386FE6"/>
    <w:rsid w:val="00387028"/>
    <w:rsid w:val="00387111"/>
    <w:rsid w:val="003872FA"/>
    <w:rsid w:val="00387385"/>
    <w:rsid w:val="00387418"/>
    <w:rsid w:val="003874AA"/>
    <w:rsid w:val="0038752D"/>
    <w:rsid w:val="00387537"/>
    <w:rsid w:val="003875F1"/>
    <w:rsid w:val="00387642"/>
    <w:rsid w:val="0038764F"/>
    <w:rsid w:val="00387755"/>
    <w:rsid w:val="003877D8"/>
    <w:rsid w:val="00387835"/>
    <w:rsid w:val="003878F4"/>
    <w:rsid w:val="00387943"/>
    <w:rsid w:val="00387A63"/>
    <w:rsid w:val="00387AE8"/>
    <w:rsid w:val="00387B09"/>
    <w:rsid w:val="00387B41"/>
    <w:rsid w:val="00387BD2"/>
    <w:rsid w:val="00387C2A"/>
    <w:rsid w:val="00387C53"/>
    <w:rsid w:val="00387CBD"/>
    <w:rsid w:val="00387CC4"/>
    <w:rsid w:val="00387D82"/>
    <w:rsid w:val="00387E5D"/>
    <w:rsid w:val="00387F6A"/>
    <w:rsid w:val="00390033"/>
    <w:rsid w:val="00390085"/>
    <w:rsid w:val="003901DC"/>
    <w:rsid w:val="003902C7"/>
    <w:rsid w:val="00390498"/>
    <w:rsid w:val="0039055A"/>
    <w:rsid w:val="003905E1"/>
    <w:rsid w:val="0039062F"/>
    <w:rsid w:val="0039069C"/>
    <w:rsid w:val="00390736"/>
    <w:rsid w:val="00390756"/>
    <w:rsid w:val="0039087F"/>
    <w:rsid w:val="003908E6"/>
    <w:rsid w:val="00390A21"/>
    <w:rsid w:val="00390BAE"/>
    <w:rsid w:val="00390C20"/>
    <w:rsid w:val="00390C55"/>
    <w:rsid w:val="00390CFD"/>
    <w:rsid w:val="00390D69"/>
    <w:rsid w:val="00390D9A"/>
    <w:rsid w:val="00390DC9"/>
    <w:rsid w:val="00390F17"/>
    <w:rsid w:val="00390F2E"/>
    <w:rsid w:val="00390F4D"/>
    <w:rsid w:val="00390FB0"/>
    <w:rsid w:val="00390FC4"/>
    <w:rsid w:val="00390FDF"/>
    <w:rsid w:val="003910D3"/>
    <w:rsid w:val="00391249"/>
    <w:rsid w:val="003912A4"/>
    <w:rsid w:val="00391328"/>
    <w:rsid w:val="003913AB"/>
    <w:rsid w:val="003914A7"/>
    <w:rsid w:val="00391547"/>
    <w:rsid w:val="003916DC"/>
    <w:rsid w:val="0039176D"/>
    <w:rsid w:val="00391822"/>
    <w:rsid w:val="003918EA"/>
    <w:rsid w:val="00391999"/>
    <w:rsid w:val="00391B11"/>
    <w:rsid w:val="00391C6E"/>
    <w:rsid w:val="00391CBF"/>
    <w:rsid w:val="00391E48"/>
    <w:rsid w:val="00391E97"/>
    <w:rsid w:val="00391EC2"/>
    <w:rsid w:val="00391FAB"/>
    <w:rsid w:val="0039209D"/>
    <w:rsid w:val="00392253"/>
    <w:rsid w:val="0039240B"/>
    <w:rsid w:val="00392442"/>
    <w:rsid w:val="00392499"/>
    <w:rsid w:val="003924DE"/>
    <w:rsid w:val="00392582"/>
    <w:rsid w:val="003927F3"/>
    <w:rsid w:val="0039286B"/>
    <w:rsid w:val="00392886"/>
    <w:rsid w:val="0039289F"/>
    <w:rsid w:val="003928D0"/>
    <w:rsid w:val="00392909"/>
    <w:rsid w:val="0039292A"/>
    <w:rsid w:val="00392A5F"/>
    <w:rsid w:val="00392A74"/>
    <w:rsid w:val="00392AE6"/>
    <w:rsid w:val="00392B2B"/>
    <w:rsid w:val="00392B76"/>
    <w:rsid w:val="00392C67"/>
    <w:rsid w:val="00392F66"/>
    <w:rsid w:val="00393007"/>
    <w:rsid w:val="0039304B"/>
    <w:rsid w:val="00393055"/>
    <w:rsid w:val="0039305F"/>
    <w:rsid w:val="00393096"/>
    <w:rsid w:val="00393112"/>
    <w:rsid w:val="00393119"/>
    <w:rsid w:val="00393122"/>
    <w:rsid w:val="00393126"/>
    <w:rsid w:val="0039324E"/>
    <w:rsid w:val="00393335"/>
    <w:rsid w:val="00393419"/>
    <w:rsid w:val="003935FD"/>
    <w:rsid w:val="00393638"/>
    <w:rsid w:val="0039369C"/>
    <w:rsid w:val="00393792"/>
    <w:rsid w:val="0039380E"/>
    <w:rsid w:val="00393923"/>
    <w:rsid w:val="003939F5"/>
    <w:rsid w:val="00393B40"/>
    <w:rsid w:val="00393CB6"/>
    <w:rsid w:val="00393D27"/>
    <w:rsid w:val="00393E00"/>
    <w:rsid w:val="00393FA9"/>
    <w:rsid w:val="00393FF9"/>
    <w:rsid w:val="0039405A"/>
    <w:rsid w:val="00394060"/>
    <w:rsid w:val="003940FC"/>
    <w:rsid w:val="00394110"/>
    <w:rsid w:val="00394171"/>
    <w:rsid w:val="0039426B"/>
    <w:rsid w:val="00394288"/>
    <w:rsid w:val="0039429A"/>
    <w:rsid w:val="0039434A"/>
    <w:rsid w:val="00394423"/>
    <w:rsid w:val="0039453C"/>
    <w:rsid w:val="003945E3"/>
    <w:rsid w:val="0039465C"/>
    <w:rsid w:val="0039467A"/>
    <w:rsid w:val="00394699"/>
    <w:rsid w:val="0039470D"/>
    <w:rsid w:val="003947DA"/>
    <w:rsid w:val="00394828"/>
    <w:rsid w:val="00394841"/>
    <w:rsid w:val="003948CB"/>
    <w:rsid w:val="0039496E"/>
    <w:rsid w:val="003949D2"/>
    <w:rsid w:val="00394AE4"/>
    <w:rsid w:val="00394B12"/>
    <w:rsid w:val="00394B81"/>
    <w:rsid w:val="00394B8D"/>
    <w:rsid w:val="00394BFA"/>
    <w:rsid w:val="00394D3B"/>
    <w:rsid w:val="00394FCE"/>
    <w:rsid w:val="003951B4"/>
    <w:rsid w:val="003951C7"/>
    <w:rsid w:val="003951E4"/>
    <w:rsid w:val="0039520D"/>
    <w:rsid w:val="003952D6"/>
    <w:rsid w:val="003954C9"/>
    <w:rsid w:val="003954DE"/>
    <w:rsid w:val="00395537"/>
    <w:rsid w:val="003955E0"/>
    <w:rsid w:val="003956B7"/>
    <w:rsid w:val="0039570A"/>
    <w:rsid w:val="00395730"/>
    <w:rsid w:val="003957B3"/>
    <w:rsid w:val="003957C7"/>
    <w:rsid w:val="003958FD"/>
    <w:rsid w:val="00395A54"/>
    <w:rsid w:val="00395AEA"/>
    <w:rsid w:val="00395B0A"/>
    <w:rsid w:val="00395B67"/>
    <w:rsid w:val="00395B7F"/>
    <w:rsid w:val="00395BD6"/>
    <w:rsid w:val="00395C4E"/>
    <w:rsid w:val="00395CBA"/>
    <w:rsid w:val="00395D5F"/>
    <w:rsid w:val="00395D7A"/>
    <w:rsid w:val="00395DC0"/>
    <w:rsid w:val="00395E3F"/>
    <w:rsid w:val="00395EB3"/>
    <w:rsid w:val="00396143"/>
    <w:rsid w:val="00396161"/>
    <w:rsid w:val="00396211"/>
    <w:rsid w:val="00396242"/>
    <w:rsid w:val="00396271"/>
    <w:rsid w:val="00396288"/>
    <w:rsid w:val="003962FC"/>
    <w:rsid w:val="003963CC"/>
    <w:rsid w:val="003964DE"/>
    <w:rsid w:val="003965A5"/>
    <w:rsid w:val="0039665F"/>
    <w:rsid w:val="00396670"/>
    <w:rsid w:val="00396847"/>
    <w:rsid w:val="00396C64"/>
    <w:rsid w:val="00396CDC"/>
    <w:rsid w:val="00396FBF"/>
    <w:rsid w:val="003970FD"/>
    <w:rsid w:val="00397152"/>
    <w:rsid w:val="003972E1"/>
    <w:rsid w:val="00397343"/>
    <w:rsid w:val="003973D5"/>
    <w:rsid w:val="003974D8"/>
    <w:rsid w:val="00397583"/>
    <w:rsid w:val="0039761A"/>
    <w:rsid w:val="0039765E"/>
    <w:rsid w:val="003977A6"/>
    <w:rsid w:val="003977E8"/>
    <w:rsid w:val="00397A23"/>
    <w:rsid w:val="00397A7E"/>
    <w:rsid w:val="00397C80"/>
    <w:rsid w:val="00397CA4"/>
    <w:rsid w:val="00397CBF"/>
    <w:rsid w:val="00397CDA"/>
    <w:rsid w:val="00397CED"/>
    <w:rsid w:val="00397E01"/>
    <w:rsid w:val="00397E34"/>
    <w:rsid w:val="00397FB4"/>
    <w:rsid w:val="00397FBB"/>
    <w:rsid w:val="003A0002"/>
    <w:rsid w:val="003A017C"/>
    <w:rsid w:val="003A01E8"/>
    <w:rsid w:val="003A020A"/>
    <w:rsid w:val="003A035E"/>
    <w:rsid w:val="003A0617"/>
    <w:rsid w:val="003A0893"/>
    <w:rsid w:val="003A0A84"/>
    <w:rsid w:val="003A0AC7"/>
    <w:rsid w:val="003A0B56"/>
    <w:rsid w:val="003A0BC9"/>
    <w:rsid w:val="003A0C10"/>
    <w:rsid w:val="003A0C55"/>
    <w:rsid w:val="003A0DC3"/>
    <w:rsid w:val="003A0E0A"/>
    <w:rsid w:val="003A1021"/>
    <w:rsid w:val="003A1099"/>
    <w:rsid w:val="003A1114"/>
    <w:rsid w:val="003A113B"/>
    <w:rsid w:val="003A1172"/>
    <w:rsid w:val="003A122C"/>
    <w:rsid w:val="003A12C4"/>
    <w:rsid w:val="003A1323"/>
    <w:rsid w:val="003A1359"/>
    <w:rsid w:val="003A139D"/>
    <w:rsid w:val="003A1406"/>
    <w:rsid w:val="003A146A"/>
    <w:rsid w:val="003A1536"/>
    <w:rsid w:val="003A1554"/>
    <w:rsid w:val="003A15A5"/>
    <w:rsid w:val="003A165A"/>
    <w:rsid w:val="003A167A"/>
    <w:rsid w:val="003A16DE"/>
    <w:rsid w:val="003A170E"/>
    <w:rsid w:val="003A173F"/>
    <w:rsid w:val="003A17A5"/>
    <w:rsid w:val="003A183A"/>
    <w:rsid w:val="003A1847"/>
    <w:rsid w:val="003A1963"/>
    <w:rsid w:val="003A1979"/>
    <w:rsid w:val="003A1988"/>
    <w:rsid w:val="003A19E1"/>
    <w:rsid w:val="003A1A4A"/>
    <w:rsid w:val="003A1CC9"/>
    <w:rsid w:val="003A1D31"/>
    <w:rsid w:val="003A1D76"/>
    <w:rsid w:val="003A1DF3"/>
    <w:rsid w:val="003A1DFD"/>
    <w:rsid w:val="003A1E5C"/>
    <w:rsid w:val="003A1F7D"/>
    <w:rsid w:val="003A1F97"/>
    <w:rsid w:val="003A20A7"/>
    <w:rsid w:val="003A2101"/>
    <w:rsid w:val="003A2114"/>
    <w:rsid w:val="003A2143"/>
    <w:rsid w:val="003A21AC"/>
    <w:rsid w:val="003A2207"/>
    <w:rsid w:val="003A2225"/>
    <w:rsid w:val="003A224B"/>
    <w:rsid w:val="003A22BB"/>
    <w:rsid w:val="003A22D9"/>
    <w:rsid w:val="003A2330"/>
    <w:rsid w:val="003A2426"/>
    <w:rsid w:val="003A24AC"/>
    <w:rsid w:val="003A252E"/>
    <w:rsid w:val="003A258D"/>
    <w:rsid w:val="003A27CC"/>
    <w:rsid w:val="003A2A0D"/>
    <w:rsid w:val="003A2A7D"/>
    <w:rsid w:val="003A2B70"/>
    <w:rsid w:val="003A2C18"/>
    <w:rsid w:val="003A2C44"/>
    <w:rsid w:val="003A2C5A"/>
    <w:rsid w:val="003A2D28"/>
    <w:rsid w:val="003A2F95"/>
    <w:rsid w:val="003A30CD"/>
    <w:rsid w:val="003A310D"/>
    <w:rsid w:val="003A3243"/>
    <w:rsid w:val="003A32D7"/>
    <w:rsid w:val="003A338A"/>
    <w:rsid w:val="003A3394"/>
    <w:rsid w:val="003A33BB"/>
    <w:rsid w:val="003A33E3"/>
    <w:rsid w:val="003A3449"/>
    <w:rsid w:val="003A34A1"/>
    <w:rsid w:val="003A351D"/>
    <w:rsid w:val="003A371F"/>
    <w:rsid w:val="003A37B7"/>
    <w:rsid w:val="003A3826"/>
    <w:rsid w:val="003A3841"/>
    <w:rsid w:val="003A38C5"/>
    <w:rsid w:val="003A391F"/>
    <w:rsid w:val="003A3A7B"/>
    <w:rsid w:val="003A3B4F"/>
    <w:rsid w:val="003A3B5C"/>
    <w:rsid w:val="003A3BBB"/>
    <w:rsid w:val="003A3C0A"/>
    <w:rsid w:val="003A3D60"/>
    <w:rsid w:val="003A3D83"/>
    <w:rsid w:val="003A3E29"/>
    <w:rsid w:val="003A3E64"/>
    <w:rsid w:val="003A3EF4"/>
    <w:rsid w:val="003A3FCA"/>
    <w:rsid w:val="003A40F4"/>
    <w:rsid w:val="003A4119"/>
    <w:rsid w:val="003A41B0"/>
    <w:rsid w:val="003A4249"/>
    <w:rsid w:val="003A432F"/>
    <w:rsid w:val="003A4611"/>
    <w:rsid w:val="003A472B"/>
    <w:rsid w:val="003A473A"/>
    <w:rsid w:val="003A47B3"/>
    <w:rsid w:val="003A48A8"/>
    <w:rsid w:val="003A4933"/>
    <w:rsid w:val="003A4963"/>
    <w:rsid w:val="003A4ABE"/>
    <w:rsid w:val="003A4B5C"/>
    <w:rsid w:val="003A4B9B"/>
    <w:rsid w:val="003A4BED"/>
    <w:rsid w:val="003A4D09"/>
    <w:rsid w:val="003A4D30"/>
    <w:rsid w:val="003A4D85"/>
    <w:rsid w:val="003A4DB8"/>
    <w:rsid w:val="003A4EEA"/>
    <w:rsid w:val="003A4F27"/>
    <w:rsid w:val="003A50BD"/>
    <w:rsid w:val="003A5169"/>
    <w:rsid w:val="003A51E8"/>
    <w:rsid w:val="003A52D3"/>
    <w:rsid w:val="003A5308"/>
    <w:rsid w:val="003A533C"/>
    <w:rsid w:val="003A54D8"/>
    <w:rsid w:val="003A5537"/>
    <w:rsid w:val="003A554C"/>
    <w:rsid w:val="003A5827"/>
    <w:rsid w:val="003A589B"/>
    <w:rsid w:val="003A58EA"/>
    <w:rsid w:val="003A596B"/>
    <w:rsid w:val="003A59DC"/>
    <w:rsid w:val="003A59F7"/>
    <w:rsid w:val="003A5A79"/>
    <w:rsid w:val="003A5AC2"/>
    <w:rsid w:val="003A5AD4"/>
    <w:rsid w:val="003A5B42"/>
    <w:rsid w:val="003A5BBB"/>
    <w:rsid w:val="003A5CF6"/>
    <w:rsid w:val="003A5E48"/>
    <w:rsid w:val="003A5E55"/>
    <w:rsid w:val="003A5E90"/>
    <w:rsid w:val="003A5F1D"/>
    <w:rsid w:val="003A5FDF"/>
    <w:rsid w:val="003A5FFB"/>
    <w:rsid w:val="003A60B0"/>
    <w:rsid w:val="003A6166"/>
    <w:rsid w:val="003A61FA"/>
    <w:rsid w:val="003A6281"/>
    <w:rsid w:val="003A6419"/>
    <w:rsid w:val="003A6431"/>
    <w:rsid w:val="003A64BF"/>
    <w:rsid w:val="003A64D6"/>
    <w:rsid w:val="003A6501"/>
    <w:rsid w:val="003A6538"/>
    <w:rsid w:val="003A65B1"/>
    <w:rsid w:val="003A65EB"/>
    <w:rsid w:val="003A66D8"/>
    <w:rsid w:val="003A66DE"/>
    <w:rsid w:val="003A66F2"/>
    <w:rsid w:val="003A6863"/>
    <w:rsid w:val="003A6974"/>
    <w:rsid w:val="003A6AD5"/>
    <w:rsid w:val="003A6AFC"/>
    <w:rsid w:val="003A6BD9"/>
    <w:rsid w:val="003A6DCE"/>
    <w:rsid w:val="003A6EEB"/>
    <w:rsid w:val="003A6F62"/>
    <w:rsid w:val="003A7109"/>
    <w:rsid w:val="003A7125"/>
    <w:rsid w:val="003A7144"/>
    <w:rsid w:val="003A7228"/>
    <w:rsid w:val="003A72B8"/>
    <w:rsid w:val="003A7395"/>
    <w:rsid w:val="003A73B5"/>
    <w:rsid w:val="003A747A"/>
    <w:rsid w:val="003A747D"/>
    <w:rsid w:val="003A74A2"/>
    <w:rsid w:val="003A74D3"/>
    <w:rsid w:val="003A74FF"/>
    <w:rsid w:val="003A75D6"/>
    <w:rsid w:val="003A760F"/>
    <w:rsid w:val="003A7692"/>
    <w:rsid w:val="003A76C7"/>
    <w:rsid w:val="003A7857"/>
    <w:rsid w:val="003A7952"/>
    <w:rsid w:val="003A798E"/>
    <w:rsid w:val="003A799A"/>
    <w:rsid w:val="003A7C3B"/>
    <w:rsid w:val="003A7C40"/>
    <w:rsid w:val="003A7D0F"/>
    <w:rsid w:val="003A7DE5"/>
    <w:rsid w:val="003A7E47"/>
    <w:rsid w:val="003A7E92"/>
    <w:rsid w:val="003A7F21"/>
    <w:rsid w:val="003B00E6"/>
    <w:rsid w:val="003B0167"/>
    <w:rsid w:val="003B0202"/>
    <w:rsid w:val="003B0343"/>
    <w:rsid w:val="003B0485"/>
    <w:rsid w:val="003B0527"/>
    <w:rsid w:val="003B0542"/>
    <w:rsid w:val="003B0563"/>
    <w:rsid w:val="003B05A9"/>
    <w:rsid w:val="003B0678"/>
    <w:rsid w:val="003B06B2"/>
    <w:rsid w:val="003B06D4"/>
    <w:rsid w:val="003B0713"/>
    <w:rsid w:val="003B0725"/>
    <w:rsid w:val="003B0887"/>
    <w:rsid w:val="003B088C"/>
    <w:rsid w:val="003B08CF"/>
    <w:rsid w:val="003B08DD"/>
    <w:rsid w:val="003B08F2"/>
    <w:rsid w:val="003B09D9"/>
    <w:rsid w:val="003B0A27"/>
    <w:rsid w:val="003B0CA6"/>
    <w:rsid w:val="003B0CF8"/>
    <w:rsid w:val="003B0D67"/>
    <w:rsid w:val="003B0DD1"/>
    <w:rsid w:val="003B0E67"/>
    <w:rsid w:val="003B0EF8"/>
    <w:rsid w:val="003B0F88"/>
    <w:rsid w:val="003B1041"/>
    <w:rsid w:val="003B10AB"/>
    <w:rsid w:val="003B135C"/>
    <w:rsid w:val="003B136B"/>
    <w:rsid w:val="003B136D"/>
    <w:rsid w:val="003B1370"/>
    <w:rsid w:val="003B141A"/>
    <w:rsid w:val="003B1463"/>
    <w:rsid w:val="003B14CA"/>
    <w:rsid w:val="003B14CE"/>
    <w:rsid w:val="003B1660"/>
    <w:rsid w:val="003B17A6"/>
    <w:rsid w:val="003B17A9"/>
    <w:rsid w:val="003B17CB"/>
    <w:rsid w:val="003B1850"/>
    <w:rsid w:val="003B186A"/>
    <w:rsid w:val="003B187D"/>
    <w:rsid w:val="003B198B"/>
    <w:rsid w:val="003B19F3"/>
    <w:rsid w:val="003B1AAD"/>
    <w:rsid w:val="003B1E17"/>
    <w:rsid w:val="003B1E1E"/>
    <w:rsid w:val="003B1EA4"/>
    <w:rsid w:val="003B2190"/>
    <w:rsid w:val="003B21B7"/>
    <w:rsid w:val="003B21DA"/>
    <w:rsid w:val="003B22D3"/>
    <w:rsid w:val="003B2525"/>
    <w:rsid w:val="003B2556"/>
    <w:rsid w:val="003B256E"/>
    <w:rsid w:val="003B26E8"/>
    <w:rsid w:val="003B2730"/>
    <w:rsid w:val="003B274E"/>
    <w:rsid w:val="003B2793"/>
    <w:rsid w:val="003B2825"/>
    <w:rsid w:val="003B28A2"/>
    <w:rsid w:val="003B2923"/>
    <w:rsid w:val="003B29F0"/>
    <w:rsid w:val="003B2ABB"/>
    <w:rsid w:val="003B2AC6"/>
    <w:rsid w:val="003B2D31"/>
    <w:rsid w:val="003B2D72"/>
    <w:rsid w:val="003B2D92"/>
    <w:rsid w:val="003B2DF0"/>
    <w:rsid w:val="003B2F81"/>
    <w:rsid w:val="003B2FFE"/>
    <w:rsid w:val="003B3030"/>
    <w:rsid w:val="003B31CB"/>
    <w:rsid w:val="003B31F5"/>
    <w:rsid w:val="003B3285"/>
    <w:rsid w:val="003B32C7"/>
    <w:rsid w:val="003B3558"/>
    <w:rsid w:val="003B3680"/>
    <w:rsid w:val="003B37FA"/>
    <w:rsid w:val="003B38D1"/>
    <w:rsid w:val="003B395B"/>
    <w:rsid w:val="003B39F4"/>
    <w:rsid w:val="003B3B7D"/>
    <w:rsid w:val="003B3C1F"/>
    <w:rsid w:val="003B3CAB"/>
    <w:rsid w:val="003B3D19"/>
    <w:rsid w:val="003B3D84"/>
    <w:rsid w:val="003B3D9F"/>
    <w:rsid w:val="003B3E14"/>
    <w:rsid w:val="003B3F0B"/>
    <w:rsid w:val="003B3FA2"/>
    <w:rsid w:val="003B405C"/>
    <w:rsid w:val="003B40E2"/>
    <w:rsid w:val="003B4119"/>
    <w:rsid w:val="003B4198"/>
    <w:rsid w:val="003B424C"/>
    <w:rsid w:val="003B43D4"/>
    <w:rsid w:val="003B43FD"/>
    <w:rsid w:val="003B4789"/>
    <w:rsid w:val="003B4803"/>
    <w:rsid w:val="003B480F"/>
    <w:rsid w:val="003B4891"/>
    <w:rsid w:val="003B48FE"/>
    <w:rsid w:val="003B4901"/>
    <w:rsid w:val="003B49C9"/>
    <w:rsid w:val="003B49D3"/>
    <w:rsid w:val="003B4A6F"/>
    <w:rsid w:val="003B4C53"/>
    <w:rsid w:val="003B4D09"/>
    <w:rsid w:val="003B4DD9"/>
    <w:rsid w:val="003B4E2D"/>
    <w:rsid w:val="003B4E47"/>
    <w:rsid w:val="003B4E90"/>
    <w:rsid w:val="003B4E9F"/>
    <w:rsid w:val="003B4EBF"/>
    <w:rsid w:val="003B4ED5"/>
    <w:rsid w:val="003B4FAF"/>
    <w:rsid w:val="003B5060"/>
    <w:rsid w:val="003B50A9"/>
    <w:rsid w:val="003B528E"/>
    <w:rsid w:val="003B529A"/>
    <w:rsid w:val="003B52B6"/>
    <w:rsid w:val="003B5315"/>
    <w:rsid w:val="003B5403"/>
    <w:rsid w:val="003B5486"/>
    <w:rsid w:val="003B549F"/>
    <w:rsid w:val="003B54CC"/>
    <w:rsid w:val="003B5554"/>
    <w:rsid w:val="003B5663"/>
    <w:rsid w:val="003B566A"/>
    <w:rsid w:val="003B5725"/>
    <w:rsid w:val="003B575D"/>
    <w:rsid w:val="003B57E2"/>
    <w:rsid w:val="003B57EF"/>
    <w:rsid w:val="003B5811"/>
    <w:rsid w:val="003B58FF"/>
    <w:rsid w:val="003B593A"/>
    <w:rsid w:val="003B59A1"/>
    <w:rsid w:val="003B5A2F"/>
    <w:rsid w:val="003B5ACE"/>
    <w:rsid w:val="003B5AD2"/>
    <w:rsid w:val="003B5B8D"/>
    <w:rsid w:val="003B5CA8"/>
    <w:rsid w:val="003B5CBB"/>
    <w:rsid w:val="003B5CBE"/>
    <w:rsid w:val="003B5D93"/>
    <w:rsid w:val="003B5DC7"/>
    <w:rsid w:val="003B5F82"/>
    <w:rsid w:val="003B6030"/>
    <w:rsid w:val="003B615E"/>
    <w:rsid w:val="003B64C1"/>
    <w:rsid w:val="003B659F"/>
    <w:rsid w:val="003B65C1"/>
    <w:rsid w:val="003B65D9"/>
    <w:rsid w:val="003B664E"/>
    <w:rsid w:val="003B667A"/>
    <w:rsid w:val="003B66B1"/>
    <w:rsid w:val="003B674A"/>
    <w:rsid w:val="003B6801"/>
    <w:rsid w:val="003B68C3"/>
    <w:rsid w:val="003B696A"/>
    <w:rsid w:val="003B6983"/>
    <w:rsid w:val="003B6A2B"/>
    <w:rsid w:val="003B6AF3"/>
    <w:rsid w:val="003B6BE3"/>
    <w:rsid w:val="003B6C44"/>
    <w:rsid w:val="003B6D78"/>
    <w:rsid w:val="003B6D7B"/>
    <w:rsid w:val="003B6DFB"/>
    <w:rsid w:val="003B6E3B"/>
    <w:rsid w:val="003B6FB9"/>
    <w:rsid w:val="003B6FBB"/>
    <w:rsid w:val="003B71E0"/>
    <w:rsid w:val="003B7232"/>
    <w:rsid w:val="003B7280"/>
    <w:rsid w:val="003B729D"/>
    <w:rsid w:val="003B748C"/>
    <w:rsid w:val="003B74B6"/>
    <w:rsid w:val="003B7553"/>
    <w:rsid w:val="003B7571"/>
    <w:rsid w:val="003B759B"/>
    <w:rsid w:val="003B75FE"/>
    <w:rsid w:val="003B76EF"/>
    <w:rsid w:val="003B78F8"/>
    <w:rsid w:val="003B79BD"/>
    <w:rsid w:val="003B79CB"/>
    <w:rsid w:val="003B7AEF"/>
    <w:rsid w:val="003B7B98"/>
    <w:rsid w:val="003B7C3D"/>
    <w:rsid w:val="003B7D48"/>
    <w:rsid w:val="003B7D4B"/>
    <w:rsid w:val="003B7D57"/>
    <w:rsid w:val="003B7D8C"/>
    <w:rsid w:val="003B7EAA"/>
    <w:rsid w:val="003C0081"/>
    <w:rsid w:val="003C0183"/>
    <w:rsid w:val="003C0278"/>
    <w:rsid w:val="003C02DB"/>
    <w:rsid w:val="003C038C"/>
    <w:rsid w:val="003C041F"/>
    <w:rsid w:val="003C04A7"/>
    <w:rsid w:val="003C04F3"/>
    <w:rsid w:val="003C0669"/>
    <w:rsid w:val="003C067F"/>
    <w:rsid w:val="003C070B"/>
    <w:rsid w:val="003C07AB"/>
    <w:rsid w:val="003C07D3"/>
    <w:rsid w:val="003C0835"/>
    <w:rsid w:val="003C0845"/>
    <w:rsid w:val="003C0911"/>
    <w:rsid w:val="003C0930"/>
    <w:rsid w:val="003C0CAB"/>
    <w:rsid w:val="003C0CB0"/>
    <w:rsid w:val="003C0DDE"/>
    <w:rsid w:val="003C0E87"/>
    <w:rsid w:val="003C0EF9"/>
    <w:rsid w:val="003C0FDA"/>
    <w:rsid w:val="003C10F5"/>
    <w:rsid w:val="003C113F"/>
    <w:rsid w:val="003C11F2"/>
    <w:rsid w:val="003C11FD"/>
    <w:rsid w:val="003C1253"/>
    <w:rsid w:val="003C127D"/>
    <w:rsid w:val="003C1280"/>
    <w:rsid w:val="003C142F"/>
    <w:rsid w:val="003C1485"/>
    <w:rsid w:val="003C15A0"/>
    <w:rsid w:val="003C1610"/>
    <w:rsid w:val="003C1623"/>
    <w:rsid w:val="003C1638"/>
    <w:rsid w:val="003C1697"/>
    <w:rsid w:val="003C16D9"/>
    <w:rsid w:val="003C170B"/>
    <w:rsid w:val="003C1710"/>
    <w:rsid w:val="003C1843"/>
    <w:rsid w:val="003C186A"/>
    <w:rsid w:val="003C1A1C"/>
    <w:rsid w:val="003C1A21"/>
    <w:rsid w:val="003C1A86"/>
    <w:rsid w:val="003C1B8A"/>
    <w:rsid w:val="003C1C3B"/>
    <w:rsid w:val="003C1C7D"/>
    <w:rsid w:val="003C1C8D"/>
    <w:rsid w:val="003C1CE5"/>
    <w:rsid w:val="003C1CF5"/>
    <w:rsid w:val="003C1D6C"/>
    <w:rsid w:val="003C20CE"/>
    <w:rsid w:val="003C2251"/>
    <w:rsid w:val="003C2260"/>
    <w:rsid w:val="003C2294"/>
    <w:rsid w:val="003C231C"/>
    <w:rsid w:val="003C2446"/>
    <w:rsid w:val="003C26EB"/>
    <w:rsid w:val="003C2723"/>
    <w:rsid w:val="003C27BF"/>
    <w:rsid w:val="003C2835"/>
    <w:rsid w:val="003C2A29"/>
    <w:rsid w:val="003C2B09"/>
    <w:rsid w:val="003C2B2D"/>
    <w:rsid w:val="003C2B5B"/>
    <w:rsid w:val="003C2BA2"/>
    <w:rsid w:val="003C2BA8"/>
    <w:rsid w:val="003C2BCF"/>
    <w:rsid w:val="003C2C31"/>
    <w:rsid w:val="003C2C68"/>
    <w:rsid w:val="003C2CB7"/>
    <w:rsid w:val="003C2D78"/>
    <w:rsid w:val="003C2E08"/>
    <w:rsid w:val="003C2EAD"/>
    <w:rsid w:val="003C2F2A"/>
    <w:rsid w:val="003C307F"/>
    <w:rsid w:val="003C3147"/>
    <w:rsid w:val="003C322C"/>
    <w:rsid w:val="003C3424"/>
    <w:rsid w:val="003C351D"/>
    <w:rsid w:val="003C35CA"/>
    <w:rsid w:val="003C36CF"/>
    <w:rsid w:val="003C384D"/>
    <w:rsid w:val="003C385E"/>
    <w:rsid w:val="003C3880"/>
    <w:rsid w:val="003C38AE"/>
    <w:rsid w:val="003C3943"/>
    <w:rsid w:val="003C39FB"/>
    <w:rsid w:val="003C3A5C"/>
    <w:rsid w:val="003C3AC1"/>
    <w:rsid w:val="003C3AC9"/>
    <w:rsid w:val="003C3AD4"/>
    <w:rsid w:val="003C3B66"/>
    <w:rsid w:val="003C3C8B"/>
    <w:rsid w:val="003C3DC2"/>
    <w:rsid w:val="003C3E2B"/>
    <w:rsid w:val="003C3F73"/>
    <w:rsid w:val="003C3F7E"/>
    <w:rsid w:val="003C41FF"/>
    <w:rsid w:val="003C4339"/>
    <w:rsid w:val="003C434B"/>
    <w:rsid w:val="003C437A"/>
    <w:rsid w:val="003C43A3"/>
    <w:rsid w:val="003C43ED"/>
    <w:rsid w:val="003C4435"/>
    <w:rsid w:val="003C4450"/>
    <w:rsid w:val="003C464E"/>
    <w:rsid w:val="003C46BC"/>
    <w:rsid w:val="003C47CF"/>
    <w:rsid w:val="003C483A"/>
    <w:rsid w:val="003C4894"/>
    <w:rsid w:val="003C48A4"/>
    <w:rsid w:val="003C48AD"/>
    <w:rsid w:val="003C49A0"/>
    <w:rsid w:val="003C4AC9"/>
    <w:rsid w:val="003C4AEC"/>
    <w:rsid w:val="003C4BA4"/>
    <w:rsid w:val="003C4C89"/>
    <w:rsid w:val="003C4D1A"/>
    <w:rsid w:val="003C4DD6"/>
    <w:rsid w:val="003C4DE2"/>
    <w:rsid w:val="003C4DF2"/>
    <w:rsid w:val="003C4DFB"/>
    <w:rsid w:val="003C4EA5"/>
    <w:rsid w:val="003C4EE8"/>
    <w:rsid w:val="003C4F5D"/>
    <w:rsid w:val="003C5088"/>
    <w:rsid w:val="003C5176"/>
    <w:rsid w:val="003C5189"/>
    <w:rsid w:val="003C5196"/>
    <w:rsid w:val="003C51ED"/>
    <w:rsid w:val="003C527A"/>
    <w:rsid w:val="003C52B7"/>
    <w:rsid w:val="003C53AD"/>
    <w:rsid w:val="003C53B4"/>
    <w:rsid w:val="003C53DE"/>
    <w:rsid w:val="003C54DE"/>
    <w:rsid w:val="003C5619"/>
    <w:rsid w:val="003C574C"/>
    <w:rsid w:val="003C5937"/>
    <w:rsid w:val="003C5999"/>
    <w:rsid w:val="003C5B93"/>
    <w:rsid w:val="003C5C7E"/>
    <w:rsid w:val="003C5D62"/>
    <w:rsid w:val="003C5ECC"/>
    <w:rsid w:val="003C5ED0"/>
    <w:rsid w:val="003C5F66"/>
    <w:rsid w:val="003C5FD4"/>
    <w:rsid w:val="003C602A"/>
    <w:rsid w:val="003C60AE"/>
    <w:rsid w:val="003C61B8"/>
    <w:rsid w:val="003C6333"/>
    <w:rsid w:val="003C6343"/>
    <w:rsid w:val="003C636C"/>
    <w:rsid w:val="003C63DA"/>
    <w:rsid w:val="003C640A"/>
    <w:rsid w:val="003C64BA"/>
    <w:rsid w:val="003C652F"/>
    <w:rsid w:val="003C65A2"/>
    <w:rsid w:val="003C6782"/>
    <w:rsid w:val="003C67B1"/>
    <w:rsid w:val="003C67E0"/>
    <w:rsid w:val="003C6803"/>
    <w:rsid w:val="003C69B1"/>
    <w:rsid w:val="003C6A7E"/>
    <w:rsid w:val="003C6AB8"/>
    <w:rsid w:val="003C6B01"/>
    <w:rsid w:val="003C6B19"/>
    <w:rsid w:val="003C6BCE"/>
    <w:rsid w:val="003C6C55"/>
    <w:rsid w:val="003C6DF3"/>
    <w:rsid w:val="003C6F9A"/>
    <w:rsid w:val="003C7089"/>
    <w:rsid w:val="003C70BF"/>
    <w:rsid w:val="003C70CE"/>
    <w:rsid w:val="003C70D0"/>
    <w:rsid w:val="003C7160"/>
    <w:rsid w:val="003C718D"/>
    <w:rsid w:val="003C7250"/>
    <w:rsid w:val="003C729A"/>
    <w:rsid w:val="003C735F"/>
    <w:rsid w:val="003C74C4"/>
    <w:rsid w:val="003C752F"/>
    <w:rsid w:val="003C7683"/>
    <w:rsid w:val="003C76B4"/>
    <w:rsid w:val="003C76E8"/>
    <w:rsid w:val="003C76F6"/>
    <w:rsid w:val="003C77A5"/>
    <w:rsid w:val="003C77C1"/>
    <w:rsid w:val="003C79D1"/>
    <w:rsid w:val="003C7B6A"/>
    <w:rsid w:val="003C7BCD"/>
    <w:rsid w:val="003C7BEB"/>
    <w:rsid w:val="003C7C20"/>
    <w:rsid w:val="003C7CFC"/>
    <w:rsid w:val="003C7D07"/>
    <w:rsid w:val="003C7D7A"/>
    <w:rsid w:val="003D008F"/>
    <w:rsid w:val="003D00EA"/>
    <w:rsid w:val="003D0143"/>
    <w:rsid w:val="003D0170"/>
    <w:rsid w:val="003D0213"/>
    <w:rsid w:val="003D0273"/>
    <w:rsid w:val="003D02C9"/>
    <w:rsid w:val="003D0582"/>
    <w:rsid w:val="003D0669"/>
    <w:rsid w:val="003D071C"/>
    <w:rsid w:val="003D07B1"/>
    <w:rsid w:val="003D08DE"/>
    <w:rsid w:val="003D0ACB"/>
    <w:rsid w:val="003D0B8C"/>
    <w:rsid w:val="003D0D22"/>
    <w:rsid w:val="003D0E63"/>
    <w:rsid w:val="003D0EBD"/>
    <w:rsid w:val="003D0FC6"/>
    <w:rsid w:val="003D11D3"/>
    <w:rsid w:val="003D138F"/>
    <w:rsid w:val="003D13C0"/>
    <w:rsid w:val="003D13D7"/>
    <w:rsid w:val="003D14EE"/>
    <w:rsid w:val="003D157D"/>
    <w:rsid w:val="003D16D1"/>
    <w:rsid w:val="003D17F5"/>
    <w:rsid w:val="003D195B"/>
    <w:rsid w:val="003D1A02"/>
    <w:rsid w:val="003D1A82"/>
    <w:rsid w:val="003D1C27"/>
    <w:rsid w:val="003D1D1C"/>
    <w:rsid w:val="003D1D79"/>
    <w:rsid w:val="003D1DC0"/>
    <w:rsid w:val="003D1F0F"/>
    <w:rsid w:val="003D1F52"/>
    <w:rsid w:val="003D1FCC"/>
    <w:rsid w:val="003D20AC"/>
    <w:rsid w:val="003D20E7"/>
    <w:rsid w:val="003D2180"/>
    <w:rsid w:val="003D2395"/>
    <w:rsid w:val="003D24DC"/>
    <w:rsid w:val="003D24FF"/>
    <w:rsid w:val="003D252F"/>
    <w:rsid w:val="003D2689"/>
    <w:rsid w:val="003D26C0"/>
    <w:rsid w:val="003D2869"/>
    <w:rsid w:val="003D298B"/>
    <w:rsid w:val="003D29AC"/>
    <w:rsid w:val="003D29CD"/>
    <w:rsid w:val="003D29D6"/>
    <w:rsid w:val="003D29F0"/>
    <w:rsid w:val="003D2A4F"/>
    <w:rsid w:val="003D2C0D"/>
    <w:rsid w:val="003D2C8B"/>
    <w:rsid w:val="003D2CFD"/>
    <w:rsid w:val="003D2E93"/>
    <w:rsid w:val="003D2F86"/>
    <w:rsid w:val="003D3041"/>
    <w:rsid w:val="003D3049"/>
    <w:rsid w:val="003D3115"/>
    <w:rsid w:val="003D3146"/>
    <w:rsid w:val="003D315C"/>
    <w:rsid w:val="003D3192"/>
    <w:rsid w:val="003D3248"/>
    <w:rsid w:val="003D325E"/>
    <w:rsid w:val="003D3272"/>
    <w:rsid w:val="003D33BC"/>
    <w:rsid w:val="003D33FA"/>
    <w:rsid w:val="003D33FF"/>
    <w:rsid w:val="003D3406"/>
    <w:rsid w:val="003D3569"/>
    <w:rsid w:val="003D3618"/>
    <w:rsid w:val="003D3633"/>
    <w:rsid w:val="003D36D3"/>
    <w:rsid w:val="003D3707"/>
    <w:rsid w:val="003D3782"/>
    <w:rsid w:val="003D3813"/>
    <w:rsid w:val="003D3864"/>
    <w:rsid w:val="003D3903"/>
    <w:rsid w:val="003D39AC"/>
    <w:rsid w:val="003D3AE7"/>
    <w:rsid w:val="003D3B04"/>
    <w:rsid w:val="003D3B19"/>
    <w:rsid w:val="003D3B1A"/>
    <w:rsid w:val="003D3B88"/>
    <w:rsid w:val="003D3C7C"/>
    <w:rsid w:val="003D3C81"/>
    <w:rsid w:val="003D3D90"/>
    <w:rsid w:val="003D3DAC"/>
    <w:rsid w:val="003D3F27"/>
    <w:rsid w:val="003D3F4D"/>
    <w:rsid w:val="003D3F4E"/>
    <w:rsid w:val="003D4013"/>
    <w:rsid w:val="003D41B7"/>
    <w:rsid w:val="003D42CC"/>
    <w:rsid w:val="003D4334"/>
    <w:rsid w:val="003D43D8"/>
    <w:rsid w:val="003D43F8"/>
    <w:rsid w:val="003D46C9"/>
    <w:rsid w:val="003D47BE"/>
    <w:rsid w:val="003D47E1"/>
    <w:rsid w:val="003D48A1"/>
    <w:rsid w:val="003D49AF"/>
    <w:rsid w:val="003D4BA6"/>
    <w:rsid w:val="003D4C25"/>
    <w:rsid w:val="003D4D49"/>
    <w:rsid w:val="003D4D7C"/>
    <w:rsid w:val="003D4DC2"/>
    <w:rsid w:val="003D4E58"/>
    <w:rsid w:val="003D4FAC"/>
    <w:rsid w:val="003D4FC2"/>
    <w:rsid w:val="003D5022"/>
    <w:rsid w:val="003D507A"/>
    <w:rsid w:val="003D521A"/>
    <w:rsid w:val="003D5229"/>
    <w:rsid w:val="003D5572"/>
    <w:rsid w:val="003D559F"/>
    <w:rsid w:val="003D55A8"/>
    <w:rsid w:val="003D56D1"/>
    <w:rsid w:val="003D576F"/>
    <w:rsid w:val="003D595B"/>
    <w:rsid w:val="003D59BB"/>
    <w:rsid w:val="003D59E2"/>
    <w:rsid w:val="003D5A00"/>
    <w:rsid w:val="003D5A07"/>
    <w:rsid w:val="003D5B87"/>
    <w:rsid w:val="003D5BA1"/>
    <w:rsid w:val="003D5C31"/>
    <w:rsid w:val="003D5CB4"/>
    <w:rsid w:val="003D5E03"/>
    <w:rsid w:val="003D5E68"/>
    <w:rsid w:val="003D5FA5"/>
    <w:rsid w:val="003D603F"/>
    <w:rsid w:val="003D605F"/>
    <w:rsid w:val="003D60AC"/>
    <w:rsid w:val="003D60BE"/>
    <w:rsid w:val="003D6138"/>
    <w:rsid w:val="003D6253"/>
    <w:rsid w:val="003D64D6"/>
    <w:rsid w:val="003D64FB"/>
    <w:rsid w:val="003D654F"/>
    <w:rsid w:val="003D6644"/>
    <w:rsid w:val="003D6700"/>
    <w:rsid w:val="003D6A99"/>
    <w:rsid w:val="003D6AB8"/>
    <w:rsid w:val="003D6B01"/>
    <w:rsid w:val="003D6BAB"/>
    <w:rsid w:val="003D6C9E"/>
    <w:rsid w:val="003D6D77"/>
    <w:rsid w:val="003D6E23"/>
    <w:rsid w:val="003D6E64"/>
    <w:rsid w:val="003D6ED4"/>
    <w:rsid w:val="003D6F6A"/>
    <w:rsid w:val="003D6FDD"/>
    <w:rsid w:val="003D7017"/>
    <w:rsid w:val="003D7056"/>
    <w:rsid w:val="003D70A5"/>
    <w:rsid w:val="003D7164"/>
    <w:rsid w:val="003D72EC"/>
    <w:rsid w:val="003D742C"/>
    <w:rsid w:val="003D7457"/>
    <w:rsid w:val="003D74C2"/>
    <w:rsid w:val="003D7684"/>
    <w:rsid w:val="003D7768"/>
    <w:rsid w:val="003D77EA"/>
    <w:rsid w:val="003D7822"/>
    <w:rsid w:val="003D78D7"/>
    <w:rsid w:val="003D78F3"/>
    <w:rsid w:val="003D7B18"/>
    <w:rsid w:val="003D7C61"/>
    <w:rsid w:val="003D7C68"/>
    <w:rsid w:val="003D7C93"/>
    <w:rsid w:val="003D7DBC"/>
    <w:rsid w:val="003D7FBF"/>
    <w:rsid w:val="003E0060"/>
    <w:rsid w:val="003E0334"/>
    <w:rsid w:val="003E0376"/>
    <w:rsid w:val="003E0390"/>
    <w:rsid w:val="003E03BA"/>
    <w:rsid w:val="003E03D9"/>
    <w:rsid w:val="003E03DE"/>
    <w:rsid w:val="003E0411"/>
    <w:rsid w:val="003E04C8"/>
    <w:rsid w:val="003E056B"/>
    <w:rsid w:val="003E057B"/>
    <w:rsid w:val="003E05FA"/>
    <w:rsid w:val="003E0695"/>
    <w:rsid w:val="003E06C1"/>
    <w:rsid w:val="003E06D1"/>
    <w:rsid w:val="003E079A"/>
    <w:rsid w:val="003E07FD"/>
    <w:rsid w:val="003E09B9"/>
    <w:rsid w:val="003E09BF"/>
    <w:rsid w:val="003E0A8D"/>
    <w:rsid w:val="003E0B76"/>
    <w:rsid w:val="003E0BAC"/>
    <w:rsid w:val="003E0C30"/>
    <w:rsid w:val="003E0CD3"/>
    <w:rsid w:val="003E0E1C"/>
    <w:rsid w:val="003E0EA4"/>
    <w:rsid w:val="003E0EF3"/>
    <w:rsid w:val="003E10D0"/>
    <w:rsid w:val="003E1142"/>
    <w:rsid w:val="003E1352"/>
    <w:rsid w:val="003E1397"/>
    <w:rsid w:val="003E13E5"/>
    <w:rsid w:val="003E1422"/>
    <w:rsid w:val="003E142D"/>
    <w:rsid w:val="003E164D"/>
    <w:rsid w:val="003E1740"/>
    <w:rsid w:val="003E177D"/>
    <w:rsid w:val="003E17AD"/>
    <w:rsid w:val="003E1876"/>
    <w:rsid w:val="003E1894"/>
    <w:rsid w:val="003E18D7"/>
    <w:rsid w:val="003E1A2D"/>
    <w:rsid w:val="003E1B15"/>
    <w:rsid w:val="003E1B22"/>
    <w:rsid w:val="003E1CC6"/>
    <w:rsid w:val="003E1D6C"/>
    <w:rsid w:val="003E1D93"/>
    <w:rsid w:val="003E1E3F"/>
    <w:rsid w:val="003E1EAB"/>
    <w:rsid w:val="003E1FF2"/>
    <w:rsid w:val="003E2029"/>
    <w:rsid w:val="003E239E"/>
    <w:rsid w:val="003E23B6"/>
    <w:rsid w:val="003E23BC"/>
    <w:rsid w:val="003E2463"/>
    <w:rsid w:val="003E246E"/>
    <w:rsid w:val="003E285B"/>
    <w:rsid w:val="003E28D2"/>
    <w:rsid w:val="003E298F"/>
    <w:rsid w:val="003E29BF"/>
    <w:rsid w:val="003E29D9"/>
    <w:rsid w:val="003E2A0E"/>
    <w:rsid w:val="003E2A11"/>
    <w:rsid w:val="003E2B01"/>
    <w:rsid w:val="003E2B4D"/>
    <w:rsid w:val="003E2BA1"/>
    <w:rsid w:val="003E2BF9"/>
    <w:rsid w:val="003E2BFD"/>
    <w:rsid w:val="003E2CDD"/>
    <w:rsid w:val="003E2ED8"/>
    <w:rsid w:val="003E2EF1"/>
    <w:rsid w:val="003E2F9E"/>
    <w:rsid w:val="003E3073"/>
    <w:rsid w:val="003E310A"/>
    <w:rsid w:val="003E313C"/>
    <w:rsid w:val="003E32F4"/>
    <w:rsid w:val="003E342A"/>
    <w:rsid w:val="003E3503"/>
    <w:rsid w:val="003E37E5"/>
    <w:rsid w:val="003E3852"/>
    <w:rsid w:val="003E385C"/>
    <w:rsid w:val="003E39D5"/>
    <w:rsid w:val="003E3B70"/>
    <w:rsid w:val="003E3C9A"/>
    <w:rsid w:val="003E3E04"/>
    <w:rsid w:val="003E3E41"/>
    <w:rsid w:val="003E3E68"/>
    <w:rsid w:val="003E3EB5"/>
    <w:rsid w:val="003E3EE4"/>
    <w:rsid w:val="003E3F59"/>
    <w:rsid w:val="003E3FE1"/>
    <w:rsid w:val="003E4085"/>
    <w:rsid w:val="003E4146"/>
    <w:rsid w:val="003E4181"/>
    <w:rsid w:val="003E41A6"/>
    <w:rsid w:val="003E41F6"/>
    <w:rsid w:val="003E43EE"/>
    <w:rsid w:val="003E4500"/>
    <w:rsid w:val="003E4584"/>
    <w:rsid w:val="003E4736"/>
    <w:rsid w:val="003E496E"/>
    <w:rsid w:val="003E4998"/>
    <w:rsid w:val="003E4AB4"/>
    <w:rsid w:val="003E4AC5"/>
    <w:rsid w:val="003E4C22"/>
    <w:rsid w:val="003E4C4F"/>
    <w:rsid w:val="003E4C8B"/>
    <w:rsid w:val="003E4DC4"/>
    <w:rsid w:val="003E4F1D"/>
    <w:rsid w:val="003E4FBF"/>
    <w:rsid w:val="003E5073"/>
    <w:rsid w:val="003E509A"/>
    <w:rsid w:val="003E50FA"/>
    <w:rsid w:val="003E512B"/>
    <w:rsid w:val="003E520E"/>
    <w:rsid w:val="003E5272"/>
    <w:rsid w:val="003E5358"/>
    <w:rsid w:val="003E53E0"/>
    <w:rsid w:val="003E53E9"/>
    <w:rsid w:val="003E53F4"/>
    <w:rsid w:val="003E5493"/>
    <w:rsid w:val="003E5506"/>
    <w:rsid w:val="003E555F"/>
    <w:rsid w:val="003E5586"/>
    <w:rsid w:val="003E55E7"/>
    <w:rsid w:val="003E55F8"/>
    <w:rsid w:val="003E564E"/>
    <w:rsid w:val="003E56A2"/>
    <w:rsid w:val="003E57DF"/>
    <w:rsid w:val="003E5863"/>
    <w:rsid w:val="003E5921"/>
    <w:rsid w:val="003E596B"/>
    <w:rsid w:val="003E59E7"/>
    <w:rsid w:val="003E5C07"/>
    <w:rsid w:val="003E5C2C"/>
    <w:rsid w:val="003E5C80"/>
    <w:rsid w:val="003E5C83"/>
    <w:rsid w:val="003E5D17"/>
    <w:rsid w:val="003E5DA7"/>
    <w:rsid w:val="003E5ED8"/>
    <w:rsid w:val="003E5FC2"/>
    <w:rsid w:val="003E5FFC"/>
    <w:rsid w:val="003E6037"/>
    <w:rsid w:val="003E6294"/>
    <w:rsid w:val="003E63CA"/>
    <w:rsid w:val="003E6447"/>
    <w:rsid w:val="003E6468"/>
    <w:rsid w:val="003E649B"/>
    <w:rsid w:val="003E653C"/>
    <w:rsid w:val="003E654D"/>
    <w:rsid w:val="003E654E"/>
    <w:rsid w:val="003E65B3"/>
    <w:rsid w:val="003E675F"/>
    <w:rsid w:val="003E6836"/>
    <w:rsid w:val="003E683A"/>
    <w:rsid w:val="003E685C"/>
    <w:rsid w:val="003E6899"/>
    <w:rsid w:val="003E689C"/>
    <w:rsid w:val="003E6A24"/>
    <w:rsid w:val="003E6A92"/>
    <w:rsid w:val="003E6A9A"/>
    <w:rsid w:val="003E6AF0"/>
    <w:rsid w:val="003E6B1B"/>
    <w:rsid w:val="003E6C73"/>
    <w:rsid w:val="003E6CE6"/>
    <w:rsid w:val="003E6D63"/>
    <w:rsid w:val="003E6E34"/>
    <w:rsid w:val="003E71B4"/>
    <w:rsid w:val="003E7234"/>
    <w:rsid w:val="003E7389"/>
    <w:rsid w:val="003E73A0"/>
    <w:rsid w:val="003E7458"/>
    <w:rsid w:val="003E7483"/>
    <w:rsid w:val="003E75AC"/>
    <w:rsid w:val="003E7613"/>
    <w:rsid w:val="003E761C"/>
    <w:rsid w:val="003E767C"/>
    <w:rsid w:val="003E76BF"/>
    <w:rsid w:val="003E779B"/>
    <w:rsid w:val="003E779C"/>
    <w:rsid w:val="003E77C2"/>
    <w:rsid w:val="003E78C6"/>
    <w:rsid w:val="003E78FD"/>
    <w:rsid w:val="003E79F1"/>
    <w:rsid w:val="003E7B0D"/>
    <w:rsid w:val="003E7BED"/>
    <w:rsid w:val="003E7C37"/>
    <w:rsid w:val="003E7D31"/>
    <w:rsid w:val="003E7D84"/>
    <w:rsid w:val="003E7E33"/>
    <w:rsid w:val="003E7E3A"/>
    <w:rsid w:val="003E7F45"/>
    <w:rsid w:val="003E7F5C"/>
    <w:rsid w:val="003E7F66"/>
    <w:rsid w:val="003E7FD2"/>
    <w:rsid w:val="003E7FDC"/>
    <w:rsid w:val="003F002F"/>
    <w:rsid w:val="003F003B"/>
    <w:rsid w:val="003F00CE"/>
    <w:rsid w:val="003F00F8"/>
    <w:rsid w:val="003F0296"/>
    <w:rsid w:val="003F03BE"/>
    <w:rsid w:val="003F03C4"/>
    <w:rsid w:val="003F03F5"/>
    <w:rsid w:val="003F0430"/>
    <w:rsid w:val="003F046D"/>
    <w:rsid w:val="003F04DC"/>
    <w:rsid w:val="003F0570"/>
    <w:rsid w:val="003F05E8"/>
    <w:rsid w:val="003F065C"/>
    <w:rsid w:val="003F07B4"/>
    <w:rsid w:val="003F07C7"/>
    <w:rsid w:val="003F07CD"/>
    <w:rsid w:val="003F0935"/>
    <w:rsid w:val="003F0B15"/>
    <w:rsid w:val="003F0B8B"/>
    <w:rsid w:val="003F0CF0"/>
    <w:rsid w:val="003F0D2E"/>
    <w:rsid w:val="003F0E45"/>
    <w:rsid w:val="003F0E46"/>
    <w:rsid w:val="003F0EC3"/>
    <w:rsid w:val="003F0FA3"/>
    <w:rsid w:val="003F1077"/>
    <w:rsid w:val="003F10BC"/>
    <w:rsid w:val="003F11DC"/>
    <w:rsid w:val="003F1379"/>
    <w:rsid w:val="003F139B"/>
    <w:rsid w:val="003F13C3"/>
    <w:rsid w:val="003F13EC"/>
    <w:rsid w:val="003F1499"/>
    <w:rsid w:val="003F1503"/>
    <w:rsid w:val="003F1541"/>
    <w:rsid w:val="003F1547"/>
    <w:rsid w:val="003F15A2"/>
    <w:rsid w:val="003F15C9"/>
    <w:rsid w:val="003F1880"/>
    <w:rsid w:val="003F18E2"/>
    <w:rsid w:val="003F1985"/>
    <w:rsid w:val="003F1A06"/>
    <w:rsid w:val="003F1A6C"/>
    <w:rsid w:val="003F1A6F"/>
    <w:rsid w:val="003F1ACE"/>
    <w:rsid w:val="003F1C85"/>
    <w:rsid w:val="003F1D4C"/>
    <w:rsid w:val="003F1ECD"/>
    <w:rsid w:val="003F2015"/>
    <w:rsid w:val="003F205B"/>
    <w:rsid w:val="003F208A"/>
    <w:rsid w:val="003F21B7"/>
    <w:rsid w:val="003F21D0"/>
    <w:rsid w:val="003F220F"/>
    <w:rsid w:val="003F227C"/>
    <w:rsid w:val="003F239B"/>
    <w:rsid w:val="003F23CE"/>
    <w:rsid w:val="003F2427"/>
    <w:rsid w:val="003F247A"/>
    <w:rsid w:val="003F24BD"/>
    <w:rsid w:val="003F2685"/>
    <w:rsid w:val="003F2706"/>
    <w:rsid w:val="003F276C"/>
    <w:rsid w:val="003F284B"/>
    <w:rsid w:val="003F287F"/>
    <w:rsid w:val="003F296A"/>
    <w:rsid w:val="003F2A7E"/>
    <w:rsid w:val="003F2A89"/>
    <w:rsid w:val="003F2B10"/>
    <w:rsid w:val="003F2B33"/>
    <w:rsid w:val="003F2B63"/>
    <w:rsid w:val="003F2B93"/>
    <w:rsid w:val="003F2CC4"/>
    <w:rsid w:val="003F2EB2"/>
    <w:rsid w:val="003F2EFA"/>
    <w:rsid w:val="003F317B"/>
    <w:rsid w:val="003F3213"/>
    <w:rsid w:val="003F3299"/>
    <w:rsid w:val="003F3357"/>
    <w:rsid w:val="003F3379"/>
    <w:rsid w:val="003F33C8"/>
    <w:rsid w:val="003F3402"/>
    <w:rsid w:val="003F3446"/>
    <w:rsid w:val="003F3502"/>
    <w:rsid w:val="003F35D2"/>
    <w:rsid w:val="003F3633"/>
    <w:rsid w:val="003F369B"/>
    <w:rsid w:val="003F36E4"/>
    <w:rsid w:val="003F37B4"/>
    <w:rsid w:val="003F37B9"/>
    <w:rsid w:val="003F37D9"/>
    <w:rsid w:val="003F39CD"/>
    <w:rsid w:val="003F39D1"/>
    <w:rsid w:val="003F3A48"/>
    <w:rsid w:val="003F3ACE"/>
    <w:rsid w:val="003F3AD5"/>
    <w:rsid w:val="003F3B2D"/>
    <w:rsid w:val="003F3B9D"/>
    <w:rsid w:val="003F3C9D"/>
    <w:rsid w:val="003F3CBB"/>
    <w:rsid w:val="003F3D6E"/>
    <w:rsid w:val="003F3DE6"/>
    <w:rsid w:val="003F3F60"/>
    <w:rsid w:val="003F3F62"/>
    <w:rsid w:val="003F4074"/>
    <w:rsid w:val="003F4091"/>
    <w:rsid w:val="003F411B"/>
    <w:rsid w:val="003F41B3"/>
    <w:rsid w:val="003F43E0"/>
    <w:rsid w:val="003F4433"/>
    <w:rsid w:val="003F4480"/>
    <w:rsid w:val="003F44B8"/>
    <w:rsid w:val="003F44C5"/>
    <w:rsid w:val="003F4595"/>
    <w:rsid w:val="003F47C0"/>
    <w:rsid w:val="003F47C4"/>
    <w:rsid w:val="003F488B"/>
    <w:rsid w:val="003F4A5C"/>
    <w:rsid w:val="003F4BA2"/>
    <w:rsid w:val="003F4BFB"/>
    <w:rsid w:val="003F4C3C"/>
    <w:rsid w:val="003F4C4F"/>
    <w:rsid w:val="003F4CB4"/>
    <w:rsid w:val="003F4F3A"/>
    <w:rsid w:val="003F501B"/>
    <w:rsid w:val="003F5216"/>
    <w:rsid w:val="003F5244"/>
    <w:rsid w:val="003F5282"/>
    <w:rsid w:val="003F5384"/>
    <w:rsid w:val="003F538F"/>
    <w:rsid w:val="003F5421"/>
    <w:rsid w:val="003F556F"/>
    <w:rsid w:val="003F55DB"/>
    <w:rsid w:val="003F55E8"/>
    <w:rsid w:val="003F567E"/>
    <w:rsid w:val="003F5698"/>
    <w:rsid w:val="003F5921"/>
    <w:rsid w:val="003F5936"/>
    <w:rsid w:val="003F598D"/>
    <w:rsid w:val="003F59F0"/>
    <w:rsid w:val="003F5A4B"/>
    <w:rsid w:val="003F5A5D"/>
    <w:rsid w:val="003F5BB1"/>
    <w:rsid w:val="003F5BC8"/>
    <w:rsid w:val="003F5BD9"/>
    <w:rsid w:val="003F5CBD"/>
    <w:rsid w:val="003F5D1B"/>
    <w:rsid w:val="003F5D64"/>
    <w:rsid w:val="003F5DE0"/>
    <w:rsid w:val="003F5DFB"/>
    <w:rsid w:val="003F5E79"/>
    <w:rsid w:val="003F5F23"/>
    <w:rsid w:val="003F5F2D"/>
    <w:rsid w:val="003F5FDC"/>
    <w:rsid w:val="003F60D6"/>
    <w:rsid w:val="003F6188"/>
    <w:rsid w:val="003F61AC"/>
    <w:rsid w:val="003F6205"/>
    <w:rsid w:val="003F625B"/>
    <w:rsid w:val="003F626D"/>
    <w:rsid w:val="003F62E6"/>
    <w:rsid w:val="003F637D"/>
    <w:rsid w:val="003F6501"/>
    <w:rsid w:val="003F6561"/>
    <w:rsid w:val="003F6580"/>
    <w:rsid w:val="003F6595"/>
    <w:rsid w:val="003F65A8"/>
    <w:rsid w:val="003F6721"/>
    <w:rsid w:val="003F6847"/>
    <w:rsid w:val="003F68E7"/>
    <w:rsid w:val="003F6929"/>
    <w:rsid w:val="003F6955"/>
    <w:rsid w:val="003F6994"/>
    <w:rsid w:val="003F6A37"/>
    <w:rsid w:val="003F6BB8"/>
    <w:rsid w:val="003F6BE0"/>
    <w:rsid w:val="003F6C18"/>
    <w:rsid w:val="003F6C9F"/>
    <w:rsid w:val="003F6D1A"/>
    <w:rsid w:val="003F6DBD"/>
    <w:rsid w:val="003F6E67"/>
    <w:rsid w:val="003F6EDB"/>
    <w:rsid w:val="003F6F04"/>
    <w:rsid w:val="003F6FED"/>
    <w:rsid w:val="003F713D"/>
    <w:rsid w:val="003F71CA"/>
    <w:rsid w:val="003F72A1"/>
    <w:rsid w:val="003F72B3"/>
    <w:rsid w:val="003F72DC"/>
    <w:rsid w:val="003F7371"/>
    <w:rsid w:val="003F7440"/>
    <w:rsid w:val="003F753E"/>
    <w:rsid w:val="003F76C9"/>
    <w:rsid w:val="003F7771"/>
    <w:rsid w:val="003F78AD"/>
    <w:rsid w:val="003F78D9"/>
    <w:rsid w:val="003F7933"/>
    <w:rsid w:val="003F79BE"/>
    <w:rsid w:val="003F79E8"/>
    <w:rsid w:val="003F79FF"/>
    <w:rsid w:val="003F7A8F"/>
    <w:rsid w:val="003F7AD8"/>
    <w:rsid w:val="003F7B36"/>
    <w:rsid w:val="003F7B7D"/>
    <w:rsid w:val="003F7C17"/>
    <w:rsid w:val="003F7C3A"/>
    <w:rsid w:val="003F7C3F"/>
    <w:rsid w:val="003F7CE6"/>
    <w:rsid w:val="003F7F4D"/>
    <w:rsid w:val="003F7FE9"/>
    <w:rsid w:val="003F7FF1"/>
    <w:rsid w:val="00400169"/>
    <w:rsid w:val="0040018B"/>
    <w:rsid w:val="0040020A"/>
    <w:rsid w:val="00400294"/>
    <w:rsid w:val="0040031A"/>
    <w:rsid w:val="0040031C"/>
    <w:rsid w:val="00400366"/>
    <w:rsid w:val="00400417"/>
    <w:rsid w:val="00400713"/>
    <w:rsid w:val="00400784"/>
    <w:rsid w:val="00400814"/>
    <w:rsid w:val="00400827"/>
    <w:rsid w:val="004008DC"/>
    <w:rsid w:val="004008EE"/>
    <w:rsid w:val="00400A00"/>
    <w:rsid w:val="00400A79"/>
    <w:rsid w:val="00400A7D"/>
    <w:rsid w:val="00400B58"/>
    <w:rsid w:val="00400B8D"/>
    <w:rsid w:val="00400BAC"/>
    <w:rsid w:val="00400C32"/>
    <w:rsid w:val="00400CE6"/>
    <w:rsid w:val="00400D68"/>
    <w:rsid w:val="00400D6A"/>
    <w:rsid w:val="00400DDB"/>
    <w:rsid w:val="00400E73"/>
    <w:rsid w:val="00400F4F"/>
    <w:rsid w:val="00401035"/>
    <w:rsid w:val="004010E4"/>
    <w:rsid w:val="00401128"/>
    <w:rsid w:val="00401247"/>
    <w:rsid w:val="00401250"/>
    <w:rsid w:val="00401254"/>
    <w:rsid w:val="004012A0"/>
    <w:rsid w:val="004012B3"/>
    <w:rsid w:val="004012F2"/>
    <w:rsid w:val="0040130D"/>
    <w:rsid w:val="00401322"/>
    <w:rsid w:val="004013D6"/>
    <w:rsid w:val="0040160F"/>
    <w:rsid w:val="00401677"/>
    <w:rsid w:val="00401789"/>
    <w:rsid w:val="0040179A"/>
    <w:rsid w:val="004017FB"/>
    <w:rsid w:val="004018BE"/>
    <w:rsid w:val="00401A08"/>
    <w:rsid w:val="00401A30"/>
    <w:rsid w:val="00401B95"/>
    <w:rsid w:val="00401C8C"/>
    <w:rsid w:val="004020A6"/>
    <w:rsid w:val="00402120"/>
    <w:rsid w:val="0040215C"/>
    <w:rsid w:val="00402174"/>
    <w:rsid w:val="00402191"/>
    <w:rsid w:val="00402217"/>
    <w:rsid w:val="0040221C"/>
    <w:rsid w:val="00402511"/>
    <w:rsid w:val="00402654"/>
    <w:rsid w:val="004027C4"/>
    <w:rsid w:val="00402881"/>
    <w:rsid w:val="00402925"/>
    <w:rsid w:val="00402977"/>
    <w:rsid w:val="00402A02"/>
    <w:rsid w:val="00402A46"/>
    <w:rsid w:val="00402A71"/>
    <w:rsid w:val="00402A75"/>
    <w:rsid w:val="00402B92"/>
    <w:rsid w:val="00402BB8"/>
    <w:rsid w:val="00402C09"/>
    <w:rsid w:val="00402C96"/>
    <w:rsid w:val="00402D0F"/>
    <w:rsid w:val="00402E06"/>
    <w:rsid w:val="00402E26"/>
    <w:rsid w:val="00402ED8"/>
    <w:rsid w:val="0040300F"/>
    <w:rsid w:val="00403085"/>
    <w:rsid w:val="004031BC"/>
    <w:rsid w:val="004031DF"/>
    <w:rsid w:val="004032AD"/>
    <w:rsid w:val="00403336"/>
    <w:rsid w:val="0040341E"/>
    <w:rsid w:val="00403517"/>
    <w:rsid w:val="0040357D"/>
    <w:rsid w:val="0040360A"/>
    <w:rsid w:val="004036CD"/>
    <w:rsid w:val="0040377E"/>
    <w:rsid w:val="004038F1"/>
    <w:rsid w:val="00403A32"/>
    <w:rsid w:val="00403A5C"/>
    <w:rsid w:val="00403AC7"/>
    <w:rsid w:val="00403B13"/>
    <w:rsid w:val="00403B42"/>
    <w:rsid w:val="00403B67"/>
    <w:rsid w:val="00403DAB"/>
    <w:rsid w:val="00403DB9"/>
    <w:rsid w:val="00403E74"/>
    <w:rsid w:val="00403EC9"/>
    <w:rsid w:val="00403F26"/>
    <w:rsid w:val="0040402C"/>
    <w:rsid w:val="004040E6"/>
    <w:rsid w:val="00404182"/>
    <w:rsid w:val="004041EF"/>
    <w:rsid w:val="004043EF"/>
    <w:rsid w:val="0040450D"/>
    <w:rsid w:val="00404540"/>
    <w:rsid w:val="004046E8"/>
    <w:rsid w:val="00404701"/>
    <w:rsid w:val="0040478B"/>
    <w:rsid w:val="004047A0"/>
    <w:rsid w:val="004047A3"/>
    <w:rsid w:val="004047BE"/>
    <w:rsid w:val="00404917"/>
    <w:rsid w:val="00404962"/>
    <w:rsid w:val="00404AF2"/>
    <w:rsid w:val="00404CF0"/>
    <w:rsid w:val="00404DE1"/>
    <w:rsid w:val="00404EB0"/>
    <w:rsid w:val="00404F5F"/>
    <w:rsid w:val="00404F69"/>
    <w:rsid w:val="00404FA2"/>
    <w:rsid w:val="00405039"/>
    <w:rsid w:val="00405051"/>
    <w:rsid w:val="00405204"/>
    <w:rsid w:val="0040520A"/>
    <w:rsid w:val="0040522D"/>
    <w:rsid w:val="00405408"/>
    <w:rsid w:val="00405474"/>
    <w:rsid w:val="0040551D"/>
    <w:rsid w:val="00405560"/>
    <w:rsid w:val="004055D2"/>
    <w:rsid w:val="00405621"/>
    <w:rsid w:val="0040564B"/>
    <w:rsid w:val="004056C2"/>
    <w:rsid w:val="00405792"/>
    <w:rsid w:val="00405797"/>
    <w:rsid w:val="00405824"/>
    <w:rsid w:val="00405A15"/>
    <w:rsid w:val="00405A3D"/>
    <w:rsid w:val="00405B4E"/>
    <w:rsid w:val="00405B70"/>
    <w:rsid w:val="00405CCE"/>
    <w:rsid w:val="00405DE7"/>
    <w:rsid w:val="00405F1C"/>
    <w:rsid w:val="00405FC1"/>
    <w:rsid w:val="00406044"/>
    <w:rsid w:val="0040618E"/>
    <w:rsid w:val="004063A8"/>
    <w:rsid w:val="0040648D"/>
    <w:rsid w:val="004064BB"/>
    <w:rsid w:val="004064E4"/>
    <w:rsid w:val="004064E9"/>
    <w:rsid w:val="004065F8"/>
    <w:rsid w:val="004066E0"/>
    <w:rsid w:val="00406854"/>
    <w:rsid w:val="004069DB"/>
    <w:rsid w:val="00406A71"/>
    <w:rsid w:val="00406A9F"/>
    <w:rsid w:val="00406B92"/>
    <w:rsid w:val="00406C7F"/>
    <w:rsid w:val="00406D1F"/>
    <w:rsid w:val="00406E48"/>
    <w:rsid w:val="00406EEC"/>
    <w:rsid w:val="00406F51"/>
    <w:rsid w:val="00407053"/>
    <w:rsid w:val="00407171"/>
    <w:rsid w:val="0040720B"/>
    <w:rsid w:val="0040738A"/>
    <w:rsid w:val="0040748A"/>
    <w:rsid w:val="00407520"/>
    <w:rsid w:val="004075D5"/>
    <w:rsid w:val="00407691"/>
    <w:rsid w:val="00407891"/>
    <w:rsid w:val="004078E3"/>
    <w:rsid w:val="0040791E"/>
    <w:rsid w:val="00407954"/>
    <w:rsid w:val="00407956"/>
    <w:rsid w:val="0040796A"/>
    <w:rsid w:val="00407A75"/>
    <w:rsid w:val="00407A8B"/>
    <w:rsid w:val="00407BC4"/>
    <w:rsid w:val="00407BDF"/>
    <w:rsid w:val="00407C76"/>
    <w:rsid w:val="00407CE5"/>
    <w:rsid w:val="00407E0E"/>
    <w:rsid w:val="00407E64"/>
    <w:rsid w:val="00407F02"/>
    <w:rsid w:val="00407F66"/>
    <w:rsid w:val="00407F6F"/>
    <w:rsid w:val="00407FFD"/>
    <w:rsid w:val="0041007B"/>
    <w:rsid w:val="00410085"/>
    <w:rsid w:val="0041030D"/>
    <w:rsid w:val="00410356"/>
    <w:rsid w:val="0041040D"/>
    <w:rsid w:val="0041059D"/>
    <w:rsid w:val="004105B0"/>
    <w:rsid w:val="00410655"/>
    <w:rsid w:val="0041069F"/>
    <w:rsid w:val="004106A0"/>
    <w:rsid w:val="0041070B"/>
    <w:rsid w:val="00410719"/>
    <w:rsid w:val="004107AE"/>
    <w:rsid w:val="004107D8"/>
    <w:rsid w:val="00410918"/>
    <w:rsid w:val="00410B13"/>
    <w:rsid w:val="00410BBB"/>
    <w:rsid w:val="00410BBD"/>
    <w:rsid w:val="00410D11"/>
    <w:rsid w:val="00410D87"/>
    <w:rsid w:val="00410DD5"/>
    <w:rsid w:val="00410E96"/>
    <w:rsid w:val="00410FBE"/>
    <w:rsid w:val="00411051"/>
    <w:rsid w:val="004111F1"/>
    <w:rsid w:val="00411265"/>
    <w:rsid w:val="0041127C"/>
    <w:rsid w:val="004112D6"/>
    <w:rsid w:val="004112E0"/>
    <w:rsid w:val="004112FD"/>
    <w:rsid w:val="00411499"/>
    <w:rsid w:val="004114C7"/>
    <w:rsid w:val="0041164E"/>
    <w:rsid w:val="00411688"/>
    <w:rsid w:val="004116CB"/>
    <w:rsid w:val="0041172F"/>
    <w:rsid w:val="004117BB"/>
    <w:rsid w:val="004117C1"/>
    <w:rsid w:val="00411819"/>
    <w:rsid w:val="00411872"/>
    <w:rsid w:val="0041193B"/>
    <w:rsid w:val="0041194F"/>
    <w:rsid w:val="00411A68"/>
    <w:rsid w:val="00411B2F"/>
    <w:rsid w:val="00411B45"/>
    <w:rsid w:val="00411CB5"/>
    <w:rsid w:val="00411CD6"/>
    <w:rsid w:val="00411CF0"/>
    <w:rsid w:val="00411E1A"/>
    <w:rsid w:val="00411EE8"/>
    <w:rsid w:val="00411FA4"/>
    <w:rsid w:val="00412090"/>
    <w:rsid w:val="004120C3"/>
    <w:rsid w:val="00412113"/>
    <w:rsid w:val="0041215A"/>
    <w:rsid w:val="0041220C"/>
    <w:rsid w:val="00412213"/>
    <w:rsid w:val="004122A2"/>
    <w:rsid w:val="004122D8"/>
    <w:rsid w:val="00412464"/>
    <w:rsid w:val="00412519"/>
    <w:rsid w:val="0041252D"/>
    <w:rsid w:val="00412697"/>
    <w:rsid w:val="00412705"/>
    <w:rsid w:val="0041273B"/>
    <w:rsid w:val="0041288C"/>
    <w:rsid w:val="00412A1C"/>
    <w:rsid w:val="00412DF1"/>
    <w:rsid w:val="00412E3E"/>
    <w:rsid w:val="00412E41"/>
    <w:rsid w:val="00412ED0"/>
    <w:rsid w:val="00412F02"/>
    <w:rsid w:val="00412F68"/>
    <w:rsid w:val="0041305C"/>
    <w:rsid w:val="004130C4"/>
    <w:rsid w:val="004130E4"/>
    <w:rsid w:val="00413119"/>
    <w:rsid w:val="00413240"/>
    <w:rsid w:val="004132D9"/>
    <w:rsid w:val="0041336B"/>
    <w:rsid w:val="004133C1"/>
    <w:rsid w:val="004135BC"/>
    <w:rsid w:val="0041369B"/>
    <w:rsid w:val="004136C2"/>
    <w:rsid w:val="00413715"/>
    <w:rsid w:val="0041372B"/>
    <w:rsid w:val="0041375E"/>
    <w:rsid w:val="00413900"/>
    <w:rsid w:val="00413A49"/>
    <w:rsid w:val="00413B67"/>
    <w:rsid w:val="00413BD2"/>
    <w:rsid w:val="00413BF2"/>
    <w:rsid w:val="00413C56"/>
    <w:rsid w:val="00413CEB"/>
    <w:rsid w:val="00413DC6"/>
    <w:rsid w:val="00413DE7"/>
    <w:rsid w:val="00413E23"/>
    <w:rsid w:val="00413E36"/>
    <w:rsid w:val="00413F33"/>
    <w:rsid w:val="00413FF4"/>
    <w:rsid w:val="00414038"/>
    <w:rsid w:val="0041409D"/>
    <w:rsid w:val="00414106"/>
    <w:rsid w:val="00414196"/>
    <w:rsid w:val="00414256"/>
    <w:rsid w:val="0041431D"/>
    <w:rsid w:val="004143C7"/>
    <w:rsid w:val="004143E1"/>
    <w:rsid w:val="004144C7"/>
    <w:rsid w:val="00414694"/>
    <w:rsid w:val="0041470B"/>
    <w:rsid w:val="004147B3"/>
    <w:rsid w:val="004147F8"/>
    <w:rsid w:val="0041481C"/>
    <w:rsid w:val="00414A38"/>
    <w:rsid w:val="00414A68"/>
    <w:rsid w:val="00414CE4"/>
    <w:rsid w:val="00414D01"/>
    <w:rsid w:val="00414D60"/>
    <w:rsid w:val="00414EF9"/>
    <w:rsid w:val="00414F8A"/>
    <w:rsid w:val="00414FCE"/>
    <w:rsid w:val="00414FDB"/>
    <w:rsid w:val="0041506D"/>
    <w:rsid w:val="004150F5"/>
    <w:rsid w:val="00415106"/>
    <w:rsid w:val="0041514F"/>
    <w:rsid w:val="0041517E"/>
    <w:rsid w:val="0041520A"/>
    <w:rsid w:val="0041529C"/>
    <w:rsid w:val="00415306"/>
    <w:rsid w:val="0041533D"/>
    <w:rsid w:val="004153E9"/>
    <w:rsid w:val="00415426"/>
    <w:rsid w:val="004155D5"/>
    <w:rsid w:val="004155EF"/>
    <w:rsid w:val="00415679"/>
    <w:rsid w:val="0041569F"/>
    <w:rsid w:val="0041570A"/>
    <w:rsid w:val="00415776"/>
    <w:rsid w:val="004157ED"/>
    <w:rsid w:val="00415948"/>
    <w:rsid w:val="0041594A"/>
    <w:rsid w:val="004159C0"/>
    <w:rsid w:val="00415B09"/>
    <w:rsid w:val="00415DA7"/>
    <w:rsid w:val="00415E15"/>
    <w:rsid w:val="00415E2B"/>
    <w:rsid w:val="00415F64"/>
    <w:rsid w:val="004160DF"/>
    <w:rsid w:val="004160E5"/>
    <w:rsid w:val="004160FD"/>
    <w:rsid w:val="00416111"/>
    <w:rsid w:val="00416121"/>
    <w:rsid w:val="0041612A"/>
    <w:rsid w:val="00416139"/>
    <w:rsid w:val="0041625A"/>
    <w:rsid w:val="004162F3"/>
    <w:rsid w:val="0041645C"/>
    <w:rsid w:val="00416495"/>
    <w:rsid w:val="00416525"/>
    <w:rsid w:val="004165DC"/>
    <w:rsid w:val="00416675"/>
    <w:rsid w:val="00416690"/>
    <w:rsid w:val="004166C1"/>
    <w:rsid w:val="00416764"/>
    <w:rsid w:val="00416858"/>
    <w:rsid w:val="00416884"/>
    <w:rsid w:val="00416975"/>
    <w:rsid w:val="00416B71"/>
    <w:rsid w:val="00416B83"/>
    <w:rsid w:val="00416D26"/>
    <w:rsid w:val="00416D68"/>
    <w:rsid w:val="00416D6C"/>
    <w:rsid w:val="00416DBB"/>
    <w:rsid w:val="00416F89"/>
    <w:rsid w:val="00417094"/>
    <w:rsid w:val="004170D6"/>
    <w:rsid w:val="00417184"/>
    <w:rsid w:val="004171AF"/>
    <w:rsid w:val="004171BD"/>
    <w:rsid w:val="004171C1"/>
    <w:rsid w:val="004171E8"/>
    <w:rsid w:val="00417266"/>
    <w:rsid w:val="004172A5"/>
    <w:rsid w:val="004172F2"/>
    <w:rsid w:val="004173A7"/>
    <w:rsid w:val="00417406"/>
    <w:rsid w:val="0041753E"/>
    <w:rsid w:val="00417564"/>
    <w:rsid w:val="00417567"/>
    <w:rsid w:val="004176CB"/>
    <w:rsid w:val="004177B4"/>
    <w:rsid w:val="004177B7"/>
    <w:rsid w:val="004178BF"/>
    <w:rsid w:val="004178F7"/>
    <w:rsid w:val="00417900"/>
    <w:rsid w:val="00417967"/>
    <w:rsid w:val="00417976"/>
    <w:rsid w:val="00417A3F"/>
    <w:rsid w:val="00417A4D"/>
    <w:rsid w:val="00417C8D"/>
    <w:rsid w:val="00417CFF"/>
    <w:rsid w:val="00417D0A"/>
    <w:rsid w:val="00417D75"/>
    <w:rsid w:val="004200A3"/>
    <w:rsid w:val="0042010B"/>
    <w:rsid w:val="00420201"/>
    <w:rsid w:val="00420226"/>
    <w:rsid w:val="004202E9"/>
    <w:rsid w:val="0042041C"/>
    <w:rsid w:val="004205EC"/>
    <w:rsid w:val="0042061D"/>
    <w:rsid w:val="00420668"/>
    <w:rsid w:val="00420772"/>
    <w:rsid w:val="004207E2"/>
    <w:rsid w:val="004208AA"/>
    <w:rsid w:val="00420905"/>
    <w:rsid w:val="00420951"/>
    <w:rsid w:val="00420A10"/>
    <w:rsid w:val="00420B27"/>
    <w:rsid w:val="00420D12"/>
    <w:rsid w:val="00420D79"/>
    <w:rsid w:val="00420EAF"/>
    <w:rsid w:val="00420ED4"/>
    <w:rsid w:val="00420EE0"/>
    <w:rsid w:val="00420F12"/>
    <w:rsid w:val="00420F7C"/>
    <w:rsid w:val="004210A2"/>
    <w:rsid w:val="00421367"/>
    <w:rsid w:val="004213CF"/>
    <w:rsid w:val="00421429"/>
    <w:rsid w:val="004214B3"/>
    <w:rsid w:val="00421585"/>
    <w:rsid w:val="00421588"/>
    <w:rsid w:val="0042167A"/>
    <w:rsid w:val="004216B6"/>
    <w:rsid w:val="004216EB"/>
    <w:rsid w:val="0042171C"/>
    <w:rsid w:val="00421806"/>
    <w:rsid w:val="00421846"/>
    <w:rsid w:val="00421872"/>
    <w:rsid w:val="0042191A"/>
    <w:rsid w:val="004219F9"/>
    <w:rsid w:val="00421A01"/>
    <w:rsid w:val="00421A32"/>
    <w:rsid w:val="00421AA2"/>
    <w:rsid w:val="00421BC7"/>
    <w:rsid w:val="00421C30"/>
    <w:rsid w:val="00421CBF"/>
    <w:rsid w:val="00421DB7"/>
    <w:rsid w:val="00421DF4"/>
    <w:rsid w:val="00421EEC"/>
    <w:rsid w:val="00421F25"/>
    <w:rsid w:val="00422081"/>
    <w:rsid w:val="00422093"/>
    <w:rsid w:val="00422161"/>
    <w:rsid w:val="004222C7"/>
    <w:rsid w:val="004222D3"/>
    <w:rsid w:val="00422358"/>
    <w:rsid w:val="0042236F"/>
    <w:rsid w:val="00422374"/>
    <w:rsid w:val="004224F6"/>
    <w:rsid w:val="004225AD"/>
    <w:rsid w:val="004225BA"/>
    <w:rsid w:val="0042271F"/>
    <w:rsid w:val="004227DA"/>
    <w:rsid w:val="00422817"/>
    <w:rsid w:val="00422820"/>
    <w:rsid w:val="0042293D"/>
    <w:rsid w:val="00422944"/>
    <w:rsid w:val="00422A04"/>
    <w:rsid w:val="00422A17"/>
    <w:rsid w:val="00422A64"/>
    <w:rsid w:val="00422BAC"/>
    <w:rsid w:val="00422D98"/>
    <w:rsid w:val="00422E66"/>
    <w:rsid w:val="00422F40"/>
    <w:rsid w:val="00423007"/>
    <w:rsid w:val="00423010"/>
    <w:rsid w:val="00423198"/>
    <w:rsid w:val="0042319C"/>
    <w:rsid w:val="004232B2"/>
    <w:rsid w:val="00423384"/>
    <w:rsid w:val="00423470"/>
    <w:rsid w:val="004234A7"/>
    <w:rsid w:val="0042357B"/>
    <w:rsid w:val="004235E2"/>
    <w:rsid w:val="0042365F"/>
    <w:rsid w:val="004236D2"/>
    <w:rsid w:val="004236DA"/>
    <w:rsid w:val="00423710"/>
    <w:rsid w:val="0042371D"/>
    <w:rsid w:val="00423915"/>
    <w:rsid w:val="0042392E"/>
    <w:rsid w:val="004239CB"/>
    <w:rsid w:val="00423AA9"/>
    <w:rsid w:val="00423B5B"/>
    <w:rsid w:val="00423B73"/>
    <w:rsid w:val="00423C64"/>
    <w:rsid w:val="00423D2C"/>
    <w:rsid w:val="00423D5B"/>
    <w:rsid w:val="00423DE8"/>
    <w:rsid w:val="00423E0B"/>
    <w:rsid w:val="00423FDF"/>
    <w:rsid w:val="0042422D"/>
    <w:rsid w:val="004242BA"/>
    <w:rsid w:val="004242EA"/>
    <w:rsid w:val="004242F6"/>
    <w:rsid w:val="00424341"/>
    <w:rsid w:val="00424352"/>
    <w:rsid w:val="00424470"/>
    <w:rsid w:val="0042453D"/>
    <w:rsid w:val="00424651"/>
    <w:rsid w:val="00424677"/>
    <w:rsid w:val="00424765"/>
    <w:rsid w:val="004247FE"/>
    <w:rsid w:val="00424823"/>
    <w:rsid w:val="004248A8"/>
    <w:rsid w:val="004248D1"/>
    <w:rsid w:val="0042490A"/>
    <w:rsid w:val="00424A82"/>
    <w:rsid w:val="00424ABE"/>
    <w:rsid w:val="00424AD6"/>
    <w:rsid w:val="00424C35"/>
    <w:rsid w:val="00424F23"/>
    <w:rsid w:val="00424FF7"/>
    <w:rsid w:val="00425036"/>
    <w:rsid w:val="004251B5"/>
    <w:rsid w:val="00425226"/>
    <w:rsid w:val="004252AA"/>
    <w:rsid w:val="004252D8"/>
    <w:rsid w:val="004252E0"/>
    <w:rsid w:val="0042533C"/>
    <w:rsid w:val="0042538C"/>
    <w:rsid w:val="004253B4"/>
    <w:rsid w:val="0042561B"/>
    <w:rsid w:val="00425621"/>
    <w:rsid w:val="00425634"/>
    <w:rsid w:val="0042565A"/>
    <w:rsid w:val="004256E2"/>
    <w:rsid w:val="004257D7"/>
    <w:rsid w:val="004258B1"/>
    <w:rsid w:val="00425923"/>
    <w:rsid w:val="00425926"/>
    <w:rsid w:val="00425944"/>
    <w:rsid w:val="004259D3"/>
    <w:rsid w:val="004259E5"/>
    <w:rsid w:val="00425A3B"/>
    <w:rsid w:val="00425D1C"/>
    <w:rsid w:val="00425D29"/>
    <w:rsid w:val="00425D61"/>
    <w:rsid w:val="00425D6F"/>
    <w:rsid w:val="00425E4B"/>
    <w:rsid w:val="00425EA6"/>
    <w:rsid w:val="00425F20"/>
    <w:rsid w:val="00425F2E"/>
    <w:rsid w:val="00425F88"/>
    <w:rsid w:val="00425FD0"/>
    <w:rsid w:val="00426092"/>
    <w:rsid w:val="00426102"/>
    <w:rsid w:val="00426158"/>
    <w:rsid w:val="004261A3"/>
    <w:rsid w:val="004261DD"/>
    <w:rsid w:val="004261E1"/>
    <w:rsid w:val="004261E8"/>
    <w:rsid w:val="00426236"/>
    <w:rsid w:val="004263C3"/>
    <w:rsid w:val="00426475"/>
    <w:rsid w:val="0042659F"/>
    <w:rsid w:val="004265AF"/>
    <w:rsid w:val="00426672"/>
    <w:rsid w:val="004266D0"/>
    <w:rsid w:val="0042674A"/>
    <w:rsid w:val="0042682E"/>
    <w:rsid w:val="004269B7"/>
    <w:rsid w:val="00426A55"/>
    <w:rsid w:val="00426A87"/>
    <w:rsid w:val="00426C33"/>
    <w:rsid w:val="00426E4F"/>
    <w:rsid w:val="00426EA9"/>
    <w:rsid w:val="00427026"/>
    <w:rsid w:val="00427114"/>
    <w:rsid w:val="0042727F"/>
    <w:rsid w:val="004272E4"/>
    <w:rsid w:val="004273AD"/>
    <w:rsid w:val="004273B5"/>
    <w:rsid w:val="004273F0"/>
    <w:rsid w:val="00427489"/>
    <w:rsid w:val="004274F5"/>
    <w:rsid w:val="004276C5"/>
    <w:rsid w:val="004276CE"/>
    <w:rsid w:val="004277F1"/>
    <w:rsid w:val="00427839"/>
    <w:rsid w:val="00427875"/>
    <w:rsid w:val="0042797B"/>
    <w:rsid w:val="00427A5F"/>
    <w:rsid w:val="00427B9B"/>
    <w:rsid w:val="00427C6E"/>
    <w:rsid w:val="00427CB1"/>
    <w:rsid w:val="00427E3C"/>
    <w:rsid w:val="00427EEC"/>
    <w:rsid w:val="00427FF9"/>
    <w:rsid w:val="00430064"/>
    <w:rsid w:val="00430118"/>
    <w:rsid w:val="0043026A"/>
    <w:rsid w:val="00430307"/>
    <w:rsid w:val="004303DA"/>
    <w:rsid w:val="004304A1"/>
    <w:rsid w:val="00430676"/>
    <w:rsid w:val="00430768"/>
    <w:rsid w:val="004307AD"/>
    <w:rsid w:val="004307B6"/>
    <w:rsid w:val="00430853"/>
    <w:rsid w:val="004309EE"/>
    <w:rsid w:val="00430A0F"/>
    <w:rsid w:val="00430B17"/>
    <w:rsid w:val="00430B6F"/>
    <w:rsid w:val="00430BD0"/>
    <w:rsid w:val="00430C00"/>
    <w:rsid w:val="00430DD7"/>
    <w:rsid w:val="00430EB2"/>
    <w:rsid w:val="00430F32"/>
    <w:rsid w:val="00430FB2"/>
    <w:rsid w:val="004310CD"/>
    <w:rsid w:val="0043116D"/>
    <w:rsid w:val="004312C4"/>
    <w:rsid w:val="004312F6"/>
    <w:rsid w:val="0043143E"/>
    <w:rsid w:val="0043146A"/>
    <w:rsid w:val="0043163E"/>
    <w:rsid w:val="0043164C"/>
    <w:rsid w:val="004316B0"/>
    <w:rsid w:val="00431780"/>
    <w:rsid w:val="0043192C"/>
    <w:rsid w:val="00431A0A"/>
    <w:rsid w:val="00431B85"/>
    <w:rsid w:val="00431D86"/>
    <w:rsid w:val="00431DA0"/>
    <w:rsid w:val="00431DA4"/>
    <w:rsid w:val="00431DE9"/>
    <w:rsid w:val="00431E6D"/>
    <w:rsid w:val="00431E94"/>
    <w:rsid w:val="00431ED9"/>
    <w:rsid w:val="00431FFA"/>
    <w:rsid w:val="00432091"/>
    <w:rsid w:val="00432099"/>
    <w:rsid w:val="004320B6"/>
    <w:rsid w:val="0043213C"/>
    <w:rsid w:val="00432251"/>
    <w:rsid w:val="0043230C"/>
    <w:rsid w:val="00432375"/>
    <w:rsid w:val="0043239B"/>
    <w:rsid w:val="004323FA"/>
    <w:rsid w:val="0043247A"/>
    <w:rsid w:val="004326D2"/>
    <w:rsid w:val="004326E1"/>
    <w:rsid w:val="004326FE"/>
    <w:rsid w:val="00432706"/>
    <w:rsid w:val="00432893"/>
    <w:rsid w:val="00432902"/>
    <w:rsid w:val="00432957"/>
    <w:rsid w:val="0043295A"/>
    <w:rsid w:val="004329BB"/>
    <w:rsid w:val="00432A39"/>
    <w:rsid w:val="00432AD3"/>
    <w:rsid w:val="00432B3B"/>
    <w:rsid w:val="00432C29"/>
    <w:rsid w:val="00432C90"/>
    <w:rsid w:val="00432CB6"/>
    <w:rsid w:val="00432D01"/>
    <w:rsid w:val="00432E3F"/>
    <w:rsid w:val="00432EE4"/>
    <w:rsid w:val="00432F1F"/>
    <w:rsid w:val="00433125"/>
    <w:rsid w:val="00433188"/>
    <w:rsid w:val="0043330F"/>
    <w:rsid w:val="004333E6"/>
    <w:rsid w:val="00433441"/>
    <w:rsid w:val="00433545"/>
    <w:rsid w:val="00433615"/>
    <w:rsid w:val="0043365B"/>
    <w:rsid w:val="004336D2"/>
    <w:rsid w:val="0043370E"/>
    <w:rsid w:val="004337C4"/>
    <w:rsid w:val="00433909"/>
    <w:rsid w:val="0043396C"/>
    <w:rsid w:val="0043398B"/>
    <w:rsid w:val="004339D6"/>
    <w:rsid w:val="00433A46"/>
    <w:rsid w:val="00433B73"/>
    <w:rsid w:val="00433C5A"/>
    <w:rsid w:val="00433D6F"/>
    <w:rsid w:val="00433DD6"/>
    <w:rsid w:val="00433ECE"/>
    <w:rsid w:val="00433F05"/>
    <w:rsid w:val="00433F10"/>
    <w:rsid w:val="00433F15"/>
    <w:rsid w:val="00434169"/>
    <w:rsid w:val="0043418F"/>
    <w:rsid w:val="0043437F"/>
    <w:rsid w:val="004343C7"/>
    <w:rsid w:val="004343E8"/>
    <w:rsid w:val="004345F5"/>
    <w:rsid w:val="00434676"/>
    <w:rsid w:val="004346BF"/>
    <w:rsid w:val="004346EA"/>
    <w:rsid w:val="00434709"/>
    <w:rsid w:val="00434717"/>
    <w:rsid w:val="00434762"/>
    <w:rsid w:val="0043477A"/>
    <w:rsid w:val="00434934"/>
    <w:rsid w:val="004349D4"/>
    <w:rsid w:val="004349DF"/>
    <w:rsid w:val="00434AED"/>
    <w:rsid w:val="00434B4B"/>
    <w:rsid w:val="00434BB0"/>
    <w:rsid w:val="00434CC5"/>
    <w:rsid w:val="00434CCC"/>
    <w:rsid w:val="00434CF2"/>
    <w:rsid w:val="00434D98"/>
    <w:rsid w:val="00434F22"/>
    <w:rsid w:val="00435105"/>
    <w:rsid w:val="00435160"/>
    <w:rsid w:val="0043523F"/>
    <w:rsid w:val="00435243"/>
    <w:rsid w:val="004353C5"/>
    <w:rsid w:val="004353D5"/>
    <w:rsid w:val="00435455"/>
    <w:rsid w:val="004354EC"/>
    <w:rsid w:val="00435610"/>
    <w:rsid w:val="00435635"/>
    <w:rsid w:val="00435648"/>
    <w:rsid w:val="0043585E"/>
    <w:rsid w:val="00435890"/>
    <w:rsid w:val="004359EB"/>
    <w:rsid w:val="00435A14"/>
    <w:rsid w:val="00435AC0"/>
    <w:rsid w:val="00435B81"/>
    <w:rsid w:val="00435C5D"/>
    <w:rsid w:val="00435CC1"/>
    <w:rsid w:val="00435CEC"/>
    <w:rsid w:val="00435D0C"/>
    <w:rsid w:val="00435D6A"/>
    <w:rsid w:val="00435D91"/>
    <w:rsid w:val="00435E6C"/>
    <w:rsid w:val="00436127"/>
    <w:rsid w:val="00436168"/>
    <w:rsid w:val="0043622F"/>
    <w:rsid w:val="00436268"/>
    <w:rsid w:val="004362FC"/>
    <w:rsid w:val="00436330"/>
    <w:rsid w:val="0043633F"/>
    <w:rsid w:val="00436447"/>
    <w:rsid w:val="0043647E"/>
    <w:rsid w:val="004367F8"/>
    <w:rsid w:val="00436845"/>
    <w:rsid w:val="004368AA"/>
    <w:rsid w:val="0043690B"/>
    <w:rsid w:val="0043695F"/>
    <w:rsid w:val="004369A4"/>
    <w:rsid w:val="00436A8E"/>
    <w:rsid w:val="00436AA7"/>
    <w:rsid w:val="00436B6C"/>
    <w:rsid w:val="00436BC4"/>
    <w:rsid w:val="00436D70"/>
    <w:rsid w:val="00436E42"/>
    <w:rsid w:val="00436FDB"/>
    <w:rsid w:val="0043709B"/>
    <w:rsid w:val="0043715C"/>
    <w:rsid w:val="004371EF"/>
    <w:rsid w:val="00437385"/>
    <w:rsid w:val="004373AF"/>
    <w:rsid w:val="0043742D"/>
    <w:rsid w:val="0043744C"/>
    <w:rsid w:val="0043749A"/>
    <w:rsid w:val="0043750A"/>
    <w:rsid w:val="004375D6"/>
    <w:rsid w:val="00437603"/>
    <w:rsid w:val="00437701"/>
    <w:rsid w:val="004378E2"/>
    <w:rsid w:val="004378F8"/>
    <w:rsid w:val="004379C1"/>
    <w:rsid w:val="004379EF"/>
    <w:rsid w:val="00437A4B"/>
    <w:rsid w:val="00437B9F"/>
    <w:rsid w:val="00437C55"/>
    <w:rsid w:val="00437CBF"/>
    <w:rsid w:val="00437CE5"/>
    <w:rsid w:val="00437E03"/>
    <w:rsid w:val="00437F76"/>
    <w:rsid w:val="004400CF"/>
    <w:rsid w:val="00440140"/>
    <w:rsid w:val="00440263"/>
    <w:rsid w:val="004402BB"/>
    <w:rsid w:val="004402E5"/>
    <w:rsid w:val="00440339"/>
    <w:rsid w:val="0044044E"/>
    <w:rsid w:val="00440539"/>
    <w:rsid w:val="004405FB"/>
    <w:rsid w:val="00440748"/>
    <w:rsid w:val="0044079F"/>
    <w:rsid w:val="0044086F"/>
    <w:rsid w:val="00440A4A"/>
    <w:rsid w:val="00440A68"/>
    <w:rsid w:val="00440A72"/>
    <w:rsid w:val="00440AB6"/>
    <w:rsid w:val="00440D5B"/>
    <w:rsid w:val="00440DE0"/>
    <w:rsid w:val="00440E2E"/>
    <w:rsid w:val="00440F36"/>
    <w:rsid w:val="0044103B"/>
    <w:rsid w:val="004410A1"/>
    <w:rsid w:val="004410D0"/>
    <w:rsid w:val="0044112C"/>
    <w:rsid w:val="0044118D"/>
    <w:rsid w:val="00441249"/>
    <w:rsid w:val="0044128F"/>
    <w:rsid w:val="004413FD"/>
    <w:rsid w:val="004414A6"/>
    <w:rsid w:val="00441606"/>
    <w:rsid w:val="00441673"/>
    <w:rsid w:val="004416AF"/>
    <w:rsid w:val="004416BC"/>
    <w:rsid w:val="004417A5"/>
    <w:rsid w:val="0044185A"/>
    <w:rsid w:val="004418BC"/>
    <w:rsid w:val="0044198A"/>
    <w:rsid w:val="00441A84"/>
    <w:rsid w:val="00441BEA"/>
    <w:rsid w:val="00441BEB"/>
    <w:rsid w:val="00441D5E"/>
    <w:rsid w:val="00441E2D"/>
    <w:rsid w:val="00441E70"/>
    <w:rsid w:val="00441FDF"/>
    <w:rsid w:val="004420CC"/>
    <w:rsid w:val="00442302"/>
    <w:rsid w:val="0044235E"/>
    <w:rsid w:val="00442396"/>
    <w:rsid w:val="004423B2"/>
    <w:rsid w:val="004423F8"/>
    <w:rsid w:val="0044244A"/>
    <w:rsid w:val="004424BE"/>
    <w:rsid w:val="00442628"/>
    <w:rsid w:val="00442632"/>
    <w:rsid w:val="00442650"/>
    <w:rsid w:val="004426D0"/>
    <w:rsid w:val="00442762"/>
    <w:rsid w:val="00442A6A"/>
    <w:rsid w:val="00442A77"/>
    <w:rsid w:val="00442BB4"/>
    <w:rsid w:val="00442C9C"/>
    <w:rsid w:val="00442D23"/>
    <w:rsid w:val="00442DE2"/>
    <w:rsid w:val="00442E56"/>
    <w:rsid w:val="00442F85"/>
    <w:rsid w:val="0044300D"/>
    <w:rsid w:val="004430F2"/>
    <w:rsid w:val="00443122"/>
    <w:rsid w:val="0044312E"/>
    <w:rsid w:val="004431AE"/>
    <w:rsid w:val="0044344C"/>
    <w:rsid w:val="0044354E"/>
    <w:rsid w:val="00443580"/>
    <w:rsid w:val="00443811"/>
    <w:rsid w:val="00443961"/>
    <w:rsid w:val="00443A25"/>
    <w:rsid w:val="00443AA9"/>
    <w:rsid w:val="00443ABE"/>
    <w:rsid w:val="00443B2D"/>
    <w:rsid w:val="00443DD7"/>
    <w:rsid w:val="00443E20"/>
    <w:rsid w:val="00443EF8"/>
    <w:rsid w:val="00443FDC"/>
    <w:rsid w:val="0044417E"/>
    <w:rsid w:val="004441C6"/>
    <w:rsid w:val="0044423A"/>
    <w:rsid w:val="00444291"/>
    <w:rsid w:val="0044429B"/>
    <w:rsid w:val="00444337"/>
    <w:rsid w:val="0044435A"/>
    <w:rsid w:val="004443B8"/>
    <w:rsid w:val="0044441E"/>
    <w:rsid w:val="004444B2"/>
    <w:rsid w:val="00444535"/>
    <w:rsid w:val="00444554"/>
    <w:rsid w:val="004445B8"/>
    <w:rsid w:val="004445DD"/>
    <w:rsid w:val="00444631"/>
    <w:rsid w:val="00444706"/>
    <w:rsid w:val="00444857"/>
    <w:rsid w:val="004448B1"/>
    <w:rsid w:val="00444996"/>
    <w:rsid w:val="004449B4"/>
    <w:rsid w:val="00444AA6"/>
    <w:rsid w:val="00444AF4"/>
    <w:rsid w:val="00444B0C"/>
    <w:rsid w:val="00444B27"/>
    <w:rsid w:val="00444B7C"/>
    <w:rsid w:val="00444B90"/>
    <w:rsid w:val="00444BF1"/>
    <w:rsid w:val="00444CA0"/>
    <w:rsid w:val="00444D2B"/>
    <w:rsid w:val="00444D76"/>
    <w:rsid w:val="00444D8C"/>
    <w:rsid w:val="00444E21"/>
    <w:rsid w:val="00444F3B"/>
    <w:rsid w:val="00444F88"/>
    <w:rsid w:val="00444F91"/>
    <w:rsid w:val="00445025"/>
    <w:rsid w:val="004450C0"/>
    <w:rsid w:val="00445107"/>
    <w:rsid w:val="00445151"/>
    <w:rsid w:val="00445159"/>
    <w:rsid w:val="004451C5"/>
    <w:rsid w:val="00445214"/>
    <w:rsid w:val="00445304"/>
    <w:rsid w:val="004454C0"/>
    <w:rsid w:val="004454C2"/>
    <w:rsid w:val="004455A9"/>
    <w:rsid w:val="0044573D"/>
    <w:rsid w:val="004457C4"/>
    <w:rsid w:val="0044582E"/>
    <w:rsid w:val="0044592C"/>
    <w:rsid w:val="0044598C"/>
    <w:rsid w:val="00445A3B"/>
    <w:rsid w:val="00445B89"/>
    <w:rsid w:val="00445BCF"/>
    <w:rsid w:val="00445EF0"/>
    <w:rsid w:val="00445F1D"/>
    <w:rsid w:val="00445F1E"/>
    <w:rsid w:val="00445FA8"/>
    <w:rsid w:val="00446010"/>
    <w:rsid w:val="004460A5"/>
    <w:rsid w:val="00446139"/>
    <w:rsid w:val="0044616F"/>
    <w:rsid w:val="0044617C"/>
    <w:rsid w:val="004461A5"/>
    <w:rsid w:val="004463EF"/>
    <w:rsid w:val="004464BD"/>
    <w:rsid w:val="004464FC"/>
    <w:rsid w:val="00446523"/>
    <w:rsid w:val="004465BA"/>
    <w:rsid w:val="0044669D"/>
    <w:rsid w:val="004466A6"/>
    <w:rsid w:val="0044673D"/>
    <w:rsid w:val="00446831"/>
    <w:rsid w:val="0044685B"/>
    <w:rsid w:val="00446A35"/>
    <w:rsid w:val="00446D54"/>
    <w:rsid w:val="00446D5B"/>
    <w:rsid w:val="00446D8C"/>
    <w:rsid w:val="00446D9A"/>
    <w:rsid w:val="00446EEA"/>
    <w:rsid w:val="00446FA0"/>
    <w:rsid w:val="00447033"/>
    <w:rsid w:val="00447301"/>
    <w:rsid w:val="0044733C"/>
    <w:rsid w:val="00447456"/>
    <w:rsid w:val="004474C0"/>
    <w:rsid w:val="00447555"/>
    <w:rsid w:val="004475AF"/>
    <w:rsid w:val="00447611"/>
    <w:rsid w:val="00447658"/>
    <w:rsid w:val="0044767F"/>
    <w:rsid w:val="004476B2"/>
    <w:rsid w:val="004476C7"/>
    <w:rsid w:val="00447800"/>
    <w:rsid w:val="00447820"/>
    <w:rsid w:val="00447991"/>
    <w:rsid w:val="004479B6"/>
    <w:rsid w:val="00447A69"/>
    <w:rsid w:val="00447B8D"/>
    <w:rsid w:val="00447BEF"/>
    <w:rsid w:val="00447C43"/>
    <w:rsid w:val="00447CB1"/>
    <w:rsid w:val="00447D3B"/>
    <w:rsid w:val="00447DAD"/>
    <w:rsid w:val="00447F54"/>
    <w:rsid w:val="00450007"/>
    <w:rsid w:val="00450152"/>
    <w:rsid w:val="004501A0"/>
    <w:rsid w:val="004502E1"/>
    <w:rsid w:val="004503DA"/>
    <w:rsid w:val="00450448"/>
    <w:rsid w:val="00450469"/>
    <w:rsid w:val="0045067F"/>
    <w:rsid w:val="00450885"/>
    <w:rsid w:val="004508EC"/>
    <w:rsid w:val="004508F2"/>
    <w:rsid w:val="004508FB"/>
    <w:rsid w:val="0045094D"/>
    <w:rsid w:val="004509AC"/>
    <w:rsid w:val="004509FF"/>
    <w:rsid w:val="00450A00"/>
    <w:rsid w:val="00450B4B"/>
    <w:rsid w:val="00450B5A"/>
    <w:rsid w:val="00450BE1"/>
    <w:rsid w:val="00450D32"/>
    <w:rsid w:val="00450D46"/>
    <w:rsid w:val="00450F09"/>
    <w:rsid w:val="00450F4B"/>
    <w:rsid w:val="00451164"/>
    <w:rsid w:val="00451179"/>
    <w:rsid w:val="004511E2"/>
    <w:rsid w:val="0045120C"/>
    <w:rsid w:val="0045120D"/>
    <w:rsid w:val="00451277"/>
    <w:rsid w:val="0045128A"/>
    <w:rsid w:val="004512C9"/>
    <w:rsid w:val="004513A1"/>
    <w:rsid w:val="004513DD"/>
    <w:rsid w:val="004513E3"/>
    <w:rsid w:val="004515DE"/>
    <w:rsid w:val="00451617"/>
    <w:rsid w:val="0045176E"/>
    <w:rsid w:val="00451860"/>
    <w:rsid w:val="00451916"/>
    <w:rsid w:val="00451A81"/>
    <w:rsid w:val="00451B4E"/>
    <w:rsid w:val="00451CF2"/>
    <w:rsid w:val="00451D44"/>
    <w:rsid w:val="00451E62"/>
    <w:rsid w:val="00451EFA"/>
    <w:rsid w:val="00451F34"/>
    <w:rsid w:val="00451F4E"/>
    <w:rsid w:val="00451FD6"/>
    <w:rsid w:val="00451FF9"/>
    <w:rsid w:val="00452129"/>
    <w:rsid w:val="0045224D"/>
    <w:rsid w:val="004522EC"/>
    <w:rsid w:val="004522FD"/>
    <w:rsid w:val="00452475"/>
    <w:rsid w:val="004524A9"/>
    <w:rsid w:val="004524AE"/>
    <w:rsid w:val="004524F9"/>
    <w:rsid w:val="0045253E"/>
    <w:rsid w:val="004526A8"/>
    <w:rsid w:val="004526A9"/>
    <w:rsid w:val="004526EB"/>
    <w:rsid w:val="00452728"/>
    <w:rsid w:val="00452971"/>
    <w:rsid w:val="004529E7"/>
    <w:rsid w:val="00452BEC"/>
    <w:rsid w:val="00452C26"/>
    <w:rsid w:val="00452C8E"/>
    <w:rsid w:val="00452D73"/>
    <w:rsid w:val="00452E2D"/>
    <w:rsid w:val="00452E34"/>
    <w:rsid w:val="00452F60"/>
    <w:rsid w:val="00452FAA"/>
    <w:rsid w:val="0045307A"/>
    <w:rsid w:val="00453160"/>
    <w:rsid w:val="0045318D"/>
    <w:rsid w:val="004531F0"/>
    <w:rsid w:val="0045324E"/>
    <w:rsid w:val="004533AC"/>
    <w:rsid w:val="004533B8"/>
    <w:rsid w:val="004533BD"/>
    <w:rsid w:val="00453413"/>
    <w:rsid w:val="0045343E"/>
    <w:rsid w:val="00453481"/>
    <w:rsid w:val="004534EE"/>
    <w:rsid w:val="0045357A"/>
    <w:rsid w:val="004535B3"/>
    <w:rsid w:val="004536F0"/>
    <w:rsid w:val="004538EF"/>
    <w:rsid w:val="00453965"/>
    <w:rsid w:val="00453A57"/>
    <w:rsid w:val="00453AA5"/>
    <w:rsid w:val="00453AEE"/>
    <w:rsid w:val="00453B64"/>
    <w:rsid w:val="00453B71"/>
    <w:rsid w:val="00453C34"/>
    <w:rsid w:val="00453EB6"/>
    <w:rsid w:val="00453EF9"/>
    <w:rsid w:val="00453F18"/>
    <w:rsid w:val="00453F80"/>
    <w:rsid w:val="0045417C"/>
    <w:rsid w:val="00454409"/>
    <w:rsid w:val="0045445E"/>
    <w:rsid w:val="00454474"/>
    <w:rsid w:val="004545CA"/>
    <w:rsid w:val="0045463B"/>
    <w:rsid w:val="00454674"/>
    <w:rsid w:val="004546E4"/>
    <w:rsid w:val="004547BF"/>
    <w:rsid w:val="004547E8"/>
    <w:rsid w:val="0045484C"/>
    <w:rsid w:val="00454873"/>
    <w:rsid w:val="004548D3"/>
    <w:rsid w:val="004548EC"/>
    <w:rsid w:val="004548EE"/>
    <w:rsid w:val="0045493E"/>
    <w:rsid w:val="0045496E"/>
    <w:rsid w:val="004549C2"/>
    <w:rsid w:val="00454B03"/>
    <w:rsid w:val="00454BD7"/>
    <w:rsid w:val="00454C05"/>
    <w:rsid w:val="00454C06"/>
    <w:rsid w:val="00454D57"/>
    <w:rsid w:val="00454DF0"/>
    <w:rsid w:val="00454EAC"/>
    <w:rsid w:val="00454F25"/>
    <w:rsid w:val="00454F8B"/>
    <w:rsid w:val="00454FC9"/>
    <w:rsid w:val="00454FFB"/>
    <w:rsid w:val="00455032"/>
    <w:rsid w:val="00455059"/>
    <w:rsid w:val="00455290"/>
    <w:rsid w:val="004552FE"/>
    <w:rsid w:val="00455323"/>
    <w:rsid w:val="004553E8"/>
    <w:rsid w:val="004553EB"/>
    <w:rsid w:val="00455402"/>
    <w:rsid w:val="004554E0"/>
    <w:rsid w:val="00455504"/>
    <w:rsid w:val="0045564C"/>
    <w:rsid w:val="00455663"/>
    <w:rsid w:val="004556DF"/>
    <w:rsid w:val="004556E8"/>
    <w:rsid w:val="0045583C"/>
    <w:rsid w:val="00455AB1"/>
    <w:rsid w:val="00455B42"/>
    <w:rsid w:val="00455B7B"/>
    <w:rsid w:val="00455B86"/>
    <w:rsid w:val="00455D70"/>
    <w:rsid w:val="00455D9A"/>
    <w:rsid w:val="00455DA9"/>
    <w:rsid w:val="00455DBE"/>
    <w:rsid w:val="00455E59"/>
    <w:rsid w:val="00455F26"/>
    <w:rsid w:val="00455FE9"/>
    <w:rsid w:val="00456067"/>
    <w:rsid w:val="0045612B"/>
    <w:rsid w:val="004562B1"/>
    <w:rsid w:val="0045637B"/>
    <w:rsid w:val="00456402"/>
    <w:rsid w:val="0045645A"/>
    <w:rsid w:val="00456541"/>
    <w:rsid w:val="0045659A"/>
    <w:rsid w:val="004565E8"/>
    <w:rsid w:val="00456618"/>
    <w:rsid w:val="00456671"/>
    <w:rsid w:val="004566E4"/>
    <w:rsid w:val="004567D1"/>
    <w:rsid w:val="00456833"/>
    <w:rsid w:val="004568C9"/>
    <w:rsid w:val="004568F9"/>
    <w:rsid w:val="004568FE"/>
    <w:rsid w:val="00456903"/>
    <w:rsid w:val="0045694B"/>
    <w:rsid w:val="00456A39"/>
    <w:rsid w:val="00456A9F"/>
    <w:rsid w:val="00456B07"/>
    <w:rsid w:val="00456B79"/>
    <w:rsid w:val="00456C4B"/>
    <w:rsid w:val="00456C89"/>
    <w:rsid w:val="00456D94"/>
    <w:rsid w:val="00456DD2"/>
    <w:rsid w:val="00456F86"/>
    <w:rsid w:val="00456FA1"/>
    <w:rsid w:val="00456FCB"/>
    <w:rsid w:val="0045704F"/>
    <w:rsid w:val="0045706E"/>
    <w:rsid w:val="004570C9"/>
    <w:rsid w:val="00457126"/>
    <w:rsid w:val="00457128"/>
    <w:rsid w:val="0045712C"/>
    <w:rsid w:val="00457138"/>
    <w:rsid w:val="00457157"/>
    <w:rsid w:val="00457251"/>
    <w:rsid w:val="004573A7"/>
    <w:rsid w:val="00457412"/>
    <w:rsid w:val="0045752C"/>
    <w:rsid w:val="00457580"/>
    <w:rsid w:val="004575CF"/>
    <w:rsid w:val="004576B4"/>
    <w:rsid w:val="004577D6"/>
    <w:rsid w:val="00457A2A"/>
    <w:rsid w:val="00457A3B"/>
    <w:rsid w:val="00457AE2"/>
    <w:rsid w:val="00457C2B"/>
    <w:rsid w:val="00457C3E"/>
    <w:rsid w:val="00457C5A"/>
    <w:rsid w:val="00457C85"/>
    <w:rsid w:val="00457CC1"/>
    <w:rsid w:val="00457EFF"/>
    <w:rsid w:val="00457F25"/>
    <w:rsid w:val="00457F7F"/>
    <w:rsid w:val="00457F93"/>
    <w:rsid w:val="00457FBA"/>
    <w:rsid w:val="00460094"/>
    <w:rsid w:val="0046017B"/>
    <w:rsid w:val="0046019F"/>
    <w:rsid w:val="004601E1"/>
    <w:rsid w:val="004602DB"/>
    <w:rsid w:val="00460328"/>
    <w:rsid w:val="00460395"/>
    <w:rsid w:val="00460446"/>
    <w:rsid w:val="00460489"/>
    <w:rsid w:val="0046051B"/>
    <w:rsid w:val="00460570"/>
    <w:rsid w:val="00460597"/>
    <w:rsid w:val="004605DB"/>
    <w:rsid w:val="004605ED"/>
    <w:rsid w:val="004606D9"/>
    <w:rsid w:val="00460736"/>
    <w:rsid w:val="004607EF"/>
    <w:rsid w:val="0046080E"/>
    <w:rsid w:val="00460898"/>
    <w:rsid w:val="004608A3"/>
    <w:rsid w:val="0046093D"/>
    <w:rsid w:val="0046095B"/>
    <w:rsid w:val="00460BDD"/>
    <w:rsid w:val="00460BF8"/>
    <w:rsid w:val="00460BF9"/>
    <w:rsid w:val="00460C89"/>
    <w:rsid w:val="00460CBC"/>
    <w:rsid w:val="00460CC5"/>
    <w:rsid w:val="00460D62"/>
    <w:rsid w:val="00460D95"/>
    <w:rsid w:val="00460DCF"/>
    <w:rsid w:val="00460DF0"/>
    <w:rsid w:val="00460EA2"/>
    <w:rsid w:val="00460F12"/>
    <w:rsid w:val="00461013"/>
    <w:rsid w:val="0046103A"/>
    <w:rsid w:val="00461067"/>
    <w:rsid w:val="004610A8"/>
    <w:rsid w:val="004611B7"/>
    <w:rsid w:val="00461213"/>
    <w:rsid w:val="00461242"/>
    <w:rsid w:val="004614DE"/>
    <w:rsid w:val="004614F2"/>
    <w:rsid w:val="0046165C"/>
    <w:rsid w:val="004616FB"/>
    <w:rsid w:val="004617E6"/>
    <w:rsid w:val="0046183C"/>
    <w:rsid w:val="004618AB"/>
    <w:rsid w:val="00461921"/>
    <w:rsid w:val="00461925"/>
    <w:rsid w:val="00461980"/>
    <w:rsid w:val="004619EE"/>
    <w:rsid w:val="00461A14"/>
    <w:rsid w:val="00461A30"/>
    <w:rsid w:val="00461A91"/>
    <w:rsid w:val="00461C29"/>
    <w:rsid w:val="00461C6A"/>
    <w:rsid w:val="00461D25"/>
    <w:rsid w:val="00461DED"/>
    <w:rsid w:val="00461E15"/>
    <w:rsid w:val="00461E16"/>
    <w:rsid w:val="004621C1"/>
    <w:rsid w:val="0046222A"/>
    <w:rsid w:val="00462284"/>
    <w:rsid w:val="004622FD"/>
    <w:rsid w:val="004623AE"/>
    <w:rsid w:val="00462568"/>
    <w:rsid w:val="004625A6"/>
    <w:rsid w:val="00462606"/>
    <w:rsid w:val="004626E9"/>
    <w:rsid w:val="0046270F"/>
    <w:rsid w:val="0046273C"/>
    <w:rsid w:val="00462840"/>
    <w:rsid w:val="00462B5D"/>
    <w:rsid w:val="00462BD6"/>
    <w:rsid w:val="00462C3C"/>
    <w:rsid w:val="00462C5E"/>
    <w:rsid w:val="00462D13"/>
    <w:rsid w:val="00462D5F"/>
    <w:rsid w:val="00462D75"/>
    <w:rsid w:val="00462E0A"/>
    <w:rsid w:val="00462E27"/>
    <w:rsid w:val="00462E89"/>
    <w:rsid w:val="0046304E"/>
    <w:rsid w:val="00463077"/>
    <w:rsid w:val="004630D6"/>
    <w:rsid w:val="004630FE"/>
    <w:rsid w:val="00463399"/>
    <w:rsid w:val="0046343F"/>
    <w:rsid w:val="004634B6"/>
    <w:rsid w:val="004634C4"/>
    <w:rsid w:val="004635C9"/>
    <w:rsid w:val="0046363A"/>
    <w:rsid w:val="004636E7"/>
    <w:rsid w:val="0046370B"/>
    <w:rsid w:val="0046377C"/>
    <w:rsid w:val="004638D5"/>
    <w:rsid w:val="004638E5"/>
    <w:rsid w:val="00463974"/>
    <w:rsid w:val="00463AC7"/>
    <w:rsid w:val="00463ACA"/>
    <w:rsid w:val="00463BEE"/>
    <w:rsid w:val="00463DA1"/>
    <w:rsid w:val="00463DB3"/>
    <w:rsid w:val="00463DEC"/>
    <w:rsid w:val="00463E3E"/>
    <w:rsid w:val="00463E6B"/>
    <w:rsid w:val="00463E81"/>
    <w:rsid w:val="00463E8C"/>
    <w:rsid w:val="00463FBF"/>
    <w:rsid w:val="00463FC8"/>
    <w:rsid w:val="00464060"/>
    <w:rsid w:val="00464073"/>
    <w:rsid w:val="00464178"/>
    <w:rsid w:val="00464235"/>
    <w:rsid w:val="00464243"/>
    <w:rsid w:val="00464308"/>
    <w:rsid w:val="004643B5"/>
    <w:rsid w:val="004644FB"/>
    <w:rsid w:val="004645AA"/>
    <w:rsid w:val="00464620"/>
    <w:rsid w:val="0046463D"/>
    <w:rsid w:val="0046475D"/>
    <w:rsid w:val="004647B9"/>
    <w:rsid w:val="004647D9"/>
    <w:rsid w:val="0046485B"/>
    <w:rsid w:val="0046488C"/>
    <w:rsid w:val="00464908"/>
    <w:rsid w:val="00464924"/>
    <w:rsid w:val="00464937"/>
    <w:rsid w:val="004649BA"/>
    <w:rsid w:val="00464A73"/>
    <w:rsid w:val="00464A99"/>
    <w:rsid w:val="00464B19"/>
    <w:rsid w:val="00464B87"/>
    <w:rsid w:val="00464B98"/>
    <w:rsid w:val="00464C8E"/>
    <w:rsid w:val="00464DDB"/>
    <w:rsid w:val="00464EC0"/>
    <w:rsid w:val="00464EDD"/>
    <w:rsid w:val="00464F29"/>
    <w:rsid w:val="00464FD2"/>
    <w:rsid w:val="00465035"/>
    <w:rsid w:val="00465064"/>
    <w:rsid w:val="00465088"/>
    <w:rsid w:val="004650E0"/>
    <w:rsid w:val="00465231"/>
    <w:rsid w:val="00465244"/>
    <w:rsid w:val="0046524D"/>
    <w:rsid w:val="0046527C"/>
    <w:rsid w:val="00465376"/>
    <w:rsid w:val="0046548B"/>
    <w:rsid w:val="004654CD"/>
    <w:rsid w:val="00465524"/>
    <w:rsid w:val="004655A8"/>
    <w:rsid w:val="00465622"/>
    <w:rsid w:val="00465692"/>
    <w:rsid w:val="00465699"/>
    <w:rsid w:val="00465871"/>
    <w:rsid w:val="004658AB"/>
    <w:rsid w:val="00465B0C"/>
    <w:rsid w:val="00465BBA"/>
    <w:rsid w:val="00465C3F"/>
    <w:rsid w:val="00465CC9"/>
    <w:rsid w:val="00465E75"/>
    <w:rsid w:val="00465E85"/>
    <w:rsid w:val="00465EB0"/>
    <w:rsid w:val="00465ECE"/>
    <w:rsid w:val="00465EF2"/>
    <w:rsid w:val="00465F46"/>
    <w:rsid w:val="00465F52"/>
    <w:rsid w:val="00465FAA"/>
    <w:rsid w:val="00465FAF"/>
    <w:rsid w:val="00465FC8"/>
    <w:rsid w:val="004660C2"/>
    <w:rsid w:val="004660D6"/>
    <w:rsid w:val="0046613D"/>
    <w:rsid w:val="0046615D"/>
    <w:rsid w:val="00466197"/>
    <w:rsid w:val="004661B1"/>
    <w:rsid w:val="004661F5"/>
    <w:rsid w:val="00466699"/>
    <w:rsid w:val="004666FD"/>
    <w:rsid w:val="0046672F"/>
    <w:rsid w:val="00466824"/>
    <w:rsid w:val="00466850"/>
    <w:rsid w:val="004669C3"/>
    <w:rsid w:val="00466A61"/>
    <w:rsid w:val="00466AD0"/>
    <w:rsid w:val="00466AF3"/>
    <w:rsid w:val="00466B31"/>
    <w:rsid w:val="00466B3E"/>
    <w:rsid w:val="00466B7B"/>
    <w:rsid w:val="00466BB3"/>
    <w:rsid w:val="00466BC1"/>
    <w:rsid w:val="00466E44"/>
    <w:rsid w:val="00466EC3"/>
    <w:rsid w:val="00466F92"/>
    <w:rsid w:val="00467098"/>
    <w:rsid w:val="004670E8"/>
    <w:rsid w:val="004671C4"/>
    <w:rsid w:val="004672CD"/>
    <w:rsid w:val="00467348"/>
    <w:rsid w:val="004673CC"/>
    <w:rsid w:val="0046754B"/>
    <w:rsid w:val="004675A4"/>
    <w:rsid w:val="004675DB"/>
    <w:rsid w:val="004675DD"/>
    <w:rsid w:val="0046769C"/>
    <w:rsid w:val="004676A7"/>
    <w:rsid w:val="004676F7"/>
    <w:rsid w:val="00467A88"/>
    <w:rsid w:val="00467ADB"/>
    <w:rsid w:val="00467B01"/>
    <w:rsid w:val="00467B16"/>
    <w:rsid w:val="00467C8D"/>
    <w:rsid w:val="00467D61"/>
    <w:rsid w:val="00467DB6"/>
    <w:rsid w:val="00470143"/>
    <w:rsid w:val="004701A1"/>
    <w:rsid w:val="004702C9"/>
    <w:rsid w:val="00470381"/>
    <w:rsid w:val="0047040D"/>
    <w:rsid w:val="004704D3"/>
    <w:rsid w:val="0047063C"/>
    <w:rsid w:val="0047063F"/>
    <w:rsid w:val="004706BC"/>
    <w:rsid w:val="00470727"/>
    <w:rsid w:val="00470754"/>
    <w:rsid w:val="00470801"/>
    <w:rsid w:val="00470949"/>
    <w:rsid w:val="00470A43"/>
    <w:rsid w:val="00470C10"/>
    <w:rsid w:val="00470C31"/>
    <w:rsid w:val="00470C9D"/>
    <w:rsid w:val="00470CE1"/>
    <w:rsid w:val="00470E2F"/>
    <w:rsid w:val="00470E73"/>
    <w:rsid w:val="00470EC9"/>
    <w:rsid w:val="00471077"/>
    <w:rsid w:val="004710B4"/>
    <w:rsid w:val="00471265"/>
    <w:rsid w:val="004712A3"/>
    <w:rsid w:val="004712B2"/>
    <w:rsid w:val="004712E7"/>
    <w:rsid w:val="004713C3"/>
    <w:rsid w:val="004713DD"/>
    <w:rsid w:val="00471498"/>
    <w:rsid w:val="00471507"/>
    <w:rsid w:val="0047151D"/>
    <w:rsid w:val="0047153F"/>
    <w:rsid w:val="00471602"/>
    <w:rsid w:val="004716C1"/>
    <w:rsid w:val="004716DC"/>
    <w:rsid w:val="00471807"/>
    <w:rsid w:val="0047180C"/>
    <w:rsid w:val="004718B4"/>
    <w:rsid w:val="00471911"/>
    <w:rsid w:val="004719A6"/>
    <w:rsid w:val="00471ABF"/>
    <w:rsid w:val="00471B09"/>
    <w:rsid w:val="00471BBA"/>
    <w:rsid w:val="00471BCB"/>
    <w:rsid w:val="00471BDA"/>
    <w:rsid w:val="00471EC8"/>
    <w:rsid w:val="00471F4B"/>
    <w:rsid w:val="00471F66"/>
    <w:rsid w:val="0047205F"/>
    <w:rsid w:val="004721A4"/>
    <w:rsid w:val="004724C5"/>
    <w:rsid w:val="00472591"/>
    <w:rsid w:val="004725CC"/>
    <w:rsid w:val="0047263B"/>
    <w:rsid w:val="004726B9"/>
    <w:rsid w:val="00472709"/>
    <w:rsid w:val="004727C5"/>
    <w:rsid w:val="004727EA"/>
    <w:rsid w:val="00472839"/>
    <w:rsid w:val="00472870"/>
    <w:rsid w:val="00472871"/>
    <w:rsid w:val="00472933"/>
    <w:rsid w:val="0047298A"/>
    <w:rsid w:val="004729ED"/>
    <w:rsid w:val="00472A90"/>
    <w:rsid w:val="00472AF4"/>
    <w:rsid w:val="00472C3E"/>
    <w:rsid w:val="00472CBF"/>
    <w:rsid w:val="00472E66"/>
    <w:rsid w:val="00472E8B"/>
    <w:rsid w:val="00472F8C"/>
    <w:rsid w:val="00472FB4"/>
    <w:rsid w:val="00473008"/>
    <w:rsid w:val="004732E5"/>
    <w:rsid w:val="00473309"/>
    <w:rsid w:val="00473430"/>
    <w:rsid w:val="00473441"/>
    <w:rsid w:val="004734AF"/>
    <w:rsid w:val="004734E3"/>
    <w:rsid w:val="004734F5"/>
    <w:rsid w:val="0047354E"/>
    <w:rsid w:val="004736EE"/>
    <w:rsid w:val="004737FF"/>
    <w:rsid w:val="00473837"/>
    <w:rsid w:val="004739CF"/>
    <w:rsid w:val="004739DB"/>
    <w:rsid w:val="00473B83"/>
    <w:rsid w:val="00473B94"/>
    <w:rsid w:val="00473BFE"/>
    <w:rsid w:val="00473E02"/>
    <w:rsid w:val="00473E0A"/>
    <w:rsid w:val="00473E1A"/>
    <w:rsid w:val="00473E2D"/>
    <w:rsid w:val="00473E36"/>
    <w:rsid w:val="00473F83"/>
    <w:rsid w:val="00473FB1"/>
    <w:rsid w:val="0047406F"/>
    <w:rsid w:val="00474078"/>
    <w:rsid w:val="0047408C"/>
    <w:rsid w:val="004740B6"/>
    <w:rsid w:val="0047412D"/>
    <w:rsid w:val="0047421F"/>
    <w:rsid w:val="004742AB"/>
    <w:rsid w:val="004742B8"/>
    <w:rsid w:val="00474361"/>
    <w:rsid w:val="0047436A"/>
    <w:rsid w:val="00474387"/>
    <w:rsid w:val="004743E4"/>
    <w:rsid w:val="004743FE"/>
    <w:rsid w:val="004744D8"/>
    <w:rsid w:val="004745DF"/>
    <w:rsid w:val="004745F4"/>
    <w:rsid w:val="004747AA"/>
    <w:rsid w:val="00474866"/>
    <w:rsid w:val="004748A4"/>
    <w:rsid w:val="004748A8"/>
    <w:rsid w:val="00474909"/>
    <w:rsid w:val="00474955"/>
    <w:rsid w:val="00474973"/>
    <w:rsid w:val="004749A6"/>
    <w:rsid w:val="00474A3D"/>
    <w:rsid w:val="00474A6E"/>
    <w:rsid w:val="00474B0E"/>
    <w:rsid w:val="00474B6C"/>
    <w:rsid w:val="00474B90"/>
    <w:rsid w:val="00474CB7"/>
    <w:rsid w:val="00474D3F"/>
    <w:rsid w:val="00474D43"/>
    <w:rsid w:val="00474DE3"/>
    <w:rsid w:val="00474E52"/>
    <w:rsid w:val="00474E64"/>
    <w:rsid w:val="00474ECA"/>
    <w:rsid w:val="0047502C"/>
    <w:rsid w:val="00475053"/>
    <w:rsid w:val="0047505A"/>
    <w:rsid w:val="00475106"/>
    <w:rsid w:val="0047517E"/>
    <w:rsid w:val="00475388"/>
    <w:rsid w:val="00475470"/>
    <w:rsid w:val="0047548B"/>
    <w:rsid w:val="0047548E"/>
    <w:rsid w:val="004754EC"/>
    <w:rsid w:val="004755ED"/>
    <w:rsid w:val="004756B2"/>
    <w:rsid w:val="0047571E"/>
    <w:rsid w:val="0047572F"/>
    <w:rsid w:val="00475797"/>
    <w:rsid w:val="00475798"/>
    <w:rsid w:val="00475800"/>
    <w:rsid w:val="0047597A"/>
    <w:rsid w:val="004759D1"/>
    <w:rsid w:val="004759F8"/>
    <w:rsid w:val="00475A0C"/>
    <w:rsid w:val="00475A24"/>
    <w:rsid w:val="00475A6B"/>
    <w:rsid w:val="00475A8A"/>
    <w:rsid w:val="00475B38"/>
    <w:rsid w:val="00475BD0"/>
    <w:rsid w:val="00475BFD"/>
    <w:rsid w:val="00475C1F"/>
    <w:rsid w:val="00475C21"/>
    <w:rsid w:val="00475D0A"/>
    <w:rsid w:val="00475E24"/>
    <w:rsid w:val="00475E7B"/>
    <w:rsid w:val="004760A1"/>
    <w:rsid w:val="004760A2"/>
    <w:rsid w:val="004760CF"/>
    <w:rsid w:val="004760EC"/>
    <w:rsid w:val="004761B1"/>
    <w:rsid w:val="004761F4"/>
    <w:rsid w:val="00476278"/>
    <w:rsid w:val="0047636E"/>
    <w:rsid w:val="00476377"/>
    <w:rsid w:val="004765F5"/>
    <w:rsid w:val="00476634"/>
    <w:rsid w:val="004766A8"/>
    <w:rsid w:val="0047682B"/>
    <w:rsid w:val="00476890"/>
    <w:rsid w:val="004768D3"/>
    <w:rsid w:val="00476932"/>
    <w:rsid w:val="0047695F"/>
    <w:rsid w:val="004769B7"/>
    <w:rsid w:val="00476CEA"/>
    <w:rsid w:val="00476D0C"/>
    <w:rsid w:val="00476D20"/>
    <w:rsid w:val="00476E0E"/>
    <w:rsid w:val="00477021"/>
    <w:rsid w:val="00477070"/>
    <w:rsid w:val="00477328"/>
    <w:rsid w:val="0047734F"/>
    <w:rsid w:val="004773E5"/>
    <w:rsid w:val="00477550"/>
    <w:rsid w:val="00477566"/>
    <w:rsid w:val="004775C6"/>
    <w:rsid w:val="00477614"/>
    <w:rsid w:val="00477698"/>
    <w:rsid w:val="004778B6"/>
    <w:rsid w:val="004779C9"/>
    <w:rsid w:val="00477AC6"/>
    <w:rsid w:val="00477AE4"/>
    <w:rsid w:val="00477AE7"/>
    <w:rsid w:val="00477C54"/>
    <w:rsid w:val="00477C7C"/>
    <w:rsid w:val="00477CB2"/>
    <w:rsid w:val="00477D4D"/>
    <w:rsid w:val="00477DCF"/>
    <w:rsid w:val="00477DD5"/>
    <w:rsid w:val="00477EB1"/>
    <w:rsid w:val="00477FA4"/>
    <w:rsid w:val="00477FB8"/>
    <w:rsid w:val="00477FD5"/>
    <w:rsid w:val="00480119"/>
    <w:rsid w:val="004801EF"/>
    <w:rsid w:val="00480375"/>
    <w:rsid w:val="004805DD"/>
    <w:rsid w:val="00480606"/>
    <w:rsid w:val="00480618"/>
    <w:rsid w:val="0048063F"/>
    <w:rsid w:val="00480705"/>
    <w:rsid w:val="00480849"/>
    <w:rsid w:val="0048084B"/>
    <w:rsid w:val="00480869"/>
    <w:rsid w:val="0048088B"/>
    <w:rsid w:val="004809EE"/>
    <w:rsid w:val="00480A00"/>
    <w:rsid w:val="00480A06"/>
    <w:rsid w:val="00480A9B"/>
    <w:rsid w:val="00480ACD"/>
    <w:rsid w:val="00480C1C"/>
    <w:rsid w:val="00480C77"/>
    <w:rsid w:val="00480C89"/>
    <w:rsid w:val="00480CFD"/>
    <w:rsid w:val="00480E19"/>
    <w:rsid w:val="00480FC8"/>
    <w:rsid w:val="0048102C"/>
    <w:rsid w:val="004810D3"/>
    <w:rsid w:val="00481143"/>
    <w:rsid w:val="0048119A"/>
    <w:rsid w:val="00481230"/>
    <w:rsid w:val="0048130A"/>
    <w:rsid w:val="00481484"/>
    <w:rsid w:val="00481545"/>
    <w:rsid w:val="00481548"/>
    <w:rsid w:val="004815E3"/>
    <w:rsid w:val="004816B6"/>
    <w:rsid w:val="00481761"/>
    <w:rsid w:val="00481763"/>
    <w:rsid w:val="00481773"/>
    <w:rsid w:val="004817B7"/>
    <w:rsid w:val="0048198A"/>
    <w:rsid w:val="00481AEF"/>
    <w:rsid w:val="00481B3B"/>
    <w:rsid w:val="00481BBF"/>
    <w:rsid w:val="00481BE2"/>
    <w:rsid w:val="00481C0A"/>
    <w:rsid w:val="00481C2D"/>
    <w:rsid w:val="00481C77"/>
    <w:rsid w:val="00481CEB"/>
    <w:rsid w:val="00481D06"/>
    <w:rsid w:val="00481D2B"/>
    <w:rsid w:val="00481EDA"/>
    <w:rsid w:val="00481EF9"/>
    <w:rsid w:val="00481F1F"/>
    <w:rsid w:val="00481FC2"/>
    <w:rsid w:val="004820C5"/>
    <w:rsid w:val="004820CC"/>
    <w:rsid w:val="0048211F"/>
    <w:rsid w:val="00482176"/>
    <w:rsid w:val="0048219E"/>
    <w:rsid w:val="004821CC"/>
    <w:rsid w:val="0048223B"/>
    <w:rsid w:val="0048227F"/>
    <w:rsid w:val="004822CD"/>
    <w:rsid w:val="004823E5"/>
    <w:rsid w:val="00482442"/>
    <w:rsid w:val="004824A5"/>
    <w:rsid w:val="0048252E"/>
    <w:rsid w:val="0048255A"/>
    <w:rsid w:val="004825F9"/>
    <w:rsid w:val="00482605"/>
    <w:rsid w:val="00482659"/>
    <w:rsid w:val="0048268D"/>
    <w:rsid w:val="004826FC"/>
    <w:rsid w:val="0048273E"/>
    <w:rsid w:val="00482BFB"/>
    <w:rsid w:val="00482C4A"/>
    <w:rsid w:val="00482D21"/>
    <w:rsid w:val="00482D3D"/>
    <w:rsid w:val="00482DAC"/>
    <w:rsid w:val="00482DDA"/>
    <w:rsid w:val="00482DF5"/>
    <w:rsid w:val="00482E51"/>
    <w:rsid w:val="00482E55"/>
    <w:rsid w:val="00482E5C"/>
    <w:rsid w:val="00482E6A"/>
    <w:rsid w:val="00482ED7"/>
    <w:rsid w:val="0048301F"/>
    <w:rsid w:val="004830B3"/>
    <w:rsid w:val="004830D3"/>
    <w:rsid w:val="004830DE"/>
    <w:rsid w:val="00483160"/>
    <w:rsid w:val="00483162"/>
    <w:rsid w:val="0048327B"/>
    <w:rsid w:val="004832F7"/>
    <w:rsid w:val="004833AC"/>
    <w:rsid w:val="004833AE"/>
    <w:rsid w:val="004833F8"/>
    <w:rsid w:val="00483497"/>
    <w:rsid w:val="004835BD"/>
    <w:rsid w:val="004835D6"/>
    <w:rsid w:val="00483634"/>
    <w:rsid w:val="00483675"/>
    <w:rsid w:val="004837EC"/>
    <w:rsid w:val="00483C4F"/>
    <w:rsid w:val="00483D21"/>
    <w:rsid w:val="00483D6D"/>
    <w:rsid w:val="00483E0F"/>
    <w:rsid w:val="00483E7B"/>
    <w:rsid w:val="00483E99"/>
    <w:rsid w:val="00483F5C"/>
    <w:rsid w:val="00483FCB"/>
    <w:rsid w:val="004840C0"/>
    <w:rsid w:val="004840FD"/>
    <w:rsid w:val="0048410C"/>
    <w:rsid w:val="00484110"/>
    <w:rsid w:val="0048421A"/>
    <w:rsid w:val="004842A5"/>
    <w:rsid w:val="004842F7"/>
    <w:rsid w:val="004843BF"/>
    <w:rsid w:val="00484428"/>
    <w:rsid w:val="00484429"/>
    <w:rsid w:val="00484555"/>
    <w:rsid w:val="00484622"/>
    <w:rsid w:val="004847A2"/>
    <w:rsid w:val="004847A6"/>
    <w:rsid w:val="004847C9"/>
    <w:rsid w:val="00484849"/>
    <w:rsid w:val="004848AB"/>
    <w:rsid w:val="0048490A"/>
    <w:rsid w:val="00484932"/>
    <w:rsid w:val="0048499D"/>
    <w:rsid w:val="00484AE0"/>
    <w:rsid w:val="00484BAB"/>
    <w:rsid w:val="00484C68"/>
    <w:rsid w:val="00484CB0"/>
    <w:rsid w:val="00484D42"/>
    <w:rsid w:val="00484D69"/>
    <w:rsid w:val="00484E1C"/>
    <w:rsid w:val="00484ECF"/>
    <w:rsid w:val="00484EF3"/>
    <w:rsid w:val="00484EF9"/>
    <w:rsid w:val="004850B1"/>
    <w:rsid w:val="004850ED"/>
    <w:rsid w:val="0048517F"/>
    <w:rsid w:val="0048520C"/>
    <w:rsid w:val="00485304"/>
    <w:rsid w:val="00485371"/>
    <w:rsid w:val="0048539C"/>
    <w:rsid w:val="004853D7"/>
    <w:rsid w:val="0048547A"/>
    <w:rsid w:val="004854ED"/>
    <w:rsid w:val="00485559"/>
    <w:rsid w:val="00485586"/>
    <w:rsid w:val="0048572D"/>
    <w:rsid w:val="00485743"/>
    <w:rsid w:val="00485822"/>
    <w:rsid w:val="004858B3"/>
    <w:rsid w:val="004858C3"/>
    <w:rsid w:val="00485911"/>
    <w:rsid w:val="00485BB0"/>
    <w:rsid w:val="00485CE3"/>
    <w:rsid w:val="00485DC9"/>
    <w:rsid w:val="00485ED1"/>
    <w:rsid w:val="00485F85"/>
    <w:rsid w:val="00485FEC"/>
    <w:rsid w:val="004860DA"/>
    <w:rsid w:val="00486183"/>
    <w:rsid w:val="004861C6"/>
    <w:rsid w:val="00486259"/>
    <w:rsid w:val="00486302"/>
    <w:rsid w:val="0048633B"/>
    <w:rsid w:val="00486377"/>
    <w:rsid w:val="0048647E"/>
    <w:rsid w:val="004864A6"/>
    <w:rsid w:val="004864F3"/>
    <w:rsid w:val="00486551"/>
    <w:rsid w:val="0048656E"/>
    <w:rsid w:val="00486622"/>
    <w:rsid w:val="004867F0"/>
    <w:rsid w:val="00486867"/>
    <w:rsid w:val="004868D4"/>
    <w:rsid w:val="0048699B"/>
    <w:rsid w:val="0048699E"/>
    <w:rsid w:val="00486A1E"/>
    <w:rsid w:val="00486B2D"/>
    <w:rsid w:val="00486B52"/>
    <w:rsid w:val="00486BB8"/>
    <w:rsid w:val="00486BD1"/>
    <w:rsid w:val="00486C46"/>
    <w:rsid w:val="00486C5B"/>
    <w:rsid w:val="00486D27"/>
    <w:rsid w:val="00486E0A"/>
    <w:rsid w:val="00486EA4"/>
    <w:rsid w:val="00486F70"/>
    <w:rsid w:val="00486FCD"/>
    <w:rsid w:val="004870E6"/>
    <w:rsid w:val="004870FC"/>
    <w:rsid w:val="0048716F"/>
    <w:rsid w:val="004871A7"/>
    <w:rsid w:val="00487439"/>
    <w:rsid w:val="00487440"/>
    <w:rsid w:val="0048748D"/>
    <w:rsid w:val="00487493"/>
    <w:rsid w:val="0048763E"/>
    <w:rsid w:val="0048764A"/>
    <w:rsid w:val="004876A5"/>
    <w:rsid w:val="004876C3"/>
    <w:rsid w:val="004877BA"/>
    <w:rsid w:val="004877D0"/>
    <w:rsid w:val="0048788E"/>
    <w:rsid w:val="004878D3"/>
    <w:rsid w:val="0048795C"/>
    <w:rsid w:val="004879A4"/>
    <w:rsid w:val="00487A88"/>
    <w:rsid w:val="00487B55"/>
    <w:rsid w:val="00487C75"/>
    <w:rsid w:val="00487D85"/>
    <w:rsid w:val="00487F19"/>
    <w:rsid w:val="0049004F"/>
    <w:rsid w:val="0049007D"/>
    <w:rsid w:val="00490098"/>
    <w:rsid w:val="004900C9"/>
    <w:rsid w:val="00490137"/>
    <w:rsid w:val="0049013C"/>
    <w:rsid w:val="0049034A"/>
    <w:rsid w:val="00490495"/>
    <w:rsid w:val="0049058E"/>
    <w:rsid w:val="004905DD"/>
    <w:rsid w:val="004906A7"/>
    <w:rsid w:val="00490B1E"/>
    <w:rsid w:val="00490B4B"/>
    <w:rsid w:val="00490B6B"/>
    <w:rsid w:val="00490BE0"/>
    <w:rsid w:val="00490ECC"/>
    <w:rsid w:val="00490F1E"/>
    <w:rsid w:val="004910C0"/>
    <w:rsid w:val="00491116"/>
    <w:rsid w:val="00491173"/>
    <w:rsid w:val="004913BB"/>
    <w:rsid w:val="00491420"/>
    <w:rsid w:val="004915E2"/>
    <w:rsid w:val="00491661"/>
    <w:rsid w:val="00491665"/>
    <w:rsid w:val="004916C7"/>
    <w:rsid w:val="00491706"/>
    <w:rsid w:val="0049172A"/>
    <w:rsid w:val="0049178D"/>
    <w:rsid w:val="004917E4"/>
    <w:rsid w:val="004917ED"/>
    <w:rsid w:val="00491821"/>
    <w:rsid w:val="004918A2"/>
    <w:rsid w:val="00491B15"/>
    <w:rsid w:val="00491D98"/>
    <w:rsid w:val="00491DBD"/>
    <w:rsid w:val="00491EC2"/>
    <w:rsid w:val="00491F25"/>
    <w:rsid w:val="00491FE0"/>
    <w:rsid w:val="00491FF2"/>
    <w:rsid w:val="00492027"/>
    <w:rsid w:val="004920AB"/>
    <w:rsid w:val="004921D1"/>
    <w:rsid w:val="00492274"/>
    <w:rsid w:val="004922A4"/>
    <w:rsid w:val="00492539"/>
    <w:rsid w:val="0049258C"/>
    <w:rsid w:val="00492646"/>
    <w:rsid w:val="0049268C"/>
    <w:rsid w:val="0049271E"/>
    <w:rsid w:val="0049272B"/>
    <w:rsid w:val="0049279E"/>
    <w:rsid w:val="004927EF"/>
    <w:rsid w:val="0049281C"/>
    <w:rsid w:val="004928C3"/>
    <w:rsid w:val="00492B0E"/>
    <w:rsid w:val="00492B21"/>
    <w:rsid w:val="00492BCD"/>
    <w:rsid w:val="00492BD2"/>
    <w:rsid w:val="00492C2A"/>
    <w:rsid w:val="00492D01"/>
    <w:rsid w:val="00492D36"/>
    <w:rsid w:val="00492E45"/>
    <w:rsid w:val="00492ED4"/>
    <w:rsid w:val="00492FBB"/>
    <w:rsid w:val="00493061"/>
    <w:rsid w:val="00493085"/>
    <w:rsid w:val="00493111"/>
    <w:rsid w:val="00493142"/>
    <w:rsid w:val="0049316D"/>
    <w:rsid w:val="0049321C"/>
    <w:rsid w:val="004932AF"/>
    <w:rsid w:val="00493331"/>
    <w:rsid w:val="00493489"/>
    <w:rsid w:val="00493630"/>
    <w:rsid w:val="00493678"/>
    <w:rsid w:val="004936F8"/>
    <w:rsid w:val="0049372B"/>
    <w:rsid w:val="00493759"/>
    <w:rsid w:val="00493876"/>
    <w:rsid w:val="00493889"/>
    <w:rsid w:val="004939BC"/>
    <w:rsid w:val="004939F4"/>
    <w:rsid w:val="00493A32"/>
    <w:rsid w:val="00493AC9"/>
    <w:rsid w:val="00493B16"/>
    <w:rsid w:val="00493B2F"/>
    <w:rsid w:val="00493B48"/>
    <w:rsid w:val="00493B8E"/>
    <w:rsid w:val="00493BA3"/>
    <w:rsid w:val="00493D24"/>
    <w:rsid w:val="00493D2A"/>
    <w:rsid w:val="00493DB8"/>
    <w:rsid w:val="00493DBA"/>
    <w:rsid w:val="00493DF5"/>
    <w:rsid w:val="00493E1E"/>
    <w:rsid w:val="00493EB5"/>
    <w:rsid w:val="00493F54"/>
    <w:rsid w:val="004940BB"/>
    <w:rsid w:val="004941E8"/>
    <w:rsid w:val="0049424B"/>
    <w:rsid w:val="004942D1"/>
    <w:rsid w:val="004943A8"/>
    <w:rsid w:val="00494616"/>
    <w:rsid w:val="00494632"/>
    <w:rsid w:val="0049464D"/>
    <w:rsid w:val="00494739"/>
    <w:rsid w:val="004948DE"/>
    <w:rsid w:val="00494A54"/>
    <w:rsid w:val="00494AA1"/>
    <w:rsid w:val="00494AF4"/>
    <w:rsid w:val="00494BBD"/>
    <w:rsid w:val="00494C66"/>
    <w:rsid w:val="00494CDB"/>
    <w:rsid w:val="00494EB8"/>
    <w:rsid w:val="00494F5C"/>
    <w:rsid w:val="004951B6"/>
    <w:rsid w:val="00495205"/>
    <w:rsid w:val="0049527D"/>
    <w:rsid w:val="0049528A"/>
    <w:rsid w:val="00495353"/>
    <w:rsid w:val="004953D3"/>
    <w:rsid w:val="0049549E"/>
    <w:rsid w:val="0049550C"/>
    <w:rsid w:val="0049552A"/>
    <w:rsid w:val="0049560E"/>
    <w:rsid w:val="00495616"/>
    <w:rsid w:val="004956B9"/>
    <w:rsid w:val="004956C7"/>
    <w:rsid w:val="00495854"/>
    <w:rsid w:val="0049587F"/>
    <w:rsid w:val="0049591D"/>
    <w:rsid w:val="00495B15"/>
    <w:rsid w:val="00495B37"/>
    <w:rsid w:val="00495B4D"/>
    <w:rsid w:val="00495C2A"/>
    <w:rsid w:val="00495C39"/>
    <w:rsid w:val="00495CE3"/>
    <w:rsid w:val="00495D1D"/>
    <w:rsid w:val="00495DDA"/>
    <w:rsid w:val="00495E0A"/>
    <w:rsid w:val="00495E21"/>
    <w:rsid w:val="00495EA3"/>
    <w:rsid w:val="00495EC9"/>
    <w:rsid w:val="004960EF"/>
    <w:rsid w:val="00496102"/>
    <w:rsid w:val="004961A8"/>
    <w:rsid w:val="004961AB"/>
    <w:rsid w:val="00496264"/>
    <w:rsid w:val="004962EA"/>
    <w:rsid w:val="0049643F"/>
    <w:rsid w:val="004964C5"/>
    <w:rsid w:val="0049654F"/>
    <w:rsid w:val="004965B0"/>
    <w:rsid w:val="004965CF"/>
    <w:rsid w:val="00496635"/>
    <w:rsid w:val="00496739"/>
    <w:rsid w:val="004967B8"/>
    <w:rsid w:val="004967E7"/>
    <w:rsid w:val="00496822"/>
    <w:rsid w:val="004968DF"/>
    <w:rsid w:val="00496978"/>
    <w:rsid w:val="00496A7D"/>
    <w:rsid w:val="00496BB9"/>
    <w:rsid w:val="00496C48"/>
    <w:rsid w:val="00496E5E"/>
    <w:rsid w:val="00496E9F"/>
    <w:rsid w:val="00496F18"/>
    <w:rsid w:val="00497012"/>
    <w:rsid w:val="0049703C"/>
    <w:rsid w:val="00497040"/>
    <w:rsid w:val="0049704E"/>
    <w:rsid w:val="004970A0"/>
    <w:rsid w:val="004970A2"/>
    <w:rsid w:val="00497147"/>
    <w:rsid w:val="0049716C"/>
    <w:rsid w:val="004971FA"/>
    <w:rsid w:val="00497439"/>
    <w:rsid w:val="00497486"/>
    <w:rsid w:val="0049753C"/>
    <w:rsid w:val="004976A2"/>
    <w:rsid w:val="004976BD"/>
    <w:rsid w:val="004976DC"/>
    <w:rsid w:val="00497728"/>
    <w:rsid w:val="00497732"/>
    <w:rsid w:val="00497768"/>
    <w:rsid w:val="0049779D"/>
    <w:rsid w:val="004977F9"/>
    <w:rsid w:val="0049785E"/>
    <w:rsid w:val="004978EA"/>
    <w:rsid w:val="0049793C"/>
    <w:rsid w:val="0049794F"/>
    <w:rsid w:val="00497979"/>
    <w:rsid w:val="00497985"/>
    <w:rsid w:val="004979CA"/>
    <w:rsid w:val="00497A1F"/>
    <w:rsid w:val="00497A5E"/>
    <w:rsid w:val="00497AB7"/>
    <w:rsid w:val="00497B0D"/>
    <w:rsid w:val="00497B35"/>
    <w:rsid w:val="00497BED"/>
    <w:rsid w:val="00497C36"/>
    <w:rsid w:val="00497C4A"/>
    <w:rsid w:val="00497CA8"/>
    <w:rsid w:val="00497E20"/>
    <w:rsid w:val="00497ED1"/>
    <w:rsid w:val="00497F41"/>
    <w:rsid w:val="00497FF2"/>
    <w:rsid w:val="004A006A"/>
    <w:rsid w:val="004A0081"/>
    <w:rsid w:val="004A0155"/>
    <w:rsid w:val="004A0170"/>
    <w:rsid w:val="004A017C"/>
    <w:rsid w:val="004A02CA"/>
    <w:rsid w:val="004A02D7"/>
    <w:rsid w:val="004A037C"/>
    <w:rsid w:val="004A04CE"/>
    <w:rsid w:val="004A0530"/>
    <w:rsid w:val="004A059E"/>
    <w:rsid w:val="004A05A0"/>
    <w:rsid w:val="004A0696"/>
    <w:rsid w:val="004A06CE"/>
    <w:rsid w:val="004A07F2"/>
    <w:rsid w:val="004A0819"/>
    <w:rsid w:val="004A08B7"/>
    <w:rsid w:val="004A0BCD"/>
    <w:rsid w:val="004A0C0D"/>
    <w:rsid w:val="004A0C19"/>
    <w:rsid w:val="004A0C81"/>
    <w:rsid w:val="004A0CED"/>
    <w:rsid w:val="004A0D87"/>
    <w:rsid w:val="004A0DBF"/>
    <w:rsid w:val="004A0DC4"/>
    <w:rsid w:val="004A0E36"/>
    <w:rsid w:val="004A102C"/>
    <w:rsid w:val="004A1070"/>
    <w:rsid w:val="004A1079"/>
    <w:rsid w:val="004A10B9"/>
    <w:rsid w:val="004A117F"/>
    <w:rsid w:val="004A1323"/>
    <w:rsid w:val="004A1336"/>
    <w:rsid w:val="004A13CA"/>
    <w:rsid w:val="004A13F5"/>
    <w:rsid w:val="004A14E8"/>
    <w:rsid w:val="004A14F4"/>
    <w:rsid w:val="004A155A"/>
    <w:rsid w:val="004A1626"/>
    <w:rsid w:val="004A1690"/>
    <w:rsid w:val="004A1786"/>
    <w:rsid w:val="004A1915"/>
    <w:rsid w:val="004A19B0"/>
    <w:rsid w:val="004A1A32"/>
    <w:rsid w:val="004A1BAA"/>
    <w:rsid w:val="004A1BDF"/>
    <w:rsid w:val="004A1C13"/>
    <w:rsid w:val="004A1C82"/>
    <w:rsid w:val="004A1D2A"/>
    <w:rsid w:val="004A1D69"/>
    <w:rsid w:val="004A1D75"/>
    <w:rsid w:val="004A1E61"/>
    <w:rsid w:val="004A1EDB"/>
    <w:rsid w:val="004A1EFD"/>
    <w:rsid w:val="004A1FA2"/>
    <w:rsid w:val="004A1FDC"/>
    <w:rsid w:val="004A2335"/>
    <w:rsid w:val="004A2362"/>
    <w:rsid w:val="004A2372"/>
    <w:rsid w:val="004A24A0"/>
    <w:rsid w:val="004A253E"/>
    <w:rsid w:val="004A2571"/>
    <w:rsid w:val="004A26F8"/>
    <w:rsid w:val="004A2947"/>
    <w:rsid w:val="004A29F4"/>
    <w:rsid w:val="004A2BB4"/>
    <w:rsid w:val="004A2CD6"/>
    <w:rsid w:val="004A2D00"/>
    <w:rsid w:val="004A2E80"/>
    <w:rsid w:val="004A2F0A"/>
    <w:rsid w:val="004A3081"/>
    <w:rsid w:val="004A30EF"/>
    <w:rsid w:val="004A31A6"/>
    <w:rsid w:val="004A3223"/>
    <w:rsid w:val="004A325F"/>
    <w:rsid w:val="004A3307"/>
    <w:rsid w:val="004A3309"/>
    <w:rsid w:val="004A3316"/>
    <w:rsid w:val="004A33DF"/>
    <w:rsid w:val="004A3498"/>
    <w:rsid w:val="004A34C3"/>
    <w:rsid w:val="004A3536"/>
    <w:rsid w:val="004A35B2"/>
    <w:rsid w:val="004A3621"/>
    <w:rsid w:val="004A3626"/>
    <w:rsid w:val="004A36B3"/>
    <w:rsid w:val="004A36D8"/>
    <w:rsid w:val="004A374E"/>
    <w:rsid w:val="004A37F2"/>
    <w:rsid w:val="004A3897"/>
    <w:rsid w:val="004A38C1"/>
    <w:rsid w:val="004A39DB"/>
    <w:rsid w:val="004A3AC0"/>
    <w:rsid w:val="004A3B7F"/>
    <w:rsid w:val="004A3C45"/>
    <w:rsid w:val="004A3C94"/>
    <w:rsid w:val="004A3CAC"/>
    <w:rsid w:val="004A3CD4"/>
    <w:rsid w:val="004A3DE0"/>
    <w:rsid w:val="004A3F2E"/>
    <w:rsid w:val="004A3FDF"/>
    <w:rsid w:val="004A3FE4"/>
    <w:rsid w:val="004A41A1"/>
    <w:rsid w:val="004A42E3"/>
    <w:rsid w:val="004A4351"/>
    <w:rsid w:val="004A4421"/>
    <w:rsid w:val="004A4491"/>
    <w:rsid w:val="004A4559"/>
    <w:rsid w:val="004A4568"/>
    <w:rsid w:val="004A45BB"/>
    <w:rsid w:val="004A45E8"/>
    <w:rsid w:val="004A4649"/>
    <w:rsid w:val="004A467F"/>
    <w:rsid w:val="004A46A0"/>
    <w:rsid w:val="004A470C"/>
    <w:rsid w:val="004A4719"/>
    <w:rsid w:val="004A4724"/>
    <w:rsid w:val="004A4725"/>
    <w:rsid w:val="004A4790"/>
    <w:rsid w:val="004A4810"/>
    <w:rsid w:val="004A48BC"/>
    <w:rsid w:val="004A4903"/>
    <w:rsid w:val="004A4924"/>
    <w:rsid w:val="004A4995"/>
    <w:rsid w:val="004A49B9"/>
    <w:rsid w:val="004A4C28"/>
    <w:rsid w:val="004A4C70"/>
    <w:rsid w:val="004A4C93"/>
    <w:rsid w:val="004A4C9E"/>
    <w:rsid w:val="004A4CF4"/>
    <w:rsid w:val="004A4D28"/>
    <w:rsid w:val="004A4DB4"/>
    <w:rsid w:val="004A4DC8"/>
    <w:rsid w:val="004A4DF4"/>
    <w:rsid w:val="004A4E0E"/>
    <w:rsid w:val="004A4EA6"/>
    <w:rsid w:val="004A4F39"/>
    <w:rsid w:val="004A4F49"/>
    <w:rsid w:val="004A4F6D"/>
    <w:rsid w:val="004A50DE"/>
    <w:rsid w:val="004A5118"/>
    <w:rsid w:val="004A51C2"/>
    <w:rsid w:val="004A5200"/>
    <w:rsid w:val="004A5228"/>
    <w:rsid w:val="004A5232"/>
    <w:rsid w:val="004A523D"/>
    <w:rsid w:val="004A5374"/>
    <w:rsid w:val="004A53C4"/>
    <w:rsid w:val="004A5495"/>
    <w:rsid w:val="004A5782"/>
    <w:rsid w:val="004A5891"/>
    <w:rsid w:val="004A58A0"/>
    <w:rsid w:val="004A58CB"/>
    <w:rsid w:val="004A5923"/>
    <w:rsid w:val="004A598B"/>
    <w:rsid w:val="004A5B9D"/>
    <w:rsid w:val="004A5BD5"/>
    <w:rsid w:val="004A5C94"/>
    <w:rsid w:val="004A5CC9"/>
    <w:rsid w:val="004A5CD2"/>
    <w:rsid w:val="004A5E29"/>
    <w:rsid w:val="004A5E9F"/>
    <w:rsid w:val="004A609C"/>
    <w:rsid w:val="004A61B1"/>
    <w:rsid w:val="004A6344"/>
    <w:rsid w:val="004A6393"/>
    <w:rsid w:val="004A63B6"/>
    <w:rsid w:val="004A641C"/>
    <w:rsid w:val="004A645A"/>
    <w:rsid w:val="004A6510"/>
    <w:rsid w:val="004A6576"/>
    <w:rsid w:val="004A6704"/>
    <w:rsid w:val="004A6754"/>
    <w:rsid w:val="004A693D"/>
    <w:rsid w:val="004A69EE"/>
    <w:rsid w:val="004A6B2B"/>
    <w:rsid w:val="004A6CCB"/>
    <w:rsid w:val="004A6CF8"/>
    <w:rsid w:val="004A6D35"/>
    <w:rsid w:val="004A6EA3"/>
    <w:rsid w:val="004A6F6D"/>
    <w:rsid w:val="004A6F7B"/>
    <w:rsid w:val="004A6F83"/>
    <w:rsid w:val="004A7075"/>
    <w:rsid w:val="004A710E"/>
    <w:rsid w:val="004A7123"/>
    <w:rsid w:val="004A7161"/>
    <w:rsid w:val="004A71C3"/>
    <w:rsid w:val="004A71C5"/>
    <w:rsid w:val="004A71E3"/>
    <w:rsid w:val="004A7212"/>
    <w:rsid w:val="004A7268"/>
    <w:rsid w:val="004A7374"/>
    <w:rsid w:val="004A737E"/>
    <w:rsid w:val="004A73B2"/>
    <w:rsid w:val="004A7493"/>
    <w:rsid w:val="004A7566"/>
    <w:rsid w:val="004A75D5"/>
    <w:rsid w:val="004A7642"/>
    <w:rsid w:val="004A764D"/>
    <w:rsid w:val="004A7928"/>
    <w:rsid w:val="004A792B"/>
    <w:rsid w:val="004A79C2"/>
    <w:rsid w:val="004A7A1B"/>
    <w:rsid w:val="004A7A59"/>
    <w:rsid w:val="004A7AA5"/>
    <w:rsid w:val="004A7AF3"/>
    <w:rsid w:val="004A7BE6"/>
    <w:rsid w:val="004A7D2F"/>
    <w:rsid w:val="004A7D3B"/>
    <w:rsid w:val="004A7D88"/>
    <w:rsid w:val="004A7E89"/>
    <w:rsid w:val="004A7F09"/>
    <w:rsid w:val="004A7FCA"/>
    <w:rsid w:val="004B002A"/>
    <w:rsid w:val="004B0238"/>
    <w:rsid w:val="004B03E1"/>
    <w:rsid w:val="004B0477"/>
    <w:rsid w:val="004B05AF"/>
    <w:rsid w:val="004B05D9"/>
    <w:rsid w:val="004B0617"/>
    <w:rsid w:val="004B064A"/>
    <w:rsid w:val="004B08CF"/>
    <w:rsid w:val="004B08DD"/>
    <w:rsid w:val="004B091F"/>
    <w:rsid w:val="004B0948"/>
    <w:rsid w:val="004B09A8"/>
    <w:rsid w:val="004B0A1C"/>
    <w:rsid w:val="004B0A70"/>
    <w:rsid w:val="004B0A71"/>
    <w:rsid w:val="004B0B50"/>
    <w:rsid w:val="004B0BA8"/>
    <w:rsid w:val="004B0BE5"/>
    <w:rsid w:val="004B0CA2"/>
    <w:rsid w:val="004B0D1D"/>
    <w:rsid w:val="004B0E65"/>
    <w:rsid w:val="004B0E77"/>
    <w:rsid w:val="004B0EA6"/>
    <w:rsid w:val="004B0EE3"/>
    <w:rsid w:val="004B1029"/>
    <w:rsid w:val="004B1145"/>
    <w:rsid w:val="004B11DC"/>
    <w:rsid w:val="004B1233"/>
    <w:rsid w:val="004B1425"/>
    <w:rsid w:val="004B14EC"/>
    <w:rsid w:val="004B14F8"/>
    <w:rsid w:val="004B164F"/>
    <w:rsid w:val="004B1714"/>
    <w:rsid w:val="004B1783"/>
    <w:rsid w:val="004B17A7"/>
    <w:rsid w:val="004B1801"/>
    <w:rsid w:val="004B185B"/>
    <w:rsid w:val="004B18A5"/>
    <w:rsid w:val="004B18C3"/>
    <w:rsid w:val="004B18D1"/>
    <w:rsid w:val="004B191B"/>
    <w:rsid w:val="004B19B6"/>
    <w:rsid w:val="004B19FB"/>
    <w:rsid w:val="004B1A75"/>
    <w:rsid w:val="004B1BB1"/>
    <w:rsid w:val="004B1BE8"/>
    <w:rsid w:val="004B1D46"/>
    <w:rsid w:val="004B1DEC"/>
    <w:rsid w:val="004B1E06"/>
    <w:rsid w:val="004B1E2A"/>
    <w:rsid w:val="004B1EC5"/>
    <w:rsid w:val="004B1F5E"/>
    <w:rsid w:val="004B1F7C"/>
    <w:rsid w:val="004B2123"/>
    <w:rsid w:val="004B215A"/>
    <w:rsid w:val="004B2163"/>
    <w:rsid w:val="004B2360"/>
    <w:rsid w:val="004B248C"/>
    <w:rsid w:val="004B25B0"/>
    <w:rsid w:val="004B2689"/>
    <w:rsid w:val="004B275B"/>
    <w:rsid w:val="004B276A"/>
    <w:rsid w:val="004B27C3"/>
    <w:rsid w:val="004B2850"/>
    <w:rsid w:val="004B289B"/>
    <w:rsid w:val="004B28D3"/>
    <w:rsid w:val="004B28D8"/>
    <w:rsid w:val="004B28EA"/>
    <w:rsid w:val="004B299D"/>
    <w:rsid w:val="004B2A97"/>
    <w:rsid w:val="004B2B33"/>
    <w:rsid w:val="004B2C78"/>
    <w:rsid w:val="004B2D5B"/>
    <w:rsid w:val="004B2DC4"/>
    <w:rsid w:val="004B2DD8"/>
    <w:rsid w:val="004B2DE5"/>
    <w:rsid w:val="004B2E58"/>
    <w:rsid w:val="004B2ECD"/>
    <w:rsid w:val="004B2F56"/>
    <w:rsid w:val="004B3075"/>
    <w:rsid w:val="004B30DC"/>
    <w:rsid w:val="004B31F0"/>
    <w:rsid w:val="004B332F"/>
    <w:rsid w:val="004B3373"/>
    <w:rsid w:val="004B35B0"/>
    <w:rsid w:val="004B361A"/>
    <w:rsid w:val="004B375A"/>
    <w:rsid w:val="004B378A"/>
    <w:rsid w:val="004B37B6"/>
    <w:rsid w:val="004B37D0"/>
    <w:rsid w:val="004B387F"/>
    <w:rsid w:val="004B3B0A"/>
    <w:rsid w:val="004B3B5F"/>
    <w:rsid w:val="004B3BA6"/>
    <w:rsid w:val="004B3D04"/>
    <w:rsid w:val="004B3D46"/>
    <w:rsid w:val="004B3D5A"/>
    <w:rsid w:val="004B3D85"/>
    <w:rsid w:val="004B3DBE"/>
    <w:rsid w:val="004B3E24"/>
    <w:rsid w:val="004B402B"/>
    <w:rsid w:val="004B404F"/>
    <w:rsid w:val="004B4108"/>
    <w:rsid w:val="004B41B8"/>
    <w:rsid w:val="004B42A4"/>
    <w:rsid w:val="004B42BD"/>
    <w:rsid w:val="004B43B6"/>
    <w:rsid w:val="004B44FA"/>
    <w:rsid w:val="004B45C7"/>
    <w:rsid w:val="004B45CB"/>
    <w:rsid w:val="004B4657"/>
    <w:rsid w:val="004B4706"/>
    <w:rsid w:val="004B4800"/>
    <w:rsid w:val="004B490F"/>
    <w:rsid w:val="004B4A09"/>
    <w:rsid w:val="004B4A29"/>
    <w:rsid w:val="004B4AA2"/>
    <w:rsid w:val="004B4B03"/>
    <w:rsid w:val="004B4B24"/>
    <w:rsid w:val="004B4B58"/>
    <w:rsid w:val="004B4D4C"/>
    <w:rsid w:val="004B4DB4"/>
    <w:rsid w:val="004B4DF3"/>
    <w:rsid w:val="004B4E6D"/>
    <w:rsid w:val="004B4F25"/>
    <w:rsid w:val="004B5042"/>
    <w:rsid w:val="004B50C4"/>
    <w:rsid w:val="004B50EC"/>
    <w:rsid w:val="004B5179"/>
    <w:rsid w:val="004B520D"/>
    <w:rsid w:val="004B52EF"/>
    <w:rsid w:val="004B530E"/>
    <w:rsid w:val="004B5353"/>
    <w:rsid w:val="004B5360"/>
    <w:rsid w:val="004B541C"/>
    <w:rsid w:val="004B5547"/>
    <w:rsid w:val="004B5635"/>
    <w:rsid w:val="004B5640"/>
    <w:rsid w:val="004B5669"/>
    <w:rsid w:val="004B571A"/>
    <w:rsid w:val="004B580C"/>
    <w:rsid w:val="004B5895"/>
    <w:rsid w:val="004B5928"/>
    <w:rsid w:val="004B5D00"/>
    <w:rsid w:val="004B5D4E"/>
    <w:rsid w:val="004B5DAB"/>
    <w:rsid w:val="004B5DCD"/>
    <w:rsid w:val="004B5DD3"/>
    <w:rsid w:val="004B5DD5"/>
    <w:rsid w:val="004B5E27"/>
    <w:rsid w:val="004B5E7E"/>
    <w:rsid w:val="004B5F2B"/>
    <w:rsid w:val="004B5F75"/>
    <w:rsid w:val="004B5FB8"/>
    <w:rsid w:val="004B60BA"/>
    <w:rsid w:val="004B6123"/>
    <w:rsid w:val="004B6229"/>
    <w:rsid w:val="004B6306"/>
    <w:rsid w:val="004B6372"/>
    <w:rsid w:val="004B657B"/>
    <w:rsid w:val="004B6752"/>
    <w:rsid w:val="004B67AD"/>
    <w:rsid w:val="004B6887"/>
    <w:rsid w:val="004B694D"/>
    <w:rsid w:val="004B6A3F"/>
    <w:rsid w:val="004B6A5A"/>
    <w:rsid w:val="004B6ABA"/>
    <w:rsid w:val="004B6ACB"/>
    <w:rsid w:val="004B6B15"/>
    <w:rsid w:val="004B6EF7"/>
    <w:rsid w:val="004B6F93"/>
    <w:rsid w:val="004B6FA2"/>
    <w:rsid w:val="004B6FFC"/>
    <w:rsid w:val="004B70A5"/>
    <w:rsid w:val="004B71F7"/>
    <w:rsid w:val="004B71FF"/>
    <w:rsid w:val="004B7369"/>
    <w:rsid w:val="004B750C"/>
    <w:rsid w:val="004B75A4"/>
    <w:rsid w:val="004B75A7"/>
    <w:rsid w:val="004B765A"/>
    <w:rsid w:val="004B7690"/>
    <w:rsid w:val="004B76CB"/>
    <w:rsid w:val="004B76CC"/>
    <w:rsid w:val="004B7A08"/>
    <w:rsid w:val="004B7A1A"/>
    <w:rsid w:val="004B7A96"/>
    <w:rsid w:val="004B7AB7"/>
    <w:rsid w:val="004B7B55"/>
    <w:rsid w:val="004B7B6E"/>
    <w:rsid w:val="004B7BAF"/>
    <w:rsid w:val="004B7D12"/>
    <w:rsid w:val="004B7E2E"/>
    <w:rsid w:val="004B7E9D"/>
    <w:rsid w:val="004C0055"/>
    <w:rsid w:val="004C0061"/>
    <w:rsid w:val="004C00EC"/>
    <w:rsid w:val="004C0133"/>
    <w:rsid w:val="004C027E"/>
    <w:rsid w:val="004C0380"/>
    <w:rsid w:val="004C044D"/>
    <w:rsid w:val="004C04A9"/>
    <w:rsid w:val="004C0512"/>
    <w:rsid w:val="004C053B"/>
    <w:rsid w:val="004C0763"/>
    <w:rsid w:val="004C07C7"/>
    <w:rsid w:val="004C0989"/>
    <w:rsid w:val="004C09B0"/>
    <w:rsid w:val="004C0A68"/>
    <w:rsid w:val="004C0BA0"/>
    <w:rsid w:val="004C0BDC"/>
    <w:rsid w:val="004C0C98"/>
    <w:rsid w:val="004C0CF2"/>
    <w:rsid w:val="004C0D28"/>
    <w:rsid w:val="004C0D98"/>
    <w:rsid w:val="004C0E9D"/>
    <w:rsid w:val="004C0EB9"/>
    <w:rsid w:val="004C0F2A"/>
    <w:rsid w:val="004C0FF4"/>
    <w:rsid w:val="004C1005"/>
    <w:rsid w:val="004C1021"/>
    <w:rsid w:val="004C1031"/>
    <w:rsid w:val="004C1042"/>
    <w:rsid w:val="004C10F8"/>
    <w:rsid w:val="004C1147"/>
    <w:rsid w:val="004C1151"/>
    <w:rsid w:val="004C1164"/>
    <w:rsid w:val="004C11A4"/>
    <w:rsid w:val="004C11B0"/>
    <w:rsid w:val="004C124E"/>
    <w:rsid w:val="004C1300"/>
    <w:rsid w:val="004C1357"/>
    <w:rsid w:val="004C15E6"/>
    <w:rsid w:val="004C161A"/>
    <w:rsid w:val="004C172E"/>
    <w:rsid w:val="004C199C"/>
    <w:rsid w:val="004C1A2D"/>
    <w:rsid w:val="004C1A77"/>
    <w:rsid w:val="004C1B29"/>
    <w:rsid w:val="004C1C17"/>
    <w:rsid w:val="004C1C83"/>
    <w:rsid w:val="004C1CB1"/>
    <w:rsid w:val="004C1DF3"/>
    <w:rsid w:val="004C1E81"/>
    <w:rsid w:val="004C2089"/>
    <w:rsid w:val="004C20A1"/>
    <w:rsid w:val="004C2110"/>
    <w:rsid w:val="004C214F"/>
    <w:rsid w:val="004C2189"/>
    <w:rsid w:val="004C21B5"/>
    <w:rsid w:val="004C21DC"/>
    <w:rsid w:val="004C22AD"/>
    <w:rsid w:val="004C2301"/>
    <w:rsid w:val="004C23F6"/>
    <w:rsid w:val="004C2430"/>
    <w:rsid w:val="004C24B0"/>
    <w:rsid w:val="004C24DC"/>
    <w:rsid w:val="004C25F5"/>
    <w:rsid w:val="004C2644"/>
    <w:rsid w:val="004C26B8"/>
    <w:rsid w:val="004C2740"/>
    <w:rsid w:val="004C2790"/>
    <w:rsid w:val="004C285A"/>
    <w:rsid w:val="004C2891"/>
    <w:rsid w:val="004C289B"/>
    <w:rsid w:val="004C2A2F"/>
    <w:rsid w:val="004C2AF5"/>
    <w:rsid w:val="004C2C0B"/>
    <w:rsid w:val="004C2C83"/>
    <w:rsid w:val="004C2C8F"/>
    <w:rsid w:val="004C2EA5"/>
    <w:rsid w:val="004C3022"/>
    <w:rsid w:val="004C3069"/>
    <w:rsid w:val="004C3089"/>
    <w:rsid w:val="004C30A5"/>
    <w:rsid w:val="004C30CC"/>
    <w:rsid w:val="004C3104"/>
    <w:rsid w:val="004C3168"/>
    <w:rsid w:val="004C320F"/>
    <w:rsid w:val="004C322E"/>
    <w:rsid w:val="004C325A"/>
    <w:rsid w:val="004C340D"/>
    <w:rsid w:val="004C34D9"/>
    <w:rsid w:val="004C3539"/>
    <w:rsid w:val="004C3595"/>
    <w:rsid w:val="004C377D"/>
    <w:rsid w:val="004C379F"/>
    <w:rsid w:val="004C37A4"/>
    <w:rsid w:val="004C387B"/>
    <w:rsid w:val="004C392D"/>
    <w:rsid w:val="004C3942"/>
    <w:rsid w:val="004C3AF3"/>
    <w:rsid w:val="004C3B04"/>
    <w:rsid w:val="004C3B63"/>
    <w:rsid w:val="004C3BE8"/>
    <w:rsid w:val="004C3CA8"/>
    <w:rsid w:val="004C3CAF"/>
    <w:rsid w:val="004C3EE3"/>
    <w:rsid w:val="004C3FFA"/>
    <w:rsid w:val="004C42CF"/>
    <w:rsid w:val="004C445A"/>
    <w:rsid w:val="004C44C2"/>
    <w:rsid w:val="004C44CC"/>
    <w:rsid w:val="004C45B3"/>
    <w:rsid w:val="004C45F3"/>
    <w:rsid w:val="004C467C"/>
    <w:rsid w:val="004C47D7"/>
    <w:rsid w:val="004C4868"/>
    <w:rsid w:val="004C487E"/>
    <w:rsid w:val="004C48DC"/>
    <w:rsid w:val="004C49AB"/>
    <w:rsid w:val="004C49BD"/>
    <w:rsid w:val="004C4B03"/>
    <w:rsid w:val="004C4B66"/>
    <w:rsid w:val="004C4CBF"/>
    <w:rsid w:val="004C4D13"/>
    <w:rsid w:val="004C4D32"/>
    <w:rsid w:val="004C4DE7"/>
    <w:rsid w:val="004C4FED"/>
    <w:rsid w:val="004C5150"/>
    <w:rsid w:val="004C51EF"/>
    <w:rsid w:val="004C5280"/>
    <w:rsid w:val="004C531E"/>
    <w:rsid w:val="004C538C"/>
    <w:rsid w:val="004C538D"/>
    <w:rsid w:val="004C545D"/>
    <w:rsid w:val="004C54A2"/>
    <w:rsid w:val="004C54CC"/>
    <w:rsid w:val="004C56EC"/>
    <w:rsid w:val="004C57B2"/>
    <w:rsid w:val="004C58FD"/>
    <w:rsid w:val="004C5945"/>
    <w:rsid w:val="004C59F5"/>
    <w:rsid w:val="004C5A9E"/>
    <w:rsid w:val="004C5AA5"/>
    <w:rsid w:val="004C5D45"/>
    <w:rsid w:val="004C5DF5"/>
    <w:rsid w:val="004C5E28"/>
    <w:rsid w:val="004C5F08"/>
    <w:rsid w:val="004C5F19"/>
    <w:rsid w:val="004C5FC5"/>
    <w:rsid w:val="004C608C"/>
    <w:rsid w:val="004C60A8"/>
    <w:rsid w:val="004C6258"/>
    <w:rsid w:val="004C6316"/>
    <w:rsid w:val="004C63D7"/>
    <w:rsid w:val="004C6426"/>
    <w:rsid w:val="004C650E"/>
    <w:rsid w:val="004C6544"/>
    <w:rsid w:val="004C6686"/>
    <w:rsid w:val="004C6694"/>
    <w:rsid w:val="004C67A1"/>
    <w:rsid w:val="004C67E4"/>
    <w:rsid w:val="004C6873"/>
    <w:rsid w:val="004C68A4"/>
    <w:rsid w:val="004C6B3C"/>
    <w:rsid w:val="004C6C20"/>
    <w:rsid w:val="004C6CAB"/>
    <w:rsid w:val="004C6CC6"/>
    <w:rsid w:val="004C6CF6"/>
    <w:rsid w:val="004C6D30"/>
    <w:rsid w:val="004C6D70"/>
    <w:rsid w:val="004C6EE9"/>
    <w:rsid w:val="004C6FE8"/>
    <w:rsid w:val="004C7073"/>
    <w:rsid w:val="004C70CA"/>
    <w:rsid w:val="004C7110"/>
    <w:rsid w:val="004C7121"/>
    <w:rsid w:val="004C7182"/>
    <w:rsid w:val="004C7185"/>
    <w:rsid w:val="004C71FD"/>
    <w:rsid w:val="004C726E"/>
    <w:rsid w:val="004C73BF"/>
    <w:rsid w:val="004C73CE"/>
    <w:rsid w:val="004C7478"/>
    <w:rsid w:val="004C7511"/>
    <w:rsid w:val="004C76AF"/>
    <w:rsid w:val="004C76C5"/>
    <w:rsid w:val="004C7892"/>
    <w:rsid w:val="004C7BDE"/>
    <w:rsid w:val="004C7C2C"/>
    <w:rsid w:val="004C7DD9"/>
    <w:rsid w:val="004C7E03"/>
    <w:rsid w:val="004C7E36"/>
    <w:rsid w:val="004C7F59"/>
    <w:rsid w:val="004D0264"/>
    <w:rsid w:val="004D02F1"/>
    <w:rsid w:val="004D0324"/>
    <w:rsid w:val="004D0329"/>
    <w:rsid w:val="004D03D1"/>
    <w:rsid w:val="004D0443"/>
    <w:rsid w:val="004D0460"/>
    <w:rsid w:val="004D0640"/>
    <w:rsid w:val="004D06B1"/>
    <w:rsid w:val="004D0B07"/>
    <w:rsid w:val="004D0B56"/>
    <w:rsid w:val="004D0B9C"/>
    <w:rsid w:val="004D0BD7"/>
    <w:rsid w:val="004D0C39"/>
    <w:rsid w:val="004D0C83"/>
    <w:rsid w:val="004D0CA5"/>
    <w:rsid w:val="004D0D19"/>
    <w:rsid w:val="004D0E77"/>
    <w:rsid w:val="004D0E78"/>
    <w:rsid w:val="004D0EC8"/>
    <w:rsid w:val="004D0F01"/>
    <w:rsid w:val="004D108F"/>
    <w:rsid w:val="004D1141"/>
    <w:rsid w:val="004D1172"/>
    <w:rsid w:val="004D11BD"/>
    <w:rsid w:val="004D11F7"/>
    <w:rsid w:val="004D1220"/>
    <w:rsid w:val="004D12A0"/>
    <w:rsid w:val="004D12BF"/>
    <w:rsid w:val="004D12F1"/>
    <w:rsid w:val="004D146B"/>
    <w:rsid w:val="004D173F"/>
    <w:rsid w:val="004D17B8"/>
    <w:rsid w:val="004D1905"/>
    <w:rsid w:val="004D1917"/>
    <w:rsid w:val="004D19A7"/>
    <w:rsid w:val="004D1A18"/>
    <w:rsid w:val="004D1A80"/>
    <w:rsid w:val="004D1AE0"/>
    <w:rsid w:val="004D1C19"/>
    <w:rsid w:val="004D1D0C"/>
    <w:rsid w:val="004D1DFD"/>
    <w:rsid w:val="004D1E13"/>
    <w:rsid w:val="004D1E14"/>
    <w:rsid w:val="004D1E60"/>
    <w:rsid w:val="004D1FC0"/>
    <w:rsid w:val="004D1FCB"/>
    <w:rsid w:val="004D2020"/>
    <w:rsid w:val="004D2082"/>
    <w:rsid w:val="004D2157"/>
    <w:rsid w:val="004D221E"/>
    <w:rsid w:val="004D2257"/>
    <w:rsid w:val="004D22A0"/>
    <w:rsid w:val="004D22AE"/>
    <w:rsid w:val="004D22CE"/>
    <w:rsid w:val="004D25DD"/>
    <w:rsid w:val="004D2669"/>
    <w:rsid w:val="004D271C"/>
    <w:rsid w:val="004D2779"/>
    <w:rsid w:val="004D29A9"/>
    <w:rsid w:val="004D2A7C"/>
    <w:rsid w:val="004D2A8C"/>
    <w:rsid w:val="004D2B79"/>
    <w:rsid w:val="004D2B8F"/>
    <w:rsid w:val="004D2C24"/>
    <w:rsid w:val="004D2C50"/>
    <w:rsid w:val="004D2C53"/>
    <w:rsid w:val="004D2C82"/>
    <w:rsid w:val="004D2D0D"/>
    <w:rsid w:val="004D2D4E"/>
    <w:rsid w:val="004D2D70"/>
    <w:rsid w:val="004D2FE8"/>
    <w:rsid w:val="004D30B7"/>
    <w:rsid w:val="004D30D0"/>
    <w:rsid w:val="004D30DE"/>
    <w:rsid w:val="004D312F"/>
    <w:rsid w:val="004D320D"/>
    <w:rsid w:val="004D3247"/>
    <w:rsid w:val="004D32E4"/>
    <w:rsid w:val="004D32EB"/>
    <w:rsid w:val="004D346D"/>
    <w:rsid w:val="004D34A4"/>
    <w:rsid w:val="004D34C8"/>
    <w:rsid w:val="004D352E"/>
    <w:rsid w:val="004D363A"/>
    <w:rsid w:val="004D36A9"/>
    <w:rsid w:val="004D36D3"/>
    <w:rsid w:val="004D374E"/>
    <w:rsid w:val="004D38F1"/>
    <w:rsid w:val="004D390D"/>
    <w:rsid w:val="004D3937"/>
    <w:rsid w:val="004D3A96"/>
    <w:rsid w:val="004D3B2F"/>
    <w:rsid w:val="004D3C60"/>
    <w:rsid w:val="004D3C97"/>
    <w:rsid w:val="004D3CA8"/>
    <w:rsid w:val="004D3E4A"/>
    <w:rsid w:val="004D3E72"/>
    <w:rsid w:val="004D3FE1"/>
    <w:rsid w:val="004D4042"/>
    <w:rsid w:val="004D4130"/>
    <w:rsid w:val="004D41B1"/>
    <w:rsid w:val="004D4210"/>
    <w:rsid w:val="004D436D"/>
    <w:rsid w:val="004D44F4"/>
    <w:rsid w:val="004D4506"/>
    <w:rsid w:val="004D46A1"/>
    <w:rsid w:val="004D4789"/>
    <w:rsid w:val="004D4942"/>
    <w:rsid w:val="004D499E"/>
    <w:rsid w:val="004D49A1"/>
    <w:rsid w:val="004D4A8E"/>
    <w:rsid w:val="004D4AF6"/>
    <w:rsid w:val="004D4B42"/>
    <w:rsid w:val="004D4BD4"/>
    <w:rsid w:val="004D4CA8"/>
    <w:rsid w:val="004D4D82"/>
    <w:rsid w:val="004D5009"/>
    <w:rsid w:val="004D5019"/>
    <w:rsid w:val="004D506D"/>
    <w:rsid w:val="004D507B"/>
    <w:rsid w:val="004D522C"/>
    <w:rsid w:val="004D5236"/>
    <w:rsid w:val="004D536E"/>
    <w:rsid w:val="004D539F"/>
    <w:rsid w:val="004D5461"/>
    <w:rsid w:val="004D5477"/>
    <w:rsid w:val="004D5512"/>
    <w:rsid w:val="004D554D"/>
    <w:rsid w:val="004D5555"/>
    <w:rsid w:val="004D555B"/>
    <w:rsid w:val="004D5564"/>
    <w:rsid w:val="004D55D6"/>
    <w:rsid w:val="004D5603"/>
    <w:rsid w:val="004D5798"/>
    <w:rsid w:val="004D590B"/>
    <w:rsid w:val="004D596A"/>
    <w:rsid w:val="004D5980"/>
    <w:rsid w:val="004D5999"/>
    <w:rsid w:val="004D5AFF"/>
    <w:rsid w:val="004D5B3C"/>
    <w:rsid w:val="004D5BD0"/>
    <w:rsid w:val="004D5F5F"/>
    <w:rsid w:val="004D5F89"/>
    <w:rsid w:val="004D6019"/>
    <w:rsid w:val="004D60EA"/>
    <w:rsid w:val="004D6123"/>
    <w:rsid w:val="004D6152"/>
    <w:rsid w:val="004D61AB"/>
    <w:rsid w:val="004D6233"/>
    <w:rsid w:val="004D6244"/>
    <w:rsid w:val="004D62CD"/>
    <w:rsid w:val="004D62F4"/>
    <w:rsid w:val="004D63D4"/>
    <w:rsid w:val="004D6450"/>
    <w:rsid w:val="004D659F"/>
    <w:rsid w:val="004D6615"/>
    <w:rsid w:val="004D6653"/>
    <w:rsid w:val="004D6760"/>
    <w:rsid w:val="004D6769"/>
    <w:rsid w:val="004D67D2"/>
    <w:rsid w:val="004D67E6"/>
    <w:rsid w:val="004D6875"/>
    <w:rsid w:val="004D69B3"/>
    <w:rsid w:val="004D6AF7"/>
    <w:rsid w:val="004D6CA5"/>
    <w:rsid w:val="004D6E3D"/>
    <w:rsid w:val="004D6E68"/>
    <w:rsid w:val="004D6EB6"/>
    <w:rsid w:val="004D6FC0"/>
    <w:rsid w:val="004D71E1"/>
    <w:rsid w:val="004D7206"/>
    <w:rsid w:val="004D726B"/>
    <w:rsid w:val="004D7281"/>
    <w:rsid w:val="004D72CE"/>
    <w:rsid w:val="004D733E"/>
    <w:rsid w:val="004D7418"/>
    <w:rsid w:val="004D746D"/>
    <w:rsid w:val="004D74FE"/>
    <w:rsid w:val="004D7562"/>
    <w:rsid w:val="004D75F5"/>
    <w:rsid w:val="004D7655"/>
    <w:rsid w:val="004D782A"/>
    <w:rsid w:val="004D79B5"/>
    <w:rsid w:val="004D79EC"/>
    <w:rsid w:val="004D7AC3"/>
    <w:rsid w:val="004D7B16"/>
    <w:rsid w:val="004D7B19"/>
    <w:rsid w:val="004D7B92"/>
    <w:rsid w:val="004D7C06"/>
    <w:rsid w:val="004D7C17"/>
    <w:rsid w:val="004D7C35"/>
    <w:rsid w:val="004D7C4A"/>
    <w:rsid w:val="004D7CF8"/>
    <w:rsid w:val="004D7D4B"/>
    <w:rsid w:val="004D7E53"/>
    <w:rsid w:val="004D7EBE"/>
    <w:rsid w:val="004D7EC5"/>
    <w:rsid w:val="004D7F36"/>
    <w:rsid w:val="004D7F47"/>
    <w:rsid w:val="004E002A"/>
    <w:rsid w:val="004E00A2"/>
    <w:rsid w:val="004E012C"/>
    <w:rsid w:val="004E01CB"/>
    <w:rsid w:val="004E0248"/>
    <w:rsid w:val="004E02A1"/>
    <w:rsid w:val="004E0461"/>
    <w:rsid w:val="004E049B"/>
    <w:rsid w:val="004E04BA"/>
    <w:rsid w:val="004E052F"/>
    <w:rsid w:val="004E054B"/>
    <w:rsid w:val="004E057E"/>
    <w:rsid w:val="004E05E0"/>
    <w:rsid w:val="004E0678"/>
    <w:rsid w:val="004E0682"/>
    <w:rsid w:val="004E06B1"/>
    <w:rsid w:val="004E06D5"/>
    <w:rsid w:val="004E0780"/>
    <w:rsid w:val="004E0787"/>
    <w:rsid w:val="004E07AC"/>
    <w:rsid w:val="004E07C0"/>
    <w:rsid w:val="004E086A"/>
    <w:rsid w:val="004E08E9"/>
    <w:rsid w:val="004E09FC"/>
    <w:rsid w:val="004E0A33"/>
    <w:rsid w:val="004E0AD9"/>
    <w:rsid w:val="004E0AE6"/>
    <w:rsid w:val="004E0D51"/>
    <w:rsid w:val="004E0DFE"/>
    <w:rsid w:val="004E0E43"/>
    <w:rsid w:val="004E0E78"/>
    <w:rsid w:val="004E0EBF"/>
    <w:rsid w:val="004E11DB"/>
    <w:rsid w:val="004E1268"/>
    <w:rsid w:val="004E1325"/>
    <w:rsid w:val="004E13AC"/>
    <w:rsid w:val="004E13E8"/>
    <w:rsid w:val="004E142F"/>
    <w:rsid w:val="004E14A0"/>
    <w:rsid w:val="004E1568"/>
    <w:rsid w:val="004E167B"/>
    <w:rsid w:val="004E16D0"/>
    <w:rsid w:val="004E1764"/>
    <w:rsid w:val="004E177E"/>
    <w:rsid w:val="004E1830"/>
    <w:rsid w:val="004E1892"/>
    <w:rsid w:val="004E18B2"/>
    <w:rsid w:val="004E1923"/>
    <w:rsid w:val="004E194D"/>
    <w:rsid w:val="004E195C"/>
    <w:rsid w:val="004E1970"/>
    <w:rsid w:val="004E1980"/>
    <w:rsid w:val="004E1A39"/>
    <w:rsid w:val="004E1AF9"/>
    <w:rsid w:val="004E1B35"/>
    <w:rsid w:val="004E1C12"/>
    <w:rsid w:val="004E1DA3"/>
    <w:rsid w:val="004E1EEF"/>
    <w:rsid w:val="004E1F20"/>
    <w:rsid w:val="004E1F78"/>
    <w:rsid w:val="004E20F6"/>
    <w:rsid w:val="004E212B"/>
    <w:rsid w:val="004E21ED"/>
    <w:rsid w:val="004E21FC"/>
    <w:rsid w:val="004E222E"/>
    <w:rsid w:val="004E2388"/>
    <w:rsid w:val="004E23B7"/>
    <w:rsid w:val="004E2413"/>
    <w:rsid w:val="004E249B"/>
    <w:rsid w:val="004E24CD"/>
    <w:rsid w:val="004E259C"/>
    <w:rsid w:val="004E259E"/>
    <w:rsid w:val="004E25C5"/>
    <w:rsid w:val="004E25CF"/>
    <w:rsid w:val="004E260C"/>
    <w:rsid w:val="004E26C0"/>
    <w:rsid w:val="004E27D1"/>
    <w:rsid w:val="004E27EE"/>
    <w:rsid w:val="004E287B"/>
    <w:rsid w:val="004E291E"/>
    <w:rsid w:val="004E29F5"/>
    <w:rsid w:val="004E29FA"/>
    <w:rsid w:val="004E2A7F"/>
    <w:rsid w:val="004E2AC2"/>
    <w:rsid w:val="004E2B33"/>
    <w:rsid w:val="004E2C13"/>
    <w:rsid w:val="004E2D53"/>
    <w:rsid w:val="004E2D8D"/>
    <w:rsid w:val="004E2E40"/>
    <w:rsid w:val="004E2E69"/>
    <w:rsid w:val="004E2E76"/>
    <w:rsid w:val="004E2EBA"/>
    <w:rsid w:val="004E2FD6"/>
    <w:rsid w:val="004E3049"/>
    <w:rsid w:val="004E3063"/>
    <w:rsid w:val="004E30B8"/>
    <w:rsid w:val="004E30F8"/>
    <w:rsid w:val="004E3178"/>
    <w:rsid w:val="004E31A7"/>
    <w:rsid w:val="004E31BA"/>
    <w:rsid w:val="004E3207"/>
    <w:rsid w:val="004E3269"/>
    <w:rsid w:val="004E3313"/>
    <w:rsid w:val="004E3380"/>
    <w:rsid w:val="004E34DB"/>
    <w:rsid w:val="004E3533"/>
    <w:rsid w:val="004E3572"/>
    <w:rsid w:val="004E35C7"/>
    <w:rsid w:val="004E35D2"/>
    <w:rsid w:val="004E3669"/>
    <w:rsid w:val="004E36B4"/>
    <w:rsid w:val="004E373D"/>
    <w:rsid w:val="004E37A6"/>
    <w:rsid w:val="004E3813"/>
    <w:rsid w:val="004E392F"/>
    <w:rsid w:val="004E39B5"/>
    <w:rsid w:val="004E3B4F"/>
    <w:rsid w:val="004E3B78"/>
    <w:rsid w:val="004E3C86"/>
    <w:rsid w:val="004E3D07"/>
    <w:rsid w:val="004E3D52"/>
    <w:rsid w:val="004E3DBB"/>
    <w:rsid w:val="004E3DEF"/>
    <w:rsid w:val="004E3EE8"/>
    <w:rsid w:val="004E3F0E"/>
    <w:rsid w:val="004E3F23"/>
    <w:rsid w:val="004E3FC5"/>
    <w:rsid w:val="004E4049"/>
    <w:rsid w:val="004E415B"/>
    <w:rsid w:val="004E42E3"/>
    <w:rsid w:val="004E42E5"/>
    <w:rsid w:val="004E43F8"/>
    <w:rsid w:val="004E4483"/>
    <w:rsid w:val="004E44C7"/>
    <w:rsid w:val="004E457D"/>
    <w:rsid w:val="004E45B8"/>
    <w:rsid w:val="004E47A8"/>
    <w:rsid w:val="004E4A1F"/>
    <w:rsid w:val="004E4A30"/>
    <w:rsid w:val="004E4A73"/>
    <w:rsid w:val="004E4B9E"/>
    <w:rsid w:val="004E4BF1"/>
    <w:rsid w:val="004E4C69"/>
    <w:rsid w:val="004E4EB1"/>
    <w:rsid w:val="004E4F73"/>
    <w:rsid w:val="004E4F81"/>
    <w:rsid w:val="004E50C7"/>
    <w:rsid w:val="004E512A"/>
    <w:rsid w:val="004E5190"/>
    <w:rsid w:val="004E524C"/>
    <w:rsid w:val="004E5317"/>
    <w:rsid w:val="004E544D"/>
    <w:rsid w:val="004E5485"/>
    <w:rsid w:val="004E54B6"/>
    <w:rsid w:val="004E5568"/>
    <w:rsid w:val="004E55B8"/>
    <w:rsid w:val="004E55CC"/>
    <w:rsid w:val="004E5650"/>
    <w:rsid w:val="004E56C9"/>
    <w:rsid w:val="004E59DB"/>
    <w:rsid w:val="004E59F4"/>
    <w:rsid w:val="004E5A2A"/>
    <w:rsid w:val="004E5A2E"/>
    <w:rsid w:val="004E5A6D"/>
    <w:rsid w:val="004E5A72"/>
    <w:rsid w:val="004E5A94"/>
    <w:rsid w:val="004E5A9B"/>
    <w:rsid w:val="004E5AD1"/>
    <w:rsid w:val="004E5AE4"/>
    <w:rsid w:val="004E5BD4"/>
    <w:rsid w:val="004E5C18"/>
    <w:rsid w:val="004E5D04"/>
    <w:rsid w:val="004E5D12"/>
    <w:rsid w:val="004E5EB5"/>
    <w:rsid w:val="004E5F3D"/>
    <w:rsid w:val="004E6051"/>
    <w:rsid w:val="004E6065"/>
    <w:rsid w:val="004E61CB"/>
    <w:rsid w:val="004E6263"/>
    <w:rsid w:val="004E627D"/>
    <w:rsid w:val="004E62C2"/>
    <w:rsid w:val="004E651E"/>
    <w:rsid w:val="004E65F1"/>
    <w:rsid w:val="004E65F6"/>
    <w:rsid w:val="004E666D"/>
    <w:rsid w:val="004E6719"/>
    <w:rsid w:val="004E68C1"/>
    <w:rsid w:val="004E6A03"/>
    <w:rsid w:val="004E6A43"/>
    <w:rsid w:val="004E6B2E"/>
    <w:rsid w:val="004E6B39"/>
    <w:rsid w:val="004E6B5A"/>
    <w:rsid w:val="004E6B82"/>
    <w:rsid w:val="004E6C2A"/>
    <w:rsid w:val="004E6D37"/>
    <w:rsid w:val="004E6EBE"/>
    <w:rsid w:val="004E6FF2"/>
    <w:rsid w:val="004E6FFE"/>
    <w:rsid w:val="004E7044"/>
    <w:rsid w:val="004E706C"/>
    <w:rsid w:val="004E70F0"/>
    <w:rsid w:val="004E717E"/>
    <w:rsid w:val="004E71A4"/>
    <w:rsid w:val="004E720B"/>
    <w:rsid w:val="004E72F5"/>
    <w:rsid w:val="004E72F9"/>
    <w:rsid w:val="004E73C9"/>
    <w:rsid w:val="004E7406"/>
    <w:rsid w:val="004E764B"/>
    <w:rsid w:val="004E7738"/>
    <w:rsid w:val="004E7792"/>
    <w:rsid w:val="004E7861"/>
    <w:rsid w:val="004E78D5"/>
    <w:rsid w:val="004E79AA"/>
    <w:rsid w:val="004E79FD"/>
    <w:rsid w:val="004E7B85"/>
    <w:rsid w:val="004E7B91"/>
    <w:rsid w:val="004E7C0C"/>
    <w:rsid w:val="004E7C75"/>
    <w:rsid w:val="004E7D5F"/>
    <w:rsid w:val="004E7D64"/>
    <w:rsid w:val="004E7DA1"/>
    <w:rsid w:val="004E7DC0"/>
    <w:rsid w:val="004E7DFD"/>
    <w:rsid w:val="004E7E02"/>
    <w:rsid w:val="004E7E20"/>
    <w:rsid w:val="004E7E57"/>
    <w:rsid w:val="004E7E92"/>
    <w:rsid w:val="004E7F59"/>
    <w:rsid w:val="004E7F71"/>
    <w:rsid w:val="004F0011"/>
    <w:rsid w:val="004F00E3"/>
    <w:rsid w:val="004F0112"/>
    <w:rsid w:val="004F0210"/>
    <w:rsid w:val="004F0229"/>
    <w:rsid w:val="004F0245"/>
    <w:rsid w:val="004F0301"/>
    <w:rsid w:val="004F038A"/>
    <w:rsid w:val="004F05C4"/>
    <w:rsid w:val="004F0726"/>
    <w:rsid w:val="004F080B"/>
    <w:rsid w:val="004F08F9"/>
    <w:rsid w:val="004F094E"/>
    <w:rsid w:val="004F0A62"/>
    <w:rsid w:val="004F0AAA"/>
    <w:rsid w:val="004F0ADD"/>
    <w:rsid w:val="004F0B48"/>
    <w:rsid w:val="004F0B7F"/>
    <w:rsid w:val="004F0B8C"/>
    <w:rsid w:val="004F0D2A"/>
    <w:rsid w:val="004F0D44"/>
    <w:rsid w:val="004F0D77"/>
    <w:rsid w:val="004F0D87"/>
    <w:rsid w:val="004F0D8C"/>
    <w:rsid w:val="004F0EA3"/>
    <w:rsid w:val="004F0F48"/>
    <w:rsid w:val="004F0F7E"/>
    <w:rsid w:val="004F10FC"/>
    <w:rsid w:val="004F1330"/>
    <w:rsid w:val="004F13C6"/>
    <w:rsid w:val="004F14DA"/>
    <w:rsid w:val="004F15B1"/>
    <w:rsid w:val="004F15BD"/>
    <w:rsid w:val="004F160C"/>
    <w:rsid w:val="004F173C"/>
    <w:rsid w:val="004F186D"/>
    <w:rsid w:val="004F1976"/>
    <w:rsid w:val="004F1AED"/>
    <w:rsid w:val="004F1B10"/>
    <w:rsid w:val="004F1C40"/>
    <w:rsid w:val="004F1CE6"/>
    <w:rsid w:val="004F1D00"/>
    <w:rsid w:val="004F1DFF"/>
    <w:rsid w:val="004F1EC1"/>
    <w:rsid w:val="004F1EC9"/>
    <w:rsid w:val="004F1ECF"/>
    <w:rsid w:val="004F1F03"/>
    <w:rsid w:val="004F1F97"/>
    <w:rsid w:val="004F2263"/>
    <w:rsid w:val="004F22A6"/>
    <w:rsid w:val="004F22F8"/>
    <w:rsid w:val="004F232D"/>
    <w:rsid w:val="004F232E"/>
    <w:rsid w:val="004F2402"/>
    <w:rsid w:val="004F24D4"/>
    <w:rsid w:val="004F2659"/>
    <w:rsid w:val="004F26B4"/>
    <w:rsid w:val="004F26C9"/>
    <w:rsid w:val="004F26CC"/>
    <w:rsid w:val="004F26D5"/>
    <w:rsid w:val="004F27C3"/>
    <w:rsid w:val="004F28CF"/>
    <w:rsid w:val="004F28F6"/>
    <w:rsid w:val="004F2A68"/>
    <w:rsid w:val="004F2BA4"/>
    <w:rsid w:val="004F2C56"/>
    <w:rsid w:val="004F2CB2"/>
    <w:rsid w:val="004F2CE4"/>
    <w:rsid w:val="004F2EC6"/>
    <w:rsid w:val="004F2F52"/>
    <w:rsid w:val="004F2F57"/>
    <w:rsid w:val="004F2F8E"/>
    <w:rsid w:val="004F30B5"/>
    <w:rsid w:val="004F30BB"/>
    <w:rsid w:val="004F31D7"/>
    <w:rsid w:val="004F3391"/>
    <w:rsid w:val="004F347B"/>
    <w:rsid w:val="004F35AD"/>
    <w:rsid w:val="004F3659"/>
    <w:rsid w:val="004F3796"/>
    <w:rsid w:val="004F3874"/>
    <w:rsid w:val="004F38B6"/>
    <w:rsid w:val="004F3AD1"/>
    <w:rsid w:val="004F3B1B"/>
    <w:rsid w:val="004F3BCE"/>
    <w:rsid w:val="004F3CDC"/>
    <w:rsid w:val="004F3CEF"/>
    <w:rsid w:val="004F3CFD"/>
    <w:rsid w:val="004F3EED"/>
    <w:rsid w:val="004F3F3B"/>
    <w:rsid w:val="004F3FC8"/>
    <w:rsid w:val="004F4004"/>
    <w:rsid w:val="004F405D"/>
    <w:rsid w:val="004F4214"/>
    <w:rsid w:val="004F4263"/>
    <w:rsid w:val="004F4370"/>
    <w:rsid w:val="004F43B7"/>
    <w:rsid w:val="004F4463"/>
    <w:rsid w:val="004F454D"/>
    <w:rsid w:val="004F45F7"/>
    <w:rsid w:val="004F462A"/>
    <w:rsid w:val="004F46A4"/>
    <w:rsid w:val="004F47CF"/>
    <w:rsid w:val="004F47F1"/>
    <w:rsid w:val="004F4A3A"/>
    <w:rsid w:val="004F4A5B"/>
    <w:rsid w:val="004F4B1B"/>
    <w:rsid w:val="004F4BBE"/>
    <w:rsid w:val="004F4BC8"/>
    <w:rsid w:val="004F4BDD"/>
    <w:rsid w:val="004F4C55"/>
    <w:rsid w:val="004F4CA8"/>
    <w:rsid w:val="004F4CDB"/>
    <w:rsid w:val="004F4DA3"/>
    <w:rsid w:val="004F4E1C"/>
    <w:rsid w:val="004F4E36"/>
    <w:rsid w:val="004F4ECC"/>
    <w:rsid w:val="004F5052"/>
    <w:rsid w:val="004F5249"/>
    <w:rsid w:val="004F5402"/>
    <w:rsid w:val="004F541C"/>
    <w:rsid w:val="004F5462"/>
    <w:rsid w:val="004F5517"/>
    <w:rsid w:val="004F55ED"/>
    <w:rsid w:val="004F5628"/>
    <w:rsid w:val="004F5676"/>
    <w:rsid w:val="004F5A67"/>
    <w:rsid w:val="004F5B38"/>
    <w:rsid w:val="004F5BF1"/>
    <w:rsid w:val="004F5D04"/>
    <w:rsid w:val="004F5D66"/>
    <w:rsid w:val="004F5D77"/>
    <w:rsid w:val="004F5D8C"/>
    <w:rsid w:val="004F5FCD"/>
    <w:rsid w:val="004F6010"/>
    <w:rsid w:val="004F6014"/>
    <w:rsid w:val="004F6022"/>
    <w:rsid w:val="004F6065"/>
    <w:rsid w:val="004F6106"/>
    <w:rsid w:val="004F6361"/>
    <w:rsid w:val="004F639C"/>
    <w:rsid w:val="004F6474"/>
    <w:rsid w:val="004F64DE"/>
    <w:rsid w:val="004F64EC"/>
    <w:rsid w:val="004F653A"/>
    <w:rsid w:val="004F6637"/>
    <w:rsid w:val="004F68F2"/>
    <w:rsid w:val="004F693D"/>
    <w:rsid w:val="004F6966"/>
    <w:rsid w:val="004F69E4"/>
    <w:rsid w:val="004F6A92"/>
    <w:rsid w:val="004F6B35"/>
    <w:rsid w:val="004F6C4C"/>
    <w:rsid w:val="004F6DBB"/>
    <w:rsid w:val="004F6E03"/>
    <w:rsid w:val="004F6E1D"/>
    <w:rsid w:val="004F6E6B"/>
    <w:rsid w:val="004F7055"/>
    <w:rsid w:val="004F70F3"/>
    <w:rsid w:val="004F7185"/>
    <w:rsid w:val="004F723B"/>
    <w:rsid w:val="004F732A"/>
    <w:rsid w:val="004F7394"/>
    <w:rsid w:val="004F73B7"/>
    <w:rsid w:val="004F73D1"/>
    <w:rsid w:val="004F7502"/>
    <w:rsid w:val="004F765A"/>
    <w:rsid w:val="004F7697"/>
    <w:rsid w:val="004F7698"/>
    <w:rsid w:val="004F76B9"/>
    <w:rsid w:val="004F772F"/>
    <w:rsid w:val="004F7830"/>
    <w:rsid w:val="004F7969"/>
    <w:rsid w:val="004F7994"/>
    <w:rsid w:val="004F79F0"/>
    <w:rsid w:val="004F7ACD"/>
    <w:rsid w:val="004F7B82"/>
    <w:rsid w:val="004F7B9A"/>
    <w:rsid w:val="004F7C82"/>
    <w:rsid w:val="004F7EF1"/>
    <w:rsid w:val="004F7F6C"/>
    <w:rsid w:val="004F7FC2"/>
    <w:rsid w:val="004F7FC6"/>
    <w:rsid w:val="00500037"/>
    <w:rsid w:val="005000B8"/>
    <w:rsid w:val="00500118"/>
    <w:rsid w:val="0050022B"/>
    <w:rsid w:val="005002F1"/>
    <w:rsid w:val="00500353"/>
    <w:rsid w:val="00500358"/>
    <w:rsid w:val="005004D1"/>
    <w:rsid w:val="00500594"/>
    <w:rsid w:val="005005C1"/>
    <w:rsid w:val="005005DD"/>
    <w:rsid w:val="00500665"/>
    <w:rsid w:val="00500704"/>
    <w:rsid w:val="005007C4"/>
    <w:rsid w:val="005007DE"/>
    <w:rsid w:val="0050095E"/>
    <w:rsid w:val="00500B9B"/>
    <w:rsid w:val="00500C9B"/>
    <w:rsid w:val="00500CEA"/>
    <w:rsid w:val="00500D52"/>
    <w:rsid w:val="00500D85"/>
    <w:rsid w:val="00500E03"/>
    <w:rsid w:val="00500F98"/>
    <w:rsid w:val="0050113A"/>
    <w:rsid w:val="0050115E"/>
    <w:rsid w:val="005012A8"/>
    <w:rsid w:val="00501339"/>
    <w:rsid w:val="00501344"/>
    <w:rsid w:val="005013B3"/>
    <w:rsid w:val="0050143F"/>
    <w:rsid w:val="00501651"/>
    <w:rsid w:val="005018CA"/>
    <w:rsid w:val="00501BA3"/>
    <w:rsid w:val="00501DFD"/>
    <w:rsid w:val="00501E03"/>
    <w:rsid w:val="00501E6B"/>
    <w:rsid w:val="00501EC4"/>
    <w:rsid w:val="00501F6E"/>
    <w:rsid w:val="00501FFD"/>
    <w:rsid w:val="00502133"/>
    <w:rsid w:val="00502153"/>
    <w:rsid w:val="005021F2"/>
    <w:rsid w:val="00502252"/>
    <w:rsid w:val="005022DB"/>
    <w:rsid w:val="00502392"/>
    <w:rsid w:val="005024BA"/>
    <w:rsid w:val="0050261E"/>
    <w:rsid w:val="00502674"/>
    <w:rsid w:val="005026C2"/>
    <w:rsid w:val="00502742"/>
    <w:rsid w:val="00502762"/>
    <w:rsid w:val="00502763"/>
    <w:rsid w:val="00502AED"/>
    <w:rsid w:val="00502B9F"/>
    <w:rsid w:val="00502C86"/>
    <w:rsid w:val="00502E08"/>
    <w:rsid w:val="00502E2A"/>
    <w:rsid w:val="00502FBF"/>
    <w:rsid w:val="0050309B"/>
    <w:rsid w:val="005030ED"/>
    <w:rsid w:val="005031C1"/>
    <w:rsid w:val="00503431"/>
    <w:rsid w:val="005034DC"/>
    <w:rsid w:val="0050350A"/>
    <w:rsid w:val="00503661"/>
    <w:rsid w:val="005036D5"/>
    <w:rsid w:val="0050370E"/>
    <w:rsid w:val="00503846"/>
    <w:rsid w:val="0050384D"/>
    <w:rsid w:val="00503850"/>
    <w:rsid w:val="0050390D"/>
    <w:rsid w:val="00503A0B"/>
    <w:rsid w:val="00503A13"/>
    <w:rsid w:val="00503AFC"/>
    <w:rsid w:val="00503B15"/>
    <w:rsid w:val="00503D06"/>
    <w:rsid w:val="00503D1C"/>
    <w:rsid w:val="00503D9F"/>
    <w:rsid w:val="00503DD5"/>
    <w:rsid w:val="00503E71"/>
    <w:rsid w:val="00503EB0"/>
    <w:rsid w:val="00503F05"/>
    <w:rsid w:val="00503F14"/>
    <w:rsid w:val="00503F53"/>
    <w:rsid w:val="00503FED"/>
    <w:rsid w:val="005041E4"/>
    <w:rsid w:val="00504209"/>
    <w:rsid w:val="00504237"/>
    <w:rsid w:val="00504337"/>
    <w:rsid w:val="005043DA"/>
    <w:rsid w:val="00504404"/>
    <w:rsid w:val="00504423"/>
    <w:rsid w:val="00504458"/>
    <w:rsid w:val="005044FB"/>
    <w:rsid w:val="0050452D"/>
    <w:rsid w:val="005046FF"/>
    <w:rsid w:val="0050473F"/>
    <w:rsid w:val="00504824"/>
    <w:rsid w:val="005048B7"/>
    <w:rsid w:val="005048E9"/>
    <w:rsid w:val="00504965"/>
    <w:rsid w:val="00504BF6"/>
    <w:rsid w:val="00504D31"/>
    <w:rsid w:val="00504D57"/>
    <w:rsid w:val="00504EB2"/>
    <w:rsid w:val="00504FCD"/>
    <w:rsid w:val="005050C1"/>
    <w:rsid w:val="0050511B"/>
    <w:rsid w:val="00505176"/>
    <w:rsid w:val="00505257"/>
    <w:rsid w:val="00505292"/>
    <w:rsid w:val="005052C0"/>
    <w:rsid w:val="005054BB"/>
    <w:rsid w:val="005054CD"/>
    <w:rsid w:val="005054FA"/>
    <w:rsid w:val="00505588"/>
    <w:rsid w:val="005055E5"/>
    <w:rsid w:val="00505712"/>
    <w:rsid w:val="005057A3"/>
    <w:rsid w:val="005057DF"/>
    <w:rsid w:val="00505852"/>
    <w:rsid w:val="005058CC"/>
    <w:rsid w:val="005058CF"/>
    <w:rsid w:val="00505986"/>
    <w:rsid w:val="00505B5E"/>
    <w:rsid w:val="00505B88"/>
    <w:rsid w:val="00505CA4"/>
    <w:rsid w:val="00505CC3"/>
    <w:rsid w:val="00505D73"/>
    <w:rsid w:val="00505D7A"/>
    <w:rsid w:val="00505D7C"/>
    <w:rsid w:val="00505D8E"/>
    <w:rsid w:val="00505E2E"/>
    <w:rsid w:val="00505F14"/>
    <w:rsid w:val="00506008"/>
    <w:rsid w:val="005060DD"/>
    <w:rsid w:val="00506362"/>
    <w:rsid w:val="00506394"/>
    <w:rsid w:val="00506471"/>
    <w:rsid w:val="005064C1"/>
    <w:rsid w:val="0050653B"/>
    <w:rsid w:val="005065BE"/>
    <w:rsid w:val="005065D3"/>
    <w:rsid w:val="00506741"/>
    <w:rsid w:val="005067C6"/>
    <w:rsid w:val="00506825"/>
    <w:rsid w:val="0050689A"/>
    <w:rsid w:val="00506C2E"/>
    <w:rsid w:val="00506C43"/>
    <w:rsid w:val="00506CDA"/>
    <w:rsid w:val="00506F75"/>
    <w:rsid w:val="00506FD9"/>
    <w:rsid w:val="00507269"/>
    <w:rsid w:val="005072A6"/>
    <w:rsid w:val="005072B5"/>
    <w:rsid w:val="00507332"/>
    <w:rsid w:val="00507379"/>
    <w:rsid w:val="0050747E"/>
    <w:rsid w:val="00507520"/>
    <w:rsid w:val="0050756F"/>
    <w:rsid w:val="0050758A"/>
    <w:rsid w:val="005076E3"/>
    <w:rsid w:val="005076E4"/>
    <w:rsid w:val="00507708"/>
    <w:rsid w:val="00507753"/>
    <w:rsid w:val="00507779"/>
    <w:rsid w:val="0050777D"/>
    <w:rsid w:val="005077E5"/>
    <w:rsid w:val="005078ED"/>
    <w:rsid w:val="00507A06"/>
    <w:rsid w:val="00507A0E"/>
    <w:rsid w:val="00507ABD"/>
    <w:rsid w:val="00507B30"/>
    <w:rsid w:val="00507B61"/>
    <w:rsid w:val="00507BB7"/>
    <w:rsid w:val="00507D4D"/>
    <w:rsid w:val="00507F1C"/>
    <w:rsid w:val="00507F3D"/>
    <w:rsid w:val="00507FE2"/>
    <w:rsid w:val="0051000F"/>
    <w:rsid w:val="00510125"/>
    <w:rsid w:val="005101A5"/>
    <w:rsid w:val="005102B9"/>
    <w:rsid w:val="005102CC"/>
    <w:rsid w:val="0051036B"/>
    <w:rsid w:val="0051038E"/>
    <w:rsid w:val="005103D3"/>
    <w:rsid w:val="005103E0"/>
    <w:rsid w:val="005104E6"/>
    <w:rsid w:val="005105C4"/>
    <w:rsid w:val="0051065D"/>
    <w:rsid w:val="005106E5"/>
    <w:rsid w:val="00510805"/>
    <w:rsid w:val="00510807"/>
    <w:rsid w:val="00510851"/>
    <w:rsid w:val="0051095B"/>
    <w:rsid w:val="005109BB"/>
    <w:rsid w:val="005109E1"/>
    <w:rsid w:val="00510A81"/>
    <w:rsid w:val="00510AD1"/>
    <w:rsid w:val="00510B0F"/>
    <w:rsid w:val="00510B5F"/>
    <w:rsid w:val="00510B91"/>
    <w:rsid w:val="00510BD4"/>
    <w:rsid w:val="00510BD9"/>
    <w:rsid w:val="00510C0E"/>
    <w:rsid w:val="00510C64"/>
    <w:rsid w:val="00510D16"/>
    <w:rsid w:val="00510DF2"/>
    <w:rsid w:val="00510F77"/>
    <w:rsid w:val="00510FA4"/>
    <w:rsid w:val="0051111C"/>
    <w:rsid w:val="00511194"/>
    <w:rsid w:val="005112AD"/>
    <w:rsid w:val="00511462"/>
    <w:rsid w:val="005115C0"/>
    <w:rsid w:val="005115C3"/>
    <w:rsid w:val="005116C4"/>
    <w:rsid w:val="0051170F"/>
    <w:rsid w:val="00511895"/>
    <w:rsid w:val="0051191A"/>
    <w:rsid w:val="00511961"/>
    <w:rsid w:val="00511968"/>
    <w:rsid w:val="005119B9"/>
    <w:rsid w:val="005119D9"/>
    <w:rsid w:val="00511A66"/>
    <w:rsid w:val="00511AC4"/>
    <w:rsid w:val="00511B62"/>
    <w:rsid w:val="00511B81"/>
    <w:rsid w:val="00511B8E"/>
    <w:rsid w:val="00511D52"/>
    <w:rsid w:val="00511E38"/>
    <w:rsid w:val="00511E49"/>
    <w:rsid w:val="00511E74"/>
    <w:rsid w:val="00511EC3"/>
    <w:rsid w:val="00511F9C"/>
    <w:rsid w:val="0051202B"/>
    <w:rsid w:val="00512069"/>
    <w:rsid w:val="005120CB"/>
    <w:rsid w:val="00512183"/>
    <w:rsid w:val="00512291"/>
    <w:rsid w:val="0051229C"/>
    <w:rsid w:val="005122C5"/>
    <w:rsid w:val="005122D1"/>
    <w:rsid w:val="00512305"/>
    <w:rsid w:val="0051243C"/>
    <w:rsid w:val="00512456"/>
    <w:rsid w:val="005125AA"/>
    <w:rsid w:val="005125B1"/>
    <w:rsid w:val="005125C5"/>
    <w:rsid w:val="00512780"/>
    <w:rsid w:val="005127DC"/>
    <w:rsid w:val="00512A69"/>
    <w:rsid w:val="00512B03"/>
    <w:rsid w:val="00512BB2"/>
    <w:rsid w:val="00512C56"/>
    <w:rsid w:val="00512CDD"/>
    <w:rsid w:val="00512DA1"/>
    <w:rsid w:val="00512DCD"/>
    <w:rsid w:val="00512E69"/>
    <w:rsid w:val="00512F4D"/>
    <w:rsid w:val="00512F99"/>
    <w:rsid w:val="00512FC2"/>
    <w:rsid w:val="00512FE7"/>
    <w:rsid w:val="0051315C"/>
    <w:rsid w:val="005131ED"/>
    <w:rsid w:val="00513211"/>
    <w:rsid w:val="005132DA"/>
    <w:rsid w:val="0051342D"/>
    <w:rsid w:val="005134E3"/>
    <w:rsid w:val="00513566"/>
    <w:rsid w:val="005135C9"/>
    <w:rsid w:val="005137FB"/>
    <w:rsid w:val="00513872"/>
    <w:rsid w:val="005138B5"/>
    <w:rsid w:val="00513955"/>
    <w:rsid w:val="005139C2"/>
    <w:rsid w:val="005139EE"/>
    <w:rsid w:val="00513A2D"/>
    <w:rsid w:val="00513AAD"/>
    <w:rsid w:val="00513AEB"/>
    <w:rsid w:val="00513B52"/>
    <w:rsid w:val="00513BB2"/>
    <w:rsid w:val="00513C06"/>
    <w:rsid w:val="00513C39"/>
    <w:rsid w:val="00513C7D"/>
    <w:rsid w:val="00513C8C"/>
    <w:rsid w:val="00513CD9"/>
    <w:rsid w:val="00513D25"/>
    <w:rsid w:val="00513E56"/>
    <w:rsid w:val="00513EC2"/>
    <w:rsid w:val="00513F60"/>
    <w:rsid w:val="00513FC8"/>
    <w:rsid w:val="0051412F"/>
    <w:rsid w:val="0051418A"/>
    <w:rsid w:val="0051422E"/>
    <w:rsid w:val="0051423F"/>
    <w:rsid w:val="005142D1"/>
    <w:rsid w:val="005142D5"/>
    <w:rsid w:val="0051433E"/>
    <w:rsid w:val="005143DF"/>
    <w:rsid w:val="005143E9"/>
    <w:rsid w:val="005144C5"/>
    <w:rsid w:val="005144DE"/>
    <w:rsid w:val="005145A5"/>
    <w:rsid w:val="005146E1"/>
    <w:rsid w:val="005149E3"/>
    <w:rsid w:val="00514AFB"/>
    <w:rsid w:val="00514B74"/>
    <w:rsid w:val="00514BB5"/>
    <w:rsid w:val="00514BDF"/>
    <w:rsid w:val="00514C31"/>
    <w:rsid w:val="00514C54"/>
    <w:rsid w:val="00514D36"/>
    <w:rsid w:val="00514D99"/>
    <w:rsid w:val="00514DDC"/>
    <w:rsid w:val="00514E3E"/>
    <w:rsid w:val="00514E97"/>
    <w:rsid w:val="00514FEE"/>
    <w:rsid w:val="005150A7"/>
    <w:rsid w:val="00515116"/>
    <w:rsid w:val="005152EA"/>
    <w:rsid w:val="0051539D"/>
    <w:rsid w:val="0051539F"/>
    <w:rsid w:val="005153A8"/>
    <w:rsid w:val="005153EB"/>
    <w:rsid w:val="0051560B"/>
    <w:rsid w:val="0051568D"/>
    <w:rsid w:val="005156C3"/>
    <w:rsid w:val="005156C6"/>
    <w:rsid w:val="005156FB"/>
    <w:rsid w:val="00515767"/>
    <w:rsid w:val="00515834"/>
    <w:rsid w:val="005158A3"/>
    <w:rsid w:val="005158A7"/>
    <w:rsid w:val="0051592D"/>
    <w:rsid w:val="00515993"/>
    <w:rsid w:val="00515A0F"/>
    <w:rsid w:val="00515AA0"/>
    <w:rsid w:val="00515AEA"/>
    <w:rsid w:val="00515B2F"/>
    <w:rsid w:val="00515C80"/>
    <w:rsid w:val="00515CB7"/>
    <w:rsid w:val="00515DFE"/>
    <w:rsid w:val="00515E24"/>
    <w:rsid w:val="00515E7A"/>
    <w:rsid w:val="00515EA2"/>
    <w:rsid w:val="00515EDB"/>
    <w:rsid w:val="00515FC1"/>
    <w:rsid w:val="005160FF"/>
    <w:rsid w:val="00516133"/>
    <w:rsid w:val="0051625C"/>
    <w:rsid w:val="0051641C"/>
    <w:rsid w:val="00516568"/>
    <w:rsid w:val="00516628"/>
    <w:rsid w:val="005166F3"/>
    <w:rsid w:val="005168C1"/>
    <w:rsid w:val="005169EC"/>
    <w:rsid w:val="005169F7"/>
    <w:rsid w:val="00516B25"/>
    <w:rsid w:val="00516B66"/>
    <w:rsid w:val="00516BBD"/>
    <w:rsid w:val="00516C11"/>
    <w:rsid w:val="00516C1E"/>
    <w:rsid w:val="00516CC2"/>
    <w:rsid w:val="00516E0E"/>
    <w:rsid w:val="00516EB6"/>
    <w:rsid w:val="00516EEB"/>
    <w:rsid w:val="00516EF2"/>
    <w:rsid w:val="00516F43"/>
    <w:rsid w:val="00516FDC"/>
    <w:rsid w:val="0051708E"/>
    <w:rsid w:val="005170DF"/>
    <w:rsid w:val="0051715B"/>
    <w:rsid w:val="00517231"/>
    <w:rsid w:val="0051728B"/>
    <w:rsid w:val="005172D9"/>
    <w:rsid w:val="0051733C"/>
    <w:rsid w:val="005174A6"/>
    <w:rsid w:val="005174B7"/>
    <w:rsid w:val="005174D3"/>
    <w:rsid w:val="00517520"/>
    <w:rsid w:val="00517767"/>
    <w:rsid w:val="00517794"/>
    <w:rsid w:val="005179B7"/>
    <w:rsid w:val="00517A0E"/>
    <w:rsid w:val="00517AB2"/>
    <w:rsid w:val="00517C13"/>
    <w:rsid w:val="00517C30"/>
    <w:rsid w:val="00517CC7"/>
    <w:rsid w:val="00517D2D"/>
    <w:rsid w:val="00517D3B"/>
    <w:rsid w:val="00517F89"/>
    <w:rsid w:val="00517FDC"/>
    <w:rsid w:val="005200D5"/>
    <w:rsid w:val="0052014B"/>
    <w:rsid w:val="005201B3"/>
    <w:rsid w:val="00520240"/>
    <w:rsid w:val="005202AE"/>
    <w:rsid w:val="00520381"/>
    <w:rsid w:val="00520446"/>
    <w:rsid w:val="005204CC"/>
    <w:rsid w:val="005205AD"/>
    <w:rsid w:val="0052073F"/>
    <w:rsid w:val="0052076C"/>
    <w:rsid w:val="00520808"/>
    <w:rsid w:val="00520885"/>
    <w:rsid w:val="00520900"/>
    <w:rsid w:val="00520A4C"/>
    <w:rsid w:val="00520AD3"/>
    <w:rsid w:val="00520AD5"/>
    <w:rsid w:val="00520B2F"/>
    <w:rsid w:val="00520C1C"/>
    <w:rsid w:val="00520DAE"/>
    <w:rsid w:val="00520F26"/>
    <w:rsid w:val="00520F64"/>
    <w:rsid w:val="00520FF5"/>
    <w:rsid w:val="00521025"/>
    <w:rsid w:val="005210A1"/>
    <w:rsid w:val="005210C6"/>
    <w:rsid w:val="005211FB"/>
    <w:rsid w:val="0052130F"/>
    <w:rsid w:val="005213B4"/>
    <w:rsid w:val="005214F1"/>
    <w:rsid w:val="005216D8"/>
    <w:rsid w:val="005216F5"/>
    <w:rsid w:val="00521861"/>
    <w:rsid w:val="00521A43"/>
    <w:rsid w:val="00521BFD"/>
    <w:rsid w:val="00521C6C"/>
    <w:rsid w:val="00521D17"/>
    <w:rsid w:val="00521D73"/>
    <w:rsid w:val="00521E2B"/>
    <w:rsid w:val="00521E3F"/>
    <w:rsid w:val="005222E7"/>
    <w:rsid w:val="00522310"/>
    <w:rsid w:val="00522352"/>
    <w:rsid w:val="0052237F"/>
    <w:rsid w:val="00522390"/>
    <w:rsid w:val="005223D4"/>
    <w:rsid w:val="005224F8"/>
    <w:rsid w:val="00522534"/>
    <w:rsid w:val="005227F4"/>
    <w:rsid w:val="005228DD"/>
    <w:rsid w:val="0052292A"/>
    <w:rsid w:val="005229C9"/>
    <w:rsid w:val="00522A76"/>
    <w:rsid w:val="00522B8B"/>
    <w:rsid w:val="00522CCA"/>
    <w:rsid w:val="00522D15"/>
    <w:rsid w:val="00522D25"/>
    <w:rsid w:val="00523029"/>
    <w:rsid w:val="005231BA"/>
    <w:rsid w:val="00523220"/>
    <w:rsid w:val="0052329F"/>
    <w:rsid w:val="00523347"/>
    <w:rsid w:val="00523458"/>
    <w:rsid w:val="0052346D"/>
    <w:rsid w:val="00523471"/>
    <w:rsid w:val="005234B9"/>
    <w:rsid w:val="005234F9"/>
    <w:rsid w:val="005235B4"/>
    <w:rsid w:val="00523608"/>
    <w:rsid w:val="005236A0"/>
    <w:rsid w:val="005237BD"/>
    <w:rsid w:val="005239AE"/>
    <w:rsid w:val="005239BE"/>
    <w:rsid w:val="005239FC"/>
    <w:rsid w:val="00523A3F"/>
    <w:rsid w:val="00523AA2"/>
    <w:rsid w:val="00523BCC"/>
    <w:rsid w:val="00523C0E"/>
    <w:rsid w:val="00523C40"/>
    <w:rsid w:val="00523CB5"/>
    <w:rsid w:val="00523DAE"/>
    <w:rsid w:val="00523E4E"/>
    <w:rsid w:val="00523F04"/>
    <w:rsid w:val="00523F05"/>
    <w:rsid w:val="00523F39"/>
    <w:rsid w:val="00523F4D"/>
    <w:rsid w:val="00523F99"/>
    <w:rsid w:val="00523FDB"/>
    <w:rsid w:val="005240D2"/>
    <w:rsid w:val="00524105"/>
    <w:rsid w:val="00524168"/>
    <w:rsid w:val="005241D6"/>
    <w:rsid w:val="005241ED"/>
    <w:rsid w:val="0052425B"/>
    <w:rsid w:val="005242A1"/>
    <w:rsid w:val="005242B6"/>
    <w:rsid w:val="005242E9"/>
    <w:rsid w:val="00524318"/>
    <w:rsid w:val="00524369"/>
    <w:rsid w:val="00524493"/>
    <w:rsid w:val="005244A2"/>
    <w:rsid w:val="005244B2"/>
    <w:rsid w:val="005244FA"/>
    <w:rsid w:val="0052455B"/>
    <w:rsid w:val="0052459D"/>
    <w:rsid w:val="00524626"/>
    <w:rsid w:val="0052465B"/>
    <w:rsid w:val="00524701"/>
    <w:rsid w:val="0052471B"/>
    <w:rsid w:val="00524918"/>
    <w:rsid w:val="00524978"/>
    <w:rsid w:val="00524980"/>
    <w:rsid w:val="00524A4E"/>
    <w:rsid w:val="00524AA2"/>
    <w:rsid w:val="00524BA1"/>
    <w:rsid w:val="00524CFB"/>
    <w:rsid w:val="00524D15"/>
    <w:rsid w:val="00524D19"/>
    <w:rsid w:val="00524F63"/>
    <w:rsid w:val="00524FC2"/>
    <w:rsid w:val="00525125"/>
    <w:rsid w:val="00525171"/>
    <w:rsid w:val="00525284"/>
    <w:rsid w:val="0052542C"/>
    <w:rsid w:val="00525430"/>
    <w:rsid w:val="00525437"/>
    <w:rsid w:val="0052549C"/>
    <w:rsid w:val="00525592"/>
    <w:rsid w:val="005255DB"/>
    <w:rsid w:val="005255F6"/>
    <w:rsid w:val="0052563A"/>
    <w:rsid w:val="005256D4"/>
    <w:rsid w:val="0052575E"/>
    <w:rsid w:val="0052578F"/>
    <w:rsid w:val="005257BE"/>
    <w:rsid w:val="005257DC"/>
    <w:rsid w:val="00525901"/>
    <w:rsid w:val="00525932"/>
    <w:rsid w:val="005259B9"/>
    <w:rsid w:val="00525A6B"/>
    <w:rsid w:val="00525ADD"/>
    <w:rsid w:val="00525AF9"/>
    <w:rsid w:val="00525B5E"/>
    <w:rsid w:val="00525B70"/>
    <w:rsid w:val="00525BAD"/>
    <w:rsid w:val="00525C3B"/>
    <w:rsid w:val="00525DC8"/>
    <w:rsid w:val="00525E30"/>
    <w:rsid w:val="00525E42"/>
    <w:rsid w:val="00525E61"/>
    <w:rsid w:val="00525F12"/>
    <w:rsid w:val="00525FC6"/>
    <w:rsid w:val="00526046"/>
    <w:rsid w:val="0052608B"/>
    <w:rsid w:val="005260D6"/>
    <w:rsid w:val="00526119"/>
    <w:rsid w:val="00526153"/>
    <w:rsid w:val="00526174"/>
    <w:rsid w:val="00526199"/>
    <w:rsid w:val="00526237"/>
    <w:rsid w:val="0052629D"/>
    <w:rsid w:val="00526331"/>
    <w:rsid w:val="005263D1"/>
    <w:rsid w:val="0052649A"/>
    <w:rsid w:val="00526566"/>
    <w:rsid w:val="00526604"/>
    <w:rsid w:val="0052668A"/>
    <w:rsid w:val="00526834"/>
    <w:rsid w:val="0052688A"/>
    <w:rsid w:val="005268DC"/>
    <w:rsid w:val="005268DF"/>
    <w:rsid w:val="00526929"/>
    <w:rsid w:val="00526965"/>
    <w:rsid w:val="00526CAD"/>
    <w:rsid w:val="00526DE9"/>
    <w:rsid w:val="00526E16"/>
    <w:rsid w:val="00526E27"/>
    <w:rsid w:val="00526E6B"/>
    <w:rsid w:val="00526F08"/>
    <w:rsid w:val="00526F36"/>
    <w:rsid w:val="00526F79"/>
    <w:rsid w:val="005270C8"/>
    <w:rsid w:val="005270E2"/>
    <w:rsid w:val="00527255"/>
    <w:rsid w:val="00527363"/>
    <w:rsid w:val="00527367"/>
    <w:rsid w:val="005273A5"/>
    <w:rsid w:val="00527408"/>
    <w:rsid w:val="005274A1"/>
    <w:rsid w:val="00527500"/>
    <w:rsid w:val="00527640"/>
    <w:rsid w:val="00527703"/>
    <w:rsid w:val="0052786F"/>
    <w:rsid w:val="0052788C"/>
    <w:rsid w:val="0052790D"/>
    <w:rsid w:val="00527AB9"/>
    <w:rsid w:val="00527AE1"/>
    <w:rsid w:val="00527B01"/>
    <w:rsid w:val="00527B5C"/>
    <w:rsid w:val="00527B89"/>
    <w:rsid w:val="00527C17"/>
    <w:rsid w:val="00527D65"/>
    <w:rsid w:val="00527DED"/>
    <w:rsid w:val="00527E00"/>
    <w:rsid w:val="00527EA4"/>
    <w:rsid w:val="00527F38"/>
    <w:rsid w:val="00530010"/>
    <w:rsid w:val="00530014"/>
    <w:rsid w:val="00530290"/>
    <w:rsid w:val="005303D2"/>
    <w:rsid w:val="005303E1"/>
    <w:rsid w:val="00530447"/>
    <w:rsid w:val="0053046C"/>
    <w:rsid w:val="0053051B"/>
    <w:rsid w:val="0053058A"/>
    <w:rsid w:val="00530626"/>
    <w:rsid w:val="00530975"/>
    <w:rsid w:val="005309BF"/>
    <w:rsid w:val="00530ADF"/>
    <w:rsid w:val="00530B33"/>
    <w:rsid w:val="00530C87"/>
    <w:rsid w:val="00530D2D"/>
    <w:rsid w:val="00530D45"/>
    <w:rsid w:val="00530D67"/>
    <w:rsid w:val="00530D84"/>
    <w:rsid w:val="00530DCE"/>
    <w:rsid w:val="00530E29"/>
    <w:rsid w:val="00530ED9"/>
    <w:rsid w:val="00530EF5"/>
    <w:rsid w:val="00530F5C"/>
    <w:rsid w:val="00530F9D"/>
    <w:rsid w:val="005310CF"/>
    <w:rsid w:val="00531322"/>
    <w:rsid w:val="00531330"/>
    <w:rsid w:val="005313FF"/>
    <w:rsid w:val="005315AD"/>
    <w:rsid w:val="0053161F"/>
    <w:rsid w:val="00531627"/>
    <w:rsid w:val="00531635"/>
    <w:rsid w:val="005316E0"/>
    <w:rsid w:val="00531714"/>
    <w:rsid w:val="00531857"/>
    <w:rsid w:val="00531940"/>
    <w:rsid w:val="0053194D"/>
    <w:rsid w:val="00531A21"/>
    <w:rsid w:val="00531ACE"/>
    <w:rsid w:val="00531B2B"/>
    <w:rsid w:val="00531B34"/>
    <w:rsid w:val="00531D63"/>
    <w:rsid w:val="00531D76"/>
    <w:rsid w:val="00531DAF"/>
    <w:rsid w:val="00531DB1"/>
    <w:rsid w:val="00531FD0"/>
    <w:rsid w:val="00531FD3"/>
    <w:rsid w:val="005322B7"/>
    <w:rsid w:val="005322C3"/>
    <w:rsid w:val="00532330"/>
    <w:rsid w:val="0053236E"/>
    <w:rsid w:val="005323C5"/>
    <w:rsid w:val="00532487"/>
    <w:rsid w:val="005324BA"/>
    <w:rsid w:val="005325EE"/>
    <w:rsid w:val="00532686"/>
    <w:rsid w:val="005326D3"/>
    <w:rsid w:val="005327B1"/>
    <w:rsid w:val="005327F1"/>
    <w:rsid w:val="0053285E"/>
    <w:rsid w:val="00532883"/>
    <w:rsid w:val="005328C6"/>
    <w:rsid w:val="00532993"/>
    <w:rsid w:val="005329D0"/>
    <w:rsid w:val="00532A6E"/>
    <w:rsid w:val="00532AB1"/>
    <w:rsid w:val="00532AB6"/>
    <w:rsid w:val="00532CED"/>
    <w:rsid w:val="00532F62"/>
    <w:rsid w:val="00532F99"/>
    <w:rsid w:val="00533018"/>
    <w:rsid w:val="005330B3"/>
    <w:rsid w:val="0053319A"/>
    <w:rsid w:val="005332B3"/>
    <w:rsid w:val="0053349B"/>
    <w:rsid w:val="00533503"/>
    <w:rsid w:val="0053353A"/>
    <w:rsid w:val="00533541"/>
    <w:rsid w:val="00533551"/>
    <w:rsid w:val="00533662"/>
    <w:rsid w:val="00533769"/>
    <w:rsid w:val="0053383F"/>
    <w:rsid w:val="0053395B"/>
    <w:rsid w:val="005339FF"/>
    <w:rsid w:val="00533A1C"/>
    <w:rsid w:val="00533A39"/>
    <w:rsid w:val="00533AED"/>
    <w:rsid w:val="00533B1E"/>
    <w:rsid w:val="00533B57"/>
    <w:rsid w:val="00533C5B"/>
    <w:rsid w:val="00533D11"/>
    <w:rsid w:val="00533D2E"/>
    <w:rsid w:val="00533DBF"/>
    <w:rsid w:val="00533E99"/>
    <w:rsid w:val="00534146"/>
    <w:rsid w:val="005341AD"/>
    <w:rsid w:val="005341D0"/>
    <w:rsid w:val="00534398"/>
    <w:rsid w:val="005344A3"/>
    <w:rsid w:val="005344B4"/>
    <w:rsid w:val="005345F3"/>
    <w:rsid w:val="00534660"/>
    <w:rsid w:val="00534688"/>
    <w:rsid w:val="005346D6"/>
    <w:rsid w:val="005347B2"/>
    <w:rsid w:val="00534826"/>
    <w:rsid w:val="00534AE3"/>
    <w:rsid w:val="00534AF6"/>
    <w:rsid w:val="00534C12"/>
    <w:rsid w:val="00534D22"/>
    <w:rsid w:val="00534E0E"/>
    <w:rsid w:val="00534E4F"/>
    <w:rsid w:val="00534E69"/>
    <w:rsid w:val="00534EA8"/>
    <w:rsid w:val="00534EDF"/>
    <w:rsid w:val="00534EEF"/>
    <w:rsid w:val="00535085"/>
    <w:rsid w:val="005350D7"/>
    <w:rsid w:val="00535165"/>
    <w:rsid w:val="005353B2"/>
    <w:rsid w:val="00535734"/>
    <w:rsid w:val="00535742"/>
    <w:rsid w:val="0053574B"/>
    <w:rsid w:val="005357F2"/>
    <w:rsid w:val="00535869"/>
    <w:rsid w:val="0053594C"/>
    <w:rsid w:val="00535986"/>
    <w:rsid w:val="005359A6"/>
    <w:rsid w:val="00535A0E"/>
    <w:rsid w:val="00535AB4"/>
    <w:rsid w:val="00535B57"/>
    <w:rsid w:val="00535BE0"/>
    <w:rsid w:val="00535C36"/>
    <w:rsid w:val="00535D49"/>
    <w:rsid w:val="00535EE6"/>
    <w:rsid w:val="0053612A"/>
    <w:rsid w:val="005361F5"/>
    <w:rsid w:val="00536303"/>
    <w:rsid w:val="0053638E"/>
    <w:rsid w:val="005363CD"/>
    <w:rsid w:val="0053643E"/>
    <w:rsid w:val="00536480"/>
    <w:rsid w:val="005364AF"/>
    <w:rsid w:val="0053665E"/>
    <w:rsid w:val="0053667E"/>
    <w:rsid w:val="0053681D"/>
    <w:rsid w:val="0053685A"/>
    <w:rsid w:val="00536A24"/>
    <w:rsid w:val="00536AAD"/>
    <w:rsid w:val="00536C46"/>
    <w:rsid w:val="00536CBB"/>
    <w:rsid w:val="00536D1F"/>
    <w:rsid w:val="00536DC0"/>
    <w:rsid w:val="00536E9C"/>
    <w:rsid w:val="00536EB5"/>
    <w:rsid w:val="00536F36"/>
    <w:rsid w:val="00536F3B"/>
    <w:rsid w:val="0053708A"/>
    <w:rsid w:val="00537177"/>
    <w:rsid w:val="005372B9"/>
    <w:rsid w:val="00537345"/>
    <w:rsid w:val="0053744D"/>
    <w:rsid w:val="0053757F"/>
    <w:rsid w:val="005376FC"/>
    <w:rsid w:val="0053772A"/>
    <w:rsid w:val="005377DE"/>
    <w:rsid w:val="005378BC"/>
    <w:rsid w:val="005378E4"/>
    <w:rsid w:val="005379AA"/>
    <w:rsid w:val="00537A20"/>
    <w:rsid w:val="00537A45"/>
    <w:rsid w:val="00537AC6"/>
    <w:rsid w:val="00537B20"/>
    <w:rsid w:val="00537BD8"/>
    <w:rsid w:val="00537CFF"/>
    <w:rsid w:val="00537FA5"/>
    <w:rsid w:val="0054003E"/>
    <w:rsid w:val="00540179"/>
    <w:rsid w:val="00540206"/>
    <w:rsid w:val="0054022B"/>
    <w:rsid w:val="00540258"/>
    <w:rsid w:val="00540308"/>
    <w:rsid w:val="005403D9"/>
    <w:rsid w:val="00540520"/>
    <w:rsid w:val="00540554"/>
    <w:rsid w:val="005406FD"/>
    <w:rsid w:val="005407DD"/>
    <w:rsid w:val="00540839"/>
    <w:rsid w:val="005408F3"/>
    <w:rsid w:val="00540A6F"/>
    <w:rsid w:val="00540B52"/>
    <w:rsid w:val="00540B60"/>
    <w:rsid w:val="00540C24"/>
    <w:rsid w:val="00540CE9"/>
    <w:rsid w:val="00540D2C"/>
    <w:rsid w:val="00540E20"/>
    <w:rsid w:val="00540E80"/>
    <w:rsid w:val="00540EB9"/>
    <w:rsid w:val="00540FDF"/>
    <w:rsid w:val="00540FF6"/>
    <w:rsid w:val="0054103B"/>
    <w:rsid w:val="00541054"/>
    <w:rsid w:val="005410D5"/>
    <w:rsid w:val="005410F7"/>
    <w:rsid w:val="0054116B"/>
    <w:rsid w:val="0054121F"/>
    <w:rsid w:val="00541398"/>
    <w:rsid w:val="005413A1"/>
    <w:rsid w:val="0054167B"/>
    <w:rsid w:val="0054198D"/>
    <w:rsid w:val="0054199A"/>
    <w:rsid w:val="0054199B"/>
    <w:rsid w:val="00541A9D"/>
    <w:rsid w:val="00541B42"/>
    <w:rsid w:val="00541BF2"/>
    <w:rsid w:val="00541C2D"/>
    <w:rsid w:val="00541C4A"/>
    <w:rsid w:val="00541CE9"/>
    <w:rsid w:val="00541E3B"/>
    <w:rsid w:val="00541F63"/>
    <w:rsid w:val="00541FFB"/>
    <w:rsid w:val="0054205A"/>
    <w:rsid w:val="005420D1"/>
    <w:rsid w:val="00542183"/>
    <w:rsid w:val="005421A2"/>
    <w:rsid w:val="00542228"/>
    <w:rsid w:val="00542285"/>
    <w:rsid w:val="005422D5"/>
    <w:rsid w:val="00542322"/>
    <w:rsid w:val="0054248D"/>
    <w:rsid w:val="00542518"/>
    <w:rsid w:val="005425B1"/>
    <w:rsid w:val="00542608"/>
    <w:rsid w:val="00542630"/>
    <w:rsid w:val="00542728"/>
    <w:rsid w:val="00542872"/>
    <w:rsid w:val="0054290E"/>
    <w:rsid w:val="00542954"/>
    <w:rsid w:val="00542989"/>
    <w:rsid w:val="005429A8"/>
    <w:rsid w:val="005429E9"/>
    <w:rsid w:val="00542A11"/>
    <w:rsid w:val="00542A54"/>
    <w:rsid w:val="00542AF7"/>
    <w:rsid w:val="00542C09"/>
    <w:rsid w:val="00542D40"/>
    <w:rsid w:val="00542D94"/>
    <w:rsid w:val="00542DA6"/>
    <w:rsid w:val="00542DE2"/>
    <w:rsid w:val="00542E79"/>
    <w:rsid w:val="00542FDC"/>
    <w:rsid w:val="005430AB"/>
    <w:rsid w:val="00543114"/>
    <w:rsid w:val="00543143"/>
    <w:rsid w:val="0054317C"/>
    <w:rsid w:val="005432DB"/>
    <w:rsid w:val="0054334F"/>
    <w:rsid w:val="005433BB"/>
    <w:rsid w:val="00543435"/>
    <w:rsid w:val="00543486"/>
    <w:rsid w:val="005434F5"/>
    <w:rsid w:val="0054366B"/>
    <w:rsid w:val="005436A6"/>
    <w:rsid w:val="005436CB"/>
    <w:rsid w:val="005436FC"/>
    <w:rsid w:val="00543714"/>
    <w:rsid w:val="005438D8"/>
    <w:rsid w:val="00543A5E"/>
    <w:rsid w:val="00543ADE"/>
    <w:rsid w:val="00543AE6"/>
    <w:rsid w:val="00543B3B"/>
    <w:rsid w:val="00543B7C"/>
    <w:rsid w:val="00543BEC"/>
    <w:rsid w:val="00543C35"/>
    <w:rsid w:val="00543DB0"/>
    <w:rsid w:val="00543E8F"/>
    <w:rsid w:val="00543EDE"/>
    <w:rsid w:val="00543F6E"/>
    <w:rsid w:val="00543F9A"/>
    <w:rsid w:val="00543FEF"/>
    <w:rsid w:val="00544044"/>
    <w:rsid w:val="0054411E"/>
    <w:rsid w:val="00544159"/>
    <w:rsid w:val="0054415E"/>
    <w:rsid w:val="0054419B"/>
    <w:rsid w:val="00544388"/>
    <w:rsid w:val="00544405"/>
    <w:rsid w:val="0054449D"/>
    <w:rsid w:val="0054457A"/>
    <w:rsid w:val="00544685"/>
    <w:rsid w:val="00544686"/>
    <w:rsid w:val="005446A2"/>
    <w:rsid w:val="005446C0"/>
    <w:rsid w:val="005446F7"/>
    <w:rsid w:val="0054473C"/>
    <w:rsid w:val="0054475C"/>
    <w:rsid w:val="00544832"/>
    <w:rsid w:val="0054492C"/>
    <w:rsid w:val="00544984"/>
    <w:rsid w:val="005449D7"/>
    <w:rsid w:val="00544A1C"/>
    <w:rsid w:val="00544AAC"/>
    <w:rsid w:val="00544AC2"/>
    <w:rsid w:val="00544AED"/>
    <w:rsid w:val="00544B09"/>
    <w:rsid w:val="00544B0E"/>
    <w:rsid w:val="00544BE6"/>
    <w:rsid w:val="00544D18"/>
    <w:rsid w:val="00544D6E"/>
    <w:rsid w:val="00545021"/>
    <w:rsid w:val="00545062"/>
    <w:rsid w:val="00545082"/>
    <w:rsid w:val="00545137"/>
    <w:rsid w:val="0054532E"/>
    <w:rsid w:val="00545369"/>
    <w:rsid w:val="0054536A"/>
    <w:rsid w:val="0054539A"/>
    <w:rsid w:val="005453AC"/>
    <w:rsid w:val="00545403"/>
    <w:rsid w:val="005454FA"/>
    <w:rsid w:val="00545596"/>
    <w:rsid w:val="00545601"/>
    <w:rsid w:val="005456D7"/>
    <w:rsid w:val="00545747"/>
    <w:rsid w:val="00545752"/>
    <w:rsid w:val="00545837"/>
    <w:rsid w:val="00545A20"/>
    <w:rsid w:val="00545A94"/>
    <w:rsid w:val="00545AD4"/>
    <w:rsid w:val="00545B11"/>
    <w:rsid w:val="00545B3A"/>
    <w:rsid w:val="00545B4E"/>
    <w:rsid w:val="00545BAE"/>
    <w:rsid w:val="00545C53"/>
    <w:rsid w:val="00545C78"/>
    <w:rsid w:val="00545D0E"/>
    <w:rsid w:val="00545E16"/>
    <w:rsid w:val="00545F3C"/>
    <w:rsid w:val="00545FEF"/>
    <w:rsid w:val="00546177"/>
    <w:rsid w:val="005461C6"/>
    <w:rsid w:val="00546250"/>
    <w:rsid w:val="00546359"/>
    <w:rsid w:val="005463B3"/>
    <w:rsid w:val="00546476"/>
    <w:rsid w:val="0054651F"/>
    <w:rsid w:val="005465CC"/>
    <w:rsid w:val="005465EA"/>
    <w:rsid w:val="00546680"/>
    <w:rsid w:val="005466A2"/>
    <w:rsid w:val="005466C6"/>
    <w:rsid w:val="00546894"/>
    <w:rsid w:val="005468D5"/>
    <w:rsid w:val="00546921"/>
    <w:rsid w:val="00546997"/>
    <w:rsid w:val="005469C0"/>
    <w:rsid w:val="00546A47"/>
    <w:rsid w:val="00546B6D"/>
    <w:rsid w:val="00546B7F"/>
    <w:rsid w:val="00546D63"/>
    <w:rsid w:val="00546DB8"/>
    <w:rsid w:val="00546DFB"/>
    <w:rsid w:val="00546E56"/>
    <w:rsid w:val="00546E78"/>
    <w:rsid w:val="00546ED6"/>
    <w:rsid w:val="00546F6D"/>
    <w:rsid w:val="00546F94"/>
    <w:rsid w:val="0054712C"/>
    <w:rsid w:val="00547145"/>
    <w:rsid w:val="00547160"/>
    <w:rsid w:val="005471F1"/>
    <w:rsid w:val="005472ED"/>
    <w:rsid w:val="0054740D"/>
    <w:rsid w:val="00547427"/>
    <w:rsid w:val="0054746B"/>
    <w:rsid w:val="005475A1"/>
    <w:rsid w:val="00547633"/>
    <w:rsid w:val="00547790"/>
    <w:rsid w:val="0054783B"/>
    <w:rsid w:val="00547906"/>
    <w:rsid w:val="005479D4"/>
    <w:rsid w:val="00547ADA"/>
    <w:rsid w:val="00547C40"/>
    <w:rsid w:val="00547CB7"/>
    <w:rsid w:val="00547DD4"/>
    <w:rsid w:val="00547E09"/>
    <w:rsid w:val="00547EB2"/>
    <w:rsid w:val="00547F9B"/>
    <w:rsid w:val="0055000A"/>
    <w:rsid w:val="0055008F"/>
    <w:rsid w:val="005500A5"/>
    <w:rsid w:val="00550401"/>
    <w:rsid w:val="00550433"/>
    <w:rsid w:val="0055051C"/>
    <w:rsid w:val="005505CD"/>
    <w:rsid w:val="005505F4"/>
    <w:rsid w:val="0055060E"/>
    <w:rsid w:val="00550621"/>
    <w:rsid w:val="005506E3"/>
    <w:rsid w:val="00550725"/>
    <w:rsid w:val="00550734"/>
    <w:rsid w:val="00550846"/>
    <w:rsid w:val="005508D1"/>
    <w:rsid w:val="005509E8"/>
    <w:rsid w:val="00550ABA"/>
    <w:rsid w:val="00550B4B"/>
    <w:rsid w:val="00550B5E"/>
    <w:rsid w:val="00550DC9"/>
    <w:rsid w:val="00550E4E"/>
    <w:rsid w:val="00551090"/>
    <w:rsid w:val="0055120A"/>
    <w:rsid w:val="00551246"/>
    <w:rsid w:val="005512A6"/>
    <w:rsid w:val="005512AC"/>
    <w:rsid w:val="00551440"/>
    <w:rsid w:val="005514F4"/>
    <w:rsid w:val="005515AA"/>
    <w:rsid w:val="00551618"/>
    <w:rsid w:val="0055163D"/>
    <w:rsid w:val="0055173E"/>
    <w:rsid w:val="005517BB"/>
    <w:rsid w:val="00551864"/>
    <w:rsid w:val="0055189A"/>
    <w:rsid w:val="005518A1"/>
    <w:rsid w:val="00551A25"/>
    <w:rsid w:val="00551CAA"/>
    <w:rsid w:val="00551D4C"/>
    <w:rsid w:val="00551D8B"/>
    <w:rsid w:val="00551F74"/>
    <w:rsid w:val="00552036"/>
    <w:rsid w:val="005520AF"/>
    <w:rsid w:val="005520CF"/>
    <w:rsid w:val="00552248"/>
    <w:rsid w:val="005523D5"/>
    <w:rsid w:val="005524BC"/>
    <w:rsid w:val="0055269A"/>
    <w:rsid w:val="005526F2"/>
    <w:rsid w:val="00552709"/>
    <w:rsid w:val="005527F4"/>
    <w:rsid w:val="0055284C"/>
    <w:rsid w:val="00552867"/>
    <w:rsid w:val="005528FF"/>
    <w:rsid w:val="0055292A"/>
    <w:rsid w:val="00552939"/>
    <w:rsid w:val="00552998"/>
    <w:rsid w:val="00552A42"/>
    <w:rsid w:val="00552AAD"/>
    <w:rsid w:val="00552B21"/>
    <w:rsid w:val="00552BBF"/>
    <w:rsid w:val="00552C0A"/>
    <w:rsid w:val="00552CA8"/>
    <w:rsid w:val="00552D8E"/>
    <w:rsid w:val="00552DAB"/>
    <w:rsid w:val="00552DD2"/>
    <w:rsid w:val="00552E45"/>
    <w:rsid w:val="00552E48"/>
    <w:rsid w:val="00552ED6"/>
    <w:rsid w:val="00552FA4"/>
    <w:rsid w:val="00553001"/>
    <w:rsid w:val="0055301B"/>
    <w:rsid w:val="00553061"/>
    <w:rsid w:val="00553191"/>
    <w:rsid w:val="005531CE"/>
    <w:rsid w:val="005531E9"/>
    <w:rsid w:val="005533CF"/>
    <w:rsid w:val="005533DF"/>
    <w:rsid w:val="005534F3"/>
    <w:rsid w:val="005535D9"/>
    <w:rsid w:val="005536BE"/>
    <w:rsid w:val="005536BF"/>
    <w:rsid w:val="00553774"/>
    <w:rsid w:val="005537B8"/>
    <w:rsid w:val="00553870"/>
    <w:rsid w:val="005538B1"/>
    <w:rsid w:val="0055392B"/>
    <w:rsid w:val="00553A16"/>
    <w:rsid w:val="00553AA3"/>
    <w:rsid w:val="00553B3A"/>
    <w:rsid w:val="00553BBA"/>
    <w:rsid w:val="00553C56"/>
    <w:rsid w:val="00553D83"/>
    <w:rsid w:val="00553DE9"/>
    <w:rsid w:val="00553EA0"/>
    <w:rsid w:val="00553EDE"/>
    <w:rsid w:val="00553F3B"/>
    <w:rsid w:val="00553F50"/>
    <w:rsid w:val="00553FA1"/>
    <w:rsid w:val="00553FCD"/>
    <w:rsid w:val="00554080"/>
    <w:rsid w:val="005540CD"/>
    <w:rsid w:val="00554107"/>
    <w:rsid w:val="005541CC"/>
    <w:rsid w:val="0055420D"/>
    <w:rsid w:val="00554236"/>
    <w:rsid w:val="00554439"/>
    <w:rsid w:val="00554467"/>
    <w:rsid w:val="0055455C"/>
    <w:rsid w:val="005546B0"/>
    <w:rsid w:val="005546D8"/>
    <w:rsid w:val="005548DD"/>
    <w:rsid w:val="0055498F"/>
    <w:rsid w:val="005549FA"/>
    <w:rsid w:val="00554A0E"/>
    <w:rsid w:val="00554A5F"/>
    <w:rsid w:val="00554B44"/>
    <w:rsid w:val="00554BA4"/>
    <w:rsid w:val="00554C00"/>
    <w:rsid w:val="00554C22"/>
    <w:rsid w:val="00554D07"/>
    <w:rsid w:val="00554D2F"/>
    <w:rsid w:val="00554D3F"/>
    <w:rsid w:val="00554D93"/>
    <w:rsid w:val="00554E59"/>
    <w:rsid w:val="00554F2B"/>
    <w:rsid w:val="00554F2F"/>
    <w:rsid w:val="00554F3D"/>
    <w:rsid w:val="005550FE"/>
    <w:rsid w:val="0055516D"/>
    <w:rsid w:val="005553C5"/>
    <w:rsid w:val="00555475"/>
    <w:rsid w:val="005554B3"/>
    <w:rsid w:val="0055560D"/>
    <w:rsid w:val="00555658"/>
    <w:rsid w:val="00555663"/>
    <w:rsid w:val="0055572E"/>
    <w:rsid w:val="0055574B"/>
    <w:rsid w:val="00555770"/>
    <w:rsid w:val="005557BE"/>
    <w:rsid w:val="005557D9"/>
    <w:rsid w:val="00555AA6"/>
    <w:rsid w:val="00555B67"/>
    <w:rsid w:val="00555BA9"/>
    <w:rsid w:val="00555C0B"/>
    <w:rsid w:val="00555C63"/>
    <w:rsid w:val="00555CB8"/>
    <w:rsid w:val="00555CF5"/>
    <w:rsid w:val="00555D12"/>
    <w:rsid w:val="00555D67"/>
    <w:rsid w:val="00555D7B"/>
    <w:rsid w:val="00555E18"/>
    <w:rsid w:val="00555E1A"/>
    <w:rsid w:val="00555EFA"/>
    <w:rsid w:val="00555F65"/>
    <w:rsid w:val="00555FB5"/>
    <w:rsid w:val="00556173"/>
    <w:rsid w:val="005562CE"/>
    <w:rsid w:val="00556369"/>
    <w:rsid w:val="005567DE"/>
    <w:rsid w:val="0055687E"/>
    <w:rsid w:val="0055689A"/>
    <w:rsid w:val="005568C9"/>
    <w:rsid w:val="0055692B"/>
    <w:rsid w:val="00556991"/>
    <w:rsid w:val="00556994"/>
    <w:rsid w:val="005569CD"/>
    <w:rsid w:val="00556A47"/>
    <w:rsid w:val="00556B19"/>
    <w:rsid w:val="00556C49"/>
    <w:rsid w:val="00556D22"/>
    <w:rsid w:val="00556D34"/>
    <w:rsid w:val="00556E3D"/>
    <w:rsid w:val="00556FA4"/>
    <w:rsid w:val="00556FDD"/>
    <w:rsid w:val="005570C9"/>
    <w:rsid w:val="005570EC"/>
    <w:rsid w:val="005571CF"/>
    <w:rsid w:val="00557225"/>
    <w:rsid w:val="0055725D"/>
    <w:rsid w:val="005572DB"/>
    <w:rsid w:val="00557324"/>
    <w:rsid w:val="0055737D"/>
    <w:rsid w:val="005573C4"/>
    <w:rsid w:val="0055740A"/>
    <w:rsid w:val="005574A3"/>
    <w:rsid w:val="00557545"/>
    <w:rsid w:val="00557617"/>
    <w:rsid w:val="00557684"/>
    <w:rsid w:val="005576BE"/>
    <w:rsid w:val="00557749"/>
    <w:rsid w:val="005577BB"/>
    <w:rsid w:val="00557814"/>
    <w:rsid w:val="0055781C"/>
    <w:rsid w:val="00557824"/>
    <w:rsid w:val="0055789B"/>
    <w:rsid w:val="005578A1"/>
    <w:rsid w:val="00557986"/>
    <w:rsid w:val="005579F2"/>
    <w:rsid w:val="00557B2C"/>
    <w:rsid w:val="00557CEA"/>
    <w:rsid w:val="00557D8A"/>
    <w:rsid w:val="00557E72"/>
    <w:rsid w:val="00557E84"/>
    <w:rsid w:val="00557F2D"/>
    <w:rsid w:val="00557FCF"/>
    <w:rsid w:val="0056037E"/>
    <w:rsid w:val="00560507"/>
    <w:rsid w:val="00560562"/>
    <w:rsid w:val="005605B9"/>
    <w:rsid w:val="0056062C"/>
    <w:rsid w:val="00560800"/>
    <w:rsid w:val="00560824"/>
    <w:rsid w:val="0056085A"/>
    <w:rsid w:val="005608BE"/>
    <w:rsid w:val="00560914"/>
    <w:rsid w:val="00560A0C"/>
    <w:rsid w:val="00560A3B"/>
    <w:rsid w:val="00560AD5"/>
    <w:rsid w:val="00560D8D"/>
    <w:rsid w:val="00560E1E"/>
    <w:rsid w:val="00560E45"/>
    <w:rsid w:val="00560E7E"/>
    <w:rsid w:val="00560EE6"/>
    <w:rsid w:val="00560F58"/>
    <w:rsid w:val="00560FF2"/>
    <w:rsid w:val="005610A3"/>
    <w:rsid w:val="0056117D"/>
    <w:rsid w:val="005612CF"/>
    <w:rsid w:val="00561317"/>
    <w:rsid w:val="00561327"/>
    <w:rsid w:val="00561439"/>
    <w:rsid w:val="00561521"/>
    <w:rsid w:val="005615D1"/>
    <w:rsid w:val="0056162E"/>
    <w:rsid w:val="00561686"/>
    <w:rsid w:val="005616B8"/>
    <w:rsid w:val="005616D5"/>
    <w:rsid w:val="00561895"/>
    <w:rsid w:val="005618EC"/>
    <w:rsid w:val="0056190C"/>
    <w:rsid w:val="0056199F"/>
    <w:rsid w:val="005619E1"/>
    <w:rsid w:val="00561A05"/>
    <w:rsid w:val="00561A2D"/>
    <w:rsid w:val="00561B10"/>
    <w:rsid w:val="00561BA0"/>
    <w:rsid w:val="00561C06"/>
    <w:rsid w:val="00561C69"/>
    <w:rsid w:val="00561C72"/>
    <w:rsid w:val="00561E96"/>
    <w:rsid w:val="00561F2B"/>
    <w:rsid w:val="00562048"/>
    <w:rsid w:val="00562056"/>
    <w:rsid w:val="005620C1"/>
    <w:rsid w:val="005620ED"/>
    <w:rsid w:val="005621A0"/>
    <w:rsid w:val="005621B4"/>
    <w:rsid w:val="00562265"/>
    <w:rsid w:val="00562283"/>
    <w:rsid w:val="00562287"/>
    <w:rsid w:val="00562386"/>
    <w:rsid w:val="005624BB"/>
    <w:rsid w:val="005625B4"/>
    <w:rsid w:val="00562650"/>
    <w:rsid w:val="00562741"/>
    <w:rsid w:val="0056275D"/>
    <w:rsid w:val="0056280C"/>
    <w:rsid w:val="0056282C"/>
    <w:rsid w:val="00562851"/>
    <w:rsid w:val="00562873"/>
    <w:rsid w:val="00562900"/>
    <w:rsid w:val="00562946"/>
    <w:rsid w:val="005629E5"/>
    <w:rsid w:val="00562B65"/>
    <w:rsid w:val="00562BCD"/>
    <w:rsid w:val="00562BD0"/>
    <w:rsid w:val="00562BF1"/>
    <w:rsid w:val="00562CDF"/>
    <w:rsid w:val="0056306A"/>
    <w:rsid w:val="0056307E"/>
    <w:rsid w:val="00563088"/>
    <w:rsid w:val="0056308B"/>
    <w:rsid w:val="005631DB"/>
    <w:rsid w:val="0056325F"/>
    <w:rsid w:val="005632E4"/>
    <w:rsid w:val="0056333F"/>
    <w:rsid w:val="00563474"/>
    <w:rsid w:val="0056348E"/>
    <w:rsid w:val="00563495"/>
    <w:rsid w:val="0056349B"/>
    <w:rsid w:val="00563598"/>
    <w:rsid w:val="005635B7"/>
    <w:rsid w:val="00563621"/>
    <w:rsid w:val="005636FF"/>
    <w:rsid w:val="0056370E"/>
    <w:rsid w:val="00563722"/>
    <w:rsid w:val="00563811"/>
    <w:rsid w:val="00563823"/>
    <w:rsid w:val="00563857"/>
    <w:rsid w:val="005639EA"/>
    <w:rsid w:val="00563AA8"/>
    <w:rsid w:val="00563AD5"/>
    <w:rsid w:val="00563B83"/>
    <w:rsid w:val="00563BB3"/>
    <w:rsid w:val="00563CB3"/>
    <w:rsid w:val="00563CBB"/>
    <w:rsid w:val="00563D11"/>
    <w:rsid w:val="00563D35"/>
    <w:rsid w:val="00563D99"/>
    <w:rsid w:val="00563DED"/>
    <w:rsid w:val="00563ECC"/>
    <w:rsid w:val="00563EF1"/>
    <w:rsid w:val="00563F18"/>
    <w:rsid w:val="0056403D"/>
    <w:rsid w:val="005640CE"/>
    <w:rsid w:val="005640FE"/>
    <w:rsid w:val="00564189"/>
    <w:rsid w:val="00564198"/>
    <w:rsid w:val="00564249"/>
    <w:rsid w:val="005642B8"/>
    <w:rsid w:val="005642CC"/>
    <w:rsid w:val="005642D9"/>
    <w:rsid w:val="00564325"/>
    <w:rsid w:val="005644BB"/>
    <w:rsid w:val="00564588"/>
    <w:rsid w:val="00564618"/>
    <w:rsid w:val="00564635"/>
    <w:rsid w:val="00564637"/>
    <w:rsid w:val="0056475B"/>
    <w:rsid w:val="005647C0"/>
    <w:rsid w:val="005647D0"/>
    <w:rsid w:val="005649A6"/>
    <w:rsid w:val="00564A27"/>
    <w:rsid w:val="00564A2A"/>
    <w:rsid w:val="00564AFA"/>
    <w:rsid w:val="00564AFD"/>
    <w:rsid w:val="00564B63"/>
    <w:rsid w:val="00564C2B"/>
    <w:rsid w:val="00564C40"/>
    <w:rsid w:val="00564E18"/>
    <w:rsid w:val="00564E1D"/>
    <w:rsid w:val="00564E5E"/>
    <w:rsid w:val="00564EB2"/>
    <w:rsid w:val="00564EFA"/>
    <w:rsid w:val="00564F9C"/>
    <w:rsid w:val="00564FA2"/>
    <w:rsid w:val="005650D9"/>
    <w:rsid w:val="00565130"/>
    <w:rsid w:val="00565197"/>
    <w:rsid w:val="005653FB"/>
    <w:rsid w:val="00565514"/>
    <w:rsid w:val="005655E8"/>
    <w:rsid w:val="005657B9"/>
    <w:rsid w:val="00565866"/>
    <w:rsid w:val="0056587C"/>
    <w:rsid w:val="005658AB"/>
    <w:rsid w:val="00565A62"/>
    <w:rsid w:val="00565B0A"/>
    <w:rsid w:val="00565B60"/>
    <w:rsid w:val="00565BC0"/>
    <w:rsid w:val="00565C68"/>
    <w:rsid w:val="00565CB3"/>
    <w:rsid w:val="00565D0F"/>
    <w:rsid w:val="00565D2C"/>
    <w:rsid w:val="00565D39"/>
    <w:rsid w:val="00565E1F"/>
    <w:rsid w:val="00565EB7"/>
    <w:rsid w:val="005660B5"/>
    <w:rsid w:val="005660EF"/>
    <w:rsid w:val="0056623C"/>
    <w:rsid w:val="005663FA"/>
    <w:rsid w:val="0056646A"/>
    <w:rsid w:val="005664B0"/>
    <w:rsid w:val="005664FA"/>
    <w:rsid w:val="0056656E"/>
    <w:rsid w:val="005666C5"/>
    <w:rsid w:val="00566854"/>
    <w:rsid w:val="005668F4"/>
    <w:rsid w:val="0056697C"/>
    <w:rsid w:val="005669A5"/>
    <w:rsid w:val="00566A23"/>
    <w:rsid w:val="00566A2F"/>
    <w:rsid w:val="00566AF3"/>
    <w:rsid w:val="00566B13"/>
    <w:rsid w:val="00566BF6"/>
    <w:rsid w:val="00566C11"/>
    <w:rsid w:val="00566E6D"/>
    <w:rsid w:val="00566F67"/>
    <w:rsid w:val="0056701B"/>
    <w:rsid w:val="0056720B"/>
    <w:rsid w:val="00567363"/>
    <w:rsid w:val="0056746B"/>
    <w:rsid w:val="005674EB"/>
    <w:rsid w:val="005675B3"/>
    <w:rsid w:val="00567623"/>
    <w:rsid w:val="005676A2"/>
    <w:rsid w:val="005676A3"/>
    <w:rsid w:val="00567775"/>
    <w:rsid w:val="005677EE"/>
    <w:rsid w:val="005677F5"/>
    <w:rsid w:val="0056786A"/>
    <w:rsid w:val="00567A3F"/>
    <w:rsid w:val="00567B00"/>
    <w:rsid w:val="00567B2F"/>
    <w:rsid w:val="00567B5C"/>
    <w:rsid w:val="00567C8B"/>
    <w:rsid w:val="00567C97"/>
    <w:rsid w:val="00567CA5"/>
    <w:rsid w:val="00567CEA"/>
    <w:rsid w:val="00567D28"/>
    <w:rsid w:val="00567FD0"/>
    <w:rsid w:val="00570154"/>
    <w:rsid w:val="00570158"/>
    <w:rsid w:val="00570276"/>
    <w:rsid w:val="00570485"/>
    <w:rsid w:val="005704AB"/>
    <w:rsid w:val="005705FB"/>
    <w:rsid w:val="005706E0"/>
    <w:rsid w:val="00570727"/>
    <w:rsid w:val="0057090F"/>
    <w:rsid w:val="00570972"/>
    <w:rsid w:val="00570BAA"/>
    <w:rsid w:val="00570BCD"/>
    <w:rsid w:val="00570C9A"/>
    <w:rsid w:val="00570CB5"/>
    <w:rsid w:val="00570CC4"/>
    <w:rsid w:val="00570CD3"/>
    <w:rsid w:val="00570DA6"/>
    <w:rsid w:val="00570DB2"/>
    <w:rsid w:val="0057105D"/>
    <w:rsid w:val="00571068"/>
    <w:rsid w:val="005710B5"/>
    <w:rsid w:val="005710BD"/>
    <w:rsid w:val="005710E9"/>
    <w:rsid w:val="005711A7"/>
    <w:rsid w:val="0057125C"/>
    <w:rsid w:val="0057130F"/>
    <w:rsid w:val="00571406"/>
    <w:rsid w:val="00571414"/>
    <w:rsid w:val="005714CD"/>
    <w:rsid w:val="005717DD"/>
    <w:rsid w:val="005718BB"/>
    <w:rsid w:val="00571943"/>
    <w:rsid w:val="00571ABA"/>
    <w:rsid w:val="00571B6C"/>
    <w:rsid w:val="00571C4A"/>
    <w:rsid w:val="00571CBB"/>
    <w:rsid w:val="00571CEA"/>
    <w:rsid w:val="00571CF2"/>
    <w:rsid w:val="00571D68"/>
    <w:rsid w:val="00571E3C"/>
    <w:rsid w:val="00571EB6"/>
    <w:rsid w:val="00571F20"/>
    <w:rsid w:val="00571F4B"/>
    <w:rsid w:val="00571F6D"/>
    <w:rsid w:val="00571F75"/>
    <w:rsid w:val="005720D7"/>
    <w:rsid w:val="005721B0"/>
    <w:rsid w:val="0057221A"/>
    <w:rsid w:val="0057232A"/>
    <w:rsid w:val="005723A4"/>
    <w:rsid w:val="005724BA"/>
    <w:rsid w:val="0057262B"/>
    <w:rsid w:val="005726C1"/>
    <w:rsid w:val="005726FF"/>
    <w:rsid w:val="00572726"/>
    <w:rsid w:val="0057280A"/>
    <w:rsid w:val="0057284E"/>
    <w:rsid w:val="00572892"/>
    <w:rsid w:val="005728AC"/>
    <w:rsid w:val="005728DF"/>
    <w:rsid w:val="00572950"/>
    <w:rsid w:val="0057299C"/>
    <w:rsid w:val="005729DF"/>
    <w:rsid w:val="00572A1C"/>
    <w:rsid w:val="00572A86"/>
    <w:rsid w:val="00572BAC"/>
    <w:rsid w:val="00572C0F"/>
    <w:rsid w:val="00572D48"/>
    <w:rsid w:val="00572DCA"/>
    <w:rsid w:val="00572E84"/>
    <w:rsid w:val="0057302F"/>
    <w:rsid w:val="0057313B"/>
    <w:rsid w:val="0057323F"/>
    <w:rsid w:val="00573263"/>
    <w:rsid w:val="005732B2"/>
    <w:rsid w:val="005732D8"/>
    <w:rsid w:val="00573356"/>
    <w:rsid w:val="0057348F"/>
    <w:rsid w:val="005734DE"/>
    <w:rsid w:val="00573527"/>
    <w:rsid w:val="00573579"/>
    <w:rsid w:val="005735C8"/>
    <w:rsid w:val="005735D0"/>
    <w:rsid w:val="005736CA"/>
    <w:rsid w:val="00573763"/>
    <w:rsid w:val="00573787"/>
    <w:rsid w:val="00573909"/>
    <w:rsid w:val="00573A74"/>
    <w:rsid w:val="00573A7D"/>
    <w:rsid w:val="00573B16"/>
    <w:rsid w:val="00573B83"/>
    <w:rsid w:val="00573BC8"/>
    <w:rsid w:val="00573C03"/>
    <w:rsid w:val="00573C85"/>
    <w:rsid w:val="00573C8B"/>
    <w:rsid w:val="00573C97"/>
    <w:rsid w:val="00573CAD"/>
    <w:rsid w:val="00573D32"/>
    <w:rsid w:val="00573E11"/>
    <w:rsid w:val="00573E47"/>
    <w:rsid w:val="00573FAD"/>
    <w:rsid w:val="00574038"/>
    <w:rsid w:val="00574092"/>
    <w:rsid w:val="00574150"/>
    <w:rsid w:val="0057417C"/>
    <w:rsid w:val="005741C9"/>
    <w:rsid w:val="0057459A"/>
    <w:rsid w:val="005746F9"/>
    <w:rsid w:val="005748D1"/>
    <w:rsid w:val="00574907"/>
    <w:rsid w:val="00574AB5"/>
    <w:rsid w:val="00574AC2"/>
    <w:rsid w:val="00574ADE"/>
    <w:rsid w:val="00574B8A"/>
    <w:rsid w:val="00574C91"/>
    <w:rsid w:val="00574CCB"/>
    <w:rsid w:val="00574D35"/>
    <w:rsid w:val="00574E0F"/>
    <w:rsid w:val="00574E3B"/>
    <w:rsid w:val="00575038"/>
    <w:rsid w:val="0057504F"/>
    <w:rsid w:val="0057507C"/>
    <w:rsid w:val="00575232"/>
    <w:rsid w:val="0057529E"/>
    <w:rsid w:val="0057531E"/>
    <w:rsid w:val="00575359"/>
    <w:rsid w:val="00575392"/>
    <w:rsid w:val="00575403"/>
    <w:rsid w:val="00575621"/>
    <w:rsid w:val="00575742"/>
    <w:rsid w:val="0057582C"/>
    <w:rsid w:val="005759AD"/>
    <w:rsid w:val="005759E5"/>
    <w:rsid w:val="00575B27"/>
    <w:rsid w:val="00575B54"/>
    <w:rsid w:val="00575BB6"/>
    <w:rsid w:val="00575CC7"/>
    <w:rsid w:val="00576047"/>
    <w:rsid w:val="00576077"/>
    <w:rsid w:val="005760B7"/>
    <w:rsid w:val="005760CB"/>
    <w:rsid w:val="005761B7"/>
    <w:rsid w:val="0057624A"/>
    <w:rsid w:val="00576250"/>
    <w:rsid w:val="005763C2"/>
    <w:rsid w:val="005765AA"/>
    <w:rsid w:val="005766CE"/>
    <w:rsid w:val="00576A34"/>
    <w:rsid w:val="00576A55"/>
    <w:rsid w:val="00576B47"/>
    <w:rsid w:val="00576B7C"/>
    <w:rsid w:val="00576BA0"/>
    <w:rsid w:val="00576CA2"/>
    <w:rsid w:val="00576D27"/>
    <w:rsid w:val="00576D3F"/>
    <w:rsid w:val="00576D8D"/>
    <w:rsid w:val="00576DB9"/>
    <w:rsid w:val="00576E31"/>
    <w:rsid w:val="00576E7C"/>
    <w:rsid w:val="00576E91"/>
    <w:rsid w:val="00576ECB"/>
    <w:rsid w:val="00576F7E"/>
    <w:rsid w:val="005770A3"/>
    <w:rsid w:val="0057711C"/>
    <w:rsid w:val="0057719B"/>
    <w:rsid w:val="00577200"/>
    <w:rsid w:val="0057749D"/>
    <w:rsid w:val="00577549"/>
    <w:rsid w:val="0057767E"/>
    <w:rsid w:val="00577694"/>
    <w:rsid w:val="0057778F"/>
    <w:rsid w:val="005777AC"/>
    <w:rsid w:val="00577802"/>
    <w:rsid w:val="00577851"/>
    <w:rsid w:val="00577855"/>
    <w:rsid w:val="005778FB"/>
    <w:rsid w:val="00577942"/>
    <w:rsid w:val="0057796C"/>
    <w:rsid w:val="00577A80"/>
    <w:rsid w:val="00577B0B"/>
    <w:rsid w:val="00577C26"/>
    <w:rsid w:val="00577D73"/>
    <w:rsid w:val="00577E56"/>
    <w:rsid w:val="00577E80"/>
    <w:rsid w:val="00577EB9"/>
    <w:rsid w:val="00577F1C"/>
    <w:rsid w:val="00577FDE"/>
    <w:rsid w:val="00580098"/>
    <w:rsid w:val="00580099"/>
    <w:rsid w:val="0058048C"/>
    <w:rsid w:val="00580508"/>
    <w:rsid w:val="00580616"/>
    <w:rsid w:val="00580977"/>
    <w:rsid w:val="005809DA"/>
    <w:rsid w:val="00580A01"/>
    <w:rsid w:val="00580A33"/>
    <w:rsid w:val="00580A5F"/>
    <w:rsid w:val="00580ADE"/>
    <w:rsid w:val="00580B89"/>
    <w:rsid w:val="00580CD3"/>
    <w:rsid w:val="00580D59"/>
    <w:rsid w:val="00580F08"/>
    <w:rsid w:val="00580FC7"/>
    <w:rsid w:val="00581010"/>
    <w:rsid w:val="00581040"/>
    <w:rsid w:val="0058107A"/>
    <w:rsid w:val="00581138"/>
    <w:rsid w:val="00581142"/>
    <w:rsid w:val="00581226"/>
    <w:rsid w:val="005812F5"/>
    <w:rsid w:val="005813D8"/>
    <w:rsid w:val="00581421"/>
    <w:rsid w:val="0058143E"/>
    <w:rsid w:val="005814FD"/>
    <w:rsid w:val="0058155E"/>
    <w:rsid w:val="005815AF"/>
    <w:rsid w:val="0058179F"/>
    <w:rsid w:val="005817D6"/>
    <w:rsid w:val="005818B8"/>
    <w:rsid w:val="00581960"/>
    <w:rsid w:val="00581BA9"/>
    <w:rsid w:val="00581BC9"/>
    <w:rsid w:val="00581C0D"/>
    <w:rsid w:val="00581C7C"/>
    <w:rsid w:val="00581CFF"/>
    <w:rsid w:val="00581E26"/>
    <w:rsid w:val="00581F8E"/>
    <w:rsid w:val="00581FC9"/>
    <w:rsid w:val="00582034"/>
    <w:rsid w:val="005820EF"/>
    <w:rsid w:val="00582231"/>
    <w:rsid w:val="005822AB"/>
    <w:rsid w:val="005822B6"/>
    <w:rsid w:val="0058230E"/>
    <w:rsid w:val="00582313"/>
    <w:rsid w:val="00582479"/>
    <w:rsid w:val="0058254D"/>
    <w:rsid w:val="005825F8"/>
    <w:rsid w:val="005826A5"/>
    <w:rsid w:val="0058278C"/>
    <w:rsid w:val="005827E6"/>
    <w:rsid w:val="005828FC"/>
    <w:rsid w:val="00582960"/>
    <w:rsid w:val="00582AF2"/>
    <w:rsid w:val="00582B38"/>
    <w:rsid w:val="00582B85"/>
    <w:rsid w:val="00582B88"/>
    <w:rsid w:val="00582D33"/>
    <w:rsid w:val="00582ECA"/>
    <w:rsid w:val="0058306B"/>
    <w:rsid w:val="005830E5"/>
    <w:rsid w:val="005831BF"/>
    <w:rsid w:val="00583202"/>
    <w:rsid w:val="00583210"/>
    <w:rsid w:val="00583352"/>
    <w:rsid w:val="00583402"/>
    <w:rsid w:val="005834C0"/>
    <w:rsid w:val="005834CD"/>
    <w:rsid w:val="005834E8"/>
    <w:rsid w:val="005834F7"/>
    <w:rsid w:val="0058351B"/>
    <w:rsid w:val="00583680"/>
    <w:rsid w:val="005836A2"/>
    <w:rsid w:val="00583837"/>
    <w:rsid w:val="0058392C"/>
    <w:rsid w:val="005839C6"/>
    <w:rsid w:val="00583A11"/>
    <w:rsid w:val="00583AAE"/>
    <w:rsid w:val="00583AE1"/>
    <w:rsid w:val="00583B5F"/>
    <w:rsid w:val="00583C98"/>
    <w:rsid w:val="00583CA6"/>
    <w:rsid w:val="00583CF6"/>
    <w:rsid w:val="00583D02"/>
    <w:rsid w:val="00583D74"/>
    <w:rsid w:val="00583F6C"/>
    <w:rsid w:val="00583F9E"/>
    <w:rsid w:val="00583FB4"/>
    <w:rsid w:val="0058401C"/>
    <w:rsid w:val="0058406A"/>
    <w:rsid w:val="00584150"/>
    <w:rsid w:val="0058424D"/>
    <w:rsid w:val="00584274"/>
    <w:rsid w:val="00584397"/>
    <w:rsid w:val="005843AE"/>
    <w:rsid w:val="005843FF"/>
    <w:rsid w:val="005844CB"/>
    <w:rsid w:val="005844DA"/>
    <w:rsid w:val="005844FC"/>
    <w:rsid w:val="00584549"/>
    <w:rsid w:val="005845C0"/>
    <w:rsid w:val="0058472F"/>
    <w:rsid w:val="00584761"/>
    <w:rsid w:val="005847BB"/>
    <w:rsid w:val="00584835"/>
    <w:rsid w:val="0058490B"/>
    <w:rsid w:val="0058499A"/>
    <w:rsid w:val="005849D7"/>
    <w:rsid w:val="00584A2B"/>
    <w:rsid w:val="00584B24"/>
    <w:rsid w:val="00584BAA"/>
    <w:rsid w:val="00584C16"/>
    <w:rsid w:val="00584C20"/>
    <w:rsid w:val="00584E7F"/>
    <w:rsid w:val="00584E9E"/>
    <w:rsid w:val="00584EA8"/>
    <w:rsid w:val="00584FAA"/>
    <w:rsid w:val="00584FBF"/>
    <w:rsid w:val="005850B6"/>
    <w:rsid w:val="00585136"/>
    <w:rsid w:val="0058513E"/>
    <w:rsid w:val="00585266"/>
    <w:rsid w:val="005852FD"/>
    <w:rsid w:val="00585342"/>
    <w:rsid w:val="005853F1"/>
    <w:rsid w:val="00585458"/>
    <w:rsid w:val="005855E1"/>
    <w:rsid w:val="00585697"/>
    <w:rsid w:val="005857D7"/>
    <w:rsid w:val="00585841"/>
    <w:rsid w:val="00585894"/>
    <w:rsid w:val="005858A2"/>
    <w:rsid w:val="00585AEB"/>
    <w:rsid w:val="00585B2F"/>
    <w:rsid w:val="00585B3B"/>
    <w:rsid w:val="00585BB4"/>
    <w:rsid w:val="00585BC3"/>
    <w:rsid w:val="00585C19"/>
    <w:rsid w:val="00585D38"/>
    <w:rsid w:val="00585D45"/>
    <w:rsid w:val="00585DAA"/>
    <w:rsid w:val="00585DAE"/>
    <w:rsid w:val="00585E7F"/>
    <w:rsid w:val="00585E96"/>
    <w:rsid w:val="00585F2F"/>
    <w:rsid w:val="00586176"/>
    <w:rsid w:val="0058624B"/>
    <w:rsid w:val="00586388"/>
    <w:rsid w:val="005863DD"/>
    <w:rsid w:val="00586409"/>
    <w:rsid w:val="00586457"/>
    <w:rsid w:val="005866A6"/>
    <w:rsid w:val="00586757"/>
    <w:rsid w:val="00586817"/>
    <w:rsid w:val="00586889"/>
    <w:rsid w:val="005868B9"/>
    <w:rsid w:val="00586995"/>
    <w:rsid w:val="00586A46"/>
    <w:rsid w:val="00586A9F"/>
    <w:rsid w:val="00586BF1"/>
    <w:rsid w:val="00586D41"/>
    <w:rsid w:val="00586DC1"/>
    <w:rsid w:val="00586E00"/>
    <w:rsid w:val="00586F9F"/>
    <w:rsid w:val="00586FD4"/>
    <w:rsid w:val="00586FE0"/>
    <w:rsid w:val="005870BE"/>
    <w:rsid w:val="005871B1"/>
    <w:rsid w:val="00587283"/>
    <w:rsid w:val="00587299"/>
    <w:rsid w:val="005872FF"/>
    <w:rsid w:val="005874C0"/>
    <w:rsid w:val="00587557"/>
    <w:rsid w:val="00587596"/>
    <w:rsid w:val="00587616"/>
    <w:rsid w:val="0058767F"/>
    <w:rsid w:val="00587850"/>
    <w:rsid w:val="00587856"/>
    <w:rsid w:val="005878E6"/>
    <w:rsid w:val="00587995"/>
    <w:rsid w:val="005879EF"/>
    <w:rsid w:val="00587A40"/>
    <w:rsid w:val="00587B4F"/>
    <w:rsid w:val="00587B5F"/>
    <w:rsid w:val="00587C6D"/>
    <w:rsid w:val="00587DDF"/>
    <w:rsid w:val="00587E82"/>
    <w:rsid w:val="00587F00"/>
    <w:rsid w:val="0059006A"/>
    <w:rsid w:val="005900B0"/>
    <w:rsid w:val="0059018A"/>
    <w:rsid w:val="005901FA"/>
    <w:rsid w:val="00590234"/>
    <w:rsid w:val="0059025A"/>
    <w:rsid w:val="00590284"/>
    <w:rsid w:val="00590313"/>
    <w:rsid w:val="0059037F"/>
    <w:rsid w:val="005904B7"/>
    <w:rsid w:val="005905F6"/>
    <w:rsid w:val="0059060E"/>
    <w:rsid w:val="0059065E"/>
    <w:rsid w:val="00590667"/>
    <w:rsid w:val="00590692"/>
    <w:rsid w:val="005906C2"/>
    <w:rsid w:val="0059093E"/>
    <w:rsid w:val="00590979"/>
    <w:rsid w:val="00590A75"/>
    <w:rsid w:val="00590BBF"/>
    <w:rsid w:val="00590CB2"/>
    <w:rsid w:val="00590CBF"/>
    <w:rsid w:val="00590D83"/>
    <w:rsid w:val="00590E25"/>
    <w:rsid w:val="00590E66"/>
    <w:rsid w:val="00590E80"/>
    <w:rsid w:val="00590EEC"/>
    <w:rsid w:val="00590F48"/>
    <w:rsid w:val="00590F6F"/>
    <w:rsid w:val="00590FBC"/>
    <w:rsid w:val="00590FBE"/>
    <w:rsid w:val="00590FEE"/>
    <w:rsid w:val="00591099"/>
    <w:rsid w:val="0059109A"/>
    <w:rsid w:val="0059121B"/>
    <w:rsid w:val="00591400"/>
    <w:rsid w:val="00591498"/>
    <w:rsid w:val="005914BE"/>
    <w:rsid w:val="0059169C"/>
    <w:rsid w:val="005916D5"/>
    <w:rsid w:val="0059175D"/>
    <w:rsid w:val="0059179F"/>
    <w:rsid w:val="0059180A"/>
    <w:rsid w:val="0059186A"/>
    <w:rsid w:val="0059189D"/>
    <w:rsid w:val="00591ADF"/>
    <w:rsid w:val="00591AF2"/>
    <w:rsid w:val="00591B3F"/>
    <w:rsid w:val="00591C1A"/>
    <w:rsid w:val="00591CE1"/>
    <w:rsid w:val="00591D86"/>
    <w:rsid w:val="00591D90"/>
    <w:rsid w:val="00591FD4"/>
    <w:rsid w:val="005921EE"/>
    <w:rsid w:val="0059224F"/>
    <w:rsid w:val="0059240F"/>
    <w:rsid w:val="00592570"/>
    <w:rsid w:val="0059267A"/>
    <w:rsid w:val="005926E8"/>
    <w:rsid w:val="005927C7"/>
    <w:rsid w:val="0059285C"/>
    <w:rsid w:val="0059287C"/>
    <w:rsid w:val="0059293A"/>
    <w:rsid w:val="00592960"/>
    <w:rsid w:val="00592A47"/>
    <w:rsid w:val="00592AB2"/>
    <w:rsid w:val="00592AEF"/>
    <w:rsid w:val="00592C9B"/>
    <w:rsid w:val="00592D45"/>
    <w:rsid w:val="00592E68"/>
    <w:rsid w:val="00592F07"/>
    <w:rsid w:val="00592F0F"/>
    <w:rsid w:val="00592F36"/>
    <w:rsid w:val="00592FAF"/>
    <w:rsid w:val="00592FE3"/>
    <w:rsid w:val="00593057"/>
    <w:rsid w:val="005930B3"/>
    <w:rsid w:val="005931B6"/>
    <w:rsid w:val="00593267"/>
    <w:rsid w:val="0059329D"/>
    <w:rsid w:val="005935DF"/>
    <w:rsid w:val="00593607"/>
    <w:rsid w:val="0059385B"/>
    <w:rsid w:val="00593B43"/>
    <w:rsid w:val="00593B88"/>
    <w:rsid w:val="00593E96"/>
    <w:rsid w:val="00593EBE"/>
    <w:rsid w:val="00594000"/>
    <w:rsid w:val="00594061"/>
    <w:rsid w:val="00594071"/>
    <w:rsid w:val="005940F6"/>
    <w:rsid w:val="0059415C"/>
    <w:rsid w:val="00594200"/>
    <w:rsid w:val="0059422A"/>
    <w:rsid w:val="00594266"/>
    <w:rsid w:val="00594383"/>
    <w:rsid w:val="0059457B"/>
    <w:rsid w:val="005945CC"/>
    <w:rsid w:val="005946F5"/>
    <w:rsid w:val="0059473B"/>
    <w:rsid w:val="0059482D"/>
    <w:rsid w:val="005948B4"/>
    <w:rsid w:val="00594AE2"/>
    <w:rsid w:val="00594B13"/>
    <w:rsid w:val="00594BD2"/>
    <w:rsid w:val="00594C41"/>
    <w:rsid w:val="00594DDD"/>
    <w:rsid w:val="00594E69"/>
    <w:rsid w:val="00594F4F"/>
    <w:rsid w:val="00594F89"/>
    <w:rsid w:val="00594FE7"/>
    <w:rsid w:val="0059505A"/>
    <w:rsid w:val="0059512A"/>
    <w:rsid w:val="00595211"/>
    <w:rsid w:val="005952C6"/>
    <w:rsid w:val="005952ED"/>
    <w:rsid w:val="00595404"/>
    <w:rsid w:val="00595476"/>
    <w:rsid w:val="0059557A"/>
    <w:rsid w:val="0059571B"/>
    <w:rsid w:val="0059571E"/>
    <w:rsid w:val="005957AC"/>
    <w:rsid w:val="005959B3"/>
    <w:rsid w:val="00595AC7"/>
    <w:rsid w:val="00595B1C"/>
    <w:rsid w:val="00595C60"/>
    <w:rsid w:val="00595DE1"/>
    <w:rsid w:val="00595F06"/>
    <w:rsid w:val="00595F71"/>
    <w:rsid w:val="00595F72"/>
    <w:rsid w:val="00596135"/>
    <w:rsid w:val="00596480"/>
    <w:rsid w:val="005964E6"/>
    <w:rsid w:val="005965B3"/>
    <w:rsid w:val="005965FE"/>
    <w:rsid w:val="005966B6"/>
    <w:rsid w:val="005966B7"/>
    <w:rsid w:val="00596710"/>
    <w:rsid w:val="005967F2"/>
    <w:rsid w:val="00596841"/>
    <w:rsid w:val="00596865"/>
    <w:rsid w:val="0059686B"/>
    <w:rsid w:val="00596914"/>
    <w:rsid w:val="00596924"/>
    <w:rsid w:val="005969C3"/>
    <w:rsid w:val="00596A5D"/>
    <w:rsid w:val="00596C1A"/>
    <w:rsid w:val="00596C81"/>
    <w:rsid w:val="00596D30"/>
    <w:rsid w:val="00596D3D"/>
    <w:rsid w:val="00596D6D"/>
    <w:rsid w:val="00596E56"/>
    <w:rsid w:val="00596E71"/>
    <w:rsid w:val="00596F8C"/>
    <w:rsid w:val="00596F9F"/>
    <w:rsid w:val="00596FA2"/>
    <w:rsid w:val="00596FA4"/>
    <w:rsid w:val="00596FD5"/>
    <w:rsid w:val="0059709D"/>
    <w:rsid w:val="005970D8"/>
    <w:rsid w:val="00597100"/>
    <w:rsid w:val="00597213"/>
    <w:rsid w:val="00597283"/>
    <w:rsid w:val="0059734F"/>
    <w:rsid w:val="00597366"/>
    <w:rsid w:val="00597489"/>
    <w:rsid w:val="005974BB"/>
    <w:rsid w:val="005974C8"/>
    <w:rsid w:val="005974CC"/>
    <w:rsid w:val="00597552"/>
    <w:rsid w:val="0059758D"/>
    <w:rsid w:val="005975C3"/>
    <w:rsid w:val="0059760A"/>
    <w:rsid w:val="00597644"/>
    <w:rsid w:val="00597678"/>
    <w:rsid w:val="005977DF"/>
    <w:rsid w:val="00597814"/>
    <w:rsid w:val="005978CB"/>
    <w:rsid w:val="00597975"/>
    <w:rsid w:val="005979F5"/>
    <w:rsid w:val="00597A3D"/>
    <w:rsid w:val="00597B50"/>
    <w:rsid w:val="00597B96"/>
    <w:rsid w:val="00597BAD"/>
    <w:rsid w:val="00597CA0"/>
    <w:rsid w:val="00597E74"/>
    <w:rsid w:val="005A0083"/>
    <w:rsid w:val="005A0086"/>
    <w:rsid w:val="005A00A2"/>
    <w:rsid w:val="005A01AB"/>
    <w:rsid w:val="005A0201"/>
    <w:rsid w:val="005A0225"/>
    <w:rsid w:val="005A024C"/>
    <w:rsid w:val="005A0298"/>
    <w:rsid w:val="005A02DF"/>
    <w:rsid w:val="005A0393"/>
    <w:rsid w:val="005A043A"/>
    <w:rsid w:val="005A047C"/>
    <w:rsid w:val="005A048E"/>
    <w:rsid w:val="005A04FA"/>
    <w:rsid w:val="005A04FF"/>
    <w:rsid w:val="005A057D"/>
    <w:rsid w:val="005A069F"/>
    <w:rsid w:val="005A08B6"/>
    <w:rsid w:val="005A0945"/>
    <w:rsid w:val="005A095D"/>
    <w:rsid w:val="005A09AA"/>
    <w:rsid w:val="005A09CD"/>
    <w:rsid w:val="005A09E3"/>
    <w:rsid w:val="005A0AA5"/>
    <w:rsid w:val="005A0B3E"/>
    <w:rsid w:val="005A0C0E"/>
    <w:rsid w:val="005A0DCF"/>
    <w:rsid w:val="005A0DE3"/>
    <w:rsid w:val="005A0F9B"/>
    <w:rsid w:val="005A1018"/>
    <w:rsid w:val="005A1031"/>
    <w:rsid w:val="005A10FA"/>
    <w:rsid w:val="005A110C"/>
    <w:rsid w:val="005A11BC"/>
    <w:rsid w:val="005A11EF"/>
    <w:rsid w:val="005A12BC"/>
    <w:rsid w:val="005A1353"/>
    <w:rsid w:val="005A144C"/>
    <w:rsid w:val="005A1533"/>
    <w:rsid w:val="005A1683"/>
    <w:rsid w:val="005A1758"/>
    <w:rsid w:val="005A1792"/>
    <w:rsid w:val="005A1825"/>
    <w:rsid w:val="005A182A"/>
    <w:rsid w:val="005A1841"/>
    <w:rsid w:val="005A1878"/>
    <w:rsid w:val="005A18C2"/>
    <w:rsid w:val="005A18C6"/>
    <w:rsid w:val="005A190A"/>
    <w:rsid w:val="005A190B"/>
    <w:rsid w:val="005A197B"/>
    <w:rsid w:val="005A19AC"/>
    <w:rsid w:val="005A19D4"/>
    <w:rsid w:val="005A19FE"/>
    <w:rsid w:val="005A1B5B"/>
    <w:rsid w:val="005A1C13"/>
    <w:rsid w:val="005A1D2A"/>
    <w:rsid w:val="005A1F99"/>
    <w:rsid w:val="005A1FB3"/>
    <w:rsid w:val="005A1FD4"/>
    <w:rsid w:val="005A1FDF"/>
    <w:rsid w:val="005A2095"/>
    <w:rsid w:val="005A21DB"/>
    <w:rsid w:val="005A21EA"/>
    <w:rsid w:val="005A2562"/>
    <w:rsid w:val="005A2636"/>
    <w:rsid w:val="005A2777"/>
    <w:rsid w:val="005A27B8"/>
    <w:rsid w:val="005A27C1"/>
    <w:rsid w:val="005A2846"/>
    <w:rsid w:val="005A2850"/>
    <w:rsid w:val="005A2860"/>
    <w:rsid w:val="005A2861"/>
    <w:rsid w:val="005A28FD"/>
    <w:rsid w:val="005A2986"/>
    <w:rsid w:val="005A29DE"/>
    <w:rsid w:val="005A2A13"/>
    <w:rsid w:val="005A2A22"/>
    <w:rsid w:val="005A2ABD"/>
    <w:rsid w:val="005A30BD"/>
    <w:rsid w:val="005A311B"/>
    <w:rsid w:val="005A3151"/>
    <w:rsid w:val="005A31D4"/>
    <w:rsid w:val="005A34DD"/>
    <w:rsid w:val="005A357F"/>
    <w:rsid w:val="005A3674"/>
    <w:rsid w:val="005A36C1"/>
    <w:rsid w:val="005A36CA"/>
    <w:rsid w:val="005A36DD"/>
    <w:rsid w:val="005A3785"/>
    <w:rsid w:val="005A37DB"/>
    <w:rsid w:val="005A38B7"/>
    <w:rsid w:val="005A39AD"/>
    <w:rsid w:val="005A3B4C"/>
    <w:rsid w:val="005A3B5F"/>
    <w:rsid w:val="005A3B73"/>
    <w:rsid w:val="005A3B78"/>
    <w:rsid w:val="005A3B7C"/>
    <w:rsid w:val="005A3BA5"/>
    <w:rsid w:val="005A3CA5"/>
    <w:rsid w:val="005A3E00"/>
    <w:rsid w:val="005A3E42"/>
    <w:rsid w:val="005A3E66"/>
    <w:rsid w:val="005A3F0E"/>
    <w:rsid w:val="005A3F46"/>
    <w:rsid w:val="005A3FAB"/>
    <w:rsid w:val="005A41F8"/>
    <w:rsid w:val="005A4214"/>
    <w:rsid w:val="005A421A"/>
    <w:rsid w:val="005A4285"/>
    <w:rsid w:val="005A4510"/>
    <w:rsid w:val="005A4557"/>
    <w:rsid w:val="005A45EA"/>
    <w:rsid w:val="005A4719"/>
    <w:rsid w:val="005A47DD"/>
    <w:rsid w:val="005A480F"/>
    <w:rsid w:val="005A4959"/>
    <w:rsid w:val="005A4AC4"/>
    <w:rsid w:val="005A4B5E"/>
    <w:rsid w:val="005A4BCA"/>
    <w:rsid w:val="005A4BF1"/>
    <w:rsid w:val="005A4C07"/>
    <w:rsid w:val="005A4F28"/>
    <w:rsid w:val="005A5114"/>
    <w:rsid w:val="005A517F"/>
    <w:rsid w:val="005A518C"/>
    <w:rsid w:val="005A51B9"/>
    <w:rsid w:val="005A5274"/>
    <w:rsid w:val="005A5388"/>
    <w:rsid w:val="005A53B6"/>
    <w:rsid w:val="005A53DB"/>
    <w:rsid w:val="005A54D8"/>
    <w:rsid w:val="005A55C5"/>
    <w:rsid w:val="005A56A8"/>
    <w:rsid w:val="005A5817"/>
    <w:rsid w:val="005A5860"/>
    <w:rsid w:val="005A593C"/>
    <w:rsid w:val="005A5A33"/>
    <w:rsid w:val="005A5A94"/>
    <w:rsid w:val="005A5AE1"/>
    <w:rsid w:val="005A5BD9"/>
    <w:rsid w:val="005A5C77"/>
    <w:rsid w:val="005A5CF2"/>
    <w:rsid w:val="005A5D0F"/>
    <w:rsid w:val="005A5D1C"/>
    <w:rsid w:val="005A5DF5"/>
    <w:rsid w:val="005A5F60"/>
    <w:rsid w:val="005A607E"/>
    <w:rsid w:val="005A613F"/>
    <w:rsid w:val="005A6179"/>
    <w:rsid w:val="005A620A"/>
    <w:rsid w:val="005A62B7"/>
    <w:rsid w:val="005A62E0"/>
    <w:rsid w:val="005A62E1"/>
    <w:rsid w:val="005A6353"/>
    <w:rsid w:val="005A63D7"/>
    <w:rsid w:val="005A65B2"/>
    <w:rsid w:val="005A6669"/>
    <w:rsid w:val="005A670F"/>
    <w:rsid w:val="005A681A"/>
    <w:rsid w:val="005A6852"/>
    <w:rsid w:val="005A6890"/>
    <w:rsid w:val="005A6899"/>
    <w:rsid w:val="005A6912"/>
    <w:rsid w:val="005A6978"/>
    <w:rsid w:val="005A6A2E"/>
    <w:rsid w:val="005A6AD2"/>
    <w:rsid w:val="005A6B05"/>
    <w:rsid w:val="005A6B43"/>
    <w:rsid w:val="005A6CC5"/>
    <w:rsid w:val="005A6DB9"/>
    <w:rsid w:val="005A6DC8"/>
    <w:rsid w:val="005A6E05"/>
    <w:rsid w:val="005A6F7F"/>
    <w:rsid w:val="005A7277"/>
    <w:rsid w:val="005A72FE"/>
    <w:rsid w:val="005A7336"/>
    <w:rsid w:val="005A74A5"/>
    <w:rsid w:val="005A74B5"/>
    <w:rsid w:val="005A74EE"/>
    <w:rsid w:val="005A756B"/>
    <w:rsid w:val="005A75CF"/>
    <w:rsid w:val="005A75D1"/>
    <w:rsid w:val="005A7658"/>
    <w:rsid w:val="005A7666"/>
    <w:rsid w:val="005A76AF"/>
    <w:rsid w:val="005A776C"/>
    <w:rsid w:val="005A782A"/>
    <w:rsid w:val="005A7859"/>
    <w:rsid w:val="005A7A8F"/>
    <w:rsid w:val="005A7B64"/>
    <w:rsid w:val="005A7B6E"/>
    <w:rsid w:val="005A7BA4"/>
    <w:rsid w:val="005A7BDD"/>
    <w:rsid w:val="005A7C85"/>
    <w:rsid w:val="005A7D42"/>
    <w:rsid w:val="005A7E97"/>
    <w:rsid w:val="005A7FD2"/>
    <w:rsid w:val="005A7FF9"/>
    <w:rsid w:val="005B0001"/>
    <w:rsid w:val="005B0173"/>
    <w:rsid w:val="005B017F"/>
    <w:rsid w:val="005B021D"/>
    <w:rsid w:val="005B0228"/>
    <w:rsid w:val="005B02CE"/>
    <w:rsid w:val="005B06A8"/>
    <w:rsid w:val="005B0712"/>
    <w:rsid w:val="005B0751"/>
    <w:rsid w:val="005B0808"/>
    <w:rsid w:val="005B084B"/>
    <w:rsid w:val="005B0A9E"/>
    <w:rsid w:val="005B0B50"/>
    <w:rsid w:val="005B0C71"/>
    <w:rsid w:val="005B0E39"/>
    <w:rsid w:val="005B0EB8"/>
    <w:rsid w:val="005B0F90"/>
    <w:rsid w:val="005B0FEE"/>
    <w:rsid w:val="005B103E"/>
    <w:rsid w:val="005B1050"/>
    <w:rsid w:val="005B1113"/>
    <w:rsid w:val="005B113C"/>
    <w:rsid w:val="005B1152"/>
    <w:rsid w:val="005B116B"/>
    <w:rsid w:val="005B11BA"/>
    <w:rsid w:val="005B1243"/>
    <w:rsid w:val="005B12C2"/>
    <w:rsid w:val="005B133A"/>
    <w:rsid w:val="005B1374"/>
    <w:rsid w:val="005B13DC"/>
    <w:rsid w:val="005B14A5"/>
    <w:rsid w:val="005B14AB"/>
    <w:rsid w:val="005B14BE"/>
    <w:rsid w:val="005B150A"/>
    <w:rsid w:val="005B151B"/>
    <w:rsid w:val="005B16E1"/>
    <w:rsid w:val="005B176A"/>
    <w:rsid w:val="005B1888"/>
    <w:rsid w:val="005B1942"/>
    <w:rsid w:val="005B194B"/>
    <w:rsid w:val="005B1993"/>
    <w:rsid w:val="005B1B76"/>
    <w:rsid w:val="005B1BC4"/>
    <w:rsid w:val="005B1C6A"/>
    <w:rsid w:val="005B1CC4"/>
    <w:rsid w:val="005B1E0D"/>
    <w:rsid w:val="005B1FD8"/>
    <w:rsid w:val="005B2013"/>
    <w:rsid w:val="005B2075"/>
    <w:rsid w:val="005B2172"/>
    <w:rsid w:val="005B224D"/>
    <w:rsid w:val="005B22B5"/>
    <w:rsid w:val="005B23D6"/>
    <w:rsid w:val="005B247B"/>
    <w:rsid w:val="005B2579"/>
    <w:rsid w:val="005B2623"/>
    <w:rsid w:val="005B263D"/>
    <w:rsid w:val="005B2680"/>
    <w:rsid w:val="005B26B4"/>
    <w:rsid w:val="005B2713"/>
    <w:rsid w:val="005B2729"/>
    <w:rsid w:val="005B2856"/>
    <w:rsid w:val="005B28A2"/>
    <w:rsid w:val="005B28C6"/>
    <w:rsid w:val="005B28D0"/>
    <w:rsid w:val="005B28F5"/>
    <w:rsid w:val="005B2916"/>
    <w:rsid w:val="005B2937"/>
    <w:rsid w:val="005B29C3"/>
    <w:rsid w:val="005B2A19"/>
    <w:rsid w:val="005B2AFB"/>
    <w:rsid w:val="005B2B16"/>
    <w:rsid w:val="005B2B47"/>
    <w:rsid w:val="005B2B74"/>
    <w:rsid w:val="005B2B89"/>
    <w:rsid w:val="005B2C50"/>
    <w:rsid w:val="005B2C6B"/>
    <w:rsid w:val="005B2CE5"/>
    <w:rsid w:val="005B2D60"/>
    <w:rsid w:val="005B2D6B"/>
    <w:rsid w:val="005B2DD7"/>
    <w:rsid w:val="005B2E12"/>
    <w:rsid w:val="005B30DF"/>
    <w:rsid w:val="005B313B"/>
    <w:rsid w:val="005B3331"/>
    <w:rsid w:val="005B3380"/>
    <w:rsid w:val="005B3393"/>
    <w:rsid w:val="005B33F0"/>
    <w:rsid w:val="005B3427"/>
    <w:rsid w:val="005B3666"/>
    <w:rsid w:val="005B369F"/>
    <w:rsid w:val="005B36A1"/>
    <w:rsid w:val="005B3782"/>
    <w:rsid w:val="005B37CB"/>
    <w:rsid w:val="005B384E"/>
    <w:rsid w:val="005B38B5"/>
    <w:rsid w:val="005B38C5"/>
    <w:rsid w:val="005B3A33"/>
    <w:rsid w:val="005B3AAF"/>
    <w:rsid w:val="005B3C09"/>
    <w:rsid w:val="005B3CA0"/>
    <w:rsid w:val="005B3E98"/>
    <w:rsid w:val="005B3EAF"/>
    <w:rsid w:val="005B3EBA"/>
    <w:rsid w:val="005B3F74"/>
    <w:rsid w:val="005B3F85"/>
    <w:rsid w:val="005B3FD5"/>
    <w:rsid w:val="005B4007"/>
    <w:rsid w:val="005B4045"/>
    <w:rsid w:val="005B40BB"/>
    <w:rsid w:val="005B40FF"/>
    <w:rsid w:val="005B4102"/>
    <w:rsid w:val="005B4134"/>
    <w:rsid w:val="005B42D4"/>
    <w:rsid w:val="005B4302"/>
    <w:rsid w:val="005B4305"/>
    <w:rsid w:val="005B4418"/>
    <w:rsid w:val="005B46E7"/>
    <w:rsid w:val="005B48C5"/>
    <w:rsid w:val="005B490F"/>
    <w:rsid w:val="005B4960"/>
    <w:rsid w:val="005B4980"/>
    <w:rsid w:val="005B49B6"/>
    <w:rsid w:val="005B4AA9"/>
    <w:rsid w:val="005B4B55"/>
    <w:rsid w:val="005B4BF2"/>
    <w:rsid w:val="005B4C2A"/>
    <w:rsid w:val="005B4C32"/>
    <w:rsid w:val="005B4EE8"/>
    <w:rsid w:val="005B4FDC"/>
    <w:rsid w:val="005B50AC"/>
    <w:rsid w:val="005B50E3"/>
    <w:rsid w:val="005B5125"/>
    <w:rsid w:val="005B522A"/>
    <w:rsid w:val="005B53D9"/>
    <w:rsid w:val="005B542C"/>
    <w:rsid w:val="005B55EA"/>
    <w:rsid w:val="005B5621"/>
    <w:rsid w:val="005B5626"/>
    <w:rsid w:val="005B5686"/>
    <w:rsid w:val="005B56D0"/>
    <w:rsid w:val="005B5703"/>
    <w:rsid w:val="005B5731"/>
    <w:rsid w:val="005B57C0"/>
    <w:rsid w:val="005B5838"/>
    <w:rsid w:val="005B586C"/>
    <w:rsid w:val="005B591F"/>
    <w:rsid w:val="005B5A5B"/>
    <w:rsid w:val="005B5A96"/>
    <w:rsid w:val="005B5B9C"/>
    <w:rsid w:val="005B5BDE"/>
    <w:rsid w:val="005B5C01"/>
    <w:rsid w:val="005B5C8D"/>
    <w:rsid w:val="005B5C93"/>
    <w:rsid w:val="005B5CB9"/>
    <w:rsid w:val="005B5CCC"/>
    <w:rsid w:val="005B5D99"/>
    <w:rsid w:val="005B5E0C"/>
    <w:rsid w:val="005B5E2C"/>
    <w:rsid w:val="005B5F8F"/>
    <w:rsid w:val="005B6013"/>
    <w:rsid w:val="005B6072"/>
    <w:rsid w:val="005B607E"/>
    <w:rsid w:val="005B6080"/>
    <w:rsid w:val="005B60B4"/>
    <w:rsid w:val="005B612A"/>
    <w:rsid w:val="005B616D"/>
    <w:rsid w:val="005B619E"/>
    <w:rsid w:val="005B625B"/>
    <w:rsid w:val="005B6342"/>
    <w:rsid w:val="005B640A"/>
    <w:rsid w:val="005B64E7"/>
    <w:rsid w:val="005B66D6"/>
    <w:rsid w:val="005B66E6"/>
    <w:rsid w:val="005B67C6"/>
    <w:rsid w:val="005B685F"/>
    <w:rsid w:val="005B6AB0"/>
    <w:rsid w:val="005B6BED"/>
    <w:rsid w:val="005B6C07"/>
    <w:rsid w:val="005B6D8B"/>
    <w:rsid w:val="005B6E83"/>
    <w:rsid w:val="005B7015"/>
    <w:rsid w:val="005B71AD"/>
    <w:rsid w:val="005B71CF"/>
    <w:rsid w:val="005B72C3"/>
    <w:rsid w:val="005B7368"/>
    <w:rsid w:val="005B73F3"/>
    <w:rsid w:val="005B7404"/>
    <w:rsid w:val="005B75B6"/>
    <w:rsid w:val="005B763B"/>
    <w:rsid w:val="005B76D8"/>
    <w:rsid w:val="005B77C3"/>
    <w:rsid w:val="005B7831"/>
    <w:rsid w:val="005B7844"/>
    <w:rsid w:val="005B78BD"/>
    <w:rsid w:val="005B793F"/>
    <w:rsid w:val="005B7A4B"/>
    <w:rsid w:val="005B7A51"/>
    <w:rsid w:val="005B7AC2"/>
    <w:rsid w:val="005B7E99"/>
    <w:rsid w:val="005B7ED4"/>
    <w:rsid w:val="005B7F53"/>
    <w:rsid w:val="005C0071"/>
    <w:rsid w:val="005C0096"/>
    <w:rsid w:val="005C020A"/>
    <w:rsid w:val="005C0231"/>
    <w:rsid w:val="005C0310"/>
    <w:rsid w:val="005C03F9"/>
    <w:rsid w:val="005C040E"/>
    <w:rsid w:val="005C05B9"/>
    <w:rsid w:val="005C0607"/>
    <w:rsid w:val="005C067E"/>
    <w:rsid w:val="005C06F6"/>
    <w:rsid w:val="005C0842"/>
    <w:rsid w:val="005C08FE"/>
    <w:rsid w:val="005C098A"/>
    <w:rsid w:val="005C09A2"/>
    <w:rsid w:val="005C0ADD"/>
    <w:rsid w:val="005C0B35"/>
    <w:rsid w:val="005C0B5F"/>
    <w:rsid w:val="005C0B80"/>
    <w:rsid w:val="005C0BCB"/>
    <w:rsid w:val="005C0C7E"/>
    <w:rsid w:val="005C0CDD"/>
    <w:rsid w:val="005C0CFA"/>
    <w:rsid w:val="005C0D83"/>
    <w:rsid w:val="005C0DFF"/>
    <w:rsid w:val="005C0E0A"/>
    <w:rsid w:val="005C1006"/>
    <w:rsid w:val="005C1020"/>
    <w:rsid w:val="005C1047"/>
    <w:rsid w:val="005C105C"/>
    <w:rsid w:val="005C1088"/>
    <w:rsid w:val="005C10DC"/>
    <w:rsid w:val="005C10E2"/>
    <w:rsid w:val="005C1114"/>
    <w:rsid w:val="005C114E"/>
    <w:rsid w:val="005C130A"/>
    <w:rsid w:val="005C15C3"/>
    <w:rsid w:val="005C15CE"/>
    <w:rsid w:val="005C1745"/>
    <w:rsid w:val="005C1793"/>
    <w:rsid w:val="005C193F"/>
    <w:rsid w:val="005C1A54"/>
    <w:rsid w:val="005C1A71"/>
    <w:rsid w:val="005C1AFA"/>
    <w:rsid w:val="005C1B2F"/>
    <w:rsid w:val="005C1B6D"/>
    <w:rsid w:val="005C1B85"/>
    <w:rsid w:val="005C1BFC"/>
    <w:rsid w:val="005C1CDE"/>
    <w:rsid w:val="005C1D4C"/>
    <w:rsid w:val="005C1D57"/>
    <w:rsid w:val="005C1D5D"/>
    <w:rsid w:val="005C1D62"/>
    <w:rsid w:val="005C1DDB"/>
    <w:rsid w:val="005C1E3B"/>
    <w:rsid w:val="005C1E5D"/>
    <w:rsid w:val="005C1F0E"/>
    <w:rsid w:val="005C1FA4"/>
    <w:rsid w:val="005C23CF"/>
    <w:rsid w:val="005C23F4"/>
    <w:rsid w:val="005C24AD"/>
    <w:rsid w:val="005C2583"/>
    <w:rsid w:val="005C2593"/>
    <w:rsid w:val="005C263E"/>
    <w:rsid w:val="005C2679"/>
    <w:rsid w:val="005C26A2"/>
    <w:rsid w:val="005C2762"/>
    <w:rsid w:val="005C27DA"/>
    <w:rsid w:val="005C2953"/>
    <w:rsid w:val="005C2954"/>
    <w:rsid w:val="005C2B26"/>
    <w:rsid w:val="005C2B59"/>
    <w:rsid w:val="005C2C22"/>
    <w:rsid w:val="005C2CC0"/>
    <w:rsid w:val="005C2D0B"/>
    <w:rsid w:val="005C2D32"/>
    <w:rsid w:val="005C2D9E"/>
    <w:rsid w:val="005C302C"/>
    <w:rsid w:val="005C304B"/>
    <w:rsid w:val="005C3062"/>
    <w:rsid w:val="005C30B7"/>
    <w:rsid w:val="005C3212"/>
    <w:rsid w:val="005C328D"/>
    <w:rsid w:val="005C32E1"/>
    <w:rsid w:val="005C3360"/>
    <w:rsid w:val="005C34D7"/>
    <w:rsid w:val="005C357F"/>
    <w:rsid w:val="005C35BB"/>
    <w:rsid w:val="005C3665"/>
    <w:rsid w:val="005C3709"/>
    <w:rsid w:val="005C382E"/>
    <w:rsid w:val="005C3ACC"/>
    <w:rsid w:val="005C3B80"/>
    <w:rsid w:val="005C3BC5"/>
    <w:rsid w:val="005C3D45"/>
    <w:rsid w:val="005C3EC0"/>
    <w:rsid w:val="005C3F9C"/>
    <w:rsid w:val="005C3FA5"/>
    <w:rsid w:val="005C3FAE"/>
    <w:rsid w:val="005C4032"/>
    <w:rsid w:val="005C409B"/>
    <w:rsid w:val="005C4162"/>
    <w:rsid w:val="005C41BD"/>
    <w:rsid w:val="005C43AE"/>
    <w:rsid w:val="005C43DE"/>
    <w:rsid w:val="005C4505"/>
    <w:rsid w:val="005C454B"/>
    <w:rsid w:val="005C4552"/>
    <w:rsid w:val="005C4638"/>
    <w:rsid w:val="005C46E0"/>
    <w:rsid w:val="005C4711"/>
    <w:rsid w:val="005C473A"/>
    <w:rsid w:val="005C4873"/>
    <w:rsid w:val="005C497A"/>
    <w:rsid w:val="005C49D2"/>
    <w:rsid w:val="005C4A34"/>
    <w:rsid w:val="005C4BFC"/>
    <w:rsid w:val="005C4CD1"/>
    <w:rsid w:val="005C4CDA"/>
    <w:rsid w:val="005C4D56"/>
    <w:rsid w:val="005C4DEC"/>
    <w:rsid w:val="005C4DFF"/>
    <w:rsid w:val="005C4E44"/>
    <w:rsid w:val="005C4E7A"/>
    <w:rsid w:val="005C4F7B"/>
    <w:rsid w:val="005C4FAF"/>
    <w:rsid w:val="005C4FB9"/>
    <w:rsid w:val="005C4FC4"/>
    <w:rsid w:val="005C5023"/>
    <w:rsid w:val="005C50E9"/>
    <w:rsid w:val="005C51B3"/>
    <w:rsid w:val="005C52E2"/>
    <w:rsid w:val="005C5302"/>
    <w:rsid w:val="005C5336"/>
    <w:rsid w:val="005C5343"/>
    <w:rsid w:val="005C5501"/>
    <w:rsid w:val="005C554F"/>
    <w:rsid w:val="005C55AE"/>
    <w:rsid w:val="005C563B"/>
    <w:rsid w:val="005C563F"/>
    <w:rsid w:val="005C56FF"/>
    <w:rsid w:val="005C5735"/>
    <w:rsid w:val="005C574B"/>
    <w:rsid w:val="005C58B3"/>
    <w:rsid w:val="005C594C"/>
    <w:rsid w:val="005C597A"/>
    <w:rsid w:val="005C5A0D"/>
    <w:rsid w:val="005C5AEE"/>
    <w:rsid w:val="005C5BB2"/>
    <w:rsid w:val="005C5BB3"/>
    <w:rsid w:val="005C5BFF"/>
    <w:rsid w:val="005C5C48"/>
    <w:rsid w:val="005C5D5F"/>
    <w:rsid w:val="005C5D66"/>
    <w:rsid w:val="005C5DA7"/>
    <w:rsid w:val="005C5DBC"/>
    <w:rsid w:val="005C5E3B"/>
    <w:rsid w:val="005C5E41"/>
    <w:rsid w:val="005C6074"/>
    <w:rsid w:val="005C60AE"/>
    <w:rsid w:val="005C60CD"/>
    <w:rsid w:val="005C61A5"/>
    <w:rsid w:val="005C61BA"/>
    <w:rsid w:val="005C626D"/>
    <w:rsid w:val="005C626E"/>
    <w:rsid w:val="005C635F"/>
    <w:rsid w:val="005C6412"/>
    <w:rsid w:val="005C65B7"/>
    <w:rsid w:val="005C679A"/>
    <w:rsid w:val="005C687E"/>
    <w:rsid w:val="005C6895"/>
    <w:rsid w:val="005C6961"/>
    <w:rsid w:val="005C696B"/>
    <w:rsid w:val="005C6989"/>
    <w:rsid w:val="005C6B44"/>
    <w:rsid w:val="005C6B6A"/>
    <w:rsid w:val="005C6BA8"/>
    <w:rsid w:val="005C6C71"/>
    <w:rsid w:val="005C6F11"/>
    <w:rsid w:val="005C6FF4"/>
    <w:rsid w:val="005C7037"/>
    <w:rsid w:val="005C7057"/>
    <w:rsid w:val="005C709B"/>
    <w:rsid w:val="005C70BD"/>
    <w:rsid w:val="005C7173"/>
    <w:rsid w:val="005C7187"/>
    <w:rsid w:val="005C71D8"/>
    <w:rsid w:val="005C71F6"/>
    <w:rsid w:val="005C7230"/>
    <w:rsid w:val="005C7233"/>
    <w:rsid w:val="005C7294"/>
    <w:rsid w:val="005C72B5"/>
    <w:rsid w:val="005C72DB"/>
    <w:rsid w:val="005C7356"/>
    <w:rsid w:val="005C745C"/>
    <w:rsid w:val="005C7727"/>
    <w:rsid w:val="005C7782"/>
    <w:rsid w:val="005C791A"/>
    <w:rsid w:val="005C7985"/>
    <w:rsid w:val="005C7A2D"/>
    <w:rsid w:val="005C7AB4"/>
    <w:rsid w:val="005C7B89"/>
    <w:rsid w:val="005C7BC2"/>
    <w:rsid w:val="005C7CA1"/>
    <w:rsid w:val="005C7CCA"/>
    <w:rsid w:val="005C7DBA"/>
    <w:rsid w:val="005C7DEE"/>
    <w:rsid w:val="005C7E19"/>
    <w:rsid w:val="005C7EF3"/>
    <w:rsid w:val="005C7F19"/>
    <w:rsid w:val="005C7FEB"/>
    <w:rsid w:val="005D0006"/>
    <w:rsid w:val="005D00F6"/>
    <w:rsid w:val="005D0135"/>
    <w:rsid w:val="005D01B5"/>
    <w:rsid w:val="005D0325"/>
    <w:rsid w:val="005D035E"/>
    <w:rsid w:val="005D0372"/>
    <w:rsid w:val="005D04F9"/>
    <w:rsid w:val="005D061D"/>
    <w:rsid w:val="005D0688"/>
    <w:rsid w:val="005D07BB"/>
    <w:rsid w:val="005D07F6"/>
    <w:rsid w:val="005D0859"/>
    <w:rsid w:val="005D09E7"/>
    <w:rsid w:val="005D0B2A"/>
    <w:rsid w:val="005D0C04"/>
    <w:rsid w:val="005D0D2E"/>
    <w:rsid w:val="005D0DDD"/>
    <w:rsid w:val="005D0F7D"/>
    <w:rsid w:val="005D0FEB"/>
    <w:rsid w:val="005D1195"/>
    <w:rsid w:val="005D11C9"/>
    <w:rsid w:val="005D1267"/>
    <w:rsid w:val="005D126E"/>
    <w:rsid w:val="005D132B"/>
    <w:rsid w:val="005D133F"/>
    <w:rsid w:val="005D1347"/>
    <w:rsid w:val="005D13B3"/>
    <w:rsid w:val="005D13C7"/>
    <w:rsid w:val="005D13F4"/>
    <w:rsid w:val="005D1442"/>
    <w:rsid w:val="005D14CB"/>
    <w:rsid w:val="005D14FA"/>
    <w:rsid w:val="005D156A"/>
    <w:rsid w:val="005D15C2"/>
    <w:rsid w:val="005D15E0"/>
    <w:rsid w:val="005D175B"/>
    <w:rsid w:val="005D18A7"/>
    <w:rsid w:val="005D19DE"/>
    <w:rsid w:val="005D1C62"/>
    <w:rsid w:val="005D1C8D"/>
    <w:rsid w:val="005D1CBD"/>
    <w:rsid w:val="005D1E98"/>
    <w:rsid w:val="005D1F10"/>
    <w:rsid w:val="005D1F54"/>
    <w:rsid w:val="005D2031"/>
    <w:rsid w:val="005D2060"/>
    <w:rsid w:val="005D21B1"/>
    <w:rsid w:val="005D224B"/>
    <w:rsid w:val="005D23B1"/>
    <w:rsid w:val="005D23D0"/>
    <w:rsid w:val="005D26BE"/>
    <w:rsid w:val="005D2700"/>
    <w:rsid w:val="005D27CF"/>
    <w:rsid w:val="005D27E0"/>
    <w:rsid w:val="005D29D5"/>
    <w:rsid w:val="005D2A7B"/>
    <w:rsid w:val="005D2B19"/>
    <w:rsid w:val="005D2B5B"/>
    <w:rsid w:val="005D2BC3"/>
    <w:rsid w:val="005D2C16"/>
    <w:rsid w:val="005D2C62"/>
    <w:rsid w:val="005D2D8C"/>
    <w:rsid w:val="005D2E3D"/>
    <w:rsid w:val="005D2F0A"/>
    <w:rsid w:val="005D2F99"/>
    <w:rsid w:val="005D301B"/>
    <w:rsid w:val="005D30D6"/>
    <w:rsid w:val="005D30EE"/>
    <w:rsid w:val="005D3157"/>
    <w:rsid w:val="005D3317"/>
    <w:rsid w:val="005D33D1"/>
    <w:rsid w:val="005D34D9"/>
    <w:rsid w:val="005D368F"/>
    <w:rsid w:val="005D36E0"/>
    <w:rsid w:val="005D36ED"/>
    <w:rsid w:val="005D3789"/>
    <w:rsid w:val="005D3851"/>
    <w:rsid w:val="005D3898"/>
    <w:rsid w:val="005D39BB"/>
    <w:rsid w:val="005D3AAB"/>
    <w:rsid w:val="005D3BB5"/>
    <w:rsid w:val="005D3C6A"/>
    <w:rsid w:val="005D3C84"/>
    <w:rsid w:val="005D3CAD"/>
    <w:rsid w:val="005D3CC6"/>
    <w:rsid w:val="005D3D67"/>
    <w:rsid w:val="005D3DB8"/>
    <w:rsid w:val="005D3DDA"/>
    <w:rsid w:val="005D3E81"/>
    <w:rsid w:val="005D4080"/>
    <w:rsid w:val="005D40F7"/>
    <w:rsid w:val="005D4101"/>
    <w:rsid w:val="005D4133"/>
    <w:rsid w:val="005D4255"/>
    <w:rsid w:val="005D4291"/>
    <w:rsid w:val="005D42CC"/>
    <w:rsid w:val="005D4425"/>
    <w:rsid w:val="005D4473"/>
    <w:rsid w:val="005D44A6"/>
    <w:rsid w:val="005D464C"/>
    <w:rsid w:val="005D4654"/>
    <w:rsid w:val="005D46B3"/>
    <w:rsid w:val="005D46C4"/>
    <w:rsid w:val="005D46CD"/>
    <w:rsid w:val="005D490C"/>
    <w:rsid w:val="005D4928"/>
    <w:rsid w:val="005D4ABF"/>
    <w:rsid w:val="005D4BFE"/>
    <w:rsid w:val="005D4C6C"/>
    <w:rsid w:val="005D4C76"/>
    <w:rsid w:val="005D4CB5"/>
    <w:rsid w:val="005D4CE2"/>
    <w:rsid w:val="005D4D3E"/>
    <w:rsid w:val="005D4D9B"/>
    <w:rsid w:val="005D4EE2"/>
    <w:rsid w:val="005D4F0A"/>
    <w:rsid w:val="005D5301"/>
    <w:rsid w:val="005D53B3"/>
    <w:rsid w:val="005D5515"/>
    <w:rsid w:val="005D5661"/>
    <w:rsid w:val="005D5677"/>
    <w:rsid w:val="005D56C2"/>
    <w:rsid w:val="005D56C5"/>
    <w:rsid w:val="005D578C"/>
    <w:rsid w:val="005D5793"/>
    <w:rsid w:val="005D57B8"/>
    <w:rsid w:val="005D57C6"/>
    <w:rsid w:val="005D5A1F"/>
    <w:rsid w:val="005D5A7E"/>
    <w:rsid w:val="005D5B9F"/>
    <w:rsid w:val="005D5D22"/>
    <w:rsid w:val="005D5DBB"/>
    <w:rsid w:val="005D5EF5"/>
    <w:rsid w:val="005D5F54"/>
    <w:rsid w:val="005D5F76"/>
    <w:rsid w:val="005D60AA"/>
    <w:rsid w:val="005D60AD"/>
    <w:rsid w:val="005D60D4"/>
    <w:rsid w:val="005D6117"/>
    <w:rsid w:val="005D618E"/>
    <w:rsid w:val="005D6369"/>
    <w:rsid w:val="005D640E"/>
    <w:rsid w:val="005D6580"/>
    <w:rsid w:val="005D659C"/>
    <w:rsid w:val="005D65BC"/>
    <w:rsid w:val="005D6793"/>
    <w:rsid w:val="005D6826"/>
    <w:rsid w:val="005D6928"/>
    <w:rsid w:val="005D69BE"/>
    <w:rsid w:val="005D69E9"/>
    <w:rsid w:val="005D6A6F"/>
    <w:rsid w:val="005D6B15"/>
    <w:rsid w:val="005D6BAD"/>
    <w:rsid w:val="005D6C22"/>
    <w:rsid w:val="005D6C96"/>
    <w:rsid w:val="005D6D14"/>
    <w:rsid w:val="005D6DD7"/>
    <w:rsid w:val="005D6FB7"/>
    <w:rsid w:val="005D7089"/>
    <w:rsid w:val="005D709E"/>
    <w:rsid w:val="005D71D4"/>
    <w:rsid w:val="005D71ED"/>
    <w:rsid w:val="005D730B"/>
    <w:rsid w:val="005D7408"/>
    <w:rsid w:val="005D750D"/>
    <w:rsid w:val="005D75FB"/>
    <w:rsid w:val="005D768E"/>
    <w:rsid w:val="005D7722"/>
    <w:rsid w:val="005D7747"/>
    <w:rsid w:val="005D77FA"/>
    <w:rsid w:val="005D789F"/>
    <w:rsid w:val="005D7989"/>
    <w:rsid w:val="005D7A0F"/>
    <w:rsid w:val="005D7AF5"/>
    <w:rsid w:val="005D7AFD"/>
    <w:rsid w:val="005D7C35"/>
    <w:rsid w:val="005D7C62"/>
    <w:rsid w:val="005D7D8F"/>
    <w:rsid w:val="005D7E58"/>
    <w:rsid w:val="005D7E81"/>
    <w:rsid w:val="005D7FC2"/>
    <w:rsid w:val="005D7FE0"/>
    <w:rsid w:val="005E0016"/>
    <w:rsid w:val="005E00ED"/>
    <w:rsid w:val="005E011C"/>
    <w:rsid w:val="005E01BD"/>
    <w:rsid w:val="005E01C4"/>
    <w:rsid w:val="005E01CE"/>
    <w:rsid w:val="005E01D5"/>
    <w:rsid w:val="005E0247"/>
    <w:rsid w:val="005E0254"/>
    <w:rsid w:val="005E04E1"/>
    <w:rsid w:val="005E0577"/>
    <w:rsid w:val="005E05D5"/>
    <w:rsid w:val="005E064B"/>
    <w:rsid w:val="005E06B7"/>
    <w:rsid w:val="005E073A"/>
    <w:rsid w:val="005E0788"/>
    <w:rsid w:val="005E0939"/>
    <w:rsid w:val="005E09A2"/>
    <w:rsid w:val="005E0A12"/>
    <w:rsid w:val="005E0A46"/>
    <w:rsid w:val="005E0B9E"/>
    <w:rsid w:val="005E0CA0"/>
    <w:rsid w:val="005E0E2A"/>
    <w:rsid w:val="005E0E46"/>
    <w:rsid w:val="005E0E56"/>
    <w:rsid w:val="005E0FE7"/>
    <w:rsid w:val="005E0FED"/>
    <w:rsid w:val="005E1011"/>
    <w:rsid w:val="005E104A"/>
    <w:rsid w:val="005E10AC"/>
    <w:rsid w:val="005E11F7"/>
    <w:rsid w:val="005E1231"/>
    <w:rsid w:val="005E135A"/>
    <w:rsid w:val="005E13E0"/>
    <w:rsid w:val="005E144D"/>
    <w:rsid w:val="005E1470"/>
    <w:rsid w:val="005E1479"/>
    <w:rsid w:val="005E1487"/>
    <w:rsid w:val="005E16A7"/>
    <w:rsid w:val="005E197F"/>
    <w:rsid w:val="005E19C9"/>
    <w:rsid w:val="005E1A00"/>
    <w:rsid w:val="005E1B83"/>
    <w:rsid w:val="005E1D55"/>
    <w:rsid w:val="005E1DCC"/>
    <w:rsid w:val="005E1DD2"/>
    <w:rsid w:val="005E20A3"/>
    <w:rsid w:val="005E21F6"/>
    <w:rsid w:val="005E223B"/>
    <w:rsid w:val="005E244B"/>
    <w:rsid w:val="005E24FD"/>
    <w:rsid w:val="005E2641"/>
    <w:rsid w:val="005E269F"/>
    <w:rsid w:val="005E2731"/>
    <w:rsid w:val="005E27DD"/>
    <w:rsid w:val="005E28C0"/>
    <w:rsid w:val="005E294F"/>
    <w:rsid w:val="005E2AE4"/>
    <w:rsid w:val="005E2B44"/>
    <w:rsid w:val="005E2BBF"/>
    <w:rsid w:val="005E2C58"/>
    <w:rsid w:val="005E2EC2"/>
    <w:rsid w:val="005E2F0C"/>
    <w:rsid w:val="005E2FCA"/>
    <w:rsid w:val="005E2FD7"/>
    <w:rsid w:val="005E2FF4"/>
    <w:rsid w:val="005E3018"/>
    <w:rsid w:val="005E3072"/>
    <w:rsid w:val="005E313B"/>
    <w:rsid w:val="005E32FA"/>
    <w:rsid w:val="005E33F6"/>
    <w:rsid w:val="005E348C"/>
    <w:rsid w:val="005E34AD"/>
    <w:rsid w:val="005E34FB"/>
    <w:rsid w:val="005E3570"/>
    <w:rsid w:val="005E35E6"/>
    <w:rsid w:val="005E3667"/>
    <w:rsid w:val="005E3682"/>
    <w:rsid w:val="005E3723"/>
    <w:rsid w:val="005E38B5"/>
    <w:rsid w:val="005E38D8"/>
    <w:rsid w:val="005E38ED"/>
    <w:rsid w:val="005E3954"/>
    <w:rsid w:val="005E39E0"/>
    <w:rsid w:val="005E39EF"/>
    <w:rsid w:val="005E3A37"/>
    <w:rsid w:val="005E3ABA"/>
    <w:rsid w:val="005E3BA1"/>
    <w:rsid w:val="005E3BA7"/>
    <w:rsid w:val="005E3C97"/>
    <w:rsid w:val="005E3CD4"/>
    <w:rsid w:val="005E3CD8"/>
    <w:rsid w:val="005E3E04"/>
    <w:rsid w:val="005E3E67"/>
    <w:rsid w:val="005E3E97"/>
    <w:rsid w:val="005E410F"/>
    <w:rsid w:val="005E412B"/>
    <w:rsid w:val="005E4154"/>
    <w:rsid w:val="005E419A"/>
    <w:rsid w:val="005E41B7"/>
    <w:rsid w:val="005E42F6"/>
    <w:rsid w:val="005E43A3"/>
    <w:rsid w:val="005E43AA"/>
    <w:rsid w:val="005E4449"/>
    <w:rsid w:val="005E4484"/>
    <w:rsid w:val="005E44AC"/>
    <w:rsid w:val="005E44C5"/>
    <w:rsid w:val="005E4563"/>
    <w:rsid w:val="005E4630"/>
    <w:rsid w:val="005E4678"/>
    <w:rsid w:val="005E46A0"/>
    <w:rsid w:val="005E4846"/>
    <w:rsid w:val="005E484E"/>
    <w:rsid w:val="005E4855"/>
    <w:rsid w:val="005E4884"/>
    <w:rsid w:val="005E48CC"/>
    <w:rsid w:val="005E4912"/>
    <w:rsid w:val="005E4A1E"/>
    <w:rsid w:val="005E4A7A"/>
    <w:rsid w:val="005E4C50"/>
    <w:rsid w:val="005E4D2F"/>
    <w:rsid w:val="005E4D6F"/>
    <w:rsid w:val="005E4E56"/>
    <w:rsid w:val="005E4EAD"/>
    <w:rsid w:val="005E4EBC"/>
    <w:rsid w:val="005E4FBA"/>
    <w:rsid w:val="005E51A7"/>
    <w:rsid w:val="005E51FF"/>
    <w:rsid w:val="005E535A"/>
    <w:rsid w:val="005E5381"/>
    <w:rsid w:val="005E53C4"/>
    <w:rsid w:val="005E53CC"/>
    <w:rsid w:val="005E5411"/>
    <w:rsid w:val="005E54FC"/>
    <w:rsid w:val="005E5522"/>
    <w:rsid w:val="005E552F"/>
    <w:rsid w:val="005E5585"/>
    <w:rsid w:val="005E55D5"/>
    <w:rsid w:val="005E571B"/>
    <w:rsid w:val="005E5749"/>
    <w:rsid w:val="005E57E3"/>
    <w:rsid w:val="005E5861"/>
    <w:rsid w:val="005E58C8"/>
    <w:rsid w:val="005E58D4"/>
    <w:rsid w:val="005E58E1"/>
    <w:rsid w:val="005E5906"/>
    <w:rsid w:val="005E593F"/>
    <w:rsid w:val="005E5A50"/>
    <w:rsid w:val="005E5AB6"/>
    <w:rsid w:val="005E5AC3"/>
    <w:rsid w:val="005E5C4D"/>
    <w:rsid w:val="005E5CE6"/>
    <w:rsid w:val="005E5CFC"/>
    <w:rsid w:val="005E5D48"/>
    <w:rsid w:val="005E5E27"/>
    <w:rsid w:val="005E5E4D"/>
    <w:rsid w:val="005E60BD"/>
    <w:rsid w:val="005E6136"/>
    <w:rsid w:val="005E6184"/>
    <w:rsid w:val="005E6262"/>
    <w:rsid w:val="005E643F"/>
    <w:rsid w:val="005E648A"/>
    <w:rsid w:val="005E660B"/>
    <w:rsid w:val="005E6698"/>
    <w:rsid w:val="005E6811"/>
    <w:rsid w:val="005E6856"/>
    <w:rsid w:val="005E68FD"/>
    <w:rsid w:val="005E694A"/>
    <w:rsid w:val="005E694F"/>
    <w:rsid w:val="005E6953"/>
    <w:rsid w:val="005E6999"/>
    <w:rsid w:val="005E6B3B"/>
    <w:rsid w:val="005E6B5C"/>
    <w:rsid w:val="005E6BC8"/>
    <w:rsid w:val="005E6C27"/>
    <w:rsid w:val="005E6CA5"/>
    <w:rsid w:val="005E6CAC"/>
    <w:rsid w:val="005E6DAF"/>
    <w:rsid w:val="005E6DD8"/>
    <w:rsid w:val="005E6DDF"/>
    <w:rsid w:val="005E6E8F"/>
    <w:rsid w:val="005E6EB9"/>
    <w:rsid w:val="005E704F"/>
    <w:rsid w:val="005E7140"/>
    <w:rsid w:val="005E7148"/>
    <w:rsid w:val="005E72B3"/>
    <w:rsid w:val="005E73D7"/>
    <w:rsid w:val="005E73DB"/>
    <w:rsid w:val="005E742B"/>
    <w:rsid w:val="005E74C0"/>
    <w:rsid w:val="005E756B"/>
    <w:rsid w:val="005E7781"/>
    <w:rsid w:val="005E7842"/>
    <w:rsid w:val="005E7905"/>
    <w:rsid w:val="005E79D7"/>
    <w:rsid w:val="005E7A1A"/>
    <w:rsid w:val="005E7A49"/>
    <w:rsid w:val="005E7AC6"/>
    <w:rsid w:val="005E7AD6"/>
    <w:rsid w:val="005E7B25"/>
    <w:rsid w:val="005E7B78"/>
    <w:rsid w:val="005E7C33"/>
    <w:rsid w:val="005E7C82"/>
    <w:rsid w:val="005E7D47"/>
    <w:rsid w:val="005E7D99"/>
    <w:rsid w:val="005E7E8A"/>
    <w:rsid w:val="005E7E8E"/>
    <w:rsid w:val="005E7EB7"/>
    <w:rsid w:val="005E7EBD"/>
    <w:rsid w:val="005E7EBE"/>
    <w:rsid w:val="005E7F47"/>
    <w:rsid w:val="005E7FEB"/>
    <w:rsid w:val="005F0024"/>
    <w:rsid w:val="005F0027"/>
    <w:rsid w:val="005F0039"/>
    <w:rsid w:val="005F0077"/>
    <w:rsid w:val="005F00A8"/>
    <w:rsid w:val="005F021D"/>
    <w:rsid w:val="005F03A7"/>
    <w:rsid w:val="005F03C2"/>
    <w:rsid w:val="005F03C3"/>
    <w:rsid w:val="005F0546"/>
    <w:rsid w:val="005F0631"/>
    <w:rsid w:val="005F089F"/>
    <w:rsid w:val="005F09CE"/>
    <w:rsid w:val="005F0A58"/>
    <w:rsid w:val="005F0A8B"/>
    <w:rsid w:val="005F0A93"/>
    <w:rsid w:val="005F0AA2"/>
    <w:rsid w:val="005F0C07"/>
    <w:rsid w:val="005F0C3C"/>
    <w:rsid w:val="005F0CE1"/>
    <w:rsid w:val="005F0CFA"/>
    <w:rsid w:val="005F0E2E"/>
    <w:rsid w:val="005F0E30"/>
    <w:rsid w:val="005F0E61"/>
    <w:rsid w:val="005F0EE4"/>
    <w:rsid w:val="005F0F56"/>
    <w:rsid w:val="005F0FE6"/>
    <w:rsid w:val="005F108A"/>
    <w:rsid w:val="005F10DB"/>
    <w:rsid w:val="005F10E2"/>
    <w:rsid w:val="005F116D"/>
    <w:rsid w:val="005F1363"/>
    <w:rsid w:val="005F1390"/>
    <w:rsid w:val="005F139D"/>
    <w:rsid w:val="005F1441"/>
    <w:rsid w:val="005F1534"/>
    <w:rsid w:val="005F1733"/>
    <w:rsid w:val="005F17AA"/>
    <w:rsid w:val="005F1822"/>
    <w:rsid w:val="005F1918"/>
    <w:rsid w:val="005F1A6B"/>
    <w:rsid w:val="005F1B82"/>
    <w:rsid w:val="005F1BD6"/>
    <w:rsid w:val="005F1C00"/>
    <w:rsid w:val="005F1C5F"/>
    <w:rsid w:val="005F1CC6"/>
    <w:rsid w:val="005F1CC9"/>
    <w:rsid w:val="005F1D7A"/>
    <w:rsid w:val="005F1DCE"/>
    <w:rsid w:val="005F1E03"/>
    <w:rsid w:val="005F1E71"/>
    <w:rsid w:val="005F1E85"/>
    <w:rsid w:val="005F1F3D"/>
    <w:rsid w:val="005F1FCD"/>
    <w:rsid w:val="005F1FE3"/>
    <w:rsid w:val="005F2080"/>
    <w:rsid w:val="005F2082"/>
    <w:rsid w:val="005F23D5"/>
    <w:rsid w:val="005F2467"/>
    <w:rsid w:val="005F24B6"/>
    <w:rsid w:val="005F271B"/>
    <w:rsid w:val="005F272C"/>
    <w:rsid w:val="005F2884"/>
    <w:rsid w:val="005F2902"/>
    <w:rsid w:val="005F29D6"/>
    <w:rsid w:val="005F29F7"/>
    <w:rsid w:val="005F2B93"/>
    <w:rsid w:val="005F2C5F"/>
    <w:rsid w:val="005F2C9E"/>
    <w:rsid w:val="005F2CFD"/>
    <w:rsid w:val="005F2D73"/>
    <w:rsid w:val="005F2F89"/>
    <w:rsid w:val="005F2F8C"/>
    <w:rsid w:val="005F30C6"/>
    <w:rsid w:val="005F3184"/>
    <w:rsid w:val="005F333A"/>
    <w:rsid w:val="005F33AF"/>
    <w:rsid w:val="005F3497"/>
    <w:rsid w:val="005F34F5"/>
    <w:rsid w:val="005F3584"/>
    <w:rsid w:val="005F35D1"/>
    <w:rsid w:val="005F3723"/>
    <w:rsid w:val="005F37D6"/>
    <w:rsid w:val="005F388A"/>
    <w:rsid w:val="005F3B4E"/>
    <w:rsid w:val="005F3CF1"/>
    <w:rsid w:val="005F3D47"/>
    <w:rsid w:val="005F3D85"/>
    <w:rsid w:val="005F3DF3"/>
    <w:rsid w:val="005F3E17"/>
    <w:rsid w:val="005F3E8A"/>
    <w:rsid w:val="005F3EDD"/>
    <w:rsid w:val="005F3F56"/>
    <w:rsid w:val="005F41D2"/>
    <w:rsid w:val="005F421F"/>
    <w:rsid w:val="005F426A"/>
    <w:rsid w:val="005F427B"/>
    <w:rsid w:val="005F429F"/>
    <w:rsid w:val="005F4347"/>
    <w:rsid w:val="005F4386"/>
    <w:rsid w:val="005F438C"/>
    <w:rsid w:val="005F43D4"/>
    <w:rsid w:val="005F445D"/>
    <w:rsid w:val="005F4486"/>
    <w:rsid w:val="005F4641"/>
    <w:rsid w:val="005F4663"/>
    <w:rsid w:val="005F476C"/>
    <w:rsid w:val="005F4776"/>
    <w:rsid w:val="005F47C6"/>
    <w:rsid w:val="005F47CB"/>
    <w:rsid w:val="005F481C"/>
    <w:rsid w:val="005F485F"/>
    <w:rsid w:val="005F48B3"/>
    <w:rsid w:val="005F4935"/>
    <w:rsid w:val="005F49A3"/>
    <w:rsid w:val="005F4A93"/>
    <w:rsid w:val="005F4B1C"/>
    <w:rsid w:val="005F4BF4"/>
    <w:rsid w:val="005F4C30"/>
    <w:rsid w:val="005F4C31"/>
    <w:rsid w:val="005F4C39"/>
    <w:rsid w:val="005F4C49"/>
    <w:rsid w:val="005F4C8D"/>
    <w:rsid w:val="005F4C91"/>
    <w:rsid w:val="005F4D9D"/>
    <w:rsid w:val="005F4E32"/>
    <w:rsid w:val="005F4EAD"/>
    <w:rsid w:val="005F4EC9"/>
    <w:rsid w:val="005F5088"/>
    <w:rsid w:val="005F50C1"/>
    <w:rsid w:val="005F5247"/>
    <w:rsid w:val="005F54C0"/>
    <w:rsid w:val="005F5530"/>
    <w:rsid w:val="005F555B"/>
    <w:rsid w:val="005F56B3"/>
    <w:rsid w:val="005F56DD"/>
    <w:rsid w:val="005F5723"/>
    <w:rsid w:val="005F576F"/>
    <w:rsid w:val="005F5899"/>
    <w:rsid w:val="005F58F5"/>
    <w:rsid w:val="005F5981"/>
    <w:rsid w:val="005F5986"/>
    <w:rsid w:val="005F5A48"/>
    <w:rsid w:val="005F5AC7"/>
    <w:rsid w:val="005F5AFF"/>
    <w:rsid w:val="005F5B14"/>
    <w:rsid w:val="005F5BBA"/>
    <w:rsid w:val="005F5C06"/>
    <w:rsid w:val="005F5CD4"/>
    <w:rsid w:val="005F5D5D"/>
    <w:rsid w:val="005F5D5E"/>
    <w:rsid w:val="005F5DD4"/>
    <w:rsid w:val="005F5E50"/>
    <w:rsid w:val="005F5EF8"/>
    <w:rsid w:val="005F61C5"/>
    <w:rsid w:val="005F6220"/>
    <w:rsid w:val="005F626A"/>
    <w:rsid w:val="005F62D8"/>
    <w:rsid w:val="005F632B"/>
    <w:rsid w:val="005F6332"/>
    <w:rsid w:val="005F63B9"/>
    <w:rsid w:val="005F63E5"/>
    <w:rsid w:val="005F6462"/>
    <w:rsid w:val="005F647D"/>
    <w:rsid w:val="005F64E7"/>
    <w:rsid w:val="005F64F4"/>
    <w:rsid w:val="005F65D7"/>
    <w:rsid w:val="005F65E3"/>
    <w:rsid w:val="005F663F"/>
    <w:rsid w:val="005F667D"/>
    <w:rsid w:val="005F6693"/>
    <w:rsid w:val="005F670C"/>
    <w:rsid w:val="005F6715"/>
    <w:rsid w:val="005F6746"/>
    <w:rsid w:val="005F6789"/>
    <w:rsid w:val="005F684A"/>
    <w:rsid w:val="005F6902"/>
    <w:rsid w:val="005F6A30"/>
    <w:rsid w:val="005F6AA2"/>
    <w:rsid w:val="005F6BC0"/>
    <w:rsid w:val="005F6C0C"/>
    <w:rsid w:val="005F6CF0"/>
    <w:rsid w:val="005F6D10"/>
    <w:rsid w:val="005F6EC1"/>
    <w:rsid w:val="005F6F0A"/>
    <w:rsid w:val="005F6FD7"/>
    <w:rsid w:val="005F701E"/>
    <w:rsid w:val="005F7134"/>
    <w:rsid w:val="005F71A7"/>
    <w:rsid w:val="005F71B4"/>
    <w:rsid w:val="005F721A"/>
    <w:rsid w:val="005F72AA"/>
    <w:rsid w:val="005F736B"/>
    <w:rsid w:val="005F73E8"/>
    <w:rsid w:val="005F74F4"/>
    <w:rsid w:val="005F7572"/>
    <w:rsid w:val="005F75EA"/>
    <w:rsid w:val="005F76A2"/>
    <w:rsid w:val="005F76E3"/>
    <w:rsid w:val="005F76F8"/>
    <w:rsid w:val="005F79AF"/>
    <w:rsid w:val="005F7A73"/>
    <w:rsid w:val="005F7A7A"/>
    <w:rsid w:val="005F7AF8"/>
    <w:rsid w:val="005F7B85"/>
    <w:rsid w:val="005F7B98"/>
    <w:rsid w:val="005F7BBA"/>
    <w:rsid w:val="005F7BCB"/>
    <w:rsid w:val="005F7C70"/>
    <w:rsid w:val="005F7C83"/>
    <w:rsid w:val="005F7D09"/>
    <w:rsid w:val="005F7DE9"/>
    <w:rsid w:val="00600202"/>
    <w:rsid w:val="00600290"/>
    <w:rsid w:val="00600291"/>
    <w:rsid w:val="0060030F"/>
    <w:rsid w:val="00600337"/>
    <w:rsid w:val="0060033D"/>
    <w:rsid w:val="00600398"/>
    <w:rsid w:val="0060039A"/>
    <w:rsid w:val="00600525"/>
    <w:rsid w:val="006005B7"/>
    <w:rsid w:val="0060062B"/>
    <w:rsid w:val="00600667"/>
    <w:rsid w:val="0060067A"/>
    <w:rsid w:val="006006E7"/>
    <w:rsid w:val="00600767"/>
    <w:rsid w:val="006007AE"/>
    <w:rsid w:val="00600898"/>
    <w:rsid w:val="006009AE"/>
    <w:rsid w:val="00600A7D"/>
    <w:rsid w:val="00600A92"/>
    <w:rsid w:val="00600AA5"/>
    <w:rsid w:val="00600B9C"/>
    <w:rsid w:val="00600C27"/>
    <w:rsid w:val="00600C63"/>
    <w:rsid w:val="00600DB7"/>
    <w:rsid w:val="00600E3E"/>
    <w:rsid w:val="00600E71"/>
    <w:rsid w:val="00600F31"/>
    <w:rsid w:val="00600FC8"/>
    <w:rsid w:val="006010A3"/>
    <w:rsid w:val="006010BE"/>
    <w:rsid w:val="0060115F"/>
    <w:rsid w:val="006011AF"/>
    <w:rsid w:val="006011C9"/>
    <w:rsid w:val="006011E9"/>
    <w:rsid w:val="006012A1"/>
    <w:rsid w:val="006012E9"/>
    <w:rsid w:val="00601318"/>
    <w:rsid w:val="006013C2"/>
    <w:rsid w:val="006013DF"/>
    <w:rsid w:val="0060144F"/>
    <w:rsid w:val="00601591"/>
    <w:rsid w:val="00601799"/>
    <w:rsid w:val="0060195D"/>
    <w:rsid w:val="006019EA"/>
    <w:rsid w:val="00601A45"/>
    <w:rsid w:val="00601B19"/>
    <w:rsid w:val="00601B34"/>
    <w:rsid w:val="00601BDD"/>
    <w:rsid w:val="00601C13"/>
    <w:rsid w:val="00601C1F"/>
    <w:rsid w:val="00601C34"/>
    <w:rsid w:val="00601D95"/>
    <w:rsid w:val="00601DAD"/>
    <w:rsid w:val="00601DCE"/>
    <w:rsid w:val="00601F34"/>
    <w:rsid w:val="00601FC9"/>
    <w:rsid w:val="00601FFC"/>
    <w:rsid w:val="00602051"/>
    <w:rsid w:val="00602175"/>
    <w:rsid w:val="006022E4"/>
    <w:rsid w:val="00602340"/>
    <w:rsid w:val="00602343"/>
    <w:rsid w:val="006023C8"/>
    <w:rsid w:val="006023EA"/>
    <w:rsid w:val="00602439"/>
    <w:rsid w:val="00602475"/>
    <w:rsid w:val="006024F8"/>
    <w:rsid w:val="006026B3"/>
    <w:rsid w:val="006026EA"/>
    <w:rsid w:val="00602771"/>
    <w:rsid w:val="006027D6"/>
    <w:rsid w:val="006027FA"/>
    <w:rsid w:val="00602963"/>
    <w:rsid w:val="00602A2D"/>
    <w:rsid w:val="00602A55"/>
    <w:rsid w:val="00602AC1"/>
    <w:rsid w:val="00602B46"/>
    <w:rsid w:val="00602B95"/>
    <w:rsid w:val="00602C04"/>
    <w:rsid w:val="00602DE3"/>
    <w:rsid w:val="0060304A"/>
    <w:rsid w:val="006030BA"/>
    <w:rsid w:val="00603316"/>
    <w:rsid w:val="006033C3"/>
    <w:rsid w:val="00603433"/>
    <w:rsid w:val="006034D5"/>
    <w:rsid w:val="006034ED"/>
    <w:rsid w:val="00603578"/>
    <w:rsid w:val="006035C7"/>
    <w:rsid w:val="006035D0"/>
    <w:rsid w:val="0060365C"/>
    <w:rsid w:val="00603670"/>
    <w:rsid w:val="006036A4"/>
    <w:rsid w:val="00603829"/>
    <w:rsid w:val="0060387B"/>
    <w:rsid w:val="006038C0"/>
    <w:rsid w:val="00603975"/>
    <w:rsid w:val="006039F9"/>
    <w:rsid w:val="00603A50"/>
    <w:rsid w:val="00603ABF"/>
    <w:rsid w:val="00603B4E"/>
    <w:rsid w:val="00603BDC"/>
    <w:rsid w:val="00603BED"/>
    <w:rsid w:val="00603CCE"/>
    <w:rsid w:val="00603DB6"/>
    <w:rsid w:val="00603F15"/>
    <w:rsid w:val="00603FA2"/>
    <w:rsid w:val="00604070"/>
    <w:rsid w:val="006041BC"/>
    <w:rsid w:val="0060420D"/>
    <w:rsid w:val="00604572"/>
    <w:rsid w:val="00604587"/>
    <w:rsid w:val="0060458F"/>
    <w:rsid w:val="006045EC"/>
    <w:rsid w:val="00604615"/>
    <w:rsid w:val="0060461D"/>
    <w:rsid w:val="006047CA"/>
    <w:rsid w:val="00604892"/>
    <w:rsid w:val="00604929"/>
    <w:rsid w:val="00604A1A"/>
    <w:rsid w:val="00604B1A"/>
    <w:rsid w:val="00604BD5"/>
    <w:rsid w:val="00604CA4"/>
    <w:rsid w:val="00604EDF"/>
    <w:rsid w:val="00604EFE"/>
    <w:rsid w:val="00604F04"/>
    <w:rsid w:val="0060500A"/>
    <w:rsid w:val="00605094"/>
    <w:rsid w:val="006050DB"/>
    <w:rsid w:val="0060513F"/>
    <w:rsid w:val="00605153"/>
    <w:rsid w:val="00605230"/>
    <w:rsid w:val="00605452"/>
    <w:rsid w:val="0060552F"/>
    <w:rsid w:val="00605727"/>
    <w:rsid w:val="00605839"/>
    <w:rsid w:val="00605887"/>
    <w:rsid w:val="006059C8"/>
    <w:rsid w:val="00605A09"/>
    <w:rsid w:val="00605A61"/>
    <w:rsid w:val="00605B34"/>
    <w:rsid w:val="00605B47"/>
    <w:rsid w:val="00605B65"/>
    <w:rsid w:val="00605C31"/>
    <w:rsid w:val="00605C5A"/>
    <w:rsid w:val="00605CDC"/>
    <w:rsid w:val="00605D31"/>
    <w:rsid w:val="00605DA9"/>
    <w:rsid w:val="00605E7E"/>
    <w:rsid w:val="00605EB2"/>
    <w:rsid w:val="00605F1E"/>
    <w:rsid w:val="0060610D"/>
    <w:rsid w:val="00606177"/>
    <w:rsid w:val="0060619A"/>
    <w:rsid w:val="00606627"/>
    <w:rsid w:val="0060667E"/>
    <w:rsid w:val="006067CD"/>
    <w:rsid w:val="00606964"/>
    <w:rsid w:val="00606A1F"/>
    <w:rsid w:val="00606A4B"/>
    <w:rsid w:val="00606B4B"/>
    <w:rsid w:val="00606C0A"/>
    <w:rsid w:val="00606CAF"/>
    <w:rsid w:val="00606E0F"/>
    <w:rsid w:val="00606E84"/>
    <w:rsid w:val="0060701D"/>
    <w:rsid w:val="006070BF"/>
    <w:rsid w:val="006070D0"/>
    <w:rsid w:val="0060728D"/>
    <w:rsid w:val="00607325"/>
    <w:rsid w:val="0060736C"/>
    <w:rsid w:val="00607481"/>
    <w:rsid w:val="006075A8"/>
    <w:rsid w:val="00607722"/>
    <w:rsid w:val="006077EF"/>
    <w:rsid w:val="00607988"/>
    <w:rsid w:val="00607A0C"/>
    <w:rsid w:val="00607A70"/>
    <w:rsid w:val="00607AF5"/>
    <w:rsid w:val="00607B12"/>
    <w:rsid w:val="00607C69"/>
    <w:rsid w:val="00607C8F"/>
    <w:rsid w:val="00607D85"/>
    <w:rsid w:val="00607DC0"/>
    <w:rsid w:val="00607DD0"/>
    <w:rsid w:val="00607E80"/>
    <w:rsid w:val="00607F92"/>
    <w:rsid w:val="00610055"/>
    <w:rsid w:val="006100A4"/>
    <w:rsid w:val="006100D1"/>
    <w:rsid w:val="00610285"/>
    <w:rsid w:val="006102FC"/>
    <w:rsid w:val="00610311"/>
    <w:rsid w:val="00610329"/>
    <w:rsid w:val="006103BF"/>
    <w:rsid w:val="006103D2"/>
    <w:rsid w:val="0061044E"/>
    <w:rsid w:val="00610622"/>
    <w:rsid w:val="00610678"/>
    <w:rsid w:val="00610681"/>
    <w:rsid w:val="00610684"/>
    <w:rsid w:val="006106E1"/>
    <w:rsid w:val="00610887"/>
    <w:rsid w:val="006108B9"/>
    <w:rsid w:val="006109F0"/>
    <w:rsid w:val="00610B0D"/>
    <w:rsid w:val="00610B3A"/>
    <w:rsid w:val="00610C15"/>
    <w:rsid w:val="00610C81"/>
    <w:rsid w:val="00610CAF"/>
    <w:rsid w:val="00610EBF"/>
    <w:rsid w:val="00610EC4"/>
    <w:rsid w:val="00610FF1"/>
    <w:rsid w:val="0061100E"/>
    <w:rsid w:val="0061102C"/>
    <w:rsid w:val="00611131"/>
    <w:rsid w:val="00611134"/>
    <w:rsid w:val="006111CF"/>
    <w:rsid w:val="00611522"/>
    <w:rsid w:val="006115B4"/>
    <w:rsid w:val="00611621"/>
    <w:rsid w:val="00611623"/>
    <w:rsid w:val="00611671"/>
    <w:rsid w:val="00611685"/>
    <w:rsid w:val="0061169D"/>
    <w:rsid w:val="00611738"/>
    <w:rsid w:val="00611769"/>
    <w:rsid w:val="00611779"/>
    <w:rsid w:val="00611931"/>
    <w:rsid w:val="006119A4"/>
    <w:rsid w:val="00611A0C"/>
    <w:rsid w:val="00611A14"/>
    <w:rsid w:val="00611A1C"/>
    <w:rsid w:val="00611A63"/>
    <w:rsid w:val="00611B2F"/>
    <w:rsid w:val="00611C05"/>
    <w:rsid w:val="00611C93"/>
    <w:rsid w:val="00611CEF"/>
    <w:rsid w:val="00611DBB"/>
    <w:rsid w:val="00611E1F"/>
    <w:rsid w:val="00611E68"/>
    <w:rsid w:val="00611ED2"/>
    <w:rsid w:val="00611FF2"/>
    <w:rsid w:val="00612082"/>
    <w:rsid w:val="006120B6"/>
    <w:rsid w:val="006120BA"/>
    <w:rsid w:val="006121BD"/>
    <w:rsid w:val="006121F2"/>
    <w:rsid w:val="0061221D"/>
    <w:rsid w:val="0061229A"/>
    <w:rsid w:val="006122C6"/>
    <w:rsid w:val="00612300"/>
    <w:rsid w:val="00612428"/>
    <w:rsid w:val="006124A6"/>
    <w:rsid w:val="00612653"/>
    <w:rsid w:val="0061269D"/>
    <w:rsid w:val="0061270E"/>
    <w:rsid w:val="0061270F"/>
    <w:rsid w:val="00612721"/>
    <w:rsid w:val="0061279B"/>
    <w:rsid w:val="006127F1"/>
    <w:rsid w:val="00612868"/>
    <w:rsid w:val="00612882"/>
    <w:rsid w:val="0061291B"/>
    <w:rsid w:val="00612942"/>
    <w:rsid w:val="006129E0"/>
    <w:rsid w:val="00612B10"/>
    <w:rsid w:val="00612CB5"/>
    <w:rsid w:val="00612D4F"/>
    <w:rsid w:val="00612D82"/>
    <w:rsid w:val="00612E2E"/>
    <w:rsid w:val="00612E3A"/>
    <w:rsid w:val="00612E3F"/>
    <w:rsid w:val="00612E95"/>
    <w:rsid w:val="00612EBE"/>
    <w:rsid w:val="00612EE0"/>
    <w:rsid w:val="00612FBB"/>
    <w:rsid w:val="006130E4"/>
    <w:rsid w:val="0061311D"/>
    <w:rsid w:val="006132B5"/>
    <w:rsid w:val="006133DF"/>
    <w:rsid w:val="00613413"/>
    <w:rsid w:val="0061342F"/>
    <w:rsid w:val="0061347C"/>
    <w:rsid w:val="00613489"/>
    <w:rsid w:val="006134AA"/>
    <w:rsid w:val="00613616"/>
    <w:rsid w:val="00613647"/>
    <w:rsid w:val="0061381A"/>
    <w:rsid w:val="00613A0F"/>
    <w:rsid w:val="00613A46"/>
    <w:rsid w:val="00613A55"/>
    <w:rsid w:val="00613A5B"/>
    <w:rsid w:val="00613AAB"/>
    <w:rsid w:val="00613AB0"/>
    <w:rsid w:val="00613ADA"/>
    <w:rsid w:val="00613AF4"/>
    <w:rsid w:val="00613BCF"/>
    <w:rsid w:val="00613D0E"/>
    <w:rsid w:val="00613D18"/>
    <w:rsid w:val="00613D85"/>
    <w:rsid w:val="00613D8A"/>
    <w:rsid w:val="00613E48"/>
    <w:rsid w:val="00613EDE"/>
    <w:rsid w:val="00613F98"/>
    <w:rsid w:val="00613FBB"/>
    <w:rsid w:val="00614023"/>
    <w:rsid w:val="00614148"/>
    <w:rsid w:val="006141B6"/>
    <w:rsid w:val="00614267"/>
    <w:rsid w:val="006142B9"/>
    <w:rsid w:val="0061435D"/>
    <w:rsid w:val="00614364"/>
    <w:rsid w:val="00614368"/>
    <w:rsid w:val="006143E5"/>
    <w:rsid w:val="006144B9"/>
    <w:rsid w:val="00614531"/>
    <w:rsid w:val="0061454A"/>
    <w:rsid w:val="006145F2"/>
    <w:rsid w:val="00614679"/>
    <w:rsid w:val="006146BD"/>
    <w:rsid w:val="0061471D"/>
    <w:rsid w:val="006147B0"/>
    <w:rsid w:val="006147DA"/>
    <w:rsid w:val="00614AFE"/>
    <w:rsid w:val="00614BC0"/>
    <w:rsid w:val="00614C58"/>
    <w:rsid w:val="00614D4B"/>
    <w:rsid w:val="00614DC3"/>
    <w:rsid w:val="00614E75"/>
    <w:rsid w:val="00614E9F"/>
    <w:rsid w:val="00614EAB"/>
    <w:rsid w:val="00614ECE"/>
    <w:rsid w:val="00614EDB"/>
    <w:rsid w:val="00614EF9"/>
    <w:rsid w:val="00614F39"/>
    <w:rsid w:val="00614F50"/>
    <w:rsid w:val="00614F63"/>
    <w:rsid w:val="00614FBE"/>
    <w:rsid w:val="00615038"/>
    <w:rsid w:val="0061505E"/>
    <w:rsid w:val="006150A1"/>
    <w:rsid w:val="006151AD"/>
    <w:rsid w:val="00615463"/>
    <w:rsid w:val="0061546A"/>
    <w:rsid w:val="006154F1"/>
    <w:rsid w:val="0061550E"/>
    <w:rsid w:val="0061565E"/>
    <w:rsid w:val="00615730"/>
    <w:rsid w:val="006159FB"/>
    <w:rsid w:val="00615A1B"/>
    <w:rsid w:val="00615BD9"/>
    <w:rsid w:val="00615CFE"/>
    <w:rsid w:val="00615E96"/>
    <w:rsid w:val="00615ED7"/>
    <w:rsid w:val="00615FC9"/>
    <w:rsid w:val="00615FCC"/>
    <w:rsid w:val="00615FF7"/>
    <w:rsid w:val="00616026"/>
    <w:rsid w:val="00616047"/>
    <w:rsid w:val="00616170"/>
    <w:rsid w:val="006161F3"/>
    <w:rsid w:val="006161FC"/>
    <w:rsid w:val="00616373"/>
    <w:rsid w:val="00616530"/>
    <w:rsid w:val="0061654B"/>
    <w:rsid w:val="0061655C"/>
    <w:rsid w:val="0061655F"/>
    <w:rsid w:val="006165C4"/>
    <w:rsid w:val="00616603"/>
    <w:rsid w:val="00616748"/>
    <w:rsid w:val="006168BD"/>
    <w:rsid w:val="00616AF6"/>
    <w:rsid w:val="00616BCC"/>
    <w:rsid w:val="00616C66"/>
    <w:rsid w:val="00616C70"/>
    <w:rsid w:val="00616CFF"/>
    <w:rsid w:val="00616D63"/>
    <w:rsid w:val="00616D65"/>
    <w:rsid w:val="00616EC7"/>
    <w:rsid w:val="00616F7A"/>
    <w:rsid w:val="00616FE2"/>
    <w:rsid w:val="006170EA"/>
    <w:rsid w:val="006171D7"/>
    <w:rsid w:val="00617246"/>
    <w:rsid w:val="00617255"/>
    <w:rsid w:val="006172E5"/>
    <w:rsid w:val="00617331"/>
    <w:rsid w:val="0061742E"/>
    <w:rsid w:val="0061743C"/>
    <w:rsid w:val="006175E3"/>
    <w:rsid w:val="00617633"/>
    <w:rsid w:val="006177FA"/>
    <w:rsid w:val="00617915"/>
    <w:rsid w:val="00617B23"/>
    <w:rsid w:val="00617B29"/>
    <w:rsid w:val="00617B75"/>
    <w:rsid w:val="00617C3A"/>
    <w:rsid w:val="00617CB0"/>
    <w:rsid w:val="00617CF2"/>
    <w:rsid w:val="00617FE7"/>
    <w:rsid w:val="0062007F"/>
    <w:rsid w:val="00620155"/>
    <w:rsid w:val="0062024D"/>
    <w:rsid w:val="0062037E"/>
    <w:rsid w:val="00620524"/>
    <w:rsid w:val="00620535"/>
    <w:rsid w:val="0062058C"/>
    <w:rsid w:val="00620770"/>
    <w:rsid w:val="00620771"/>
    <w:rsid w:val="0062085F"/>
    <w:rsid w:val="0062094A"/>
    <w:rsid w:val="00620A2C"/>
    <w:rsid w:val="00620B31"/>
    <w:rsid w:val="00620CD5"/>
    <w:rsid w:val="00620E80"/>
    <w:rsid w:val="00620EBE"/>
    <w:rsid w:val="00620F86"/>
    <w:rsid w:val="0062102C"/>
    <w:rsid w:val="00621198"/>
    <w:rsid w:val="00621280"/>
    <w:rsid w:val="006213AD"/>
    <w:rsid w:val="006215B8"/>
    <w:rsid w:val="006215ED"/>
    <w:rsid w:val="0062162B"/>
    <w:rsid w:val="0062167E"/>
    <w:rsid w:val="00621921"/>
    <w:rsid w:val="0062193F"/>
    <w:rsid w:val="00621AC7"/>
    <w:rsid w:val="00621AF5"/>
    <w:rsid w:val="00621D07"/>
    <w:rsid w:val="00621D78"/>
    <w:rsid w:val="00621DC0"/>
    <w:rsid w:val="00621E5E"/>
    <w:rsid w:val="00621E70"/>
    <w:rsid w:val="00621E91"/>
    <w:rsid w:val="00621EBC"/>
    <w:rsid w:val="00621EC5"/>
    <w:rsid w:val="00621FE3"/>
    <w:rsid w:val="00621FFC"/>
    <w:rsid w:val="00622090"/>
    <w:rsid w:val="0062210B"/>
    <w:rsid w:val="00622140"/>
    <w:rsid w:val="00622151"/>
    <w:rsid w:val="006221E5"/>
    <w:rsid w:val="006221FD"/>
    <w:rsid w:val="0062224D"/>
    <w:rsid w:val="006224C5"/>
    <w:rsid w:val="006224DC"/>
    <w:rsid w:val="00622509"/>
    <w:rsid w:val="00622522"/>
    <w:rsid w:val="0062258D"/>
    <w:rsid w:val="0062262C"/>
    <w:rsid w:val="0062262E"/>
    <w:rsid w:val="00622883"/>
    <w:rsid w:val="0062292F"/>
    <w:rsid w:val="006229D2"/>
    <w:rsid w:val="00622A23"/>
    <w:rsid w:val="00622C3E"/>
    <w:rsid w:val="00622C71"/>
    <w:rsid w:val="00622CB6"/>
    <w:rsid w:val="0062307E"/>
    <w:rsid w:val="006230D8"/>
    <w:rsid w:val="006230D9"/>
    <w:rsid w:val="0062317D"/>
    <w:rsid w:val="006232B5"/>
    <w:rsid w:val="00623587"/>
    <w:rsid w:val="006235CC"/>
    <w:rsid w:val="006235FA"/>
    <w:rsid w:val="0062366D"/>
    <w:rsid w:val="006236CF"/>
    <w:rsid w:val="006236F7"/>
    <w:rsid w:val="00623799"/>
    <w:rsid w:val="0062379C"/>
    <w:rsid w:val="006239CE"/>
    <w:rsid w:val="006239D1"/>
    <w:rsid w:val="006239D9"/>
    <w:rsid w:val="00623AA5"/>
    <w:rsid w:val="00623AFC"/>
    <w:rsid w:val="00623B10"/>
    <w:rsid w:val="00623B6C"/>
    <w:rsid w:val="00623BF5"/>
    <w:rsid w:val="00623CCA"/>
    <w:rsid w:val="00623D90"/>
    <w:rsid w:val="00623FF2"/>
    <w:rsid w:val="0062401F"/>
    <w:rsid w:val="006240CB"/>
    <w:rsid w:val="006240EB"/>
    <w:rsid w:val="00624140"/>
    <w:rsid w:val="0062419B"/>
    <w:rsid w:val="0062422C"/>
    <w:rsid w:val="0062426C"/>
    <w:rsid w:val="00624359"/>
    <w:rsid w:val="006243F1"/>
    <w:rsid w:val="006243FB"/>
    <w:rsid w:val="0062454E"/>
    <w:rsid w:val="006245DE"/>
    <w:rsid w:val="006245F7"/>
    <w:rsid w:val="0062465A"/>
    <w:rsid w:val="00624673"/>
    <w:rsid w:val="00624766"/>
    <w:rsid w:val="0062492C"/>
    <w:rsid w:val="006249E4"/>
    <w:rsid w:val="006249ED"/>
    <w:rsid w:val="00624A37"/>
    <w:rsid w:val="00624A44"/>
    <w:rsid w:val="00624B70"/>
    <w:rsid w:val="00624D2A"/>
    <w:rsid w:val="00624E74"/>
    <w:rsid w:val="00624E83"/>
    <w:rsid w:val="00624EA3"/>
    <w:rsid w:val="00624EB4"/>
    <w:rsid w:val="00624F1D"/>
    <w:rsid w:val="00625251"/>
    <w:rsid w:val="006252B7"/>
    <w:rsid w:val="00625393"/>
    <w:rsid w:val="00625436"/>
    <w:rsid w:val="00625438"/>
    <w:rsid w:val="0062554D"/>
    <w:rsid w:val="00625563"/>
    <w:rsid w:val="006255DE"/>
    <w:rsid w:val="00625639"/>
    <w:rsid w:val="00625779"/>
    <w:rsid w:val="006257A8"/>
    <w:rsid w:val="006257CB"/>
    <w:rsid w:val="006257D7"/>
    <w:rsid w:val="00625884"/>
    <w:rsid w:val="00625890"/>
    <w:rsid w:val="006258EF"/>
    <w:rsid w:val="0062594D"/>
    <w:rsid w:val="00625AEC"/>
    <w:rsid w:val="00625B66"/>
    <w:rsid w:val="00625B6C"/>
    <w:rsid w:val="00625C03"/>
    <w:rsid w:val="00625C0F"/>
    <w:rsid w:val="00625C2B"/>
    <w:rsid w:val="00625D1B"/>
    <w:rsid w:val="00625DD3"/>
    <w:rsid w:val="00625DED"/>
    <w:rsid w:val="00625E4F"/>
    <w:rsid w:val="00625E9C"/>
    <w:rsid w:val="0062600A"/>
    <w:rsid w:val="0062606F"/>
    <w:rsid w:val="0062612A"/>
    <w:rsid w:val="006261BC"/>
    <w:rsid w:val="00626349"/>
    <w:rsid w:val="006263FE"/>
    <w:rsid w:val="00626593"/>
    <w:rsid w:val="0062665B"/>
    <w:rsid w:val="00626726"/>
    <w:rsid w:val="0062677D"/>
    <w:rsid w:val="006268EB"/>
    <w:rsid w:val="0062696F"/>
    <w:rsid w:val="006269BF"/>
    <w:rsid w:val="00626B87"/>
    <w:rsid w:val="00626D28"/>
    <w:rsid w:val="00626E50"/>
    <w:rsid w:val="00626EAD"/>
    <w:rsid w:val="00626EBE"/>
    <w:rsid w:val="00626F7B"/>
    <w:rsid w:val="00626F9F"/>
    <w:rsid w:val="00627355"/>
    <w:rsid w:val="00627388"/>
    <w:rsid w:val="00627401"/>
    <w:rsid w:val="00627443"/>
    <w:rsid w:val="00627544"/>
    <w:rsid w:val="006275AA"/>
    <w:rsid w:val="006276A1"/>
    <w:rsid w:val="00627786"/>
    <w:rsid w:val="00627A00"/>
    <w:rsid w:val="00627A2F"/>
    <w:rsid w:val="00627A5F"/>
    <w:rsid w:val="00627B40"/>
    <w:rsid w:val="00627B6A"/>
    <w:rsid w:val="00627BC6"/>
    <w:rsid w:val="00627C22"/>
    <w:rsid w:val="00627CD1"/>
    <w:rsid w:val="00627CF4"/>
    <w:rsid w:val="00627CF9"/>
    <w:rsid w:val="00627DD4"/>
    <w:rsid w:val="00627E3A"/>
    <w:rsid w:val="00627F5E"/>
    <w:rsid w:val="00627F94"/>
    <w:rsid w:val="00627FCC"/>
    <w:rsid w:val="00627FCD"/>
    <w:rsid w:val="00630046"/>
    <w:rsid w:val="00630047"/>
    <w:rsid w:val="00630067"/>
    <w:rsid w:val="00630175"/>
    <w:rsid w:val="00630187"/>
    <w:rsid w:val="0063033A"/>
    <w:rsid w:val="00630352"/>
    <w:rsid w:val="0063037A"/>
    <w:rsid w:val="00630566"/>
    <w:rsid w:val="006305CB"/>
    <w:rsid w:val="00630603"/>
    <w:rsid w:val="0063061A"/>
    <w:rsid w:val="00630857"/>
    <w:rsid w:val="0063094D"/>
    <w:rsid w:val="006309B4"/>
    <w:rsid w:val="00630A16"/>
    <w:rsid w:val="00630B65"/>
    <w:rsid w:val="00630C0F"/>
    <w:rsid w:val="00630C7F"/>
    <w:rsid w:val="00630CC2"/>
    <w:rsid w:val="00630D18"/>
    <w:rsid w:val="00630EF9"/>
    <w:rsid w:val="0063106F"/>
    <w:rsid w:val="0063108D"/>
    <w:rsid w:val="0063114D"/>
    <w:rsid w:val="0063116E"/>
    <w:rsid w:val="006311B4"/>
    <w:rsid w:val="006311BC"/>
    <w:rsid w:val="006311C3"/>
    <w:rsid w:val="00631354"/>
    <w:rsid w:val="00631356"/>
    <w:rsid w:val="0063145B"/>
    <w:rsid w:val="006315D9"/>
    <w:rsid w:val="0063160F"/>
    <w:rsid w:val="006316CF"/>
    <w:rsid w:val="00631725"/>
    <w:rsid w:val="006318E3"/>
    <w:rsid w:val="00631920"/>
    <w:rsid w:val="00631951"/>
    <w:rsid w:val="00631A9C"/>
    <w:rsid w:val="00631B22"/>
    <w:rsid w:val="00631B30"/>
    <w:rsid w:val="00631B4C"/>
    <w:rsid w:val="00631BC0"/>
    <w:rsid w:val="00631BE4"/>
    <w:rsid w:val="00631C1E"/>
    <w:rsid w:val="00631CF1"/>
    <w:rsid w:val="00631DCF"/>
    <w:rsid w:val="00631FE5"/>
    <w:rsid w:val="006321C0"/>
    <w:rsid w:val="00632226"/>
    <w:rsid w:val="0063225F"/>
    <w:rsid w:val="0063227B"/>
    <w:rsid w:val="006323A5"/>
    <w:rsid w:val="006323D0"/>
    <w:rsid w:val="006323EC"/>
    <w:rsid w:val="0063240E"/>
    <w:rsid w:val="0063244B"/>
    <w:rsid w:val="00632572"/>
    <w:rsid w:val="006325B7"/>
    <w:rsid w:val="006325BE"/>
    <w:rsid w:val="006326DB"/>
    <w:rsid w:val="006327AC"/>
    <w:rsid w:val="006327C2"/>
    <w:rsid w:val="00632BC4"/>
    <w:rsid w:val="00632D18"/>
    <w:rsid w:val="00632F5E"/>
    <w:rsid w:val="00632FC1"/>
    <w:rsid w:val="006330AD"/>
    <w:rsid w:val="006334AB"/>
    <w:rsid w:val="0063360A"/>
    <w:rsid w:val="006336F9"/>
    <w:rsid w:val="006337C4"/>
    <w:rsid w:val="006337F9"/>
    <w:rsid w:val="0063380B"/>
    <w:rsid w:val="006338C8"/>
    <w:rsid w:val="0063390C"/>
    <w:rsid w:val="0063397C"/>
    <w:rsid w:val="00633A47"/>
    <w:rsid w:val="00633AF3"/>
    <w:rsid w:val="00633BB0"/>
    <w:rsid w:val="00633DE4"/>
    <w:rsid w:val="00633F96"/>
    <w:rsid w:val="00634028"/>
    <w:rsid w:val="00634241"/>
    <w:rsid w:val="00634266"/>
    <w:rsid w:val="00634274"/>
    <w:rsid w:val="006343A2"/>
    <w:rsid w:val="0063444C"/>
    <w:rsid w:val="006344BA"/>
    <w:rsid w:val="00634555"/>
    <w:rsid w:val="006346BE"/>
    <w:rsid w:val="006346E9"/>
    <w:rsid w:val="0063477A"/>
    <w:rsid w:val="00634809"/>
    <w:rsid w:val="00634869"/>
    <w:rsid w:val="0063486E"/>
    <w:rsid w:val="00634885"/>
    <w:rsid w:val="006348DC"/>
    <w:rsid w:val="00634A1D"/>
    <w:rsid w:val="00634AC8"/>
    <w:rsid w:val="00634BCB"/>
    <w:rsid w:val="00634C4F"/>
    <w:rsid w:val="00634C79"/>
    <w:rsid w:val="00634CE5"/>
    <w:rsid w:val="00634D61"/>
    <w:rsid w:val="00634D70"/>
    <w:rsid w:val="00634E0A"/>
    <w:rsid w:val="00634E22"/>
    <w:rsid w:val="00634FB3"/>
    <w:rsid w:val="006350B1"/>
    <w:rsid w:val="00635160"/>
    <w:rsid w:val="00635272"/>
    <w:rsid w:val="00635409"/>
    <w:rsid w:val="0063546A"/>
    <w:rsid w:val="0063566C"/>
    <w:rsid w:val="006356A0"/>
    <w:rsid w:val="00635740"/>
    <w:rsid w:val="006357F5"/>
    <w:rsid w:val="00635893"/>
    <w:rsid w:val="00635A22"/>
    <w:rsid w:val="00635BB8"/>
    <w:rsid w:val="00635BBA"/>
    <w:rsid w:val="00635C39"/>
    <w:rsid w:val="00635CB0"/>
    <w:rsid w:val="00635D08"/>
    <w:rsid w:val="00635D89"/>
    <w:rsid w:val="00635DFA"/>
    <w:rsid w:val="00635F43"/>
    <w:rsid w:val="00635F69"/>
    <w:rsid w:val="00636040"/>
    <w:rsid w:val="00636108"/>
    <w:rsid w:val="00636163"/>
    <w:rsid w:val="006362E6"/>
    <w:rsid w:val="006362EA"/>
    <w:rsid w:val="00636328"/>
    <w:rsid w:val="006363C0"/>
    <w:rsid w:val="00636481"/>
    <w:rsid w:val="006367A8"/>
    <w:rsid w:val="006368BB"/>
    <w:rsid w:val="00636ABA"/>
    <w:rsid w:val="00636B7E"/>
    <w:rsid w:val="00636B97"/>
    <w:rsid w:val="00636CF4"/>
    <w:rsid w:val="00636D08"/>
    <w:rsid w:val="00636DED"/>
    <w:rsid w:val="00636E31"/>
    <w:rsid w:val="00636F0D"/>
    <w:rsid w:val="00636F81"/>
    <w:rsid w:val="00637012"/>
    <w:rsid w:val="0063704F"/>
    <w:rsid w:val="006370B4"/>
    <w:rsid w:val="006370ED"/>
    <w:rsid w:val="00637450"/>
    <w:rsid w:val="00637466"/>
    <w:rsid w:val="0063747F"/>
    <w:rsid w:val="0063748A"/>
    <w:rsid w:val="00637522"/>
    <w:rsid w:val="00637598"/>
    <w:rsid w:val="0063761A"/>
    <w:rsid w:val="0063775C"/>
    <w:rsid w:val="006377D3"/>
    <w:rsid w:val="00637830"/>
    <w:rsid w:val="00637848"/>
    <w:rsid w:val="0063794E"/>
    <w:rsid w:val="00637B98"/>
    <w:rsid w:val="00637BB1"/>
    <w:rsid w:val="00637CF0"/>
    <w:rsid w:val="00637E3F"/>
    <w:rsid w:val="00637E4F"/>
    <w:rsid w:val="00637F2D"/>
    <w:rsid w:val="00637F8F"/>
    <w:rsid w:val="0064018D"/>
    <w:rsid w:val="0064030D"/>
    <w:rsid w:val="00640369"/>
    <w:rsid w:val="006403B4"/>
    <w:rsid w:val="006405E1"/>
    <w:rsid w:val="00640841"/>
    <w:rsid w:val="006408E7"/>
    <w:rsid w:val="00640976"/>
    <w:rsid w:val="006409CF"/>
    <w:rsid w:val="006409E4"/>
    <w:rsid w:val="00640A0D"/>
    <w:rsid w:val="00640A51"/>
    <w:rsid w:val="00640ABB"/>
    <w:rsid w:val="00640B47"/>
    <w:rsid w:val="00640C3D"/>
    <w:rsid w:val="00640C51"/>
    <w:rsid w:val="00640C5B"/>
    <w:rsid w:val="00640CD6"/>
    <w:rsid w:val="00640D2E"/>
    <w:rsid w:val="00640D77"/>
    <w:rsid w:val="00640DD1"/>
    <w:rsid w:val="00640E94"/>
    <w:rsid w:val="00640ED9"/>
    <w:rsid w:val="00640F96"/>
    <w:rsid w:val="0064132A"/>
    <w:rsid w:val="00641395"/>
    <w:rsid w:val="006413E3"/>
    <w:rsid w:val="006413E9"/>
    <w:rsid w:val="0064142F"/>
    <w:rsid w:val="0064148F"/>
    <w:rsid w:val="006414CF"/>
    <w:rsid w:val="00641627"/>
    <w:rsid w:val="0064164B"/>
    <w:rsid w:val="00641655"/>
    <w:rsid w:val="006416EA"/>
    <w:rsid w:val="00641738"/>
    <w:rsid w:val="00641790"/>
    <w:rsid w:val="006419D1"/>
    <w:rsid w:val="006419E0"/>
    <w:rsid w:val="00641A4E"/>
    <w:rsid w:val="00641B73"/>
    <w:rsid w:val="00641BBD"/>
    <w:rsid w:val="00641C91"/>
    <w:rsid w:val="00641FAF"/>
    <w:rsid w:val="006420B1"/>
    <w:rsid w:val="0064211D"/>
    <w:rsid w:val="0064225A"/>
    <w:rsid w:val="00642351"/>
    <w:rsid w:val="006424B7"/>
    <w:rsid w:val="00642529"/>
    <w:rsid w:val="00642535"/>
    <w:rsid w:val="00642737"/>
    <w:rsid w:val="006427BF"/>
    <w:rsid w:val="006428F9"/>
    <w:rsid w:val="00642991"/>
    <w:rsid w:val="006429A0"/>
    <w:rsid w:val="00642A89"/>
    <w:rsid w:val="00642AF8"/>
    <w:rsid w:val="00642B35"/>
    <w:rsid w:val="00642B50"/>
    <w:rsid w:val="00642CA0"/>
    <w:rsid w:val="00642D72"/>
    <w:rsid w:val="00642DBA"/>
    <w:rsid w:val="00642E51"/>
    <w:rsid w:val="00642EB4"/>
    <w:rsid w:val="00642EBD"/>
    <w:rsid w:val="00642F04"/>
    <w:rsid w:val="00642F46"/>
    <w:rsid w:val="00642FC7"/>
    <w:rsid w:val="00642FCC"/>
    <w:rsid w:val="00642FDD"/>
    <w:rsid w:val="00643065"/>
    <w:rsid w:val="00643215"/>
    <w:rsid w:val="0064323D"/>
    <w:rsid w:val="0064329C"/>
    <w:rsid w:val="006433CD"/>
    <w:rsid w:val="00643404"/>
    <w:rsid w:val="0064359A"/>
    <w:rsid w:val="006435C3"/>
    <w:rsid w:val="006435EC"/>
    <w:rsid w:val="00643620"/>
    <w:rsid w:val="00643665"/>
    <w:rsid w:val="00643695"/>
    <w:rsid w:val="00643751"/>
    <w:rsid w:val="0064394F"/>
    <w:rsid w:val="00643A8D"/>
    <w:rsid w:val="00643C37"/>
    <w:rsid w:val="00643C93"/>
    <w:rsid w:val="00643D6F"/>
    <w:rsid w:val="00643DD5"/>
    <w:rsid w:val="00643EF9"/>
    <w:rsid w:val="00643F24"/>
    <w:rsid w:val="00643FF3"/>
    <w:rsid w:val="00644056"/>
    <w:rsid w:val="0064414F"/>
    <w:rsid w:val="00644192"/>
    <w:rsid w:val="006441E0"/>
    <w:rsid w:val="00644226"/>
    <w:rsid w:val="00644380"/>
    <w:rsid w:val="006443B3"/>
    <w:rsid w:val="00644420"/>
    <w:rsid w:val="0064451F"/>
    <w:rsid w:val="006445B8"/>
    <w:rsid w:val="006445F6"/>
    <w:rsid w:val="006446E0"/>
    <w:rsid w:val="006446FA"/>
    <w:rsid w:val="0064476C"/>
    <w:rsid w:val="006447C4"/>
    <w:rsid w:val="006447C9"/>
    <w:rsid w:val="00644852"/>
    <w:rsid w:val="00644902"/>
    <w:rsid w:val="00644930"/>
    <w:rsid w:val="006449D8"/>
    <w:rsid w:val="00644A2F"/>
    <w:rsid w:val="00644B66"/>
    <w:rsid w:val="00644C48"/>
    <w:rsid w:val="00644C96"/>
    <w:rsid w:val="00644DAF"/>
    <w:rsid w:val="00644E4C"/>
    <w:rsid w:val="00644E55"/>
    <w:rsid w:val="00644F50"/>
    <w:rsid w:val="00644F9B"/>
    <w:rsid w:val="00645000"/>
    <w:rsid w:val="006450E5"/>
    <w:rsid w:val="0064517B"/>
    <w:rsid w:val="006451B2"/>
    <w:rsid w:val="0064524C"/>
    <w:rsid w:val="00645260"/>
    <w:rsid w:val="006452DB"/>
    <w:rsid w:val="0064530B"/>
    <w:rsid w:val="00645326"/>
    <w:rsid w:val="00645379"/>
    <w:rsid w:val="0064539D"/>
    <w:rsid w:val="00645413"/>
    <w:rsid w:val="00645449"/>
    <w:rsid w:val="006454B3"/>
    <w:rsid w:val="0064556F"/>
    <w:rsid w:val="006455A4"/>
    <w:rsid w:val="006456EA"/>
    <w:rsid w:val="00645741"/>
    <w:rsid w:val="006457A9"/>
    <w:rsid w:val="006457E3"/>
    <w:rsid w:val="006457E7"/>
    <w:rsid w:val="006458CC"/>
    <w:rsid w:val="00645A49"/>
    <w:rsid w:val="00645A7B"/>
    <w:rsid w:val="00645AD1"/>
    <w:rsid w:val="00645B48"/>
    <w:rsid w:val="00645C38"/>
    <w:rsid w:val="00645E18"/>
    <w:rsid w:val="00646013"/>
    <w:rsid w:val="00646128"/>
    <w:rsid w:val="00646183"/>
    <w:rsid w:val="006461A7"/>
    <w:rsid w:val="006461E4"/>
    <w:rsid w:val="00646281"/>
    <w:rsid w:val="006464E7"/>
    <w:rsid w:val="0064653A"/>
    <w:rsid w:val="00646677"/>
    <w:rsid w:val="00646719"/>
    <w:rsid w:val="0064677E"/>
    <w:rsid w:val="006467B3"/>
    <w:rsid w:val="0064689D"/>
    <w:rsid w:val="006468E1"/>
    <w:rsid w:val="00646957"/>
    <w:rsid w:val="00646A21"/>
    <w:rsid w:val="00646A33"/>
    <w:rsid w:val="00646A42"/>
    <w:rsid w:val="00646B56"/>
    <w:rsid w:val="00646BC6"/>
    <w:rsid w:val="00646C1A"/>
    <w:rsid w:val="00646C34"/>
    <w:rsid w:val="00646D87"/>
    <w:rsid w:val="006470B4"/>
    <w:rsid w:val="006470C4"/>
    <w:rsid w:val="006471F3"/>
    <w:rsid w:val="0064725C"/>
    <w:rsid w:val="00647277"/>
    <w:rsid w:val="006473E3"/>
    <w:rsid w:val="0064740D"/>
    <w:rsid w:val="00647467"/>
    <w:rsid w:val="006474A7"/>
    <w:rsid w:val="00647691"/>
    <w:rsid w:val="0064769C"/>
    <w:rsid w:val="00647703"/>
    <w:rsid w:val="00647722"/>
    <w:rsid w:val="00647823"/>
    <w:rsid w:val="00647B2F"/>
    <w:rsid w:val="00647B76"/>
    <w:rsid w:val="00647C17"/>
    <w:rsid w:val="00647C77"/>
    <w:rsid w:val="00647C8F"/>
    <w:rsid w:val="00647D31"/>
    <w:rsid w:val="00647DA7"/>
    <w:rsid w:val="00647DF1"/>
    <w:rsid w:val="00647F05"/>
    <w:rsid w:val="00647F06"/>
    <w:rsid w:val="00647F26"/>
    <w:rsid w:val="00650015"/>
    <w:rsid w:val="0065008E"/>
    <w:rsid w:val="006500B7"/>
    <w:rsid w:val="006500D4"/>
    <w:rsid w:val="00650103"/>
    <w:rsid w:val="006503B5"/>
    <w:rsid w:val="00650490"/>
    <w:rsid w:val="0065060D"/>
    <w:rsid w:val="00650688"/>
    <w:rsid w:val="00650742"/>
    <w:rsid w:val="00650789"/>
    <w:rsid w:val="006507A0"/>
    <w:rsid w:val="006507AB"/>
    <w:rsid w:val="00650836"/>
    <w:rsid w:val="0065086B"/>
    <w:rsid w:val="006508BB"/>
    <w:rsid w:val="0065091D"/>
    <w:rsid w:val="00650921"/>
    <w:rsid w:val="0065099F"/>
    <w:rsid w:val="006509FE"/>
    <w:rsid w:val="00650A1A"/>
    <w:rsid w:val="00650B10"/>
    <w:rsid w:val="00650E40"/>
    <w:rsid w:val="00650E42"/>
    <w:rsid w:val="00650F61"/>
    <w:rsid w:val="00650F64"/>
    <w:rsid w:val="00650FD7"/>
    <w:rsid w:val="00651015"/>
    <w:rsid w:val="006510F3"/>
    <w:rsid w:val="00651322"/>
    <w:rsid w:val="00651324"/>
    <w:rsid w:val="00651384"/>
    <w:rsid w:val="00651388"/>
    <w:rsid w:val="006513FA"/>
    <w:rsid w:val="006514C2"/>
    <w:rsid w:val="00651503"/>
    <w:rsid w:val="00651563"/>
    <w:rsid w:val="0065178E"/>
    <w:rsid w:val="0065181D"/>
    <w:rsid w:val="00651974"/>
    <w:rsid w:val="0065198B"/>
    <w:rsid w:val="006519B0"/>
    <w:rsid w:val="006519E5"/>
    <w:rsid w:val="00651B65"/>
    <w:rsid w:val="00651C5C"/>
    <w:rsid w:val="00651CF0"/>
    <w:rsid w:val="00651CF5"/>
    <w:rsid w:val="00651DB2"/>
    <w:rsid w:val="00651EAF"/>
    <w:rsid w:val="00651EEC"/>
    <w:rsid w:val="00652018"/>
    <w:rsid w:val="00652020"/>
    <w:rsid w:val="00652057"/>
    <w:rsid w:val="00652080"/>
    <w:rsid w:val="0065216A"/>
    <w:rsid w:val="006521DC"/>
    <w:rsid w:val="006521F5"/>
    <w:rsid w:val="00652211"/>
    <w:rsid w:val="0065223A"/>
    <w:rsid w:val="0065238D"/>
    <w:rsid w:val="00652465"/>
    <w:rsid w:val="00652579"/>
    <w:rsid w:val="006525E5"/>
    <w:rsid w:val="00652644"/>
    <w:rsid w:val="0065276E"/>
    <w:rsid w:val="00652854"/>
    <w:rsid w:val="0065285B"/>
    <w:rsid w:val="006528ED"/>
    <w:rsid w:val="00652941"/>
    <w:rsid w:val="00652A88"/>
    <w:rsid w:val="00652ADB"/>
    <w:rsid w:val="00652B80"/>
    <w:rsid w:val="00652C04"/>
    <w:rsid w:val="00652C0D"/>
    <w:rsid w:val="00652CC9"/>
    <w:rsid w:val="00652D8D"/>
    <w:rsid w:val="00652DE4"/>
    <w:rsid w:val="00652DF6"/>
    <w:rsid w:val="00652F0F"/>
    <w:rsid w:val="00653186"/>
    <w:rsid w:val="00653259"/>
    <w:rsid w:val="0065334E"/>
    <w:rsid w:val="00653587"/>
    <w:rsid w:val="006535A9"/>
    <w:rsid w:val="006536FC"/>
    <w:rsid w:val="00653867"/>
    <w:rsid w:val="006538E1"/>
    <w:rsid w:val="0065392E"/>
    <w:rsid w:val="00653AC9"/>
    <w:rsid w:val="00653B45"/>
    <w:rsid w:val="00653B9E"/>
    <w:rsid w:val="00653FA9"/>
    <w:rsid w:val="006541E6"/>
    <w:rsid w:val="00654218"/>
    <w:rsid w:val="0065422F"/>
    <w:rsid w:val="00654248"/>
    <w:rsid w:val="006542A7"/>
    <w:rsid w:val="006542AC"/>
    <w:rsid w:val="006542B2"/>
    <w:rsid w:val="006542B4"/>
    <w:rsid w:val="006544C3"/>
    <w:rsid w:val="00654663"/>
    <w:rsid w:val="006546B9"/>
    <w:rsid w:val="006546CD"/>
    <w:rsid w:val="00654845"/>
    <w:rsid w:val="00654A6A"/>
    <w:rsid w:val="00654B64"/>
    <w:rsid w:val="00654C04"/>
    <w:rsid w:val="00654C2A"/>
    <w:rsid w:val="00654DAC"/>
    <w:rsid w:val="00654DC8"/>
    <w:rsid w:val="00654E4B"/>
    <w:rsid w:val="00654EBD"/>
    <w:rsid w:val="006551AA"/>
    <w:rsid w:val="00655279"/>
    <w:rsid w:val="00655413"/>
    <w:rsid w:val="00655568"/>
    <w:rsid w:val="006555E8"/>
    <w:rsid w:val="00655858"/>
    <w:rsid w:val="00655875"/>
    <w:rsid w:val="0065591B"/>
    <w:rsid w:val="006559EB"/>
    <w:rsid w:val="00655A13"/>
    <w:rsid w:val="00655A20"/>
    <w:rsid w:val="00655A82"/>
    <w:rsid w:val="00655BAC"/>
    <w:rsid w:val="00655BD6"/>
    <w:rsid w:val="00655C77"/>
    <w:rsid w:val="00655D7B"/>
    <w:rsid w:val="00655D93"/>
    <w:rsid w:val="00655EC2"/>
    <w:rsid w:val="00655EFD"/>
    <w:rsid w:val="00655F21"/>
    <w:rsid w:val="006560EE"/>
    <w:rsid w:val="0065620A"/>
    <w:rsid w:val="0065621B"/>
    <w:rsid w:val="0065624D"/>
    <w:rsid w:val="00656265"/>
    <w:rsid w:val="00656320"/>
    <w:rsid w:val="00656388"/>
    <w:rsid w:val="006564FD"/>
    <w:rsid w:val="006565B6"/>
    <w:rsid w:val="00656654"/>
    <w:rsid w:val="006566F6"/>
    <w:rsid w:val="0065685C"/>
    <w:rsid w:val="0065686A"/>
    <w:rsid w:val="0065686D"/>
    <w:rsid w:val="006568D4"/>
    <w:rsid w:val="006569BC"/>
    <w:rsid w:val="00656A69"/>
    <w:rsid w:val="00656B92"/>
    <w:rsid w:val="00656CBD"/>
    <w:rsid w:val="00656CC3"/>
    <w:rsid w:val="00656CCC"/>
    <w:rsid w:val="00656CD0"/>
    <w:rsid w:val="00656D04"/>
    <w:rsid w:val="00656D4B"/>
    <w:rsid w:val="00656E45"/>
    <w:rsid w:val="00656EA9"/>
    <w:rsid w:val="00656EE4"/>
    <w:rsid w:val="00656F26"/>
    <w:rsid w:val="00657097"/>
    <w:rsid w:val="00657115"/>
    <w:rsid w:val="00657146"/>
    <w:rsid w:val="00657193"/>
    <w:rsid w:val="00657267"/>
    <w:rsid w:val="006572D9"/>
    <w:rsid w:val="00657385"/>
    <w:rsid w:val="0065738D"/>
    <w:rsid w:val="006574DA"/>
    <w:rsid w:val="006574E5"/>
    <w:rsid w:val="0065755B"/>
    <w:rsid w:val="006576CA"/>
    <w:rsid w:val="006576D1"/>
    <w:rsid w:val="006577E9"/>
    <w:rsid w:val="00657840"/>
    <w:rsid w:val="00657883"/>
    <w:rsid w:val="006579B2"/>
    <w:rsid w:val="006579E9"/>
    <w:rsid w:val="00657AF1"/>
    <w:rsid w:val="00657B75"/>
    <w:rsid w:val="00657B7F"/>
    <w:rsid w:val="00657BF2"/>
    <w:rsid w:val="00657DC0"/>
    <w:rsid w:val="00657ECF"/>
    <w:rsid w:val="00657F26"/>
    <w:rsid w:val="00657F56"/>
    <w:rsid w:val="00657F76"/>
    <w:rsid w:val="0066014F"/>
    <w:rsid w:val="00660178"/>
    <w:rsid w:val="006601C2"/>
    <w:rsid w:val="006601F7"/>
    <w:rsid w:val="00660201"/>
    <w:rsid w:val="00660257"/>
    <w:rsid w:val="0066031D"/>
    <w:rsid w:val="00660365"/>
    <w:rsid w:val="00660393"/>
    <w:rsid w:val="00660405"/>
    <w:rsid w:val="0066049C"/>
    <w:rsid w:val="00660538"/>
    <w:rsid w:val="0066057E"/>
    <w:rsid w:val="006605D5"/>
    <w:rsid w:val="0066068F"/>
    <w:rsid w:val="0066069F"/>
    <w:rsid w:val="006606A6"/>
    <w:rsid w:val="006606BD"/>
    <w:rsid w:val="0066071A"/>
    <w:rsid w:val="0066073F"/>
    <w:rsid w:val="006607E6"/>
    <w:rsid w:val="006608DF"/>
    <w:rsid w:val="0066090C"/>
    <w:rsid w:val="0066095A"/>
    <w:rsid w:val="006609B6"/>
    <w:rsid w:val="00660A53"/>
    <w:rsid w:val="00660B24"/>
    <w:rsid w:val="00660B59"/>
    <w:rsid w:val="00660BD2"/>
    <w:rsid w:val="00660C82"/>
    <w:rsid w:val="00660D39"/>
    <w:rsid w:val="00660DA2"/>
    <w:rsid w:val="00660E60"/>
    <w:rsid w:val="00660E71"/>
    <w:rsid w:val="00660F1B"/>
    <w:rsid w:val="0066107F"/>
    <w:rsid w:val="006613ED"/>
    <w:rsid w:val="0066153A"/>
    <w:rsid w:val="006615B7"/>
    <w:rsid w:val="006615F8"/>
    <w:rsid w:val="00661610"/>
    <w:rsid w:val="00661673"/>
    <w:rsid w:val="006616AD"/>
    <w:rsid w:val="006616BE"/>
    <w:rsid w:val="00661850"/>
    <w:rsid w:val="00661864"/>
    <w:rsid w:val="006619A2"/>
    <w:rsid w:val="00661B0F"/>
    <w:rsid w:val="00661C06"/>
    <w:rsid w:val="00661E74"/>
    <w:rsid w:val="00661F9C"/>
    <w:rsid w:val="006620D7"/>
    <w:rsid w:val="0066224C"/>
    <w:rsid w:val="00662290"/>
    <w:rsid w:val="006623A0"/>
    <w:rsid w:val="006623C4"/>
    <w:rsid w:val="006623C5"/>
    <w:rsid w:val="006624C5"/>
    <w:rsid w:val="006625B4"/>
    <w:rsid w:val="006626C3"/>
    <w:rsid w:val="006626D3"/>
    <w:rsid w:val="0066281C"/>
    <w:rsid w:val="0066296A"/>
    <w:rsid w:val="00662A14"/>
    <w:rsid w:val="00662AF9"/>
    <w:rsid w:val="00662BBF"/>
    <w:rsid w:val="00662BCB"/>
    <w:rsid w:val="00662BF9"/>
    <w:rsid w:val="00662C0A"/>
    <w:rsid w:val="00662C63"/>
    <w:rsid w:val="00662D2E"/>
    <w:rsid w:val="00662E08"/>
    <w:rsid w:val="00662E5A"/>
    <w:rsid w:val="0066307B"/>
    <w:rsid w:val="006630C7"/>
    <w:rsid w:val="006630FD"/>
    <w:rsid w:val="00663203"/>
    <w:rsid w:val="006632B8"/>
    <w:rsid w:val="006632DA"/>
    <w:rsid w:val="0066332F"/>
    <w:rsid w:val="00663358"/>
    <w:rsid w:val="0066338B"/>
    <w:rsid w:val="00663470"/>
    <w:rsid w:val="006634C9"/>
    <w:rsid w:val="00663532"/>
    <w:rsid w:val="006635A9"/>
    <w:rsid w:val="00663633"/>
    <w:rsid w:val="0066372C"/>
    <w:rsid w:val="00663776"/>
    <w:rsid w:val="006637F0"/>
    <w:rsid w:val="00663854"/>
    <w:rsid w:val="00663899"/>
    <w:rsid w:val="006638BA"/>
    <w:rsid w:val="0066391F"/>
    <w:rsid w:val="00663946"/>
    <w:rsid w:val="00663B99"/>
    <w:rsid w:val="00663B9D"/>
    <w:rsid w:val="00663D02"/>
    <w:rsid w:val="006641E7"/>
    <w:rsid w:val="006641EC"/>
    <w:rsid w:val="00664221"/>
    <w:rsid w:val="00664263"/>
    <w:rsid w:val="00664276"/>
    <w:rsid w:val="00664421"/>
    <w:rsid w:val="00664467"/>
    <w:rsid w:val="00664492"/>
    <w:rsid w:val="006644ED"/>
    <w:rsid w:val="00664585"/>
    <w:rsid w:val="0066466D"/>
    <w:rsid w:val="0066468F"/>
    <w:rsid w:val="0066477E"/>
    <w:rsid w:val="006647BD"/>
    <w:rsid w:val="00664868"/>
    <w:rsid w:val="00664935"/>
    <w:rsid w:val="006649B6"/>
    <w:rsid w:val="00664A08"/>
    <w:rsid w:val="00664ADD"/>
    <w:rsid w:val="00664B1E"/>
    <w:rsid w:val="00664D3D"/>
    <w:rsid w:val="00664E25"/>
    <w:rsid w:val="00664EE9"/>
    <w:rsid w:val="00664EF3"/>
    <w:rsid w:val="00664F25"/>
    <w:rsid w:val="00664F87"/>
    <w:rsid w:val="00665011"/>
    <w:rsid w:val="00665169"/>
    <w:rsid w:val="00665190"/>
    <w:rsid w:val="006651F1"/>
    <w:rsid w:val="00665296"/>
    <w:rsid w:val="006652A7"/>
    <w:rsid w:val="006652E8"/>
    <w:rsid w:val="0066547F"/>
    <w:rsid w:val="00665639"/>
    <w:rsid w:val="0066571A"/>
    <w:rsid w:val="0066579D"/>
    <w:rsid w:val="006657CB"/>
    <w:rsid w:val="006657FB"/>
    <w:rsid w:val="00665923"/>
    <w:rsid w:val="00665942"/>
    <w:rsid w:val="0066599B"/>
    <w:rsid w:val="00665A88"/>
    <w:rsid w:val="00665AAA"/>
    <w:rsid w:val="00665B4C"/>
    <w:rsid w:val="00665BCE"/>
    <w:rsid w:val="00665C56"/>
    <w:rsid w:val="00665C9F"/>
    <w:rsid w:val="00665CD0"/>
    <w:rsid w:val="00665E11"/>
    <w:rsid w:val="00665E1D"/>
    <w:rsid w:val="00665E6F"/>
    <w:rsid w:val="00665ECE"/>
    <w:rsid w:val="00665ED0"/>
    <w:rsid w:val="00665FB0"/>
    <w:rsid w:val="00666152"/>
    <w:rsid w:val="0066617D"/>
    <w:rsid w:val="0066639A"/>
    <w:rsid w:val="006663A6"/>
    <w:rsid w:val="006664A2"/>
    <w:rsid w:val="0066650E"/>
    <w:rsid w:val="006666CC"/>
    <w:rsid w:val="0066672C"/>
    <w:rsid w:val="00666741"/>
    <w:rsid w:val="00666807"/>
    <w:rsid w:val="00666810"/>
    <w:rsid w:val="00666838"/>
    <w:rsid w:val="006668BE"/>
    <w:rsid w:val="006668CC"/>
    <w:rsid w:val="006669FE"/>
    <w:rsid w:val="00666B02"/>
    <w:rsid w:val="00666B47"/>
    <w:rsid w:val="00666B55"/>
    <w:rsid w:val="00666CF7"/>
    <w:rsid w:val="00666D59"/>
    <w:rsid w:val="00666DAD"/>
    <w:rsid w:val="00666ED8"/>
    <w:rsid w:val="00666EF6"/>
    <w:rsid w:val="00666F7B"/>
    <w:rsid w:val="0066702A"/>
    <w:rsid w:val="00667060"/>
    <w:rsid w:val="006670EA"/>
    <w:rsid w:val="00667131"/>
    <w:rsid w:val="0066719F"/>
    <w:rsid w:val="006671A4"/>
    <w:rsid w:val="00667262"/>
    <w:rsid w:val="0066727C"/>
    <w:rsid w:val="00667292"/>
    <w:rsid w:val="00667320"/>
    <w:rsid w:val="00667407"/>
    <w:rsid w:val="00667415"/>
    <w:rsid w:val="006674A8"/>
    <w:rsid w:val="00667582"/>
    <w:rsid w:val="00667601"/>
    <w:rsid w:val="006676B6"/>
    <w:rsid w:val="006676EB"/>
    <w:rsid w:val="00667786"/>
    <w:rsid w:val="00667A21"/>
    <w:rsid w:val="00667B1F"/>
    <w:rsid w:val="00667B77"/>
    <w:rsid w:val="00667C44"/>
    <w:rsid w:val="00667DA5"/>
    <w:rsid w:val="00667DE1"/>
    <w:rsid w:val="00667E3F"/>
    <w:rsid w:val="00667F41"/>
    <w:rsid w:val="00667F85"/>
    <w:rsid w:val="00670034"/>
    <w:rsid w:val="006700D2"/>
    <w:rsid w:val="0067025F"/>
    <w:rsid w:val="00670369"/>
    <w:rsid w:val="00670373"/>
    <w:rsid w:val="0067049A"/>
    <w:rsid w:val="006704BC"/>
    <w:rsid w:val="0067052A"/>
    <w:rsid w:val="00670597"/>
    <w:rsid w:val="006706B5"/>
    <w:rsid w:val="006706E2"/>
    <w:rsid w:val="0067070C"/>
    <w:rsid w:val="0067070E"/>
    <w:rsid w:val="00670989"/>
    <w:rsid w:val="00670993"/>
    <w:rsid w:val="00670B32"/>
    <w:rsid w:val="00670C0C"/>
    <w:rsid w:val="00670CA4"/>
    <w:rsid w:val="00670CAA"/>
    <w:rsid w:val="00670CEA"/>
    <w:rsid w:val="00670D97"/>
    <w:rsid w:val="00670E15"/>
    <w:rsid w:val="00670E8D"/>
    <w:rsid w:val="00670EA7"/>
    <w:rsid w:val="00670F28"/>
    <w:rsid w:val="006710EE"/>
    <w:rsid w:val="00671201"/>
    <w:rsid w:val="006712C2"/>
    <w:rsid w:val="0067138E"/>
    <w:rsid w:val="00671493"/>
    <w:rsid w:val="006715EB"/>
    <w:rsid w:val="0067160D"/>
    <w:rsid w:val="00671681"/>
    <w:rsid w:val="006716CB"/>
    <w:rsid w:val="00671895"/>
    <w:rsid w:val="0067190F"/>
    <w:rsid w:val="00671AC6"/>
    <w:rsid w:val="00671B7E"/>
    <w:rsid w:val="00671BB7"/>
    <w:rsid w:val="00671D13"/>
    <w:rsid w:val="00671D27"/>
    <w:rsid w:val="00671E53"/>
    <w:rsid w:val="006721D2"/>
    <w:rsid w:val="0067221D"/>
    <w:rsid w:val="0067231D"/>
    <w:rsid w:val="00672480"/>
    <w:rsid w:val="00672481"/>
    <w:rsid w:val="006724BD"/>
    <w:rsid w:val="006724F5"/>
    <w:rsid w:val="006724F6"/>
    <w:rsid w:val="0067256D"/>
    <w:rsid w:val="006725CA"/>
    <w:rsid w:val="00672710"/>
    <w:rsid w:val="00672845"/>
    <w:rsid w:val="006728A8"/>
    <w:rsid w:val="006728B4"/>
    <w:rsid w:val="006728C1"/>
    <w:rsid w:val="0067299A"/>
    <w:rsid w:val="00672AB7"/>
    <w:rsid w:val="00672B07"/>
    <w:rsid w:val="00672B3F"/>
    <w:rsid w:val="00672B61"/>
    <w:rsid w:val="00672B9D"/>
    <w:rsid w:val="00672BF3"/>
    <w:rsid w:val="00672C15"/>
    <w:rsid w:val="00672CB3"/>
    <w:rsid w:val="00672CBB"/>
    <w:rsid w:val="00672D68"/>
    <w:rsid w:val="00672F29"/>
    <w:rsid w:val="00672F6E"/>
    <w:rsid w:val="0067302C"/>
    <w:rsid w:val="006730B3"/>
    <w:rsid w:val="0067314B"/>
    <w:rsid w:val="00673179"/>
    <w:rsid w:val="006732A4"/>
    <w:rsid w:val="006732F5"/>
    <w:rsid w:val="0067330F"/>
    <w:rsid w:val="0067334E"/>
    <w:rsid w:val="00673433"/>
    <w:rsid w:val="006734A2"/>
    <w:rsid w:val="006734C3"/>
    <w:rsid w:val="006734E4"/>
    <w:rsid w:val="0067359C"/>
    <w:rsid w:val="006735BE"/>
    <w:rsid w:val="0067360A"/>
    <w:rsid w:val="00673708"/>
    <w:rsid w:val="0067370F"/>
    <w:rsid w:val="006737DE"/>
    <w:rsid w:val="0067380C"/>
    <w:rsid w:val="00673921"/>
    <w:rsid w:val="00673A75"/>
    <w:rsid w:val="00673AB5"/>
    <w:rsid w:val="00673B25"/>
    <w:rsid w:val="00673BD8"/>
    <w:rsid w:val="00673BFB"/>
    <w:rsid w:val="00673C4F"/>
    <w:rsid w:val="00673CFA"/>
    <w:rsid w:val="00673DF9"/>
    <w:rsid w:val="00673E7F"/>
    <w:rsid w:val="00673F0F"/>
    <w:rsid w:val="00673FE8"/>
    <w:rsid w:val="00674039"/>
    <w:rsid w:val="006740A4"/>
    <w:rsid w:val="006740A8"/>
    <w:rsid w:val="006741BC"/>
    <w:rsid w:val="006742AD"/>
    <w:rsid w:val="006744F7"/>
    <w:rsid w:val="00674663"/>
    <w:rsid w:val="0067470A"/>
    <w:rsid w:val="00674722"/>
    <w:rsid w:val="006747AF"/>
    <w:rsid w:val="006747CD"/>
    <w:rsid w:val="0067482E"/>
    <w:rsid w:val="0067484D"/>
    <w:rsid w:val="00674913"/>
    <w:rsid w:val="006749C9"/>
    <w:rsid w:val="00674AC5"/>
    <w:rsid w:val="00674CE9"/>
    <w:rsid w:val="00674D15"/>
    <w:rsid w:val="00674DA3"/>
    <w:rsid w:val="00674F86"/>
    <w:rsid w:val="00674FF3"/>
    <w:rsid w:val="0067504B"/>
    <w:rsid w:val="00675299"/>
    <w:rsid w:val="006752EF"/>
    <w:rsid w:val="006752F6"/>
    <w:rsid w:val="006753B6"/>
    <w:rsid w:val="006753D6"/>
    <w:rsid w:val="0067542B"/>
    <w:rsid w:val="006754CC"/>
    <w:rsid w:val="006754CF"/>
    <w:rsid w:val="00675593"/>
    <w:rsid w:val="006755B2"/>
    <w:rsid w:val="00675668"/>
    <w:rsid w:val="00675796"/>
    <w:rsid w:val="006759A3"/>
    <w:rsid w:val="006759BD"/>
    <w:rsid w:val="00675A01"/>
    <w:rsid w:val="00675B85"/>
    <w:rsid w:val="00675BAE"/>
    <w:rsid w:val="00675BB8"/>
    <w:rsid w:val="00675CE5"/>
    <w:rsid w:val="00675CF8"/>
    <w:rsid w:val="00675F38"/>
    <w:rsid w:val="00676048"/>
    <w:rsid w:val="006760F1"/>
    <w:rsid w:val="0067610B"/>
    <w:rsid w:val="006761DA"/>
    <w:rsid w:val="00676207"/>
    <w:rsid w:val="0067625F"/>
    <w:rsid w:val="0067627D"/>
    <w:rsid w:val="0067630D"/>
    <w:rsid w:val="00676382"/>
    <w:rsid w:val="006763D1"/>
    <w:rsid w:val="00676468"/>
    <w:rsid w:val="0067646D"/>
    <w:rsid w:val="0067647A"/>
    <w:rsid w:val="006764D8"/>
    <w:rsid w:val="006764EA"/>
    <w:rsid w:val="006765E7"/>
    <w:rsid w:val="00676649"/>
    <w:rsid w:val="006766E2"/>
    <w:rsid w:val="006767C4"/>
    <w:rsid w:val="0067687B"/>
    <w:rsid w:val="006768AF"/>
    <w:rsid w:val="00676A7E"/>
    <w:rsid w:val="00676B0D"/>
    <w:rsid w:val="00676D2A"/>
    <w:rsid w:val="00676DA8"/>
    <w:rsid w:val="00676E24"/>
    <w:rsid w:val="00676E3A"/>
    <w:rsid w:val="0067700A"/>
    <w:rsid w:val="00677016"/>
    <w:rsid w:val="00677046"/>
    <w:rsid w:val="0067722F"/>
    <w:rsid w:val="00677279"/>
    <w:rsid w:val="00677502"/>
    <w:rsid w:val="00677619"/>
    <w:rsid w:val="006777F3"/>
    <w:rsid w:val="0067789B"/>
    <w:rsid w:val="00677949"/>
    <w:rsid w:val="00677995"/>
    <w:rsid w:val="00677A5A"/>
    <w:rsid w:val="00677ACC"/>
    <w:rsid w:val="00677B01"/>
    <w:rsid w:val="00677B2C"/>
    <w:rsid w:val="00677B5C"/>
    <w:rsid w:val="00677B77"/>
    <w:rsid w:val="00677BB3"/>
    <w:rsid w:val="00677BF3"/>
    <w:rsid w:val="00677C36"/>
    <w:rsid w:val="00677C50"/>
    <w:rsid w:val="00677D03"/>
    <w:rsid w:val="00677E08"/>
    <w:rsid w:val="00677E8D"/>
    <w:rsid w:val="00677F83"/>
    <w:rsid w:val="00677FC2"/>
    <w:rsid w:val="00680047"/>
    <w:rsid w:val="006800C1"/>
    <w:rsid w:val="00680100"/>
    <w:rsid w:val="00680149"/>
    <w:rsid w:val="006801BB"/>
    <w:rsid w:val="0068020C"/>
    <w:rsid w:val="00680274"/>
    <w:rsid w:val="0068027A"/>
    <w:rsid w:val="0068027D"/>
    <w:rsid w:val="006802F1"/>
    <w:rsid w:val="006803A6"/>
    <w:rsid w:val="00680524"/>
    <w:rsid w:val="006805A2"/>
    <w:rsid w:val="006805B2"/>
    <w:rsid w:val="00680760"/>
    <w:rsid w:val="0068081B"/>
    <w:rsid w:val="006808DB"/>
    <w:rsid w:val="006809BF"/>
    <w:rsid w:val="00680AF7"/>
    <w:rsid w:val="00680C13"/>
    <w:rsid w:val="00680CCA"/>
    <w:rsid w:val="00680D52"/>
    <w:rsid w:val="00680DC3"/>
    <w:rsid w:val="0068103B"/>
    <w:rsid w:val="006811DC"/>
    <w:rsid w:val="00681206"/>
    <w:rsid w:val="0068121D"/>
    <w:rsid w:val="006812CA"/>
    <w:rsid w:val="006813AB"/>
    <w:rsid w:val="006813E2"/>
    <w:rsid w:val="006814CB"/>
    <w:rsid w:val="0068151B"/>
    <w:rsid w:val="0068165E"/>
    <w:rsid w:val="006816A6"/>
    <w:rsid w:val="006817FD"/>
    <w:rsid w:val="00681999"/>
    <w:rsid w:val="006819AA"/>
    <w:rsid w:val="00681A8B"/>
    <w:rsid w:val="00681C2C"/>
    <w:rsid w:val="00681C36"/>
    <w:rsid w:val="00681C9C"/>
    <w:rsid w:val="00681E41"/>
    <w:rsid w:val="00681FBD"/>
    <w:rsid w:val="00682230"/>
    <w:rsid w:val="00682302"/>
    <w:rsid w:val="0068230F"/>
    <w:rsid w:val="006823C4"/>
    <w:rsid w:val="00682414"/>
    <w:rsid w:val="00682464"/>
    <w:rsid w:val="00682503"/>
    <w:rsid w:val="006825D5"/>
    <w:rsid w:val="00682778"/>
    <w:rsid w:val="006827CC"/>
    <w:rsid w:val="00682997"/>
    <w:rsid w:val="006829D9"/>
    <w:rsid w:val="00682A1D"/>
    <w:rsid w:val="00682B01"/>
    <w:rsid w:val="0068317F"/>
    <w:rsid w:val="006831A5"/>
    <w:rsid w:val="0068336D"/>
    <w:rsid w:val="006833E3"/>
    <w:rsid w:val="00683438"/>
    <w:rsid w:val="00683492"/>
    <w:rsid w:val="00683547"/>
    <w:rsid w:val="00683548"/>
    <w:rsid w:val="006835B0"/>
    <w:rsid w:val="006835E4"/>
    <w:rsid w:val="00683604"/>
    <w:rsid w:val="0068362B"/>
    <w:rsid w:val="00683645"/>
    <w:rsid w:val="006837C6"/>
    <w:rsid w:val="0068389D"/>
    <w:rsid w:val="006838F5"/>
    <w:rsid w:val="0068394C"/>
    <w:rsid w:val="00683A4E"/>
    <w:rsid w:val="00683ADE"/>
    <w:rsid w:val="00683B1B"/>
    <w:rsid w:val="00683BEE"/>
    <w:rsid w:val="00683C3C"/>
    <w:rsid w:val="00683CA1"/>
    <w:rsid w:val="00683CF7"/>
    <w:rsid w:val="006842E5"/>
    <w:rsid w:val="00684725"/>
    <w:rsid w:val="0068475D"/>
    <w:rsid w:val="00684766"/>
    <w:rsid w:val="0068479B"/>
    <w:rsid w:val="006847C6"/>
    <w:rsid w:val="00684803"/>
    <w:rsid w:val="00684968"/>
    <w:rsid w:val="00684998"/>
    <w:rsid w:val="00684A21"/>
    <w:rsid w:val="00684B19"/>
    <w:rsid w:val="00684B68"/>
    <w:rsid w:val="00684C9A"/>
    <w:rsid w:val="00684D70"/>
    <w:rsid w:val="00684D92"/>
    <w:rsid w:val="00684D99"/>
    <w:rsid w:val="00684E44"/>
    <w:rsid w:val="00684F62"/>
    <w:rsid w:val="00684FB9"/>
    <w:rsid w:val="00684FC9"/>
    <w:rsid w:val="006850CA"/>
    <w:rsid w:val="006850CD"/>
    <w:rsid w:val="006850D1"/>
    <w:rsid w:val="006850EB"/>
    <w:rsid w:val="00685373"/>
    <w:rsid w:val="00685415"/>
    <w:rsid w:val="00685445"/>
    <w:rsid w:val="00685515"/>
    <w:rsid w:val="00685560"/>
    <w:rsid w:val="006855E2"/>
    <w:rsid w:val="0068560B"/>
    <w:rsid w:val="0068569C"/>
    <w:rsid w:val="006856BF"/>
    <w:rsid w:val="00685823"/>
    <w:rsid w:val="00685881"/>
    <w:rsid w:val="00685883"/>
    <w:rsid w:val="00685907"/>
    <w:rsid w:val="00685B2A"/>
    <w:rsid w:val="00685B2B"/>
    <w:rsid w:val="00685B9F"/>
    <w:rsid w:val="00685BC7"/>
    <w:rsid w:val="00685C08"/>
    <w:rsid w:val="00685CAE"/>
    <w:rsid w:val="00685D0F"/>
    <w:rsid w:val="00685DB1"/>
    <w:rsid w:val="00685DC6"/>
    <w:rsid w:val="00685E1A"/>
    <w:rsid w:val="00685EAB"/>
    <w:rsid w:val="00685EC2"/>
    <w:rsid w:val="00685EE2"/>
    <w:rsid w:val="00686131"/>
    <w:rsid w:val="00686292"/>
    <w:rsid w:val="006862EC"/>
    <w:rsid w:val="006863C4"/>
    <w:rsid w:val="006863D6"/>
    <w:rsid w:val="006863D7"/>
    <w:rsid w:val="00686491"/>
    <w:rsid w:val="00686625"/>
    <w:rsid w:val="00686628"/>
    <w:rsid w:val="00686685"/>
    <w:rsid w:val="0068678A"/>
    <w:rsid w:val="00686798"/>
    <w:rsid w:val="0068683F"/>
    <w:rsid w:val="006868BB"/>
    <w:rsid w:val="0068698C"/>
    <w:rsid w:val="006869D3"/>
    <w:rsid w:val="00686A6C"/>
    <w:rsid w:val="00686AEC"/>
    <w:rsid w:val="00686B5B"/>
    <w:rsid w:val="00686B74"/>
    <w:rsid w:val="00686BDF"/>
    <w:rsid w:val="00686C4F"/>
    <w:rsid w:val="00686D01"/>
    <w:rsid w:val="00686DCD"/>
    <w:rsid w:val="00686E1A"/>
    <w:rsid w:val="00686E3E"/>
    <w:rsid w:val="00686EBB"/>
    <w:rsid w:val="00686F6B"/>
    <w:rsid w:val="00686F8D"/>
    <w:rsid w:val="00686FBA"/>
    <w:rsid w:val="00686FE1"/>
    <w:rsid w:val="00686FFB"/>
    <w:rsid w:val="00687087"/>
    <w:rsid w:val="0068708D"/>
    <w:rsid w:val="006870AB"/>
    <w:rsid w:val="00687133"/>
    <w:rsid w:val="006874C1"/>
    <w:rsid w:val="0068751B"/>
    <w:rsid w:val="0068754B"/>
    <w:rsid w:val="0068755F"/>
    <w:rsid w:val="00687668"/>
    <w:rsid w:val="0068769B"/>
    <w:rsid w:val="00687729"/>
    <w:rsid w:val="00687751"/>
    <w:rsid w:val="0068791E"/>
    <w:rsid w:val="00687A36"/>
    <w:rsid w:val="00687A57"/>
    <w:rsid w:val="00687A6C"/>
    <w:rsid w:val="00687BC9"/>
    <w:rsid w:val="00687CD2"/>
    <w:rsid w:val="00687DDA"/>
    <w:rsid w:val="00687DEB"/>
    <w:rsid w:val="00687E87"/>
    <w:rsid w:val="00687F6A"/>
    <w:rsid w:val="00687FF6"/>
    <w:rsid w:val="00690079"/>
    <w:rsid w:val="0069016A"/>
    <w:rsid w:val="006903A2"/>
    <w:rsid w:val="00690434"/>
    <w:rsid w:val="006904A4"/>
    <w:rsid w:val="0069057C"/>
    <w:rsid w:val="00690813"/>
    <w:rsid w:val="00690879"/>
    <w:rsid w:val="006909C8"/>
    <w:rsid w:val="006909D9"/>
    <w:rsid w:val="006909EB"/>
    <w:rsid w:val="00690B00"/>
    <w:rsid w:val="00690B26"/>
    <w:rsid w:val="00690B6C"/>
    <w:rsid w:val="00690C12"/>
    <w:rsid w:val="00690C63"/>
    <w:rsid w:val="00690C86"/>
    <w:rsid w:val="00690CFC"/>
    <w:rsid w:val="00690E3B"/>
    <w:rsid w:val="00690E5D"/>
    <w:rsid w:val="00690E73"/>
    <w:rsid w:val="00691017"/>
    <w:rsid w:val="0069103C"/>
    <w:rsid w:val="006910A8"/>
    <w:rsid w:val="0069116D"/>
    <w:rsid w:val="00691191"/>
    <w:rsid w:val="006911AD"/>
    <w:rsid w:val="006911EB"/>
    <w:rsid w:val="00691430"/>
    <w:rsid w:val="00691524"/>
    <w:rsid w:val="0069160A"/>
    <w:rsid w:val="006916BB"/>
    <w:rsid w:val="006916C3"/>
    <w:rsid w:val="006918E5"/>
    <w:rsid w:val="00691911"/>
    <w:rsid w:val="006919DF"/>
    <w:rsid w:val="00691A27"/>
    <w:rsid w:val="00691BA2"/>
    <w:rsid w:val="00691BD4"/>
    <w:rsid w:val="00691BDD"/>
    <w:rsid w:val="00691C1A"/>
    <w:rsid w:val="00691CE0"/>
    <w:rsid w:val="00691E8C"/>
    <w:rsid w:val="00691E95"/>
    <w:rsid w:val="00691F5D"/>
    <w:rsid w:val="00691F78"/>
    <w:rsid w:val="006920FB"/>
    <w:rsid w:val="006921DC"/>
    <w:rsid w:val="0069231B"/>
    <w:rsid w:val="0069231F"/>
    <w:rsid w:val="0069233B"/>
    <w:rsid w:val="006923E7"/>
    <w:rsid w:val="0069240B"/>
    <w:rsid w:val="006927F6"/>
    <w:rsid w:val="0069291C"/>
    <w:rsid w:val="00692922"/>
    <w:rsid w:val="0069294B"/>
    <w:rsid w:val="00692965"/>
    <w:rsid w:val="0069297A"/>
    <w:rsid w:val="00692A87"/>
    <w:rsid w:val="00692C02"/>
    <w:rsid w:val="00692CEC"/>
    <w:rsid w:val="00692DC6"/>
    <w:rsid w:val="00692E48"/>
    <w:rsid w:val="00692E92"/>
    <w:rsid w:val="00692F2B"/>
    <w:rsid w:val="0069321F"/>
    <w:rsid w:val="00693343"/>
    <w:rsid w:val="00693513"/>
    <w:rsid w:val="0069353D"/>
    <w:rsid w:val="006935C1"/>
    <w:rsid w:val="00693650"/>
    <w:rsid w:val="0069365A"/>
    <w:rsid w:val="00693660"/>
    <w:rsid w:val="0069382A"/>
    <w:rsid w:val="006939D7"/>
    <w:rsid w:val="00693A0C"/>
    <w:rsid w:val="00693A3B"/>
    <w:rsid w:val="00693C9B"/>
    <w:rsid w:val="00693E8B"/>
    <w:rsid w:val="00693EAA"/>
    <w:rsid w:val="00693F14"/>
    <w:rsid w:val="00693F21"/>
    <w:rsid w:val="00693F43"/>
    <w:rsid w:val="00693F6F"/>
    <w:rsid w:val="00693FF4"/>
    <w:rsid w:val="00694021"/>
    <w:rsid w:val="00694190"/>
    <w:rsid w:val="0069423A"/>
    <w:rsid w:val="006946DD"/>
    <w:rsid w:val="0069472D"/>
    <w:rsid w:val="00694740"/>
    <w:rsid w:val="00694780"/>
    <w:rsid w:val="0069482E"/>
    <w:rsid w:val="00694856"/>
    <w:rsid w:val="006948A3"/>
    <w:rsid w:val="006948A7"/>
    <w:rsid w:val="0069492C"/>
    <w:rsid w:val="006949AC"/>
    <w:rsid w:val="006949B5"/>
    <w:rsid w:val="00694A1F"/>
    <w:rsid w:val="00694A6D"/>
    <w:rsid w:val="00694B58"/>
    <w:rsid w:val="00694CF7"/>
    <w:rsid w:val="00694D4F"/>
    <w:rsid w:val="00694DF8"/>
    <w:rsid w:val="00694FBC"/>
    <w:rsid w:val="00694FBF"/>
    <w:rsid w:val="00695120"/>
    <w:rsid w:val="00695132"/>
    <w:rsid w:val="0069519C"/>
    <w:rsid w:val="00695232"/>
    <w:rsid w:val="006952BB"/>
    <w:rsid w:val="006952FB"/>
    <w:rsid w:val="006952FF"/>
    <w:rsid w:val="006953C1"/>
    <w:rsid w:val="006953CB"/>
    <w:rsid w:val="006955F5"/>
    <w:rsid w:val="0069565F"/>
    <w:rsid w:val="006956FE"/>
    <w:rsid w:val="0069570C"/>
    <w:rsid w:val="00695772"/>
    <w:rsid w:val="006959F6"/>
    <w:rsid w:val="00695A16"/>
    <w:rsid w:val="00695BDB"/>
    <w:rsid w:val="00695C1C"/>
    <w:rsid w:val="00695CDF"/>
    <w:rsid w:val="00695D4D"/>
    <w:rsid w:val="00695D7E"/>
    <w:rsid w:val="00696085"/>
    <w:rsid w:val="006960CA"/>
    <w:rsid w:val="006962B6"/>
    <w:rsid w:val="00696313"/>
    <w:rsid w:val="00696326"/>
    <w:rsid w:val="00696366"/>
    <w:rsid w:val="0069638E"/>
    <w:rsid w:val="006963AF"/>
    <w:rsid w:val="006964CB"/>
    <w:rsid w:val="00696632"/>
    <w:rsid w:val="006966E1"/>
    <w:rsid w:val="006968BB"/>
    <w:rsid w:val="006968CA"/>
    <w:rsid w:val="006969C2"/>
    <w:rsid w:val="00696A2C"/>
    <w:rsid w:val="00696A35"/>
    <w:rsid w:val="00696AFB"/>
    <w:rsid w:val="00696CF6"/>
    <w:rsid w:val="00696DDD"/>
    <w:rsid w:val="00696F08"/>
    <w:rsid w:val="00696FA5"/>
    <w:rsid w:val="00696FCB"/>
    <w:rsid w:val="00697109"/>
    <w:rsid w:val="00697111"/>
    <w:rsid w:val="00697277"/>
    <w:rsid w:val="00697311"/>
    <w:rsid w:val="0069734A"/>
    <w:rsid w:val="006973BE"/>
    <w:rsid w:val="006973F8"/>
    <w:rsid w:val="00697441"/>
    <w:rsid w:val="00697528"/>
    <w:rsid w:val="00697529"/>
    <w:rsid w:val="00697635"/>
    <w:rsid w:val="006976C5"/>
    <w:rsid w:val="00697704"/>
    <w:rsid w:val="0069777E"/>
    <w:rsid w:val="006977AF"/>
    <w:rsid w:val="0069784F"/>
    <w:rsid w:val="00697AB1"/>
    <w:rsid w:val="00697B11"/>
    <w:rsid w:val="00697B62"/>
    <w:rsid w:val="00697C02"/>
    <w:rsid w:val="00697C42"/>
    <w:rsid w:val="00697C89"/>
    <w:rsid w:val="00697E52"/>
    <w:rsid w:val="00697EA4"/>
    <w:rsid w:val="00697F7C"/>
    <w:rsid w:val="006A017C"/>
    <w:rsid w:val="006A0230"/>
    <w:rsid w:val="006A02ED"/>
    <w:rsid w:val="006A034A"/>
    <w:rsid w:val="006A038F"/>
    <w:rsid w:val="006A0445"/>
    <w:rsid w:val="006A0600"/>
    <w:rsid w:val="006A07CD"/>
    <w:rsid w:val="006A0834"/>
    <w:rsid w:val="006A0838"/>
    <w:rsid w:val="006A08BA"/>
    <w:rsid w:val="006A08BE"/>
    <w:rsid w:val="006A09F7"/>
    <w:rsid w:val="006A0B41"/>
    <w:rsid w:val="006A0B5E"/>
    <w:rsid w:val="006A0B8F"/>
    <w:rsid w:val="006A0C09"/>
    <w:rsid w:val="006A0D45"/>
    <w:rsid w:val="006A0D5D"/>
    <w:rsid w:val="006A0DF2"/>
    <w:rsid w:val="006A0E3C"/>
    <w:rsid w:val="006A0F3F"/>
    <w:rsid w:val="006A104C"/>
    <w:rsid w:val="006A1139"/>
    <w:rsid w:val="006A11EC"/>
    <w:rsid w:val="006A120D"/>
    <w:rsid w:val="006A12B8"/>
    <w:rsid w:val="006A12FB"/>
    <w:rsid w:val="006A1314"/>
    <w:rsid w:val="006A1357"/>
    <w:rsid w:val="006A1421"/>
    <w:rsid w:val="006A1471"/>
    <w:rsid w:val="006A1483"/>
    <w:rsid w:val="006A156F"/>
    <w:rsid w:val="006A15C5"/>
    <w:rsid w:val="006A164C"/>
    <w:rsid w:val="006A16A2"/>
    <w:rsid w:val="006A1733"/>
    <w:rsid w:val="006A177F"/>
    <w:rsid w:val="006A17ED"/>
    <w:rsid w:val="006A1867"/>
    <w:rsid w:val="006A18A0"/>
    <w:rsid w:val="006A18A1"/>
    <w:rsid w:val="006A18B5"/>
    <w:rsid w:val="006A19A1"/>
    <w:rsid w:val="006A19E7"/>
    <w:rsid w:val="006A1A4D"/>
    <w:rsid w:val="006A1A9D"/>
    <w:rsid w:val="006A1B47"/>
    <w:rsid w:val="006A1CB1"/>
    <w:rsid w:val="006A1CD5"/>
    <w:rsid w:val="006A1E58"/>
    <w:rsid w:val="006A1E6A"/>
    <w:rsid w:val="006A1EC8"/>
    <w:rsid w:val="006A1EF7"/>
    <w:rsid w:val="006A1FAB"/>
    <w:rsid w:val="006A1FE0"/>
    <w:rsid w:val="006A2084"/>
    <w:rsid w:val="006A217E"/>
    <w:rsid w:val="006A21F5"/>
    <w:rsid w:val="006A221B"/>
    <w:rsid w:val="006A2370"/>
    <w:rsid w:val="006A2536"/>
    <w:rsid w:val="006A255C"/>
    <w:rsid w:val="006A2593"/>
    <w:rsid w:val="006A28D5"/>
    <w:rsid w:val="006A2ABE"/>
    <w:rsid w:val="006A2BF1"/>
    <w:rsid w:val="006A2C35"/>
    <w:rsid w:val="006A2DF7"/>
    <w:rsid w:val="006A2E2C"/>
    <w:rsid w:val="006A2E5B"/>
    <w:rsid w:val="006A2E70"/>
    <w:rsid w:val="006A2EF9"/>
    <w:rsid w:val="006A3154"/>
    <w:rsid w:val="006A328B"/>
    <w:rsid w:val="006A32F4"/>
    <w:rsid w:val="006A339A"/>
    <w:rsid w:val="006A33C9"/>
    <w:rsid w:val="006A33F3"/>
    <w:rsid w:val="006A35AE"/>
    <w:rsid w:val="006A35E0"/>
    <w:rsid w:val="006A3653"/>
    <w:rsid w:val="006A365B"/>
    <w:rsid w:val="006A3740"/>
    <w:rsid w:val="006A3932"/>
    <w:rsid w:val="006A3ABF"/>
    <w:rsid w:val="006A3B8F"/>
    <w:rsid w:val="006A3C64"/>
    <w:rsid w:val="006A3CBE"/>
    <w:rsid w:val="006A3D96"/>
    <w:rsid w:val="006A3DE2"/>
    <w:rsid w:val="006A3E79"/>
    <w:rsid w:val="006A3E7E"/>
    <w:rsid w:val="006A3E84"/>
    <w:rsid w:val="006A3EF6"/>
    <w:rsid w:val="006A3F6D"/>
    <w:rsid w:val="006A3F70"/>
    <w:rsid w:val="006A40CB"/>
    <w:rsid w:val="006A4148"/>
    <w:rsid w:val="006A430B"/>
    <w:rsid w:val="006A4381"/>
    <w:rsid w:val="006A43A8"/>
    <w:rsid w:val="006A449E"/>
    <w:rsid w:val="006A461A"/>
    <w:rsid w:val="006A4722"/>
    <w:rsid w:val="006A47AA"/>
    <w:rsid w:val="006A47B0"/>
    <w:rsid w:val="006A47EC"/>
    <w:rsid w:val="006A4865"/>
    <w:rsid w:val="006A4921"/>
    <w:rsid w:val="006A492C"/>
    <w:rsid w:val="006A4990"/>
    <w:rsid w:val="006A4A3D"/>
    <w:rsid w:val="006A4AFB"/>
    <w:rsid w:val="006A4DBB"/>
    <w:rsid w:val="006A4E35"/>
    <w:rsid w:val="006A4E5E"/>
    <w:rsid w:val="006A4E72"/>
    <w:rsid w:val="006A4EDF"/>
    <w:rsid w:val="006A4F56"/>
    <w:rsid w:val="006A4F6F"/>
    <w:rsid w:val="006A510C"/>
    <w:rsid w:val="006A5117"/>
    <w:rsid w:val="006A5140"/>
    <w:rsid w:val="006A5197"/>
    <w:rsid w:val="006A5303"/>
    <w:rsid w:val="006A53FB"/>
    <w:rsid w:val="006A5423"/>
    <w:rsid w:val="006A54B7"/>
    <w:rsid w:val="006A54C1"/>
    <w:rsid w:val="006A571D"/>
    <w:rsid w:val="006A57AA"/>
    <w:rsid w:val="006A57E3"/>
    <w:rsid w:val="006A5804"/>
    <w:rsid w:val="006A5857"/>
    <w:rsid w:val="006A5A8D"/>
    <w:rsid w:val="006A5B2D"/>
    <w:rsid w:val="006A5B31"/>
    <w:rsid w:val="006A5DC4"/>
    <w:rsid w:val="006A5DF1"/>
    <w:rsid w:val="006A5E0F"/>
    <w:rsid w:val="006A5E6D"/>
    <w:rsid w:val="006A5EF4"/>
    <w:rsid w:val="006A5FEE"/>
    <w:rsid w:val="006A6096"/>
    <w:rsid w:val="006A60CC"/>
    <w:rsid w:val="006A6279"/>
    <w:rsid w:val="006A62F1"/>
    <w:rsid w:val="006A632C"/>
    <w:rsid w:val="006A6433"/>
    <w:rsid w:val="006A6435"/>
    <w:rsid w:val="006A6481"/>
    <w:rsid w:val="006A662C"/>
    <w:rsid w:val="006A66B6"/>
    <w:rsid w:val="006A689B"/>
    <w:rsid w:val="006A68D1"/>
    <w:rsid w:val="006A68F1"/>
    <w:rsid w:val="006A6AEF"/>
    <w:rsid w:val="006A6B33"/>
    <w:rsid w:val="006A6C1B"/>
    <w:rsid w:val="006A6C23"/>
    <w:rsid w:val="006A6D20"/>
    <w:rsid w:val="006A6DAC"/>
    <w:rsid w:val="006A6E0F"/>
    <w:rsid w:val="006A6E44"/>
    <w:rsid w:val="006A7041"/>
    <w:rsid w:val="006A7658"/>
    <w:rsid w:val="006A76A0"/>
    <w:rsid w:val="006A7A58"/>
    <w:rsid w:val="006A7A86"/>
    <w:rsid w:val="006A7B68"/>
    <w:rsid w:val="006A7BAE"/>
    <w:rsid w:val="006A7CDE"/>
    <w:rsid w:val="006A7D39"/>
    <w:rsid w:val="006A7DA4"/>
    <w:rsid w:val="006A7DAA"/>
    <w:rsid w:val="006A7E16"/>
    <w:rsid w:val="006A7FCA"/>
    <w:rsid w:val="006A7FF5"/>
    <w:rsid w:val="006B0002"/>
    <w:rsid w:val="006B001E"/>
    <w:rsid w:val="006B00C0"/>
    <w:rsid w:val="006B00CC"/>
    <w:rsid w:val="006B01A3"/>
    <w:rsid w:val="006B0239"/>
    <w:rsid w:val="006B032D"/>
    <w:rsid w:val="006B0399"/>
    <w:rsid w:val="006B03E6"/>
    <w:rsid w:val="006B0425"/>
    <w:rsid w:val="006B04E8"/>
    <w:rsid w:val="006B04EB"/>
    <w:rsid w:val="006B05E3"/>
    <w:rsid w:val="006B068C"/>
    <w:rsid w:val="006B0699"/>
    <w:rsid w:val="006B069F"/>
    <w:rsid w:val="006B08F3"/>
    <w:rsid w:val="006B0935"/>
    <w:rsid w:val="006B09E0"/>
    <w:rsid w:val="006B0A34"/>
    <w:rsid w:val="006B0B7A"/>
    <w:rsid w:val="006B0BF2"/>
    <w:rsid w:val="006B0D5C"/>
    <w:rsid w:val="006B0E2C"/>
    <w:rsid w:val="006B0EA5"/>
    <w:rsid w:val="006B0EDA"/>
    <w:rsid w:val="006B0FF8"/>
    <w:rsid w:val="006B104C"/>
    <w:rsid w:val="006B1084"/>
    <w:rsid w:val="006B10D0"/>
    <w:rsid w:val="006B1130"/>
    <w:rsid w:val="006B11F3"/>
    <w:rsid w:val="006B1245"/>
    <w:rsid w:val="006B12D8"/>
    <w:rsid w:val="006B12D9"/>
    <w:rsid w:val="006B134F"/>
    <w:rsid w:val="006B139D"/>
    <w:rsid w:val="006B13FB"/>
    <w:rsid w:val="006B14F0"/>
    <w:rsid w:val="006B15D1"/>
    <w:rsid w:val="006B1630"/>
    <w:rsid w:val="006B1647"/>
    <w:rsid w:val="006B1843"/>
    <w:rsid w:val="006B1925"/>
    <w:rsid w:val="006B192A"/>
    <w:rsid w:val="006B1979"/>
    <w:rsid w:val="006B1A30"/>
    <w:rsid w:val="006B1A4F"/>
    <w:rsid w:val="006B1BA7"/>
    <w:rsid w:val="006B1BEA"/>
    <w:rsid w:val="006B1C81"/>
    <w:rsid w:val="006B1CD2"/>
    <w:rsid w:val="006B1D04"/>
    <w:rsid w:val="006B1D18"/>
    <w:rsid w:val="006B1DE8"/>
    <w:rsid w:val="006B1E04"/>
    <w:rsid w:val="006B1E77"/>
    <w:rsid w:val="006B20C4"/>
    <w:rsid w:val="006B2206"/>
    <w:rsid w:val="006B2380"/>
    <w:rsid w:val="006B23D1"/>
    <w:rsid w:val="006B2411"/>
    <w:rsid w:val="006B247F"/>
    <w:rsid w:val="006B24F1"/>
    <w:rsid w:val="006B26DF"/>
    <w:rsid w:val="006B2838"/>
    <w:rsid w:val="006B2861"/>
    <w:rsid w:val="006B289C"/>
    <w:rsid w:val="006B28A8"/>
    <w:rsid w:val="006B29A9"/>
    <w:rsid w:val="006B2B4C"/>
    <w:rsid w:val="006B2B7E"/>
    <w:rsid w:val="006B2CD6"/>
    <w:rsid w:val="006B2D40"/>
    <w:rsid w:val="006B2E39"/>
    <w:rsid w:val="006B2E8E"/>
    <w:rsid w:val="006B2EA5"/>
    <w:rsid w:val="006B2F25"/>
    <w:rsid w:val="006B2F46"/>
    <w:rsid w:val="006B2F47"/>
    <w:rsid w:val="006B2F85"/>
    <w:rsid w:val="006B2F88"/>
    <w:rsid w:val="006B2FCB"/>
    <w:rsid w:val="006B3051"/>
    <w:rsid w:val="006B3162"/>
    <w:rsid w:val="006B319E"/>
    <w:rsid w:val="006B31A8"/>
    <w:rsid w:val="006B31B5"/>
    <w:rsid w:val="006B31D0"/>
    <w:rsid w:val="006B31E1"/>
    <w:rsid w:val="006B324A"/>
    <w:rsid w:val="006B3274"/>
    <w:rsid w:val="006B32FD"/>
    <w:rsid w:val="006B3405"/>
    <w:rsid w:val="006B3462"/>
    <w:rsid w:val="006B34B3"/>
    <w:rsid w:val="006B3542"/>
    <w:rsid w:val="006B3694"/>
    <w:rsid w:val="006B36AE"/>
    <w:rsid w:val="006B36F2"/>
    <w:rsid w:val="006B3784"/>
    <w:rsid w:val="006B37FC"/>
    <w:rsid w:val="006B3995"/>
    <w:rsid w:val="006B39B5"/>
    <w:rsid w:val="006B3A5F"/>
    <w:rsid w:val="006B3ADC"/>
    <w:rsid w:val="006B3AF6"/>
    <w:rsid w:val="006B3B09"/>
    <w:rsid w:val="006B3C5D"/>
    <w:rsid w:val="006B3D38"/>
    <w:rsid w:val="006B3D8A"/>
    <w:rsid w:val="006B3EB0"/>
    <w:rsid w:val="006B3F46"/>
    <w:rsid w:val="006B40E3"/>
    <w:rsid w:val="006B42C9"/>
    <w:rsid w:val="006B4344"/>
    <w:rsid w:val="006B4481"/>
    <w:rsid w:val="006B4562"/>
    <w:rsid w:val="006B4568"/>
    <w:rsid w:val="006B459D"/>
    <w:rsid w:val="006B45F9"/>
    <w:rsid w:val="006B4666"/>
    <w:rsid w:val="006B46D4"/>
    <w:rsid w:val="006B46DA"/>
    <w:rsid w:val="006B46F7"/>
    <w:rsid w:val="006B478A"/>
    <w:rsid w:val="006B4900"/>
    <w:rsid w:val="006B4980"/>
    <w:rsid w:val="006B4A23"/>
    <w:rsid w:val="006B4B8B"/>
    <w:rsid w:val="006B4BEB"/>
    <w:rsid w:val="006B4C3E"/>
    <w:rsid w:val="006B4C88"/>
    <w:rsid w:val="006B4DFA"/>
    <w:rsid w:val="006B4E5C"/>
    <w:rsid w:val="006B4FBE"/>
    <w:rsid w:val="006B4FD6"/>
    <w:rsid w:val="006B4FE2"/>
    <w:rsid w:val="006B4FE6"/>
    <w:rsid w:val="006B51FB"/>
    <w:rsid w:val="006B543C"/>
    <w:rsid w:val="006B550E"/>
    <w:rsid w:val="006B5510"/>
    <w:rsid w:val="006B554B"/>
    <w:rsid w:val="006B56B0"/>
    <w:rsid w:val="006B5817"/>
    <w:rsid w:val="006B5826"/>
    <w:rsid w:val="006B5912"/>
    <w:rsid w:val="006B5A2C"/>
    <w:rsid w:val="006B5C3B"/>
    <w:rsid w:val="006B5C61"/>
    <w:rsid w:val="006B5DD9"/>
    <w:rsid w:val="006B5E6D"/>
    <w:rsid w:val="006B5EC9"/>
    <w:rsid w:val="006B5F32"/>
    <w:rsid w:val="006B5FEE"/>
    <w:rsid w:val="006B6000"/>
    <w:rsid w:val="006B6292"/>
    <w:rsid w:val="006B62D0"/>
    <w:rsid w:val="006B6328"/>
    <w:rsid w:val="006B63B9"/>
    <w:rsid w:val="006B63C9"/>
    <w:rsid w:val="006B642B"/>
    <w:rsid w:val="006B645D"/>
    <w:rsid w:val="006B658D"/>
    <w:rsid w:val="006B66F7"/>
    <w:rsid w:val="006B682B"/>
    <w:rsid w:val="006B6847"/>
    <w:rsid w:val="006B6AEF"/>
    <w:rsid w:val="006B6B2A"/>
    <w:rsid w:val="006B6D06"/>
    <w:rsid w:val="006B6D33"/>
    <w:rsid w:val="006B6E18"/>
    <w:rsid w:val="006B6EB3"/>
    <w:rsid w:val="006B6F84"/>
    <w:rsid w:val="006B7022"/>
    <w:rsid w:val="006B70D2"/>
    <w:rsid w:val="006B723A"/>
    <w:rsid w:val="006B7361"/>
    <w:rsid w:val="006B73E5"/>
    <w:rsid w:val="006B7453"/>
    <w:rsid w:val="006B74BA"/>
    <w:rsid w:val="006B74D2"/>
    <w:rsid w:val="006B7511"/>
    <w:rsid w:val="006B765F"/>
    <w:rsid w:val="006B76C8"/>
    <w:rsid w:val="006B76DC"/>
    <w:rsid w:val="006B7727"/>
    <w:rsid w:val="006B77AE"/>
    <w:rsid w:val="006B77D4"/>
    <w:rsid w:val="006B794C"/>
    <w:rsid w:val="006B797A"/>
    <w:rsid w:val="006B79DF"/>
    <w:rsid w:val="006B79E5"/>
    <w:rsid w:val="006B7B74"/>
    <w:rsid w:val="006B7C0C"/>
    <w:rsid w:val="006B7C89"/>
    <w:rsid w:val="006B7D1C"/>
    <w:rsid w:val="006B7E11"/>
    <w:rsid w:val="006B7F3F"/>
    <w:rsid w:val="006C006E"/>
    <w:rsid w:val="006C0094"/>
    <w:rsid w:val="006C025A"/>
    <w:rsid w:val="006C025B"/>
    <w:rsid w:val="006C02B9"/>
    <w:rsid w:val="006C02FD"/>
    <w:rsid w:val="006C035A"/>
    <w:rsid w:val="006C04E4"/>
    <w:rsid w:val="006C0561"/>
    <w:rsid w:val="006C058C"/>
    <w:rsid w:val="006C06D3"/>
    <w:rsid w:val="006C080C"/>
    <w:rsid w:val="006C090E"/>
    <w:rsid w:val="006C0BF8"/>
    <w:rsid w:val="006C0C21"/>
    <w:rsid w:val="006C0E28"/>
    <w:rsid w:val="006C0E57"/>
    <w:rsid w:val="006C0E87"/>
    <w:rsid w:val="006C0EED"/>
    <w:rsid w:val="006C0F3B"/>
    <w:rsid w:val="006C0F9A"/>
    <w:rsid w:val="006C1001"/>
    <w:rsid w:val="006C1095"/>
    <w:rsid w:val="006C10FC"/>
    <w:rsid w:val="006C116F"/>
    <w:rsid w:val="006C12C1"/>
    <w:rsid w:val="006C12ED"/>
    <w:rsid w:val="006C1312"/>
    <w:rsid w:val="006C1331"/>
    <w:rsid w:val="006C1371"/>
    <w:rsid w:val="006C1447"/>
    <w:rsid w:val="006C1481"/>
    <w:rsid w:val="006C14AC"/>
    <w:rsid w:val="006C165F"/>
    <w:rsid w:val="006C16A9"/>
    <w:rsid w:val="006C17D1"/>
    <w:rsid w:val="006C184E"/>
    <w:rsid w:val="006C1908"/>
    <w:rsid w:val="006C1AAF"/>
    <w:rsid w:val="006C1ADA"/>
    <w:rsid w:val="006C1BED"/>
    <w:rsid w:val="006C1C4E"/>
    <w:rsid w:val="006C1C68"/>
    <w:rsid w:val="006C1C89"/>
    <w:rsid w:val="006C1C9D"/>
    <w:rsid w:val="006C1D12"/>
    <w:rsid w:val="006C1D28"/>
    <w:rsid w:val="006C1DA2"/>
    <w:rsid w:val="006C1E05"/>
    <w:rsid w:val="006C20F1"/>
    <w:rsid w:val="006C2425"/>
    <w:rsid w:val="006C2445"/>
    <w:rsid w:val="006C2533"/>
    <w:rsid w:val="006C2569"/>
    <w:rsid w:val="006C2584"/>
    <w:rsid w:val="006C2734"/>
    <w:rsid w:val="006C275F"/>
    <w:rsid w:val="006C2823"/>
    <w:rsid w:val="006C290E"/>
    <w:rsid w:val="006C29A0"/>
    <w:rsid w:val="006C29E3"/>
    <w:rsid w:val="006C2C02"/>
    <w:rsid w:val="006C2C5A"/>
    <w:rsid w:val="006C2D50"/>
    <w:rsid w:val="006C2D88"/>
    <w:rsid w:val="006C2ED6"/>
    <w:rsid w:val="006C2F2E"/>
    <w:rsid w:val="006C2F4B"/>
    <w:rsid w:val="006C2FC9"/>
    <w:rsid w:val="006C2FE9"/>
    <w:rsid w:val="006C3051"/>
    <w:rsid w:val="006C30D7"/>
    <w:rsid w:val="006C311F"/>
    <w:rsid w:val="006C3184"/>
    <w:rsid w:val="006C31E8"/>
    <w:rsid w:val="006C3237"/>
    <w:rsid w:val="006C33EE"/>
    <w:rsid w:val="006C3424"/>
    <w:rsid w:val="006C3536"/>
    <w:rsid w:val="006C3570"/>
    <w:rsid w:val="006C35FF"/>
    <w:rsid w:val="006C3616"/>
    <w:rsid w:val="006C363C"/>
    <w:rsid w:val="006C37A2"/>
    <w:rsid w:val="006C37E7"/>
    <w:rsid w:val="006C38D2"/>
    <w:rsid w:val="006C39E2"/>
    <w:rsid w:val="006C3ABC"/>
    <w:rsid w:val="006C3ABD"/>
    <w:rsid w:val="006C3B0C"/>
    <w:rsid w:val="006C3D19"/>
    <w:rsid w:val="006C3D6D"/>
    <w:rsid w:val="006C3E82"/>
    <w:rsid w:val="006C3F48"/>
    <w:rsid w:val="006C4166"/>
    <w:rsid w:val="006C4259"/>
    <w:rsid w:val="006C4370"/>
    <w:rsid w:val="006C4432"/>
    <w:rsid w:val="006C447A"/>
    <w:rsid w:val="006C4484"/>
    <w:rsid w:val="006C4490"/>
    <w:rsid w:val="006C44F8"/>
    <w:rsid w:val="006C44FC"/>
    <w:rsid w:val="006C451A"/>
    <w:rsid w:val="006C4659"/>
    <w:rsid w:val="006C468B"/>
    <w:rsid w:val="006C480F"/>
    <w:rsid w:val="006C4868"/>
    <w:rsid w:val="006C4878"/>
    <w:rsid w:val="006C498F"/>
    <w:rsid w:val="006C49A0"/>
    <w:rsid w:val="006C4AC8"/>
    <w:rsid w:val="006C4B2B"/>
    <w:rsid w:val="006C4C25"/>
    <w:rsid w:val="006C4C31"/>
    <w:rsid w:val="006C4CB9"/>
    <w:rsid w:val="006C4D05"/>
    <w:rsid w:val="006C4D2B"/>
    <w:rsid w:val="006C4FE2"/>
    <w:rsid w:val="006C5003"/>
    <w:rsid w:val="006C525C"/>
    <w:rsid w:val="006C53C1"/>
    <w:rsid w:val="006C58C8"/>
    <w:rsid w:val="006C5A3F"/>
    <w:rsid w:val="006C5A4E"/>
    <w:rsid w:val="006C5A78"/>
    <w:rsid w:val="006C5AA8"/>
    <w:rsid w:val="006C5B58"/>
    <w:rsid w:val="006C5BAF"/>
    <w:rsid w:val="006C5BB8"/>
    <w:rsid w:val="006C5BD9"/>
    <w:rsid w:val="006C5BDC"/>
    <w:rsid w:val="006C5BEA"/>
    <w:rsid w:val="006C5CE6"/>
    <w:rsid w:val="006C5D60"/>
    <w:rsid w:val="006C5D9F"/>
    <w:rsid w:val="006C5E6A"/>
    <w:rsid w:val="006C5F0F"/>
    <w:rsid w:val="006C5F46"/>
    <w:rsid w:val="006C5F5E"/>
    <w:rsid w:val="006C5F61"/>
    <w:rsid w:val="006C5FC6"/>
    <w:rsid w:val="006C6052"/>
    <w:rsid w:val="006C6088"/>
    <w:rsid w:val="006C60A0"/>
    <w:rsid w:val="006C60D3"/>
    <w:rsid w:val="006C6120"/>
    <w:rsid w:val="006C6142"/>
    <w:rsid w:val="006C6294"/>
    <w:rsid w:val="006C6370"/>
    <w:rsid w:val="006C64A1"/>
    <w:rsid w:val="006C651C"/>
    <w:rsid w:val="006C65A9"/>
    <w:rsid w:val="006C6633"/>
    <w:rsid w:val="006C67C5"/>
    <w:rsid w:val="006C67FA"/>
    <w:rsid w:val="006C6814"/>
    <w:rsid w:val="006C6A7F"/>
    <w:rsid w:val="006C6B12"/>
    <w:rsid w:val="006C6BD4"/>
    <w:rsid w:val="006C6BDE"/>
    <w:rsid w:val="006C6C44"/>
    <w:rsid w:val="006C6CC3"/>
    <w:rsid w:val="006C6CFA"/>
    <w:rsid w:val="006C6ECB"/>
    <w:rsid w:val="006C6F26"/>
    <w:rsid w:val="006C6F27"/>
    <w:rsid w:val="006C6F40"/>
    <w:rsid w:val="006C6F54"/>
    <w:rsid w:val="006C7000"/>
    <w:rsid w:val="006C70D8"/>
    <w:rsid w:val="006C716C"/>
    <w:rsid w:val="006C71B9"/>
    <w:rsid w:val="006C71EB"/>
    <w:rsid w:val="006C724D"/>
    <w:rsid w:val="006C7259"/>
    <w:rsid w:val="006C727D"/>
    <w:rsid w:val="006C72B2"/>
    <w:rsid w:val="006C7373"/>
    <w:rsid w:val="006C7395"/>
    <w:rsid w:val="006C73D4"/>
    <w:rsid w:val="006C742E"/>
    <w:rsid w:val="006C753E"/>
    <w:rsid w:val="006C759E"/>
    <w:rsid w:val="006C75A5"/>
    <w:rsid w:val="006C75F2"/>
    <w:rsid w:val="006C76BF"/>
    <w:rsid w:val="006C7757"/>
    <w:rsid w:val="006C7797"/>
    <w:rsid w:val="006C7809"/>
    <w:rsid w:val="006C78FF"/>
    <w:rsid w:val="006C7913"/>
    <w:rsid w:val="006C796B"/>
    <w:rsid w:val="006C798A"/>
    <w:rsid w:val="006C79D3"/>
    <w:rsid w:val="006C7A49"/>
    <w:rsid w:val="006C7AE1"/>
    <w:rsid w:val="006C7BFC"/>
    <w:rsid w:val="006C7C19"/>
    <w:rsid w:val="006C7C1A"/>
    <w:rsid w:val="006C7C31"/>
    <w:rsid w:val="006C7CFC"/>
    <w:rsid w:val="006C7DA9"/>
    <w:rsid w:val="006C7DFD"/>
    <w:rsid w:val="006D0048"/>
    <w:rsid w:val="006D00A3"/>
    <w:rsid w:val="006D0152"/>
    <w:rsid w:val="006D03B7"/>
    <w:rsid w:val="006D03C7"/>
    <w:rsid w:val="006D048A"/>
    <w:rsid w:val="006D0629"/>
    <w:rsid w:val="006D069D"/>
    <w:rsid w:val="006D06CD"/>
    <w:rsid w:val="006D0711"/>
    <w:rsid w:val="006D08B6"/>
    <w:rsid w:val="006D0981"/>
    <w:rsid w:val="006D0AEA"/>
    <w:rsid w:val="006D0D62"/>
    <w:rsid w:val="006D0F1E"/>
    <w:rsid w:val="006D0F98"/>
    <w:rsid w:val="006D103B"/>
    <w:rsid w:val="006D1163"/>
    <w:rsid w:val="006D11D3"/>
    <w:rsid w:val="006D1233"/>
    <w:rsid w:val="006D1297"/>
    <w:rsid w:val="006D12C3"/>
    <w:rsid w:val="006D132A"/>
    <w:rsid w:val="006D1360"/>
    <w:rsid w:val="006D14D2"/>
    <w:rsid w:val="006D14E7"/>
    <w:rsid w:val="006D14E8"/>
    <w:rsid w:val="006D1578"/>
    <w:rsid w:val="006D1624"/>
    <w:rsid w:val="006D16E6"/>
    <w:rsid w:val="006D1779"/>
    <w:rsid w:val="006D17CB"/>
    <w:rsid w:val="006D17F2"/>
    <w:rsid w:val="006D1900"/>
    <w:rsid w:val="006D1A67"/>
    <w:rsid w:val="006D1AD4"/>
    <w:rsid w:val="006D1B1D"/>
    <w:rsid w:val="006D1B2E"/>
    <w:rsid w:val="006D1BD2"/>
    <w:rsid w:val="006D1C6B"/>
    <w:rsid w:val="006D1E13"/>
    <w:rsid w:val="006D1E1D"/>
    <w:rsid w:val="006D1E4F"/>
    <w:rsid w:val="006D1F65"/>
    <w:rsid w:val="006D2033"/>
    <w:rsid w:val="006D209C"/>
    <w:rsid w:val="006D2177"/>
    <w:rsid w:val="006D221C"/>
    <w:rsid w:val="006D232C"/>
    <w:rsid w:val="006D239F"/>
    <w:rsid w:val="006D241C"/>
    <w:rsid w:val="006D254B"/>
    <w:rsid w:val="006D2607"/>
    <w:rsid w:val="006D26B2"/>
    <w:rsid w:val="006D27DD"/>
    <w:rsid w:val="006D2848"/>
    <w:rsid w:val="006D287E"/>
    <w:rsid w:val="006D2992"/>
    <w:rsid w:val="006D2A3C"/>
    <w:rsid w:val="006D2AD1"/>
    <w:rsid w:val="006D2B01"/>
    <w:rsid w:val="006D2B24"/>
    <w:rsid w:val="006D2B97"/>
    <w:rsid w:val="006D2C08"/>
    <w:rsid w:val="006D2C1B"/>
    <w:rsid w:val="006D2C4B"/>
    <w:rsid w:val="006D2C7D"/>
    <w:rsid w:val="006D2D68"/>
    <w:rsid w:val="006D2DE1"/>
    <w:rsid w:val="006D2E31"/>
    <w:rsid w:val="006D2E60"/>
    <w:rsid w:val="006D2E96"/>
    <w:rsid w:val="006D2F27"/>
    <w:rsid w:val="006D2F4B"/>
    <w:rsid w:val="006D2FD7"/>
    <w:rsid w:val="006D3069"/>
    <w:rsid w:val="006D317C"/>
    <w:rsid w:val="006D31EF"/>
    <w:rsid w:val="006D353C"/>
    <w:rsid w:val="006D35DE"/>
    <w:rsid w:val="006D36E7"/>
    <w:rsid w:val="006D3A3D"/>
    <w:rsid w:val="006D3AC0"/>
    <w:rsid w:val="006D3B03"/>
    <w:rsid w:val="006D3DB5"/>
    <w:rsid w:val="006D3F0F"/>
    <w:rsid w:val="006D3F3C"/>
    <w:rsid w:val="006D41B6"/>
    <w:rsid w:val="006D41E7"/>
    <w:rsid w:val="006D4293"/>
    <w:rsid w:val="006D42E0"/>
    <w:rsid w:val="006D4448"/>
    <w:rsid w:val="006D4478"/>
    <w:rsid w:val="006D44C7"/>
    <w:rsid w:val="006D44E1"/>
    <w:rsid w:val="006D45A5"/>
    <w:rsid w:val="006D45C3"/>
    <w:rsid w:val="006D466D"/>
    <w:rsid w:val="006D470F"/>
    <w:rsid w:val="006D4743"/>
    <w:rsid w:val="006D477C"/>
    <w:rsid w:val="006D48E0"/>
    <w:rsid w:val="006D49B9"/>
    <w:rsid w:val="006D49E5"/>
    <w:rsid w:val="006D49FB"/>
    <w:rsid w:val="006D4AB1"/>
    <w:rsid w:val="006D4AD7"/>
    <w:rsid w:val="006D4B13"/>
    <w:rsid w:val="006D4B4F"/>
    <w:rsid w:val="006D4E6E"/>
    <w:rsid w:val="006D4EDE"/>
    <w:rsid w:val="006D4FA7"/>
    <w:rsid w:val="006D509E"/>
    <w:rsid w:val="006D5142"/>
    <w:rsid w:val="006D51C9"/>
    <w:rsid w:val="006D526E"/>
    <w:rsid w:val="006D5306"/>
    <w:rsid w:val="006D53F9"/>
    <w:rsid w:val="006D5504"/>
    <w:rsid w:val="006D5678"/>
    <w:rsid w:val="006D5704"/>
    <w:rsid w:val="006D581F"/>
    <w:rsid w:val="006D58D4"/>
    <w:rsid w:val="006D5950"/>
    <w:rsid w:val="006D5970"/>
    <w:rsid w:val="006D5A4F"/>
    <w:rsid w:val="006D5ADF"/>
    <w:rsid w:val="006D5C38"/>
    <w:rsid w:val="006D5C71"/>
    <w:rsid w:val="006D5E74"/>
    <w:rsid w:val="006D5EE8"/>
    <w:rsid w:val="006D60D0"/>
    <w:rsid w:val="006D6155"/>
    <w:rsid w:val="006D62BE"/>
    <w:rsid w:val="006D63BC"/>
    <w:rsid w:val="006D63F6"/>
    <w:rsid w:val="006D64D8"/>
    <w:rsid w:val="006D6588"/>
    <w:rsid w:val="006D65F1"/>
    <w:rsid w:val="006D664E"/>
    <w:rsid w:val="006D6685"/>
    <w:rsid w:val="006D66AC"/>
    <w:rsid w:val="006D66F7"/>
    <w:rsid w:val="006D68C9"/>
    <w:rsid w:val="006D6AFF"/>
    <w:rsid w:val="006D6B64"/>
    <w:rsid w:val="006D6C6B"/>
    <w:rsid w:val="006D6CDD"/>
    <w:rsid w:val="006D6CED"/>
    <w:rsid w:val="006D6DB8"/>
    <w:rsid w:val="006D6E39"/>
    <w:rsid w:val="006D6F7D"/>
    <w:rsid w:val="006D6F94"/>
    <w:rsid w:val="006D6FA5"/>
    <w:rsid w:val="006D6FD6"/>
    <w:rsid w:val="006D6FE7"/>
    <w:rsid w:val="006D701A"/>
    <w:rsid w:val="006D7064"/>
    <w:rsid w:val="006D706A"/>
    <w:rsid w:val="006D71BC"/>
    <w:rsid w:val="006D7298"/>
    <w:rsid w:val="006D7342"/>
    <w:rsid w:val="006D7402"/>
    <w:rsid w:val="006D745B"/>
    <w:rsid w:val="006D74C8"/>
    <w:rsid w:val="006D7610"/>
    <w:rsid w:val="006D7647"/>
    <w:rsid w:val="006D7992"/>
    <w:rsid w:val="006D7A76"/>
    <w:rsid w:val="006D7D2F"/>
    <w:rsid w:val="006D7DB0"/>
    <w:rsid w:val="006D7E3B"/>
    <w:rsid w:val="006D7F68"/>
    <w:rsid w:val="006E0009"/>
    <w:rsid w:val="006E0023"/>
    <w:rsid w:val="006E0171"/>
    <w:rsid w:val="006E01A2"/>
    <w:rsid w:val="006E0288"/>
    <w:rsid w:val="006E0337"/>
    <w:rsid w:val="006E0342"/>
    <w:rsid w:val="006E03B3"/>
    <w:rsid w:val="006E0561"/>
    <w:rsid w:val="006E08EF"/>
    <w:rsid w:val="006E0901"/>
    <w:rsid w:val="006E0974"/>
    <w:rsid w:val="006E0A06"/>
    <w:rsid w:val="006E0B46"/>
    <w:rsid w:val="006E0C89"/>
    <w:rsid w:val="006E0CF3"/>
    <w:rsid w:val="006E0CFD"/>
    <w:rsid w:val="006E0DF9"/>
    <w:rsid w:val="006E0FFF"/>
    <w:rsid w:val="006E1059"/>
    <w:rsid w:val="006E1096"/>
    <w:rsid w:val="006E10D9"/>
    <w:rsid w:val="006E113A"/>
    <w:rsid w:val="006E114F"/>
    <w:rsid w:val="006E1303"/>
    <w:rsid w:val="006E134A"/>
    <w:rsid w:val="006E1381"/>
    <w:rsid w:val="006E138A"/>
    <w:rsid w:val="006E1399"/>
    <w:rsid w:val="006E144A"/>
    <w:rsid w:val="006E14A2"/>
    <w:rsid w:val="006E14AB"/>
    <w:rsid w:val="006E1580"/>
    <w:rsid w:val="006E15C9"/>
    <w:rsid w:val="006E1881"/>
    <w:rsid w:val="006E1899"/>
    <w:rsid w:val="006E18D1"/>
    <w:rsid w:val="006E18DA"/>
    <w:rsid w:val="006E19B7"/>
    <w:rsid w:val="006E1AED"/>
    <w:rsid w:val="006E1B4E"/>
    <w:rsid w:val="006E1B7B"/>
    <w:rsid w:val="006E1BC8"/>
    <w:rsid w:val="006E1C8D"/>
    <w:rsid w:val="006E1FF4"/>
    <w:rsid w:val="006E21FA"/>
    <w:rsid w:val="006E22CB"/>
    <w:rsid w:val="006E235D"/>
    <w:rsid w:val="006E25A6"/>
    <w:rsid w:val="006E25B5"/>
    <w:rsid w:val="006E260D"/>
    <w:rsid w:val="006E2787"/>
    <w:rsid w:val="006E278D"/>
    <w:rsid w:val="006E27DA"/>
    <w:rsid w:val="006E28ED"/>
    <w:rsid w:val="006E28EF"/>
    <w:rsid w:val="006E2A5D"/>
    <w:rsid w:val="006E2B3F"/>
    <w:rsid w:val="006E2BF7"/>
    <w:rsid w:val="006E2C54"/>
    <w:rsid w:val="006E2C9C"/>
    <w:rsid w:val="006E2D24"/>
    <w:rsid w:val="006E2DF3"/>
    <w:rsid w:val="006E2E7D"/>
    <w:rsid w:val="006E2F1D"/>
    <w:rsid w:val="006E2F61"/>
    <w:rsid w:val="006E2FC2"/>
    <w:rsid w:val="006E2FFC"/>
    <w:rsid w:val="006E3017"/>
    <w:rsid w:val="006E318E"/>
    <w:rsid w:val="006E33C3"/>
    <w:rsid w:val="006E340F"/>
    <w:rsid w:val="006E3421"/>
    <w:rsid w:val="006E3671"/>
    <w:rsid w:val="006E367D"/>
    <w:rsid w:val="006E38B5"/>
    <w:rsid w:val="006E39BC"/>
    <w:rsid w:val="006E3A08"/>
    <w:rsid w:val="006E3C5C"/>
    <w:rsid w:val="006E3CC2"/>
    <w:rsid w:val="006E3E21"/>
    <w:rsid w:val="006E3E6D"/>
    <w:rsid w:val="006E3EB2"/>
    <w:rsid w:val="006E3F21"/>
    <w:rsid w:val="006E3FD3"/>
    <w:rsid w:val="006E402A"/>
    <w:rsid w:val="006E4119"/>
    <w:rsid w:val="006E4217"/>
    <w:rsid w:val="006E45E6"/>
    <w:rsid w:val="006E4783"/>
    <w:rsid w:val="006E4896"/>
    <w:rsid w:val="006E4975"/>
    <w:rsid w:val="006E4A47"/>
    <w:rsid w:val="006E4B6D"/>
    <w:rsid w:val="006E4BD4"/>
    <w:rsid w:val="006E4BDB"/>
    <w:rsid w:val="006E4C10"/>
    <w:rsid w:val="006E4C20"/>
    <w:rsid w:val="006E4C2F"/>
    <w:rsid w:val="006E4F39"/>
    <w:rsid w:val="006E50A0"/>
    <w:rsid w:val="006E5126"/>
    <w:rsid w:val="006E5281"/>
    <w:rsid w:val="006E5385"/>
    <w:rsid w:val="006E53EA"/>
    <w:rsid w:val="006E53F3"/>
    <w:rsid w:val="006E5410"/>
    <w:rsid w:val="006E5425"/>
    <w:rsid w:val="006E5430"/>
    <w:rsid w:val="006E54A1"/>
    <w:rsid w:val="006E55AD"/>
    <w:rsid w:val="006E5655"/>
    <w:rsid w:val="006E5657"/>
    <w:rsid w:val="006E57FA"/>
    <w:rsid w:val="006E5816"/>
    <w:rsid w:val="006E5848"/>
    <w:rsid w:val="006E5895"/>
    <w:rsid w:val="006E5A20"/>
    <w:rsid w:val="006E5A92"/>
    <w:rsid w:val="006E5BD5"/>
    <w:rsid w:val="006E5BDD"/>
    <w:rsid w:val="006E5C0D"/>
    <w:rsid w:val="006E5C51"/>
    <w:rsid w:val="006E5C7B"/>
    <w:rsid w:val="006E5D06"/>
    <w:rsid w:val="006E5E15"/>
    <w:rsid w:val="006E5E6D"/>
    <w:rsid w:val="006E5F97"/>
    <w:rsid w:val="006E5FD1"/>
    <w:rsid w:val="006E60C5"/>
    <w:rsid w:val="006E61B4"/>
    <w:rsid w:val="006E6273"/>
    <w:rsid w:val="006E62B4"/>
    <w:rsid w:val="006E6428"/>
    <w:rsid w:val="006E64B8"/>
    <w:rsid w:val="006E64F2"/>
    <w:rsid w:val="006E6508"/>
    <w:rsid w:val="006E652B"/>
    <w:rsid w:val="006E657C"/>
    <w:rsid w:val="006E6610"/>
    <w:rsid w:val="006E66E6"/>
    <w:rsid w:val="006E670F"/>
    <w:rsid w:val="006E67AB"/>
    <w:rsid w:val="006E68A6"/>
    <w:rsid w:val="006E6931"/>
    <w:rsid w:val="006E69CF"/>
    <w:rsid w:val="006E6AAE"/>
    <w:rsid w:val="006E6B8B"/>
    <w:rsid w:val="006E6B9D"/>
    <w:rsid w:val="006E6BAE"/>
    <w:rsid w:val="006E6D40"/>
    <w:rsid w:val="006E6DB9"/>
    <w:rsid w:val="006E6DBE"/>
    <w:rsid w:val="006E6E0B"/>
    <w:rsid w:val="006E6F2F"/>
    <w:rsid w:val="006E6F3B"/>
    <w:rsid w:val="006E6F8E"/>
    <w:rsid w:val="006E704D"/>
    <w:rsid w:val="006E70BE"/>
    <w:rsid w:val="006E7127"/>
    <w:rsid w:val="006E715F"/>
    <w:rsid w:val="006E71A2"/>
    <w:rsid w:val="006E72B1"/>
    <w:rsid w:val="006E734C"/>
    <w:rsid w:val="006E73BB"/>
    <w:rsid w:val="006E7421"/>
    <w:rsid w:val="006E7440"/>
    <w:rsid w:val="006E754B"/>
    <w:rsid w:val="006E75A9"/>
    <w:rsid w:val="006E7619"/>
    <w:rsid w:val="006E76B4"/>
    <w:rsid w:val="006E78FC"/>
    <w:rsid w:val="006E7A42"/>
    <w:rsid w:val="006E7AB3"/>
    <w:rsid w:val="006E7B0D"/>
    <w:rsid w:val="006E7B2F"/>
    <w:rsid w:val="006E7B48"/>
    <w:rsid w:val="006E7CA4"/>
    <w:rsid w:val="006E7CAD"/>
    <w:rsid w:val="006E7E40"/>
    <w:rsid w:val="006E7E47"/>
    <w:rsid w:val="006E7FFA"/>
    <w:rsid w:val="006F020D"/>
    <w:rsid w:val="006F022C"/>
    <w:rsid w:val="006F0382"/>
    <w:rsid w:val="006F039D"/>
    <w:rsid w:val="006F03BD"/>
    <w:rsid w:val="006F03BE"/>
    <w:rsid w:val="006F03DA"/>
    <w:rsid w:val="006F0487"/>
    <w:rsid w:val="006F04B6"/>
    <w:rsid w:val="006F04EC"/>
    <w:rsid w:val="006F0645"/>
    <w:rsid w:val="006F0671"/>
    <w:rsid w:val="006F0735"/>
    <w:rsid w:val="006F078D"/>
    <w:rsid w:val="006F07CC"/>
    <w:rsid w:val="006F0862"/>
    <w:rsid w:val="006F086B"/>
    <w:rsid w:val="006F087E"/>
    <w:rsid w:val="006F08B0"/>
    <w:rsid w:val="006F08BA"/>
    <w:rsid w:val="006F09D6"/>
    <w:rsid w:val="006F09DB"/>
    <w:rsid w:val="006F0AD7"/>
    <w:rsid w:val="006F0C7C"/>
    <w:rsid w:val="006F0CD4"/>
    <w:rsid w:val="006F0CD5"/>
    <w:rsid w:val="006F0D41"/>
    <w:rsid w:val="006F0D4D"/>
    <w:rsid w:val="006F0DE6"/>
    <w:rsid w:val="006F0E41"/>
    <w:rsid w:val="006F0E75"/>
    <w:rsid w:val="006F0EA1"/>
    <w:rsid w:val="006F0EA4"/>
    <w:rsid w:val="006F11D0"/>
    <w:rsid w:val="006F11D3"/>
    <w:rsid w:val="006F12BB"/>
    <w:rsid w:val="006F12C1"/>
    <w:rsid w:val="006F12E3"/>
    <w:rsid w:val="006F140E"/>
    <w:rsid w:val="006F147F"/>
    <w:rsid w:val="006F14F9"/>
    <w:rsid w:val="006F15AF"/>
    <w:rsid w:val="006F1693"/>
    <w:rsid w:val="006F17AA"/>
    <w:rsid w:val="006F1884"/>
    <w:rsid w:val="006F1920"/>
    <w:rsid w:val="006F1ACD"/>
    <w:rsid w:val="006F1BB3"/>
    <w:rsid w:val="006F1BC7"/>
    <w:rsid w:val="006F1C11"/>
    <w:rsid w:val="006F1CC6"/>
    <w:rsid w:val="006F1D14"/>
    <w:rsid w:val="006F1D58"/>
    <w:rsid w:val="006F1DB6"/>
    <w:rsid w:val="006F1E35"/>
    <w:rsid w:val="006F1F64"/>
    <w:rsid w:val="006F1F69"/>
    <w:rsid w:val="006F1F7D"/>
    <w:rsid w:val="006F2051"/>
    <w:rsid w:val="006F214D"/>
    <w:rsid w:val="006F2318"/>
    <w:rsid w:val="006F231E"/>
    <w:rsid w:val="006F23EB"/>
    <w:rsid w:val="006F2432"/>
    <w:rsid w:val="006F25B9"/>
    <w:rsid w:val="006F25CC"/>
    <w:rsid w:val="006F25DD"/>
    <w:rsid w:val="006F25F2"/>
    <w:rsid w:val="006F2648"/>
    <w:rsid w:val="006F2712"/>
    <w:rsid w:val="006F2808"/>
    <w:rsid w:val="006F2844"/>
    <w:rsid w:val="006F2920"/>
    <w:rsid w:val="006F2994"/>
    <w:rsid w:val="006F2A03"/>
    <w:rsid w:val="006F2AA9"/>
    <w:rsid w:val="006F2B81"/>
    <w:rsid w:val="006F2B89"/>
    <w:rsid w:val="006F2C01"/>
    <w:rsid w:val="006F2C0E"/>
    <w:rsid w:val="006F2C53"/>
    <w:rsid w:val="006F2CE8"/>
    <w:rsid w:val="006F2D32"/>
    <w:rsid w:val="006F2DEB"/>
    <w:rsid w:val="006F2E19"/>
    <w:rsid w:val="006F2E6C"/>
    <w:rsid w:val="006F2F0A"/>
    <w:rsid w:val="006F2F9F"/>
    <w:rsid w:val="006F3083"/>
    <w:rsid w:val="006F3097"/>
    <w:rsid w:val="006F30C6"/>
    <w:rsid w:val="006F31C8"/>
    <w:rsid w:val="006F31F3"/>
    <w:rsid w:val="006F320A"/>
    <w:rsid w:val="006F3299"/>
    <w:rsid w:val="006F32A7"/>
    <w:rsid w:val="006F33C9"/>
    <w:rsid w:val="006F355C"/>
    <w:rsid w:val="006F3578"/>
    <w:rsid w:val="006F368B"/>
    <w:rsid w:val="006F36AE"/>
    <w:rsid w:val="006F36F8"/>
    <w:rsid w:val="006F3718"/>
    <w:rsid w:val="006F3813"/>
    <w:rsid w:val="006F3878"/>
    <w:rsid w:val="006F38FC"/>
    <w:rsid w:val="006F39C1"/>
    <w:rsid w:val="006F3A3D"/>
    <w:rsid w:val="006F3B2C"/>
    <w:rsid w:val="006F3BBE"/>
    <w:rsid w:val="006F3E51"/>
    <w:rsid w:val="006F3E64"/>
    <w:rsid w:val="006F3E75"/>
    <w:rsid w:val="006F3F0E"/>
    <w:rsid w:val="006F3F79"/>
    <w:rsid w:val="006F409A"/>
    <w:rsid w:val="006F40FD"/>
    <w:rsid w:val="006F418A"/>
    <w:rsid w:val="006F41A6"/>
    <w:rsid w:val="006F429A"/>
    <w:rsid w:val="006F42E7"/>
    <w:rsid w:val="006F4362"/>
    <w:rsid w:val="006F4369"/>
    <w:rsid w:val="006F444A"/>
    <w:rsid w:val="006F447C"/>
    <w:rsid w:val="006F4753"/>
    <w:rsid w:val="006F4880"/>
    <w:rsid w:val="006F4A5C"/>
    <w:rsid w:val="006F4B5C"/>
    <w:rsid w:val="006F4DD4"/>
    <w:rsid w:val="006F4F42"/>
    <w:rsid w:val="006F4F56"/>
    <w:rsid w:val="006F4F8E"/>
    <w:rsid w:val="006F5199"/>
    <w:rsid w:val="006F528A"/>
    <w:rsid w:val="006F530C"/>
    <w:rsid w:val="006F53B1"/>
    <w:rsid w:val="006F53E3"/>
    <w:rsid w:val="006F545B"/>
    <w:rsid w:val="006F54A4"/>
    <w:rsid w:val="006F54C4"/>
    <w:rsid w:val="006F54CB"/>
    <w:rsid w:val="006F552A"/>
    <w:rsid w:val="006F553F"/>
    <w:rsid w:val="006F5555"/>
    <w:rsid w:val="006F5560"/>
    <w:rsid w:val="006F5682"/>
    <w:rsid w:val="006F56EE"/>
    <w:rsid w:val="006F57FE"/>
    <w:rsid w:val="006F5A61"/>
    <w:rsid w:val="006F5C4D"/>
    <w:rsid w:val="006F5CC9"/>
    <w:rsid w:val="006F5CD0"/>
    <w:rsid w:val="006F5DB5"/>
    <w:rsid w:val="006F5E38"/>
    <w:rsid w:val="006F5E67"/>
    <w:rsid w:val="006F5E91"/>
    <w:rsid w:val="006F5EDB"/>
    <w:rsid w:val="006F5EF7"/>
    <w:rsid w:val="006F60C2"/>
    <w:rsid w:val="006F626B"/>
    <w:rsid w:val="006F62E8"/>
    <w:rsid w:val="006F631F"/>
    <w:rsid w:val="006F6354"/>
    <w:rsid w:val="006F6360"/>
    <w:rsid w:val="006F640A"/>
    <w:rsid w:val="006F651A"/>
    <w:rsid w:val="006F664B"/>
    <w:rsid w:val="006F6651"/>
    <w:rsid w:val="006F670B"/>
    <w:rsid w:val="006F6767"/>
    <w:rsid w:val="006F6857"/>
    <w:rsid w:val="006F6917"/>
    <w:rsid w:val="006F696B"/>
    <w:rsid w:val="006F6A44"/>
    <w:rsid w:val="006F6B76"/>
    <w:rsid w:val="006F6B7D"/>
    <w:rsid w:val="006F6B82"/>
    <w:rsid w:val="006F6C76"/>
    <w:rsid w:val="006F6CC2"/>
    <w:rsid w:val="006F6CE5"/>
    <w:rsid w:val="006F6F41"/>
    <w:rsid w:val="006F6FCF"/>
    <w:rsid w:val="006F6FEF"/>
    <w:rsid w:val="006F7135"/>
    <w:rsid w:val="006F71A5"/>
    <w:rsid w:val="006F71C7"/>
    <w:rsid w:val="006F7244"/>
    <w:rsid w:val="006F7245"/>
    <w:rsid w:val="006F742E"/>
    <w:rsid w:val="006F748F"/>
    <w:rsid w:val="006F75D1"/>
    <w:rsid w:val="006F76D5"/>
    <w:rsid w:val="006F7769"/>
    <w:rsid w:val="006F776F"/>
    <w:rsid w:val="006F7783"/>
    <w:rsid w:val="006F7904"/>
    <w:rsid w:val="006F790D"/>
    <w:rsid w:val="006F7968"/>
    <w:rsid w:val="006F798A"/>
    <w:rsid w:val="006F7C3B"/>
    <w:rsid w:val="006F7CBD"/>
    <w:rsid w:val="006F7CC2"/>
    <w:rsid w:val="006F7CDC"/>
    <w:rsid w:val="006F7D9A"/>
    <w:rsid w:val="006F7F86"/>
    <w:rsid w:val="006F7F91"/>
    <w:rsid w:val="00700058"/>
    <w:rsid w:val="0070016A"/>
    <w:rsid w:val="007002AF"/>
    <w:rsid w:val="007002BB"/>
    <w:rsid w:val="007002C4"/>
    <w:rsid w:val="007002D9"/>
    <w:rsid w:val="00700311"/>
    <w:rsid w:val="007003EA"/>
    <w:rsid w:val="0070043C"/>
    <w:rsid w:val="0070054C"/>
    <w:rsid w:val="007005E1"/>
    <w:rsid w:val="00700797"/>
    <w:rsid w:val="007007F6"/>
    <w:rsid w:val="007008C0"/>
    <w:rsid w:val="0070099E"/>
    <w:rsid w:val="007009A2"/>
    <w:rsid w:val="007009BD"/>
    <w:rsid w:val="007009DC"/>
    <w:rsid w:val="00700A25"/>
    <w:rsid w:val="00700B3B"/>
    <w:rsid w:val="00700CA0"/>
    <w:rsid w:val="00700E92"/>
    <w:rsid w:val="00700EA3"/>
    <w:rsid w:val="00700ECB"/>
    <w:rsid w:val="00700EFB"/>
    <w:rsid w:val="00700FB9"/>
    <w:rsid w:val="00701097"/>
    <w:rsid w:val="007010EC"/>
    <w:rsid w:val="007011C4"/>
    <w:rsid w:val="00701304"/>
    <w:rsid w:val="0070134D"/>
    <w:rsid w:val="0070140D"/>
    <w:rsid w:val="007014A5"/>
    <w:rsid w:val="007014E5"/>
    <w:rsid w:val="0070158E"/>
    <w:rsid w:val="00701662"/>
    <w:rsid w:val="007016D0"/>
    <w:rsid w:val="007016D2"/>
    <w:rsid w:val="007016F4"/>
    <w:rsid w:val="007018AE"/>
    <w:rsid w:val="0070192E"/>
    <w:rsid w:val="007019F8"/>
    <w:rsid w:val="00701A28"/>
    <w:rsid w:val="00701A4E"/>
    <w:rsid w:val="00701B09"/>
    <w:rsid w:val="00701B28"/>
    <w:rsid w:val="00701BC1"/>
    <w:rsid w:val="00701C48"/>
    <w:rsid w:val="00701DF1"/>
    <w:rsid w:val="00701EF7"/>
    <w:rsid w:val="0070211A"/>
    <w:rsid w:val="00702234"/>
    <w:rsid w:val="00702368"/>
    <w:rsid w:val="007023A7"/>
    <w:rsid w:val="007025A8"/>
    <w:rsid w:val="007025CE"/>
    <w:rsid w:val="0070275F"/>
    <w:rsid w:val="00702760"/>
    <w:rsid w:val="00702787"/>
    <w:rsid w:val="00702826"/>
    <w:rsid w:val="0070285F"/>
    <w:rsid w:val="007028F0"/>
    <w:rsid w:val="007029B6"/>
    <w:rsid w:val="00702AC4"/>
    <w:rsid w:val="00702B0B"/>
    <w:rsid w:val="00702B65"/>
    <w:rsid w:val="00702B81"/>
    <w:rsid w:val="00702BB0"/>
    <w:rsid w:val="00702C66"/>
    <w:rsid w:val="00702CB3"/>
    <w:rsid w:val="00702CD0"/>
    <w:rsid w:val="00702D60"/>
    <w:rsid w:val="00702D95"/>
    <w:rsid w:val="00702EA4"/>
    <w:rsid w:val="00702EB8"/>
    <w:rsid w:val="00702F26"/>
    <w:rsid w:val="00702F51"/>
    <w:rsid w:val="00702F75"/>
    <w:rsid w:val="00702FE2"/>
    <w:rsid w:val="00703093"/>
    <w:rsid w:val="007030F3"/>
    <w:rsid w:val="00703365"/>
    <w:rsid w:val="00703431"/>
    <w:rsid w:val="007034A8"/>
    <w:rsid w:val="0070350F"/>
    <w:rsid w:val="00703521"/>
    <w:rsid w:val="0070357C"/>
    <w:rsid w:val="0070363F"/>
    <w:rsid w:val="007036D5"/>
    <w:rsid w:val="0070379A"/>
    <w:rsid w:val="007038A0"/>
    <w:rsid w:val="00703917"/>
    <w:rsid w:val="007039BD"/>
    <w:rsid w:val="00703CC4"/>
    <w:rsid w:val="00703D2F"/>
    <w:rsid w:val="00703DE8"/>
    <w:rsid w:val="00703E7E"/>
    <w:rsid w:val="00704081"/>
    <w:rsid w:val="007041AF"/>
    <w:rsid w:val="0070421A"/>
    <w:rsid w:val="00704227"/>
    <w:rsid w:val="0070423C"/>
    <w:rsid w:val="0070427E"/>
    <w:rsid w:val="007042BB"/>
    <w:rsid w:val="007042DB"/>
    <w:rsid w:val="007043AA"/>
    <w:rsid w:val="007044E8"/>
    <w:rsid w:val="0070456B"/>
    <w:rsid w:val="0070457E"/>
    <w:rsid w:val="0070459A"/>
    <w:rsid w:val="00704621"/>
    <w:rsid w:val="007046B2"/>
    <w:rsid w:val="007046DF"/>
    <w:rsid w:val="00704779"/>
    <w:rsid w:val="007047AE"/>
    <w:rsid w:val="007047C8"/>
    <w:rsid w:val="0070487A"/>
    <w:rsid w:val="007049CF"/>
    <w:rsid w:val="00704BA1"/>
    <w:rsid w:val="00704BB2"/>
    <w:rsid w:val="00704C00"/>
    <w:rsid w:val="00704CC0"/>
    <w:rsid w:val="00704D5F"/>
    <w:rsid w:val="00704E19"/>
    <w:rsid w:val="00704E2E"/>
    <w:rsid w:val="00705033"/>
    <w:rsid w:val="0070506D"/>
    <w:rsid w:val="00705075"/>
    <w:rsid w:val="007050C6"/>
    <w:rsid w:val="00705152"/>
    <w:rsid w:val="00705156"/>
    <w:rsid w:val="0070517B"/>
    <w:rsid w:val="007051BF"/>
    <w:rsid w:val="00705220"/>
    <w:rsid w:val="00705223"/>
    <w:rsid w:val="00705274"/>
    <w:rsid w:val="007052C2"/>
    <w:rsid w:val="00705341"/>
    <w:rsid w:val="007053B4"/>
    <w:rsid w:val="007053E4"/>
    <w:rsid w:val="00705485"/>
    <w:rsid w:val="007054C8"/>
    <w:rsid w:val="007056CB"/>
    <w:rsid w:val="00705735"/>
    <w:rsid w:val="00705752"/>
    <w:rsid w:val="007057E9"/>
    <w:rsid w:val="0070588D"/>
    <w:rsid w:val="007058A7"/>
    <w:rsid w:val="007058CA"/>
    <w:rsid w:val="00705916"/>
    <w:rsid w:val="007059DF"/>
    <w:rsid w:val="00705A9E"/>
    <w:rsid w:val="00705D0D"/>
    <w:rsid w:val="00705D7B"/>
    <w:rsid w:val="00705DAF"/>
    <w:rsid w:val="00705E1F"/>
    <w:rsid w:val="00705E2D"/>
    <w:rsid w:val="00705EE8"/>
    <w:rsid w:val="00705EF1"/>
    <w:rsid w:val="00705FDB"/>
    <w:rsid w:val="00706190"/>
    <w:rsid w:val="007062B5"/>
    <w:rsid w:val="00706329"/>
    <w:rsid w:val="0070637C"/>
    <w:rsid w:val="007063CC"/>
    <w:rsid w:val="00706463"/>
    <w:rsid w:val="007064FE"/>
    <w:rsid w:val="007065BC"/>
    <w:rsid w:val="0070663C"/>
    <w:rsid w:val="007066A5"/>
    <w:rsid w:val="007068B3"/>
    <w:rsid w:val="00706952"/>
    <w:rsid w:val="00706B04"/>
    <w:rsid w:val="00706B74"/>
    <w:rsid w:val="00706BA2"/>
    <w:rsid w:val="00706BA7"/>
    <w:rsid w:val="00706D18"/>
    <w:rsid w:val="00706FCF"/>
    <w:rsid w:val="00707049"/>
    <w:rsid w:val="007070A5"/>
    <w:rsid w:val="007070F7"/>
    <w:rsid w:val="0070713C"/>
    <w:rsid w:val="0070715A"/>
    <w:rsid w:val="007071F4"/>
    <w:rsid w:val="0070725C"/>
    <w:rsid w:val="007072DF"/>
    <w:rsid w:val="007072E0"/>
    <w:rsid w:val="0070735D"/>
    <w:rsid w:val="0070736C"/>
    <w:rsid w:val="007074E5"/>
    <w:rsid w:val="00707523"/>
    <w:rsid w:val="0070752D"/>
    <w:rsid w:val="007077F2"/>
    <w:rsid w:val="007077F8"/>
    <w:rsid w:val="00707839"/>
    <w:rsid w:val="00707914"/>
    <w:rsid w:val="007079DF"/>
    <w:rsid w:val="00707A1A"/>
    <w:rsid w:val="00707A53"/>
    <w:rsid w:val="00707B38"/>
    <w:rsid w:val="00707C03"/>
    <w:rsid w:val="00707C2D"/>
    <w:rsid w:val="00707C78"/>
    <w:rsid w:val="00707CDB"/>
    <w:rsid w:val="00707D2D"/>
    <w:rsid w:val="00707D73"/>
    <w:rsid w:val="00707DAC"/>
    <w:rsid w:val="00707E09"/>
    <w:rsid w:val="00707E2F"/>
    <w:rsid w:val="00707F2F"/>
    <w:rsid w:val="00707FA2"/>
    <w:rsid w:val="00707FCA"/>
    <w:rsid w:val="00707FF5"/>
    <w:rsid w:val="007100DB"/>
    <w:rsid w:val="00710378"/>
    <w:rsid w:val="007103F1"/>
    <w:rsid w:val="00710404"/>
    <w:rsid w:val="0071041A"/>
    <w:rsid w:val="007104FC"/>
    <w:rsid w:val="007105C9"/>
    <w:rsid w:val="0071069B"/>
    <w:rsid w:val="007106FB"/>
    <w:rsid w:val="0071070E"/>
    <w:rsid w:val="0071073C"/>
    <w:rsid w:val="0071093B"/>
    <w:rsid w:val="00710A09"/>
    <w:rsid w:val="00710A58"/>
    <w:rsid w:val="00710BBB"/>
    <w:rsid w:val="00710C08"/>
    <w:rsid w:val="00710D2A"/>
    <w:rsid w:val="00710DA2"/>
    <w:rsid w:val="00710E57"/>
    <w:rsid w:val="00710F8F"/>
    <w:rsid w:val="00710FCF"/>
    <w:rsid w:val="00711059"/>
    <w:rsid w:val="00711218"/>
    <w:rsid w:val="00711266"/>
    <w:rsid w:val="007113C3"/>
    <w:rsid w:val="00711459"/>
    <w:rsid w:val="0071166E"/>
    <w:rsid w:val="00711686"/>
    <w:rsid w:val="00711705"/>
    <w:rsid w:val="0071177A"/>
    <w:rsid w:val="00711926"/>
    <w:rsid w:val="00711957"/>
    <w:rsid w:val="007119F5"/>
    <w:rsid w:val="00711A6E"/>
    <w:rsid w:val="00711ADB"/>
    <w:rsid w:val="00711AE9"/>
    <w:rsid w:val="00711B7C"/>
    <w:rsid w:val="00711B9A"/>
    <w:rsid w:val="00711BB6"/>
    <w:rsid w:val="00711BD5"/>
    <w:rsid w:val="00711C92"/>
    <w:rsid w:val="00711CF4"/>
    <w:rsid w:val="00711D82"/>
    <w:rsid w:val="00711DE2"/>
    <w:rsid w:val="00711E0F"/>
    <w:rsid w:val="00711E59"/>
    <w:rsid w:val="00711F01"/>
    <w:rsid w:val="00711F53"/>
    <w:rsid w:val="00712034"/>
    <w:rsid w:val="00712403"/>
    <w:rsid w:val="00712419"/>
    <w:rsid w:val="00712433"/>
    <w:rsid w:val="007124DB"/>
    <w:rsid w:val="0071256A"/>
    <w:rsid w:val="00712592"/>
    <w:rsid w:val="007125F6"/>
    <w:rsid w:val="00712612"/>
    <w:rsid w:val="00712744"/>
    <w:rsid w:val="00712747"/>
    <w:rsid w:val="0071290C"/>
    <w:rsid w:val="00712926"/>
    <w:rsid w:val="0071295D"/>
    <w:rsid w:val="00712972"/>
    <w:rsid w:val="00712B6A"/>
    <w:rsid w:val="00712C1C"/>
    <w:rsid w:val="00712C6A"/>
    <w:rsid w:val="00712CDF"/>
    <w:rsid w:val="00712DDF"/>
    <w:rsid w:val="00712EE8"/>
    <w:rsid w:val="00712F9C"/>
    <w:rsid w:val="00712FE7"/>
    <w:rsid w:val="00713135"/>
    <w:rsid w:val="00713189"/>
    <w:rsid w:val="00713195"/>
    <w:rsid w:val="007133E5"/>
    <w:rsid w:val="007133F9"/>
    <w:rsid w:val="007135DA"/>
    <w:rsid w:val="0071374D"/>
    <w:rsid w:val="007137A3"/>
    <w:rsid w:val="007137CC"/>
    <w:rsid w:val="00713811"/>
    <w:rsid w:val="007138C8"/>
    <w:rsid w:val="00713B73"/>
    <w:rsid w:val="00713BFB"/>
    <w:rsid w:val="00713CC1"/>
    <w:rsid w:val="00713DE0"/>
    <w:rsid w:val="00713E43"/>
    <w:rsid w:val="00713E71"/>
    <w:rsid w:val="00713E8E"/>
    <w:rsid w:val="00714098"/>
    <w:rsid w:val="007140A4"/>
    <w:rsid w:val="00714111"/>
    <w:rsid w:val="00714227"/>
    <w:rsid w:val="00714283"/>
    <w:rsid w:val="0071435D"/>
    <w:rsid w:val="00714420"/>
    <w:rsid w:val="007144B7"/>
    <w:rsid w:val="007144C2"/>
    <w:rsid w:val="0071472F"/>
    <w:rsid w:val="00714739"/>
    <w:rsid w:val="00714888"/>
    <w:rsid w:val="00714978"/>
    <w:rsid w:val="007149B5"/>
    <w:rsid w:val="00714A1E"/>
    <w:rsid w:val="00714B23"/>
    <w:rsid w:val="00714B2C"/>
    <w:rsid w:val="00714D45"/>
    <w:rsid w:val="00714F7F"/>
    <w:rsid w:val="00714F9E"/>
    <w:rsid w:val="00714FA5"/>
    <w:rsid w:val="0071506A"/>
    <w:rsid w:val="007150D5"/>
    <w:rsid w:val="007150DA"/>
    <w:rsid w:val="00715200"/>
    <w:rsid w:val="007152F9"/>
    <w:rsid w:val="007154F0"/>
    <w:rsid w:val="00715517"/>
    <w:rsid w:val="007155AB"/>
    <w:rsid w:val="0071563E"/>
    <w:rsid w:val="0071569C"/>
    <w:rsid w:val="007156E1"/>
    <w:rsid w:val="00715764"/>
    <w:rsid w:val="007157E4"/>
    <w:rsid w:val="0071583C"/>
    <w:rsid w:val="0071596F"/>
    <w:rsid w:val="00715C33"/>
    <w:rsid w:val="00715C39"/>
    <w:rsid w:val="00715D13"/>
    <w:rsid w:val="00715D2D"/>
    <w:rsid w:val="00715D6B"/>
    <w:rsid w:val="00715D73"/>
    <w:rsid w:val="00715DC9"/>
    <w:rsid w:val="00715DD4"/>
    <w:rsid w:val="00715E65"/>
    <w:rsid w:val="00715E74"/>
    <w:rsid w:val="00715E75"/>
    <w:rsid w:val="00715E84"/>
    <w:rsid w:val="00716004"/>
    <w:rsid w:val="00716085"/>
    <w:rsid w:val="007160C2"/>
    <w:rsid w:val="00716159"/>
    <w:rsid w:val="0071624D"/>
    <w:rsid w:val="0071641D"/>
    <w:rsid w:val="00716598"/>
    <w:rsid w:val="00716625"/>
    <w:rsid w:val="0071663A"/>
    <w:rsid w:val="00716678"/>
    <w:rsid w:val="007166D8"/>
    <w:rsid w:val="00716778"/>
    <w:rsid w:val="0071692E"/>
    <w:rsid w:val="00716A34"/>
    <w:rsid w:val="00716AC3"/>
    <w:rsid w:val="00716AF3"/>
    <w:rsid w:val="00716B48"/>
    <w:rsid w:val="00716BB5"/>
    <w:rsid w:val="00716D31"/>
    <w:rsid w:val="00716D4D"/>
    <w:rsid w:val="00716D61"/>
    <w:rsid w:val="00716D97"/>
    <w:rsid w:val="00716E3C"/>
    <w:rsid w:val="00716EAE"/>
    <w:rsid w:val="00716EFD"/>
    <w:rsid w:val="00716FD0"/>
    <w:rsid w:val="00717056"/>
    <w:rsid w:val="007170B8"/>
    <w:rsid w:val="007170DE"/>
    <w:rsid w:val="007170F3"/>
    <w:rsid w:val="0071710C"/>
    <w:rsid w:val="0071717F"/>
    <w:rsid w:val="007171F3"/>
    <w:rsid w:val="00717263"/>
    <w:rsid w:val="0071728B"/>
    <w:rsid w:val="007172E4"/>
    <w:rsid w:val="00717394"/>
    <w:rsid w:val="007173C8"/>
    <w:rsid w:val="007174C0"/>
    <w:rsid w:val="00717562"/>
    <w:rsid w:val="00717661"/>
    <w:rsid w:val="0071766B"/>
    <w:rsid w:val="007177E5"/>
    <w:rsid w:val="00717807"/>
    <w:rsid w:val="00717829"/>
    <w:rsid w:val="007178B7"/>
    <w:rsid w:val="00717AD7"/>
    <w:rsid w:val="00717B32"/>
    <w:rsid w:val="00717B71"/>
    <w:rsid w:val="00717CD9"/>
    <w:rsid w:val="00717DAE"/>
    <w:rsid w:val="00717DEE"/>
    <w:rsid w:val="00720034"/>
    <w:rsid w:val="007202AC"/>
    <w:rsid w:val="0072036B"/>
    <w:rsid w:val="007203A5"/>
    <w:rsid w:val="007203DB"/>
    <w:rsid w:val="007203ED"/>
    <w:rsid w:val="007204F6"/>
    <w:rsid w:val="00720563"/>
    <w:rsid w:val="0072056D"/>
    <w:rsid w:val="00720691"/>
    <w:rsid w:val="007206B9"/>
    <w:rsid w:val="007206BE"/>
    <w:rsid w:val="007206FE"/>
    <w:rsid w:val="00720788"/>
    <w:rsid w:val="0072096D"/>
    <w:rsid w:val="007209B3"/>
    <w:rsid w:val="00720A1A"/>
    <w:rsid w:val="00720B13"/>
    <w:rsid w:val="00720B76"/>
    <w:rsid w:val="00720B84"/>
    <w:rsid w:val="00720BC2"/>
    <w:rsid w:val="00720C00"/>
    <w:rsid w:val="00720C03"/>
    <w:rsid w:val="00720C44"/>
    <w:rsid w:val="00720C8F"/>
    <w:rsid w:val="00720C97"/>
    <w:rsid w:val="00720E34"/>
    <w:rsid w:val="00720E3D"/>
    <w:rsid w:val="00720E91"/>
    <w:rsid w:val="00720EA3"/>
    <w:rsid w:val="00720EC5"/>
    <w:rsid w:val="00720F32"/>
    <w:rsid w:val="00720F9E"/>
    <w:rsid w:val="00720FB7"/>
    <w:rsid w:val="00721001"/>
    <w:rsid w:val="0072111E"/>
    <w:rsid w:val="00721206"/>
    <w:rsid w:val="00721308"/>
    <w:rsid w:val="00721321"/>
    <w:rsid w:val="00721466"/>
    <w:rsid w:val="00721528"/>
    <w:rsid w:val="00721537"/>
    <w:rsid w:val="00721628"/>
    <w:rsid w:val="0072162A"/>
    <w:rsid w:val="00721658"/>
    <w:rsid w:val="00721689"/>
    <w:rsid w:val="0072174F"/>
    <w:rsid w:val="00721886"/>
    <w:rsid w:val="007219CF"/>
    <w:rsid w:val="007219E7"/>
    <w:rsid w:val="00721A4B"/>
    <w:rsid w:val="00721A7E"/>
    <w:rsid w:val="00721AF2"/>
    <w:rsid w:val="00721B12"/>
    <w:rsid w:val="00721B30"/>
    <w:rsid w:val="00721B34"/>
    <w:rsid w:val="00721BD2"/>
    <w:rsid w:val="00721C7A"/>
    <w:rsid w:val="00721CB9"/>
    <w:rsid w:val="00721D42"/>
    <w:rsid w:val="00721EDB"/>
    <w:rsid w:val="0072200D"/>
    <w:rsid w:val="0072208F"/>
    <w:rsid w:val="007221A1"/>
    <w:rsid w:val="007222B6"/>
    <w:rsid w:val="0072230D"/>
    <w:rsid w:val="0072238F"/>
    <w:rsid w:val="007224D3"/>
    <w:rsid w:val="0072252D"/>
    <w:rsid w:val="0072257C"/>
    <w:rsid w:val="007225C6"/>
    <w:rsid w:val="007226AA"/>
    <w:rsid w:val="007226B9"/>
    <w:rsid w:val="00722827"/>
    <w:rsid w:val="0072283E"/>
    <w:rsid w:val="00722851"/>
    <w:rsid w:val="0072286A"/>
    <w:rsid w:val="00722911"/>
    <w:rsid w:val="00722919"/>
    <w:rsid w:val="00722AEF"/>
    <w:rsid w:val="00722BAF"/>
    <w:rsid w:val="00722C6E"/>
    <w:rsid w:val="00722DA2"/>
    <w:rsid w:val="00722DC5"/>
    <w:rsid w:val="00722DD0"/>
    <w:rsid w:val="00722F4B"/>
    <w:rsid w:val="00722FE0"/>
    <w:rsid w:val="007230D7"/>
    <w:rsid w:val="00723184"/>
    <w:rsid w:val="007231C3"/>
    <w:rsid w:val="00723259"/>
    <w:rsid w:val="0072328C"/>
    <w:rsid w:val="007233F1"/>
    <w:rsid w:val="0072347A"/>
    <w:rsid w:val="007234DB"/>
    <w:rsid w:val="007234DC"/>
    <w:rsid w:val="007235E2"/>
    <w:rsid w:val="00723622"/>
    <w:rsid w:val="007236BD"/>
    <w:rsid w:val="007236F0"/>
    <w:rsid w:val="0072374D"/>
    <w:rsid w:val="00723844"/>
    <w:rsid w:val="007239A0"/>
    <w:rsid w:val="007239D4"/>
    <w:rsid w:val="00723B19"/>
    <w:rsid w:val="00723B45"/>
    <w:rsid w:val="00723B57"/>
    <w:rsid w:val="00723B97"/>
    <w:rsid w:val="00723BF2"/>
    <w:rsid w:val="00723C7B"/>
    <w:rsid w:val="00723D5A"/>
    <w:rsid w:val="00723DDB"/>
    <w:rsid w:val="00723E04"/>
    <w:rsid w:val="00723E86"/>
    <w:rsid w:val="00723ED9"/>
    <w:rsid w:val="0072401C"/>
    <w:rsid w:val="00724096"/>
    <w:rsid w:val="007240BC"/>
    <w:rsid w:val="00724193"/>
    <w:rsid w:val="00724240"/>
    <w:rsid w:val="00724243"/>
    <w:rsid w:val="007242CC"/>
    <w:rsid w:val="00724403"/>
    <w:rsid w:val="007244DA"/>
    <w:rsid w:val="007244FB"/>
    <w:rsid w:val="0072457F"/>
    <w:rsid w:val="00724595"/>
    <w:rsid w:val="00724619"/>
    <w:rsid w:val="00724796"/>
    <w:rsid w:val="007248E9"/>
    <w:rsid w:val="007248FC"/>
    <w:rsid w:val="00724A12"/>
    <w:rsid w:val="00724B4A"/>
    <w:rsid w:val="00724B5D"/>
    <w:rsid w:val="00724C30"/>
    <w:rsid w:val="00724C71"/>
    <w:rsid w:val="00724CA0"/>
    <w:rsid w:val="00724D68"/>
    <w:rsid w:val="00724DDC"/>
    <w:rsid w:val="00724EAC"/>
    <w:rsid w:val="00724EB5"/>
    <w:rsid w:val="00724ED2"/>
    <w:rsid w:val="00724FDC"/>
    <w:rsid w:val="00725116"/>
    <w:rsid w:val="0072520F"/>
    <w:rsid w:val="00725299"/>
    <w:rsid w:val="007252E7"/>
    <w:rsid w:val="00725309"/>
    <w:rsid w:val="007253B2"/>
    <w:rsid w:val="007253B7"/>
    <w:rsid w:val="0072555E"/>
    <w:rsid w:val="0072559B"/>
    <w:rsid w:val="007255D6"/>
    <w:rsid w:val="007256C4"/>
    <w:rsid w:val="007257F2"/>
    <w:rsid w:val="007257F4"/>
    <w:rsid w:val="00725810"/>
    <w:rsid w:val="00725847"/>
    <w:rsid w:val="0072596E"/>
    <w:rsid w:val="00725A11"/>
    <w:rsid w:val="00725A6C"/>
    <w:rsid w:val="00725B15"/>
    <w:rsid w:val="00725B8A"/>
    <w:rsid w:val="00725BDE"/>
    <w:rsid w:val="00725C1A"/>
    <w:rsid w:val="00725CAA"/>
    <w:rsid w:val="00725D65"/>
    <w:rsid w:val="00725D90"/>
    <w:rsid w:val="00725EBF"/>
    <w:rsid w:val="00725F3A"/>
    <w:rsid w:val="00725FAF"/>
    <w:rsid w:val="00726091"/>
    <w:rsid w:val="007260FE"/>
    <w:rsid w:val="007262D3"/>
    <w:rsid w:val="007263AA"/>
    <w:rsid w:val="007263DA"/>
    <w:rsid w:val="00726401"/>
    <w:rsid w:val="0072645C"/>
    <w:rsid w:val="007264D7"/>
    <w:rsid w:val="00726557"/>
    <w:rsid w:val="00726584"/>
    <w:rsid w:val="00726589"/>
    <w:rsid w:val="007265AA"/>
    <w:rsid w:val="00726701"/>
    <w:rsid w:val="00726787"/>
    <w:rsid w:val="007267DD"/>
    <w:rsid w:val="007268EB"/>
    <w:rsid w:val="007269C5"/>
    <w:rsid w:val="00726A33"/>
    <w:rsid w:val="00726A63"/>
    <w:rsid w:val="00726A6A"/>
    <w:rsid w:val="00726ABC"/>
    <w:rsid w:val="00726BAC"/>
    <w:rsid w:val="00726BBA"/>
    <w:rsid w:val="00726C18"/>
    <w:rsid w:val="00726CBE"/>
    <w:rsid w:val="00726CF6"/>
    <w:rsid w:val="00726E70"/>
    <w:rsid w:val="00726F97"/>
    <w:rsid w:val="00727095"/>
    <w:rsid w:val="0072709F"/>
    <w:rsid w:val="00727106"/>
    <w:rsid w:val="0072713F"/>
    <w:rsid w:val="00727197"/>
    <w:rsid w:val="0072719B"/>
    <w:rsid w:val="00727261"/>
    <w:rsid w:val="0072732E"/>
    <w:rsid w:val="007273BC"/>
    <w:rsid w:val="00727479"/>
    <w:rsid w:val="00727613"/>
    <w:rsid w:val="0072771C"/>
    <w:rsid w:val="007277F7"/>
    <w:rsid w:val="00727838"/>
    <w:rsid w:val="00727843"/>
    <w:rsid w:val="00727898"/>
    <w:rsid w:val="00727927"/>
    <w:rsid w:val="00727A0B"/>
    <w:rsid w:val="00727A95"/>
    <w:rsid w:val="00727AB3"/>
    <w:rsid w:val="00727B03"/>
    <w:rsid w:val="00727BDF"/>
    <w:rsid w:val="00727C99"/>
    <w:rsid w:val="00727E62"/>
    <w:rsid w:val="00727F5C"/>
    <w:rsid w:val="00727F87"/>
    <w:rsid w:val="00727FF8"/>
    <w:rsid w:val="00730236"/>
    <w:rsid w:val="007302AD"/>
    <w:rsid w:val="0073033E"/>
    <w:rsid w:val="0073047B"/>
    <w:rsid w:val="00730508"/>
    <w:rsid w:val="0073091F"/>
    <w:rsid w:val="00730927"/>
    <w:rsid w:val="00730966"/>
    <w:rsid w:val="007309AA"/>
    <w:rsid w:val="00730B01"/>
    <w:rsid w:val="00730B11"/>
    <w:rsid w:val="00730B65"/>
    <w:rsid w:val="00730CA8"/>
    <w:rsid w:val="00730D88"/>
    <w:rsid w:val="00730DC1"/>
    <w:rsid w:val="00730DF2"/>
    <w:rsid w:val="00730E90"/>
    <w:rsid w:val="00730E98"/>
    <w:rsid w:val="00730F6B"/>
    <w:rsid w:val="00730FAA"/>
    <w:rsid w:val="00730FD8"/>
    <w:rsid w:val="00731093"/>
    <w:rsid w:val="007310E1"/>
    <w:rsid w:val="007310E8"/>
    <w:rsid w:val="00731120"/>
    <w:rsid w:val="0073113E"/>
    <w:rsid w:val="0073114E"/>
    <w:rsid w:val="0073126E"/>
    <w:rsid w:val="00731288"/>
    <w:rsid w:val="0073129F"/>
    <w:rsid w:val="007312E5"/>
    <w:rsid w:val="007312F1"/>
    <w:rsid w:val="007313BC"/>
    <w:rsid w:val="00731610"/>
    <w:rsid w:val="007316C9"/>
    <w:rsid w:val="007316F3"/>
    <w:rsid w:val="0073178B"/>
    <w:rsid w:val="0073188E"/>
    <w:rsid w:val="00731928"/>
    <w:rsid w:val="00731C98"/>
    <w:rsid w:val="00731CB2"/>
    <w:rsid w:val="00731DF4"/>
    <w:rsid w:val="00731E39"/>
    <w:rsid w:val="00731EB2"/>
    <w:rsid w:val="00731ED8"/>
    <w:rsid w:val="00731ED9"/>
    <w:rsid w:val="00731F14"/>
    <w:rsid w:val="00731F6F"/>
    <w:rsid w:val="00732002"/>
    <w:rsid w:val="00732069"/>
    <w:rsid w:val="007320D8"/>
    <w:rsid w:val="007322C3"/>
    <w:rsid w:val="0073237E"/>
    <w:rsid w:val="00732386"/>
    <w:rsid w:val="007323E1"/>
    <w:rsid w:val="0073242E"/>
    <w:rsid w:val="007324C4"/>
    <w:rsid w:val="0073252F"/>
    <w:rsid w:val="00732543"/>
    <w:rsid w:val="00732554"/>
    <w:rsid w:val="007327CE"/>
    <w:rsid w:val="007328BB"/>
    <w:rsid w:val="00732AD4"/>
    <w:rsid w:val="00732B33"/>
    <w:rsid w:val="00732BDA"/>
    <w:rsid w:val="00732C72"/>
    <w:rsid w:val="00732CFD"/>
    <w:rsid w:val="00732D20"/>
    <w:rsid w:val="00732D6A"/>
    <w:rsid w:val="00732D95"/>
    <w:rsid w:val="00732E1D"/>
    <w:rsid w:val="00732FCB"/>
    <w:rsid w:val="00732FD9"/>
    <w:rsid w:val="0073300B"/>
    <w:rsid w:val="00733031"/>
    <w:rsid w:val="00733032"/>
    <w:rsid w:val="00733179"/>
    <w:rsid w:val="00733231"/>
    <w:rsid w:val="00733235"/>
    <w:rsid w:val="0073330F"/>
    <w:rsid w:val="0073331F"/>
    <w:rsid w:val="00733352"/>
    <w:rsid w:val="007333F8"/>
    <w:rsid w:val="00733613"/>
    <w:rsid w:val="007336D0"/>
    <w:rsid w:val="00733763"/>
    <w:rsid w:val="0073377D"/>
    <w:rsid w:val="00733867"/>
    <w:rsid w:val="00733966"/>
    <w:rsid w:val="007339A2"/>
    <w:rsid w:val="00733A10"/>
    <w:rsid w:val="00733B9D"/>
    <w:rsid w:val="00733C2D"/>
    <w:rsid w:val="00733C75"/>
    <w:rsid w:val="00733CA9"/>
    <w:rsid w:val="00733CC7"/>
    <w:rsid w:val="00733D26"/>
    <w:rsid w:val="00733D7C"/>
    <w:rsid w:val="00733DD7"/>
    <w:rsid w:val="00733EBF"/>
    <w:rsid w:val="00733F1A"/>
    <w:rsid w:val="00733F61"/>
    <w:rsid w:val="0073405E"/>
    <w:rsid w:val="00734167"/>
    <w:rsid w:val="007342D5"/>
    <w:rsid w:val="007342D8"/>
    <w:rsid w:val="007343B7"/>
    <w:rsid w:val="007343CB"/>
    <w:rsid w:val="007344E5"/>
    <w:rsid w:val="00734646"/>
    <w:rsid w:val="007347C0"/>
    <w:rsid w:val="007347E4"/>
    <w:rsid w:val="00734960"/>
    <w:rsid w:val="00734A37"/>
    <w:rsid w:val="00734A7F"/>
    <w:rsid w:val="00734A95"/>
    <w:rsid w:val="00734CE0"/>
    <w:rsid w:val="00734E16"/>
    <w:rsid w:val="00734E75"/>
    <w:rsid w:val="00734ED2"/>
    <w:rsid w:val="00734FB5"/>
    <w:rsid w:val="00734FBB"/>
    <w:rsid w:val="00735037"/>
    <w:rsid w:val="00735196"/>
    <w:rsid w:val="007351CE"/>
    <w:rsid w:val="007352B9"/>
    <w:rsid w:val="007352E2"/>
    <w:rsid w:val="00735340"/>
    <w:rsid w:val="00735364"/>
    <w:rsid w:val="007353F7"/>
    <w:rsid w:val="007354F6"/>
    <w:rsid w:val="0073561A"/>
    <w:rsid w:val="00735649"/>
    <w:rsid w:val="0073564A"/>
    <w:rsid w:val="007357DD"/>
    <w:rsid w:val="0073590A"/>
    <w:rsid w:val="0073599E"/>
    <w:rsid w:val="00735A41"/>
    <w:rsid w:val="00735A91"/>
    <w:rsid w:val="00735AD9"/>
    <w:rsid w:val="00735AF6"/>
    <w:rsid w:val="00735B48"/>
    <w:rsid w:val="00735D0E"/>
    <w:rsid w:val="00735D49"/>
    <w:rsid w:val="00735DB6"/>
    <w:rsid w:val="00735F1A"/>
    <w:rsid w:val="00736024"/>
    <w:rsid w:val="0073610F"/>
    <w:rsid w:val="0073614E"/>
    <w:rsid w:val="00736209"/>
    <w:rsid w:val="0073629A"/>
    <w:rsid w:val="00736349"/>
    <w:rsid w:val="0073637C"/>
    <w:rsid w:val="00736566"/>
    <w:rsid w:val="00736630"/>
    <w:rsid w:val="00736676"/>
    <w:rsid w:val="007366C1"/>
    <w:rsid w:val="0073692F"/>
    <w:rsid w:val="00736948"/>
    <w:rsid w:val="00736976"/>
    <w:rsid w:val="007369A4"/>
    <w:rsid w:val="007369AA"/>
    <w:rsid w:val="00736A70"/>
    <w:rsid w:val="00736AA5"/>
    <w:rsid w:val="00736B3D"/>
    <w:rsid w:val="00736C13"/>
    <w:rsid w:val="00736C3A"/>
    <w:rsid w:val="00736C45"/>
    <w:rsid w:val="00736C7B"/>
    <w:rsid w:val="00736CBA"/>
    <w:rsid w:val="00736D07"/>
    <w:rsid w:val="00736D26"/>
    <w:rsid w:val="00736F01"/>
    <w:rsid w:val="007370B2"/>
    <w:rsid w:val="007371E9"/>
    <w:rsid w:val="0073728A"/>
    <w:rsid w:val="007372A6"/>
    <w:rsid w:val="007372A7"/>
    <w:rsid w:val="00737335"/>
    <w:rsid w:val="007373E8"/>
    <w:rsid w:val="0073743A"/>
    <w:rsid w:val="007374C5"/>
    <w:rsid w:val="0073750D"/>
    <w:rsid w:val="00737510"/>
    <w:rsid w:val="00737519"/>
    <w:rsid w:val="0073767F"/>
    <w:rsid w:val="0073770E"/>
    <w:rsid w:val="00737775"/>
    <w:rsid w:val="007377AC"/>
    <w:rsid w:val="00737863"/>
    <w:rsid w:val="007378D4"/>
    <w:rsid w:val="00737921"/>
    <w:rsid w:val="00737940"/>
    <w:rsid w:val="0073797F"/>
    <w:rsid w:val="007379D3"/>
    <w:rsid w:val="00737A81"/>
    <w:rsid w:val="00737B0D"/>
    <w:rsid w:val="00737B44"/>
    <w:rsid w:val="00737B5F"/>
    <w:rsid w:val="00737B7F"/>
    <w:rsid w:val="00737BB2"/>
    <w:rsid w:val="00737C71"/>
    <w:rsid w:val="00737CA4"/>
    <w:rsid w:val="00737CAF"/>
    <w:rsid w:val="00737DA7"/>
    <w:rsid w:val="00737E1F"/>
    <w:rsid w:val="00737E21"/>
    <w:rsid w:val="00737ED9"/>
    <w:rsid w:val="0074002C"/>
    <w:rsid w:val="0074015A"/>
    <w:rsid w:val="0074018A"/>
    <w:rsid w:val="007401F8"/>
    <w:rsid w:val="00740317"/>
    <w:rsid w:val="00740327"/>
    <w:rsid w:val="00740354"/>
    <w:rsid w:val="00740588"/>
    <w:rsid w:val="0074063C"/>
    <w:rsid w:val="0074072B"/>
    <w:rsid w:val="00740757"/>
    <w:rsid w:val="0074075E"/>
    <w:rsid w:val="00740782"/>
    <w:rsid w:val="00740798"/>
    <w:rsid w:val="00740833"/>
    <w:rsid w:val="007408B7"/>
    <w:rsid w:val="00740A1D"/>
    <w:rsid w:val="00740A56"/>
    <w:rsid w:val="00740B98"/>
    <w:rsid w:val="00740C37"/>
    <w:rsid w:val="00740C48"/>
    <w:rsid w:val="00740EB4"/>
    <w:rsid w:val="00740F8B"/>
    <w:rsid w:val="00741133"/>
    <w:rsid w:val="007411ED"/>
    <w:rsid w:val="00741239"/>
    <w:rsid w:val="007412F7"/>
    <w:rsid w:val="00741310"/>
    <w:rsid w:val="00741330"/>
    <w:rsid w:val="00741384"/>
    <w:rsid w:val="007413E5"/>
    <w:rsid w:val="00741431"/>
    <w:rsid w:val="0074144A"/>
    <w:rsid w:val="007414F5"/>
    <w:rsid w:val="00741523"/>
    <w:rsid w:val="0074155A"/>
    <w:rsid w:val="0074159C"/>
    <w:rsid w:val="007416C1"/>
    <w:rsid w:val="007416D9"/>
    <w:rsid w:val="0074184E"/>
    <w:rsid w:val="007418B4"/>
    <w:rsid w:val="007418FF"/>
    <w:rsid w:val="00741907"/>
    <w:rsid w:val="007419CD"/>
    <w:rsid w:val="007419D8"/>
    <w:rsid w:val="00741A28"/>
    <w:rsid w:val="00741A80"/>
    <w:rsid w:val="00741B22"/>
    <w:rsid w:val="00741C7A"/>
    <w:rsid w:val="00741CB8"/>
    <w:rsid w:val="00741CBE"/>
    <w:rsid w:val="00741D97"/>
    <w:rsid w:val="00742150"/>
    <w:rsid w:val="00742195"/>
    <w:rsid w:val="0074237B"/>
    <w:rsid w:val="007423FA"/>
    <w:rsid w:val="00742430"/>
    <w:rsid w:val="007425B5"/>
    <w:rsid w:val="00742694"/>
    <w:rsid w:val="0074269A"/>
    <w:rsid w:val="00742729"/>
    <w:rsid w:val="00742757"/>
    <w:rsid w:val="0074284C"/>
    <w:rsid w:val="007429AA"/>
    <w:rsid w:val="00742A9B"/>
    <w:rsid w:val="00742AE7"/>
    <w:rsid w:val="00742B0A"/>
    <w:rsid w:val="00742BBB"/>
    <w:rsid w:val="00742C8C"/>
    <w:rsid w:val="00742CAB"/>
    <w:rsid w:val="00742CB5"/>
    <w:rsid w:val="00742D38"/>
    <w:rsid w:val="00742D50"/>
    <w:rsid w:val="00742D86"/>
    <w:rsid w:val="00742DD1"/>
    <w:rsid w:val="00742E48"/>
    <w:rsid w:val="00742E49"/>
    <w:rsid w:val="00742E81"/>
    <w:rsid w:val="00742E99"/>
    <w:rsid w:val="00742EC8"/>
    <w:rsid w:val="00742F00"/>
    <w:rsid w:val="00742F6F"/>
    <w:rsid w:val="00742F76"/>
    <w:rsid w:val="00743008"/>
    <w:rsid w:val="007430C2"/>
    <w:rsid w:val="0074310A"/>
    <w:rsid w:val="00743128"/>
    <w:rsid w:val="007431FF"/>
    <w:rsid w:val="00743233"/>
    <w:rsid w:val="0074328D"/>
    <w:rsid w:val="00743392"/>
    <w:rsid w:val="007433E9"/>
    <w:rsid w:val="00743461"/>
    <w:rsid w:val="007434A0"/>
    <w:rsid w:val="00743528"/>
    <w:rsid w:val="00743547"/>
    <w:rsid w:val="00743756"/>
    <w:rsid w:val="007437BE"/>
    <w:rsid w:val="0074382B"/>
    <w:rsid w:val="00743853"/>
    <w:rsid w:val="00743891"/>
    <w:rsid w:val="007438B5"/>
    <w:rsid w:val="007439AA"/>
    <w:rsid w:val="00743B34"/>
    <w:rsid w:val="00743B75"/>
    <w:rsid w:val="00743BD9"/>
    <w:rsid w:val="00743DA8"/>
    <w:rsid w:val="00743E7D"/>
    <w:rsid w:val="00743EC4"/>
    <w:rsid w:val="00743F13"/>
    <w:rsid w:val="007440BF"/>
    <w:rsid w:val="0074425C"/>
    <w:rsid w:val="00744275"/>
    <w:rsid w:val="007443C9"/>
    <w:rsid w:val="007443E2"/>
    <w:rsid w:val="007444AC"/>
    <w:rsid w:val="007444BE"/>
    <w:rsid w:val="007444C9"/>
    <w:rsid w:val="00744652"/>
    <w:rsid w:val="007446AD"/>
    <w:rsid w:val="0074473B"/>
    <w:rsid w:val="0074479B"/>
    <w:rsid w:val="007448D2"/>
    <w:rsid w:val="00744BEA"/>
    <w:rsid w:val="00744DDA"/>
    <w:rsid w:val="00744EC7"/>
    <w:rsid w:val="00745049"/>
    <w:rsid w:val="00745143"/>
    <w:rsid w:val="00745465"/>
    <w:rsid w:val="0074567F"/>
    <w:rsid w:val="007456CE"/>
    <w:rsid w:val="007457C2"/>
    <w:rsid w:val="0074588A"/>
    <w:rsid w:val="007458DE"/>
    <w:rsid w:val="007459B4"/>
    <w:rsid w:val="007459CD"/>
    <w:rsid w:val="00745A5B"/>
    <w:rsid w:val="00745BB2"/>
    <w:rsid w:val="00745BBC"/>
    <w:rsid w:val="00745BD1"/>
    <w:rsid w:val="00745C63"/>
    <w:rsid w:val="00745C84"/>
    <w:rsid w:val="00745D7E"/>
    <w:rsid w:val="00745EC7"/>
    <w:rsid w:val="00745F1D"/>
    <w:rsid w:val="00745F86"/>
    <w:rsid w:val="00745FBD"/>
    <w:rsid w:val="007460A3"/>
    <w:rsid w:val="007461B9"/>
    <w:rsid w:val="00746228"/>
    <w:rsid w:val="00746277"/>
    <w:rsid w:val="007462B1"/>
    <w:rsid w:val="007462B6"/>
    <w:rsid w:val="007463FA"/>
    <w:rsid w:val="00746597"/>
    <w:rsid w:val="007466A2"/>
    <w:rsid w:val="007466A4"/>
    <w:rsid w:val="007466C9"/>
    <w:rsid w:val="00746708"/>
    <w:rsid w:val="0074687F"/>
    <w:rsid w:val="007469F3"/>
    <w:rsid w:val="00746A62"/>
    <w:rsid w:val="00746A88"/>
    <w:rsid w:val="00746ABD"/>
    <w:rsid w:val="00746AD6"/>
    <w:rsid w:val="00746AE2"/>
    <w:rsid w:val="00746B3C"/>
    <w:rsid w:val="00746C66"/>
    <w:rsid w:val="00746D1A"/>
    <w:rsid w:val="00746D94"/>
    <w:rsid w:val="00746D98"/>
    <w:rsid w:val="00746F09"/>
    <w:rsid w:val="00746F6C"/>
    <w:rsid w:val="00746FC5"/>
    <w:rsid w:val="00746FF0"/>
    <w:rsid w:val="007470EB"/>
    <w:rsid w:val="007471BE"/>
    <w:rsid w:val="00747268"/>
    <w:rsid w:val="0074734F"/>
    <w:rsid w:val="007473CB"/>
    <w:rsid w:val="00747464"/>
    <w:rsid w:val="00747493"/>
    <w:rsid w:val="00747511"/>
    <w:rsid w:val="0074752A"/>
    <w:rsid w:val="007475B5"/>
    <w:rsid w:val="007475EE"/>
    <w:rsid w:val="00747621"/>
    <w:rsid w:val="0074766D"/>
    <w:rsid w:val="007478D4"/>
    <w:rsid w:val="007478DB"/>
    <w:rsid w:val="00747944"/>
    <w:rsid w:val="007479E3"/>
    <w:rsid w:val="00747A97"/>
    <w:rsid w:val="00747B3C"/>
    <w:rsid w:val="00747CFD"/>
    <w:rsid w:val="00747D07"/>
    <w:rsid w:val="00747D28"/>
    <w:rsid w:val="00747D38"/>
    <w:rsid w:val="00747D50"/>
    <w:rsid w:val="00747D87"/>
    <w:rsid w:val="00747E65"/>
    <w:rsid w:val="00747EBB"/>
    <w:rsid w:val="00747FA0"/>
    <w:rsid w:val="007500AD"/>
    <w:rsid w:val="007500D5"/>
    <w:rsid w:val="0075016E"/>
    <w:rsid w:val="007501D2"/>
    <w:rsid w:val="00750288"/>
    <w:rsid w:val="0075039E"/>
    <w:rsid w:val="00750442"/>
    <w:rsid w:val="007504AA"/>
    <w:rsid w:val="0075053D"/>
    <w:rsid w:val="00750540"/>
    <w:rsid w:val="007505B1"/>
    <w:rsid w:val="00750673"/>
    <w:rsid w:val="00750678"/>
    <w:rsid w:val="00750770"/>
    <w:rsid w:val="00750789"/>
    <w:rsid w:val="007507AD"/>
    <w:rsid w:val="007507DF"/>
    <w:rsid w:val="0075082C"/>
    <w:rsid w:val="0075082E"/>
    <w:rsid w:val="0075084A"/>
    <w:rsid w:val="00750AC6"/>
    <w:rsid w:val="00750AD0"/>
    <w:rsid w:val="00750AFF"/>
    <w:rsid w:val="00750B1B"/>
    <w:rsid w:val="00750BCC"/>
    <w:rsid w:val="00750C52"/>
    <w:rsid w:val="00750C81"/>
    <w:rsid w:val="00750C8D"/>
    <w:rsid w:val="00750D82"/>
    <w:rsid w:val="00750DFF"/>
    <w:rsid w:val="00750E29"/>
    <w:rsid w:val="00750E58"/>
    <w:rsid w:val="00750EBB"/>
    <w:rsid w:val="00750F44"/>
    <w:rsid w:val="00750F7F"/>
    <w:rsid w:val="00751030"/>
    <w:rsid w:val="007510F1"/>
    <w:rsid w:val="00751172"/>
    <w:rsid w:val="00751297"/>
    <w:rsid w:val="007512CC"/>
    <w:rsid w:val="007512F6"/>
    <w:rsid w:val="00751304"/>
    <w:rsid w:val="00751327"/>
    <w:rsid w:val="0075133C"/>
    <w:rsid w:val="0075134E"/>
    <w:rsid w:val="0075136D"/>
    <w:rsid w:val="0075138D"/>
    <w:rsid w:val="0075145E"/>
    <w:rsid w:val="007514B4"/>
    <w:rsid w:val="0075157C"/>
    <w:rsid w:val="00751597"/>
    <w:rsid w:val="00751697"/>
    <w:rsid w:val="007516A9"/>
    <w:rsid w:val="007516C2"/>
    <w:rsid w:val="007518CD"/>
    <w:rsid w:val="00751A4C"/>
    <w:rsid w:val="00751A52"/>
    <w:rsid w:val="00751A93"/>
    <w:rsid w:val="00751C98"/>
    <w:rsid w:val="00751D5E"/>
    <w:rsid w:val="00751DE7"/>
    <w:rsid w:val="00751EAB"/>
    <w:rsid w:val="00751F11"/>
    <w:rsid w:val="00751F21"/>
    <w:rsid w:val="007520BC"/>
    <w:rsid w:val="00752148"/>
    <w:rsid w:val="00752289"/>
    <w:rsid w:val="00752307"/>
    <w:rsid w:val="00752471"/>
    <w:rsid w:val="00752567"/>
    <w:rsid w:val="00752577"/>
    <w:rsid w:val="00752626"/>
    <w:rsid w:val="00752658"/>
    <w:rsid w:val="0075267A"/>
    <w:rsid w:val="00752802"/>
    <w:rsid w:val="00752838"/>
    <w:rsid w:val="0075283D"/>
    <w:rsid w:val="0075288E"/>
    <w:rsid w:val="00752A3B"/>
    <w:rsid w:val="00752ACD"/>
    <w:rsid w:val="00752B93"/>
    <w:rsid w:val="00752BAD"/>
    <w:rsid w:val="00752BC4"/>
    <w:rsid w:val="00752BD0"/>
    <w:rsid w:val="00752C49"/>
    <w:rsid w:val="00752CAD"/>
    <w:rsid w:val="00752CB4"/>
    <w:rsid w:val="00752DF1"/>
    <w:rsid w:val="00752F06"/>
    <w:rsid w:val="00753048"/>
    <w:rsid w:val="00753072"/>
    <w:rsid w:val="0075308F"/>
    <w:rsid w:val="007530BA"/>
    <w:rsid w:val="0075314B"/>
    <w:rsid w:val="007531F3"/>
    <w:rsid w:val="00753258"/>
    <w:rsid w:val="0075329D"/>
    <w:rsid w:val="00753396"/>
    <w:rsid w:val="007533B4"/>
    <w:rsid w:val="007535A1"/>
    <w:rsid w:val="007536EB"/>
    <w:rsid w:val="0075375C"/>
    <w:rsid w:val="0075378C"/>
    <w:rsid w:val="00753811"/>
    <w:rsid w:val="0075381D"/>
    <w:rsid w:val="00753838"/>
    <w:rsid w:val="00753884"/>
    <w:rsid w:val="007538DA"/>
    <w:rsid w:val="0075390E"/>
    <w:rsid w:val="0075398F"/>
    <w:rsid w:val="00753A8E"/>
    <w:rsid w:val="00753AAE"/>
    <w:rsid w:val="00753B04"/>
    <w:rsid w:val="00753B56"/>
    <w:rsid w:val="00753B9F"/>
    <w:rsid w:val="00753CA6"/>
    <w:rsid w:val="00753CA9"/>
    <w:rsid w:val="00753D0F"/>
    <w:rsid w:val="00753D63"/>
    <w:rsid w:val="00753D9B"/>
    <w:rsid w:val="00753E6B"/>
    <w:rsid w:val="00753E9E"/>
    <w:rsid w:val="007540E3"/>
    <w:rsid w:val="00754133"/>
    <w:rsid w:val="00754305"/>
    <w:rsid w:val="00754322"/>
    <w:rsid w:val="00754396"/>
    <w:rsid w:val="007543D1"/>
    <w:rsid w:val="00754573"/>
    <w:rsid w:val="0075474F"/>
    <w:rsid w:val="00754776"/>
    <w:rsid w:val="007547D1"/>
    <w:rsid w:val="007547F4"/>
    <w:rsid w:val="0075489C"/>
    <w:rsid w:val="007548FA"/>
    <w:rsid w:val="00754A25"/>
    <w:rsid w:val="00754C29"/>
    <w:rsid w:val="00754D38"/>
    <w:rsid w:val="00754D78"/>
    <w:rsid w:val="00754DB8"/>
    <w:rsid w:val="00754DC6"/>
    <w:rsid w:val="00754DE3"/>
    <w:rsid w:val="00754DEE"/>
    <w:rsid w:val="00754FDA"/>
    <w:rsid w:val="0075501A"/>
    <w:rsid w:val="0075505A"/>
    <w:rsid w:val="00755093"/>
    <w:rsid w:val="007550EB"/>
    <w:rsid w:val="0075510F"/>
    <w:rsid w:val="00755228"/>
    <w:rsid w:val="0075537C"/>
    <w:rsid w:val="00755407"/>
    <w:rsid w:val="0075544C"/>
    <w:rsid w:val="0075546D"/>
    <w:rsid w:val="007554DE"/>
    <w:rsid w:val="0075554C"/>
    <w:rsid w:val="0075558E"/>
    <w:rsid w:val="00755650"/>
    <w:rsid w:val="00755696"/>
    <w:rsid w:val="007557B8"/>
    <w:rsid w:val="007558B5"/>
    <w:rsid w:val="007558DF"/>
    <w:rsid w:val="007559A8"/>
    <w:rsid w:val="007559F2"/>
    <w:rsid w:val="00755AB6"/>
    <w:rsid w:val="00755B41"/>
    <w:rsid w:val="00755C87"/>
    <w:rsid w:val="00755DC1"/>
    <w:rsid w:val="00755F42"/>
    <w:rsid w:val="00755FA2"/>
    <w:rsid w:val="00756051"/>
    <w:rsid w:val="007560E8"/>
    <w:rsid w:val="00756191"/>
    <w:rsid w:val="00756275"/>
    <w:rsid w:val="007563DE"/>
    <w:rsid w:val="007564C6"/>
    <w:rsid w:val="0075663B"/>
    <w:rsid w:val="00756694"/>
    <w:rsid w:val="0075672F"/>
    <w:rsid w:val="007567E4"/>
    <w:rsid w:val="0075688C"/>
    <w:rsid w:val="00756955"/>
    <w:rsid w:val="0075696B"/>
    <w:rsid w:val="00756A05"/>
    <w:rsid w:val="00756A94"/>
    <w:rsid w:val="00756AA3"/>
    <w:rsid w:val="00756C59"/>
    <w:rsid w:val="00756D84"/>
    <w:rsid w:val="00756D85"/>
    <w:rsid w:val="00756DA3"/>
    <w:rsid w:val="00756E78"/>
    <w:rsid w:val="00756F5B"/>
    <w:rsid w:val="00757070"/>
    <w:rsid w:val="00757158"/>
    <w:rsid w:val="0075719F"/>
    <w:rsid w:val="007571AD"/>
    <w:rsid w:val="0075720F"/>
    <w:rsid w:val="007572F9"/>
    <w:rsid w:val="00757367"/>
    <w:rsid w:val="007573AE"/>
    <w:rsid w:val="00757503"/>
    <w:rsid w:val="00757650"/>
    <w:rsid w:val="007576BB"/>
    <w:rsid w:val="007576D0"/>
    <w:rsid w:val="007576E0"/>
    <w:rsid w:val="00757718"/>
    <w:rsid w:val="00757742"/>
    <w:rsid w:val="00757745"/>
    <w:rsid w:val="0075777E"/>
    <w:rsid w:val="007577A5"/>
    <w:rsid w:val="007577C8"/>
    <w:rsid w:val="00757971"/>
    <w:rsid w:val="007579CD"/>
    <w:rsid w:val="00757A6E"/>
    <w:rsid w:val="00757BC4"/>
    <w:rsid w:val="00757C7B"/>
    <w:rsid w:val="00757C99"/>
    <w:rsid w:val="00757CA6"/>
    <w:rsid w:val="00757CDB"/>
    <w:rsid w:val="00757DF5"/>
    <w:rsid w:val="00757F8F"/>
    <w:rsid w:val="0076003E"/>
    <w:rsid w:val="007600C7"/>
    <w:rsid w:val="0076012F"/>
    <w:rsid w:val="00760185"/>
    <w:rsid w:val="007601A9"/>
    <w:rsid w:val="007601AD"/>
    <w:rsid w:val="0076022C"/>
    <w:rsid w:val="0076027A"/>
    <w:rsid w:val="00760336"/>
    <w:rsid w:val="0076040B"/>
    <w:rsid w:val="00760466"/>
    <w:rsid w:val="007604C5"/>
    <w:rsid w:val="00760660"/>
    <w:rsid w:val="00760754"/>
    <w:rsid w:val="00760767"/>
    <w:rsid w:val="007607B8"/>
    <w:rsid w:val="007607EA"/>
    <w:rsid w:val="0076081F"/>
    <w:rsid w:val="007608B4"/>
    <w:rsid w:val="00760931"/>
    <w:rsid w:val="00760A41"/>
    <w:rsid w:val="00760B02"/>
    <w:rsid w:val="00760B1A"/>
    <w:rsid w:val="00760B75"/>
    <w:rsid w:val="00760C85"/>
    <w:rsid w:val="00760D97"/>
    <w:rsid w:val="00760EB3"/>
    <w:rsid w:val="00760F97"/>
    <w:rsid w:val="00761075"/>
    <w:rsid w:val="0076108B"/>
    <w:rsid w:val="007610DE"/>
    <w:rsid w:val="00761141"/>
    <w:rsid w:val="007611CD"/>
    <w:rsid w:val="0076125D"/>
    <w:rsid w:val="00761269"/>
    <w:rsid w:val="00761299"/>
    <w:rsid w:val="007612D5"/>
    <w:rsid w:val="007612DC"/>
    <w:rsid w:val="00761342"/>
    <w:rsid w:val="007613DB"/>
    <w:rsid w:val="00761446"/>
    <w:rsid w:val="00761455"/>
    <w:rsid w:val="0076146F"/>
    <w:rsid w:val="0076155B"/>
    <w:rsid w:val="007615A5"/>
    <w:rsid w:val="007616B0"/>
    <w:rsid w:val="0076175C"/>
    <w:rsid w:val="007617E6"/>
    <w:rsid w:val="0076182F"/>
    <w:rsid w:val="0076185B"/>
    <w:rsid w:val="0076188D"/>
    <w:rsid w:val="007618AE"/>
    <w:rsid w:val="00761914"/>
    <w:rsid w:val="0076194B"/>
    <w:rsid w:val="00761A08"/>
    <w:rsid w:val="00761D12"/>
    <w:rsid w:val="00761DBA"/>
    <w:rsid w:val="00761F1C"/>
    <w:rsid w:val="00761F73"/>
    <w:rsid w:val="00761F77"/>
    <w:rsid w:val="00761FC3"/>
    <w:rsid w:val="00761FF3"/>
    <w:rsid w:val="00762077"/>
    <w:rsid w:val="00762132"/>
    <w:rsid w:val="007621AB"/>
    <w:rsid w:val="00762350"/>
    <w:rsid w:val="00762492"/>
    <w:rsid w:val="007625FB"/>
    <w:rsid w:val="007626AC"/>
    <w:rsid w:val="0076275A"/>
    <w:rsid w:val="00762819"/>
    <w:rsid w:val="00762906"/>
    <w:rsid w:val="00762A49"/>
    <w:rsid w:val="00762A77"/>
    <w:rsid w:val="00762A93"/>
    <w:rsid w:val="00762AC9"/>
    <w:rsid w:val="00762BC9"/>
    <w:rsid w:val="00762BE2"/>
    <w:rsid w:val="00762D68"/>
    <w:rsid w:val="00762ECC"/>
    <w:rsid w:val="00762FAD"/>
    <w:rsid w:val="00762FCE"/>
    <w:rsid w:val="00762FDD"/>
    <w:rsid w:val="00763051"/>
    <w:rsid w:val="00763098"/>
    <w:rsid w:val="007631EA"/>
    <w:rsid w:val="007631F3"/>
    <w:rsid w:val="007632CE"/>
    <w:rsid w:val="0076336D"/>
    <w:rsid w:val="0076341E"/>
    <w:rsid w:val="00763589"/>
    <w:rsid w:val="007635CD"/>
    <w:rsid w:val="007636FC"/>
    <w:rsid w:val="0076371C"/>
    <w:rsid w:val="0076373E"/>
    <w:rsid w:val="00763810"/>
    <w:rsid w:val="00763870"/>
    <w:rsid w:val="007638AD"/>
    <w:rsid w:val="00763985"/>
    <w:rsid w:val="0076398F"/>
    <w:rsid w:val="007639B7"/>
    <w:rsid w:val="00763A0E"/>
    <w:rsid w:val="00763A89"/>
    <w:rsid w:val="00763B44"/>
    <w:rsid w:val="00763B63"/>
    <w:rsid w:val="00763BA9"/>
    <w:rsid w:val="00763BC6"/>
    <w:rsid w:val="00763C21"/>
    <w:rsid w:val="00763CF4"/>
    <w:rsid w:val="00763E5C"/>
    <w:rsid w:val="00763E81"/>
    <w:rsid w:val="007641AF"/>
    <w:rsid w:val="00764269"/>
    <w:rsid w:val="007643DA"/>
    <w:rsid w:val="0076440E"/>
    <w:rsid w:val="0076442A"/>
    <w:rsid w:val="007645B5"/>
    <w:rsid w:val="007645E9"/>
    <w:rsid w:val="007646A8"/>
    <w:rsid w:val="007646F7"/>
    <w:rsid w:val="007647CE"/>
    <w:rsid w:val="00764874"/>
    <w:rsid w:val="00764896"/>
    <w:rsid w:val="00764954"/>
    <w:rsid w:val="00764A58"/>
    <w:rsid w:val="00764CD6"/>
    <w:rsid w:val="00764CF2"/>
    <w:rsid w:val="00764E17"/>
    <w:rsid w:val="00764E1A"/>
    <w:rsid w:val="00764F5E"/>
    <w:rsid w:val="007650F3"/>
    <w:rsid w:val="007651AC"/>
    <w:rsid w:val="007651DF"/>
    <w:rsid w:val="0076521F"/>
    <w:rsid w:val="00765272"/>
    <w:rsid w:val="007652D8"/>
    <w:rsid w:val="0076538B"/>
    <w:rsid w:val="0076542F"/>
    <w:rsid w:val="007654A9"/>
    <w:rsid w:val="00765529"/>
    <w:rsid w:val="00765570"/>
    <w:rsid w:val="0076567E"/>
    <w:rsid w:val="007656C7"/>
    <w:rsid w:val="007657F0"/>
    <w:rsid w:val="007658F3"/>
    <w:rsid w:val="00765961"/>
    <w:rsid w:val="0076596A"/>
    <w:rsid w:val="0076599C"/>
    <w:rsid w:val="007659D3"/>
    <w:rsid w:val="00765A0C"/>
    <w:rsid w:val="00765A2E"/>
    <w:rsid w:val="00765ABD"/>
    <w:rsid w:val="00765B04"/>
    <w:rsid w:val="00765BF7"/>
    <w:rsid w:val="00765C50"/>
    <w:rsid w:val="00765DAA"/>
    <w:rsid w:val="00765E2B"/>
    <w:rsid w:val="00765E47"/>
    <w:rsid w:val="00765E65"/>
    <w:rsid w:val="00765F65"/>
    <w:rsid w:val="00765F90"/>
    <w:rsid w:val="00765FA4"/>
    <w:rsid w:val="00766161"/>
    <w:rsid w:val="007661F2"/>
    <w:rsid w:val="007662D3"/>
    <w:rsid w:val="00766321"/>
    <w:rsid w:val="0076644E"/>
    <w:rsid w:val="007664B0"/>
    <w:rsid w:val="00766568"/>
    <w:rsid w:val="007665A1"/>
    <w:rsid w:val="007665DD"/>
    <w:rsid w:val="00766617"/>
    <w:rsid w:val="00766653"/>
    <w:rsid w:val="00766668"/>
    <w:rsid w:val="00766695"/>
    <w:rsid w:val="007666F3"/>
    <w:rsid w:val="00766779"/>
    <w:rsid w:val="0076678D"/>
    <w:rsid w:val="007668B0"/>
    <w:rsid w:val="007668C9"/>
    <w:rsid w:val="007668F7"/>
    <w:rsid w:val="00766A1C"/>
    <w:rsid w:val="00766A78"/>
    <w:rsid w:val="00766AD6"/>
    <w:rsid w:val="00766B07"/>
    <w:rsid w:val="00766B60"/>
    <w:rsid w:val="00766BFD"/>
    <w:rsid w:val="00766CEC"/>
    <w:rsid w:val="00766D64"/>
    <w:rsid w:val="00766DA6"/>
    <w:rsid w:val="00766DEF"/>
    <w:rsid w:val="00766E9F"/>
    <w:rsid w:val="00766F74"/>
    <w:rsid w:val="00766FA8"/>
    <w:rsid w:val="00767024"/>
    <w:rsid w:val="0076706C"/>
    <w:rsid w:val="007670C7"/>
    <w:rsid w:val="007671F1"/>
    <w:rsid w:val="007672EA"/>
    <w:rsid w:val="00767394"/>
    <w:rsid w:val="007675A9"/>
    <w:rsid w:val="00767696"/>
    <w:rsid w:val="007676B3"/>
    <w:rsid w:val="00767798"/>
    <w:rsid w:val="0076787A"/>
    <w:rsid w:val="007678D4"/>
    <w:rsid w:val="007678FD"/>
    <w:rsid w:val="00767988"/>
    <w:rsid w:val="007679F5"/>
    <w:rsid w:val="00767B4F"/>
    <w:rsid w:val="00767BB9"/>
    <w:rsid w:val="00767BD0"/>
    <w:rsid w:val="00767CDD"/>
    <w:rsid w:val="00767F6B"/>
    <w:rsid w:val="00767FCF"/>
    <w:rsid w:val="00767FE2"/>
    <w:rsid w:val="00767FE9"/>
    <w:rsid w:val="0077006E"/>
    <w:rsid w:val="0077008D"/>
    <w:rsid w:val="0077008E"/>
    <w:rsid w:val="0077011F"/>
    <w:rsid w:val="007701CD"/>
    <w:rsid w:val="0077023C"/>
    <w:rsid w:val="007702EC"/>
    <w:rsid w:val="0077041C"/>
    <w:rsid w:val="00770446"/>
    <w:rsid w:val="007704E8"/>
    <w:rsid w:val="00770548"/>
    <w:rsid w:val="007707C6"/>
    <w:rsid w:val="007707E2"/>
    <w:rsid w:val="00770820"/>
    <w:rsid w:val="00770828"/>
    <w:rsid w:val="007708E8"/>
    <w:rsid w:val="00770919"/>
    <w:rsid w:val="00770933"/>
    <w:rsid w:val="007709BA"/>
    <w:rsid w:val="007709D2"/>
    <w:rsid w:val="00770A85"/>
    <w:rsid w:val="00770AD2"/>
    <w:rsid w:val="00770B74"/>
    <w:rsid w:val="00770BA4"/>
    <w:rsid w:val="00770C02"/>
    <w:rsid w:val="00770CA8"/>
    <w:rsid w:val="00770D26"/>
    <w:rsid w:val="00770E35"/>
    <w:rsid w:val="00770E54"/>
    <w:rsid w:val="00770E9C"/>
    <w:rsid w:val="00770ED0"/>
    <w:rsid w:val="00770F12"/>
    <w:rsid w:val="00770F63"/>
    <w:rsid w:val="00770FC4"/>
    <w:rsid w:val="00770FEB"/>
    <w:rsid w:val="00771056"/>
    <w:rsid w:val="00771142"/>
    <w:rsid w:val="00771277"/>
    <w:rsid w:val="00771456"/>
    <w:rsid w:val="00771495"/>
    <w:rsid w:val="00771623"/>
    <w:rsid w:val="00771664"/>
    <w:rsid w:val="007716AA"/>
    <w:rsid w:val="007716F5"/>
    <w:rsid w:val="007716FA"/>
    <w:rsid w:val="00771776"/>
    <w:rsid w:val="007717CE"/>
    <w:rsid w:val="007718D3"/>
    <w:rsid w:val="007719C9"/>
    <w:rsid w:val="00771B50"/>
    <w:rsid w:val="00771C4B"/>
    <w:rsid w:val="00771D22"/>
    <w:rsid w:val="00771E3F"/>
    <w:rsid w:val="00771F6B"/>
    <w:rsid w:val="00771FED"/>
    <w:rsid w:val="00772001"/>
    <w:rsid w:val="0077208A"/>
    <w:rsid w:val="00772108"/>
    <w:rsid w:val="0077212C"/>
    <w:rsid w:val="00772180"/>
    <w:rsid w:val="007721AA"/>
    <w:rsid w:val="0077220C"/>
    <w:rsid w:val="007723AD"/>
    <w:rsid w:val="00772451"/>
    <w:rsid w:val="007725CB"/>
    <w:rsid w:val="007725F5"/>
    <w:rsid w:val="00772617"/>
    <w:rsid w:val="0077268F"/>
    <w:rsid w:val="0077283E"/>
    <w:rsid w:val="007728D5"/>
    <w:rsid w:val="007728E4"/>
    <w:rsid w:val="007729DD"/>
    <w:rsid w:val="007729E6"/>
    <w:rsid w:val="00772A83"/>
    <w:rsid w:val="00772AA4"/>
    <w:rsid w:val="00772AB0"/>
    <w:rsid w:val="00772B14"/>
    <w:rsid w:val="00772BD1"/>
    <w:rsid w:val="00772BF1"/>
    <w:rsid w:val="00772D65"/>
    <w:rsid w:val="00772E7E"/>
    <w:rsid w:val="00772F50"/>
    <w:rsid w:val="00772F88"/>
    <w:rsid w:val="00772F9F"/>
    <w:rsid w:val="00772FAB"/>
    <w:rsid w:val="00772FC0"/>
    <w:rsid w:val="00773002"/>
    <w:rsid w:val="0077304B"/>
    <w:rsid w:val="0077310A"/>
    <w:rsid w:val="007732D5"/>
    <w:rsid w:val="007732D9"/>
    <w:rsid w:val="00773389"/>
    <w:rsid w:val="007733E5"/>
    <w:rsid w:val="00773561"/>
    <w:rsid w:val="007735CA"/>
    <w:rsid w:val="0077371C"/>
    <w:rsid w:val="0077372B"/>
    <w:rsid w:val="0077374B"/>
    <w:rsid w:val="0077378D"/>
    <w:rsid w:val="0077383C"/>
    <w:rsid w:val="007738A0"/>
    <w:rsid w:val="00773A43"/>
    <w:rsid w:val="00773A82"/>
    <w:rsid w:val="00773A86"/>
    <w:rsid w:val="00773ABB"/>
    <w:rsid w:val="00773AC0"/>
    <w:rsid w:val="00773AF3"/>
    <w:rsid w:val="00773B67"/>
    <w:rsid w:val="00773C65"/>
    <w:rsid w:val="00773DA1"/>
    <w:rsid w:val="00773E01"/>
    <w:rsid w:val="00773E2C"/>
    <w:rsid w:val="00773E75"/>
    <w:rsid w:val="0077401B"/>
    <w:rsid w:val="0077403E"/>
    <w:rsid w:val="007742AF"/>
    <w:rsid w:val="007742B4"/>
    <w:rsid w:val="007742EA"/>
    <w:rsid w:val="00774397"/>
    <w:rsid w:val="0077449B"/>
    <w:rsid w:val="007745EC"/>
    <w:rsid w:val="0077467D"/>
    <w:rsid w:val="00774718"/>
    <w:rsid w:val="007747BE"/>
    <w:rsid w:val="007748B8"/>
    <w:rsid w:val="007748F1"/>
    <w:rsid w:val="00774998"/>
    <w:rsid w:val="00774A10"/>
    <w:rsid w:val="00774A89"/>
    <w:rsid w:val="00774B8D"/>
    <w:rsid w:val="00774C84"/>
    <w:rsid w:val="00774DD6"/>
    <w:rsid w:val="00774EB9"/>
    <w:rsid w:val="00774FA7"/>
    <w:rsid w:val="00774FE7"/>
    <w:rsid w:val="00775068"/>
    <w:rsid w:val="007750CF"/>
    <w:rsid w:val="00775181"/>
    <w:rsid w:val="00775184"/>
    <w:rsid w:val="00775192"/>
    <w:rsid w:val="00775282"/>
    <w:rsid w:val="007752CB"/>
    <w:rsid w:val="007752F5"/>
    <w:rsid w:val="0077530E"/>
    <w:rsid w:val="00775402"/>
    <w:rsid w:val="0077541D"/>
    <w:rsid w:val="007754B7"/>
    <w:rsid w:val="007754D0"/>
    <w:rsid w:val="0077557F"/>
    <w:rsid w:val="007755B4"/>
    <w:rsid w:val="007755BC"/>
    <w:rsid w:val="007755C7"/>
    <w:rsid w:val="007755FF"/>
    <w:rsid w:val="00775654"/>
    <w:rsid w:val="007757AC"/>
    <w:rsid w:val="007757B1"/>
    <w:rsid w:val="007759B0"/>
    <w:rsid w:val="00775B5D"/>
    <w:rsid w:val="00775C4F"/>
    <w:rsid w:val="00775C75"/>
    <w:rsid w:val="00775D00"/>
    <w:rsid w:val="00775DC4"/>
    <w:rsid w:val="00775FC2"/>
    <w:rsid w:val="00775FF3"/>
    <w:rsid w:val="00776039"/>
    <w:rsid w:val="007760E9"/>
    <w:rsid w:val="00776112"/>
    <w:rsid w:val="007761BA"/>
    <w:rsid w:val="007762A8"/>
    <w:rsid w:val="007763A5"/>
    <w:rsid w:val="0077664E"/>
    <w:rsid w:val="00776699"/>
    <w:rsid w:val="007767CA"/>
    <w:rsid w:val="007767FE"/>
    <w:rsid w:val="00776874"/>
    <w:rsid w:val="00776A5E"/>
    <w:rsid w:val="00776AFE"/>
    <w:rsid w:val="00776C7D"/>
    <w:rsid w:val="00776CA3"/>
    <w:rsid w:val="00776CD2"/>
    <w:rsid w:val="00776D2E"/>
    <w:rsid w:val="00776DBB"/>
    <w:rsid w:val="00776DC5"/>
    <w:rsid w:val="00776DCF"/>
    <w:rsid w:val="00776DE4"/>
    <w:rsid w:val="00776E2B"/>
    <w:rsid w:val="00776EB4"/>
    <w:rsid w:val="00776EB6"/>
    <w:rsid w:val="00776EFC"/>
    <w:rsid w:val="0077700B"/>
    <w:rsid w:val="0077702D"/>
    <w:rsid w:val="0077734E"/>
    <w:rsid w:val="00777382"/>
    <w:rsid w:val="0077739A"/>
    <w:rsid w:val="00777549"/>
    <w:rsid w:val="0077757A"/>
    <w:rsid w:val="00777736"/>
    <w:rsid w:val="00777875"/>
    <w:rsid w:val="00777A99"/>
    <w:rsid w:val="00777A9E"/>
    <w:rsid w:val="00777D0F"/>
    <w:rsid w:val="00777D1C"/>
    <w:rsid w:val="00777D40"/>
    <w:rsid w:val="00777F0C"/>
    <w:rsid w:val="00777F53"/>
    <w:rsid w:val="00780017"/>
    <w:rsid w:val="00780051"/>
    <w:rsid w:val="00780361"/>
    <w:rsid w:val="007803F1"/>
    <w:rsid w:val="0078045E"/>
    <w:rsid w:val="007804A6"/>
    <w:rsid w:val="00780659"/>
    <w:rsid w:val="00780685"/>
    <w:rsid w:val="007806DF"/>
    <w:rsid w:val="007806F0"/>
    <w:rsid w:val="007807AB"/>
    <w:rsid w:val="0078081D"/>
    <w:rsid w:val="007808F6"/>
    <w:rsid w:val="0078090D"/>
    <w:rsid w:val="0078096D"/>
    <w:rsid w:val="00780AFD"/>
    <w:rsid w:val="00780BDF"/>
    <w:rsid w:val="00780C2A"/>
    <w:rsid w:val="00780D86"/>
    <w:rsid w:val="00780E92"/>
    <w:rsid w:val="00780EB6"/>
    <w:rsid w:val="007810CA"/>
    <w:rsid w:val="007810E3"/>
    <w:rsid w:val="007811C2"/>
    <w:rsid w:val="007811F9"/>
    <w:rsid w:val="0078123D"/>
    <w:rsid w:val="007813DC"/>
    <w:rsid w:val="007814B6"/>
    <w:rsid w:val="007814D1"/>
    <w:rsid w:val="00781536"/>
    <w:rsid w:val="00781583"/>
    <w:rsid w:val="007815A8"/>
    <w:rsid w:val="00781659"/>
    <w:rsid w:val="00781708"/>
    <w:rsid w:val="0078179F"/>
    <w:rsid w:val="00781846"/>
    <w:rsid w:val="0078186E"/>
    <w:rsid w:val="00781978"/>
    <w:rsid w:val="00781BA7"/>
    <w:rsid w:val="00781BAB"/>
    <w:rsid w:val="00781BFB"/>
    <w:rsid w:val="00781C5F"/>
    <w:rsid w:val="00781C66"/>
    <w:rsid w:val="00781C71"/>
    <w:rsid w:val="00781DF4"/>
    <w:rsid w:val="00781E1A"/>
    <w:rsid w:val="00781E23"/>
    <w:rsid w:val="00781EA7"/>
    <w:rsid w:val="00781EE7"/>
    <w:rsid w:val="00781F83"/>
    <w:rsid w:val="00781FAD"/>
    <w:rsid w:val="00781FF6"/>
    <w:rsid w:val="00782005"/>
    <w:rsid w:val="007821BE"/>
    <w:rsid w:val="0078231A"/>
    <w:rsid w:val="007823A1"/>
    <w:rsid w:val="007823DB"/>
    <w:rsid w:val="007824B0"/>
    <w:rsid w:val="007825CD"/>
    <w:rsid w:val="00782691"/>
    <w:rsid w:val="007826E9"/>
    <w:rsid w:val="0078279B"/>
    <w:rsid w:val="007827C4"/>
    <w:rsid w:val="0078283D"/>
    <w:rsid w:val="00782861"/>
    <w:rsid w:val="007828E8"/>
    <w:rsid w:val="007828ED"/>
    <w:rsid w:val="0078291A"/>
    <w:rsid w:val="00782AB7"/>
    <w:rsid w:val="00782B1E"/>
    <w:rsid w:val="00782B66"/>
    <w:rsid w:val="00782BC5"/>
    <w:rsid w:val="00782C18"/>
    <w:rsid w:val="00782C8E"/>
    <w:rsid w:val="00782CCB"/>
    <w:rsid w:val="00782D71"/>
    <w:rsid w:val="00782D88"/>
    <w:rsid w:val="00782DC6"/>
    <w:rsid w:val="00782E85"/>
    <w:rsid w:val="00782ECF"/>
    <w:rsid w:val="0078303B"/>
    <w:rsid w:val="007830DE"/>
    <w:rsid w:val="00783172"/>
    <w:rsid w:val="007831D2"/>
    <w:rsid w:val="007831F0"/>
    <w:rsid w:val="00783234"/>
    <w:rsid w:val="007832AB"/>
    <w:rsid w:val="007832AE"/>
    <w:rsid w:val="0078334D"/>
    <w:rsid w:val="0078342C"/>
    <w:rsid w:val="007834BE"/>
    <w:rsid w:val="007834F6"/>
    <w:rsid w:val="00783509"/>
    <w:rsid w:val="00783549"/>
    <w:rsid w:val="007835B7"/>
    <w:rsid w:val="00783635"/>
    <w:rsid w:val="00783693"/>
    <w:rsid w:val="007836E1"/>
    <w:rsid w:val="00783716"/>
    <w:rsid w:val="0078371D"/>
    <w:rsid w:val="0078374C"/>
    <w:rsid w:val="00783803"/>
    <w:rsid w:val="0078387C"/>
    <w:rsid w:val="007839FF"/>
    <w:rsid w:val="00783ADF"/>
    <w:rsid w:val="00783AE0"/>
    <w:rsid w:val="00783B97"/>
    <w:rsid w:val="00783C21"/>
    <w:rsid w:val="00783C84"/>
    <w:rsid w:val="00783C9D"/>
    <w:rsid w:val="00783D48"/>
    <w:rsid w:val="00783E51"/>
    <w:rsid w:val="00783E7D"/>
    <w:rsid w:val="00783F2C"/>
    <w:rsid w:val="00783F4A"/>
    <w:rsid w:val="00783F94"/>
    <w:rsid w:val="00783FEE"/>
    <w:rsid w:val="00784113"/>
    <w:rsid w:val="007842AE"/>
    <w:rsid w:val="00784302"/>
    <w:rsid w:val="00784320"/>
    <w:rsid w:val="0078435F"/>
    <w:rsid w:val="00784410"/>
    <w:rsid w:val="0078441B"/>
    <w:rsid w:val="00784447"/>
    <w:rsid w:val="007847B5"/>
    <w:rsid w:val="007847E9"/>
    <w:rsid w:val="00784996"/>
    <w:rsid w:val="007849A6"/>
    <w:rsid w:val="007849C4"/>
    <w:rsid w:val="00784B17"/>
    <w:rsid w:val="00784B3E"/>
    <w:rsid w:val="00784CD4"/>
    <w:rsid w:val="00784D1A"/>
    <w:rsid w:val="00784D2D"/>
    <w:rsid w:val="00784E77"/>
    <w:rsid w:val="00784FCD"/>
    <w:rsid w:val="00785173"/>
    <w:rsid w:val="007851DC"/>
    <w:rsid w:val="00785210"/>
    <w:rsid w:val="0078526F"/>
    <w:rsid w:val="00785299"/>
    <w:rsid w:val="0078549C"/>
    <w:rsid w:val="007855EB"/>
    <w:rsid w:val="0078563B"/>
    <w:rsid w:val="00785655"/>
    <w:rsid w:val="00785736"/>
    <w:rsid w:val="00785783"/>
    <w:rsid w:val="007857EE"/>
    <w:rsid w:val="0078580D"/>
    <w:rsid w:val="00785993"/>
    <w:rsid w:val="00785A1A"/>
    <w:rsid w:val="00785C6B"/>
    <w:rsid w:val="00785D15"/>
    <w:rsid w:val="00785D19"/>
    <w:rsid w:val="00785D65"/>
    <w:rsid w:val="00785D6B"/>
    <w:rsid w:val="00785E05"/>
    <w:rsid w:val="00785F07"/>
    <w:rsid w:val="00785F09"/>
    <w:rsid w:val="0078604B"/>
    <w:rsid w:val="00786111"/>
    <w:rsid w:val="0078616A"/>
    <w:rsid w:val="007861ED"/>
    <w:rsid w:val="007861FB"/>
    <w:rsid w:val="0078620B"/>
    <w:rsid w:val="00786223"/>
    <w:rsid w:val="00786245"/>
    <w:rsid w:val="007863D8"/>
    <w:rsid w:val="0078645D"/>
    <w:rsid w:val="007864F4"/>
    <w:rsid w:val="00786956"/>
    <w:rsid w:val="00786AA2"/>
    <w:rsid w:val="00786ACA"/>
    <w:rsid w:val="00786B7E"/>
    <w:rsid w:val="00786B95"/>
    <w:rsid w:val="00786BF8"/>
    <w:rsid w:val="00786E7D"/>
    <w:rsid w:val="00786EAD"/>
    <w:rsid w:val="00786EC9"/>
    <w:rsid w:val="00786F4F"/>
    <w:rsid w:val="00787010"/>
    <w:rsid w:val="00787135"/>
    <w:rsid w:val="007871BD"/>
    <w:rsid w:val="007871DC"/>
    <w:rsid w:val="007871F7"/>
    <w:rsid w:val="00787246"/>
    <w:rsid w:val="0078726C"/>
    <w:rsid w:val="00787274"/>
    <w:rsid w:val="007873D3"/>
    <w:rsid w:val="007873DB"/>
    <w:rsid w:val="007873EE"/>
    <w:rsid w:val="007874AE"/>
    <w:rsid w:val="00787542"/>
    <w:rsid w:val="00787609"/>
    <w:rsid w:val="007876E4"/>
    <w:rsid w:val="00787719"/>
    <w:rsid w:val="007878A7"/>
    <w:rsid w:val="00787A47"/>
    <w:rsid w:val="00787A8C"/>
    <w:rsid w:val="00787BB2"/>
    <w:rsid w:val="00787BD8"/>
    <w:rsid w:val="00787DCD"/>
    <w:rsid w:val="00787E0A"/>
    <w:rsid w:val="00787E4A"/>
    <w:rsid w:val="00787F0B"/>
    <w:rsid w:val="00787FF6"/>
    <w:rsid w:val="0079008B"/>
    <w:rsid w:val="00790137"/>
    <w:rsid w:val="00790142"/>
    <w:rsid w:val="00790146"/>
    <w:rsid w:val="007901B4"/>
    <w:rsid w:val="00790527"/>
    <w:rsid w:val="00790551"/>
    <w:rsid w:val="0079063B"/>
    <w:rsid w:val="007906F5"/>
    <w:rsid w:val="007907BD"/>
    <w:rsid w:val="007907FB"/>
    <w:rsid w:val="007908CF"/>
    <w:rsid w:val="0079091C"/>
    <w:rsid w:val="00790958"/>
    <w:rsid w:val="00790976"/>
    <w:rsid w:val="007909E9"/>
    <w:rsid w:val="00790A4C"/>
    <w:rsid w:val="00790AF2"/>
    <w:rsid w:val="00790B26"/>
    <w:rsid w:val="00790B6B"/>
    <w:rsid w:val="00790B8D"/>
    <w:rsid w:val="00790C7C"/>
    <w:rsid w:val="00790D1C"/>
    <w:rsid w:val="00790F66"/>
    <w:rsid w:val="007910E8"/>
    <w:rsid w:val="007911CA"/>
    <w:rsid w:val="0079129B"/>
    <w:rsid w:val="007912E4"/>
    <w:rsid w:val="00791396"/>
    <w:rsid w:val="007913E7"/>
    <w:rsid w:val="00791669"/>
    <w:rsid w:val="007916D5"/>
    <w:rsid w:val="0079181F"/>
    <w:rsid w:val="007918D6"/>
    <w:rsid w:val="007919BA"/>
    <w:rsid w:val="007919CE"/>
    <w:rsid w:val="00791A49"/>
    <w:rsid w:val="00791A58"/>
    <w:rsid w:val="00791AB5"/>
    <w:rsid w:val="00791AD7"/>
    <w:rsid w:val="00791CE1"/>
    <w:rsid w:val="007920F0"/>
    <w:rsid w:val="00792227"/>
    <w:rsid w:val="00792382"/>
    <w:rsid w:val="007923D9"/>
    <w:rsid w:val="007923DF"/>
    <w:rsid w:val="00792477"/>
    <w:rsid w:val="0079249F"/>
    <w:rsid w:val="007924E0"/>
    <w:rsid w:val="007924F4"/>
    <w:rsid w:val="00792527"/>
    <w:rsid w:val="0079255C"/>
    <w:rsid w:val="0079269B"/>
    <w:rsid w:val="00792796"/>
    <w:rsid w:val="00792860"/>
    <w:rsid w:val="0079294D"/>
    <w:rsid w:val="0079296D"/>
    <w:rsid w:val="007929F6"/>
    <w:rsid w:val="00792A7D"/>
    <w:rsid w:val="00792BB5"/>
    <w:rsid w:val="00792C1D"/>
    <w:rsid w:val="00792C3D"/>
    <w:rsid w:val="00792E2B"/>
    <w:rsid w:val="00792F0D"/>
    <w:rsid w:val="00793041"/>
    <w:rsid w:val="00793045"/>
    <w:rsid w:val="0079308D"/>
    <w:rsid w:val="0079311F"/>
    <w:rsid w:val="00793252"/>
    <w:rsid w:val="007932B1"/>
    <w:rsid w:val="0079333E"/>
    <w:rsid w:val="0079333F"/>
    <w:rsid w:val="00793364"/>
    <w:rsid w:val="00793376"/>
    <w:rsid w:val="00793559"/>
    <w:rsid w:val="007935A8"/>
    <w:rsid w:val="007935D2"/>
    <w:rsid w:val="007936B1"/>
    <w:rsid w:val="007938F2"/>
    <w:rsid w:val="00793AC7"/>
    <w:rsid w:val="00793AE3"/>
    <w:rsid w:val="00793BD4"/>
    <w:rsid w:val="00793C46"/>
    <w:rsid w:val="00793D57"/>
    <w:rsid w:val="00793DB5"/>
    <w:rsid w:val="00793F76"/>
    <w:rsid w:val="00794154"/>
    <w:rsid w:val="00794186"/>
    <w:rsid w:val="007941FA"/>
    <w:rsid w:val="00794320"/>
    <w:rsid w:val="00794403"/>
    <w:rsid w:val="00794433"/>
    <w:rsid w:val="00794498"/>
    <w:rsid w:val="007944B7"/>
    <w:rsid w:val="007944D3"/>
    <w:rsid w:val="00794523"/>
    <w:rsid w:val="007945B9"/>
    <w:rsid w:val="00794642"/>
    <w:rsid w:val="0079472D"/>
    <w:rsid w:val="007948D8"/>
    <w:rsid w:val="007949FB"/>
    <w:rsid w:val="00794A04"/>
    <w:rsid w:val="00794ADA"/>
    <w:rsid w:val="00794B51"/>
    <w:rsid w:val="00794BEF"/>
    <w:rsid w:val="00794DE1"/>
    <w:rsid w:val="00794E65"/>
    <w:rsid w:val="00794EA3"/>
    <w:rsid w:val="00794ED7"/>
    <w:rsid w:val="0079501E"/>
    <w:rsid w:val="00795091"/>
    <w:rsid w:val="0079512C"/>
    <w:rsid w:val="007952BD"/>
    <w:rsid w:val="00795636"/>
    <w:rsid w:val="00795816"/>
    <w:rsid w:val="0079581F"/>
    <w:rsid w:val="00795850"/>
    <w:rsid w:val="007958E1"/>
    <w:rsid w:val="00795A62"/>
    <w:rsid w:val="00795B77"/>
    <w:rsid w:val="00795BCE"/>
    <w:rsid w:val="00795BDD"/>
    <w:rsid w:val="00795D2C"/>
    <w:rsid w:val="00795D5E"/>
    <w:rsid w:val="00795DB1"/>
    <w:rsid w:val="00795DE3"/>
    <w:rsid w:val="00795E99"/>
    <w:rsid w:val="00796097"/>
    <w:rsid w:val="007960C9"/>
    <w:rsid w:val="00796147"/>
    <w:rsid w:val="00796174"/>
    <w:rsid w:val="00796282"/>
    <w:rsid w:val="00796295"/>
    <w:rsid w:val="007962B6"/>
    <w:rsid w:val="00796375"/>
    <w:rsid w:val="007964D5"/>
    <w:rsid w:val="007964E5"/>
    <w:rsid w:val="007965F6"/>
    <w:rsid w:val="007966F9"/>
    <w:rsid w:val="0079673B"/>
    <w:rsid w:val="00796762"/>
    <w:rsid w:val="0079684A"/>
    <w:rsid w:val="00796852"/>
    <w:rsid w:val="0079687C"/>
    <w:rsid w:val="00796973"/>
    <w:rsid w:val="00796AE7"/>
    <w:rsid w:val="00796B38"/>
    <w:rsid w:val="00796C08"/>
    <w:rsid w:val="00796C58"/>
    <w:rsid w:val="00796CEC"/>
    <w:rsid w:val="00796D0B"/>
    <w:rsid w:val="00796E62"/>
    <w:rsid w:val="00796E69"/>
    <w:rsid w:val="00796ED5"/>
    <w:rsid w:val="00796EF6"/>
    <w:rsid w:val="00797086"/>
    <w:rsid w:val="007970F9"/>
    <w:rsid w:val="0079710E"/>
    <w:rsid w:val="00797157"/>
    <w:rsid w:val="0079716B"/>
    <w:rsid w:val="00797251"/>
    <w:rsid w:val="00797403"/>
    <w:rsid w:val="0079744D"/>
    <w:rsid w:val="0079755B"/>
    <w:rsid w:val="0079759A"/>
    <w:rsid w:val="007975CE"/>
    <w:rsid w:val="007975CF"/>
    <w:rsid w:val="007975DC"/>
    <w:rsid w:val="007977BB"/>
    <w:rsid w:val="00797820"/>
    <w:rsid w:val="007978DB"/>
    <w:rsid w:val="00797985"/>
    <w:rsid w:val="00797A6F"/>
    <w:rsid w:val="00797AB4"/>
    <w:rsid w:val="00797B3A"/>
    <w:rsid w:val="00797B5D"/>
    <w:rsid w:val="00797B80"/>
    <w:rsid w:val="00797C26"/>
    <w:rsid w:val="00797C4C"/>
    <w:rsid w:val="00797C8B"/>
    <w:rsid w:val="00797DC2"/>
    <w:rsid w:val="00797E41"/>
    <w:rsid w:val="00797E52"/>
    <w:rsid w:val="00797F24"/>
    <w:rsid w:val="00797F41"/>
    <w:rsid w:val="00797FC7"/>
    <w:rsid w:val="00797FEA"/>
    <w:rsid w:val="007A0023"/>
    <w:rsid w:val="007A0052"/>
    <w:rsid w:val="007A0189"/>
    <w:rsid w:val="007A022B"/>
    <w:rsid w:val="007A023B"/>
    <w:rsid w:val="007A039B"/>
    <w:rsid w:val="007A04F5"/>
    <w:rsid w:val="007A061E"/>
    <w:rsid w:val="007A0698"/>
    <w:rsid w:val="007A0776"/>
    <w:rsid w:val="007A07B9"/>
    <w:rsid w:val="007A0858"/>
    <w:rsid w:val="007A086C"/>
    <w:rsid w:val="007A099E"/>
    <w:rsid w:val="007A0AC4"/>
    <w:rsid w:val="007A0D46"/>
    <w:rsid w:val="007A101C"/>
    <w:rsid w:val="007A1057"/>
    <w:rsid w:val="007A110A"/>
    <w:rsid w:val="007A1195"/>
    <w:rsid w:val="007A11FE"/>
    <w:rsid w:val="007A1269"/>
    <w:rsid w:val="007A1356"/>
    <w:rsid w:val="007A145B"/>
    <w:rsid w:val="007A147F"/>
    <w:rsid w:val="007A14B7"/>
    <w:rsid w:val="007A1583"/>
    <w:rsid w:val="007A16DE"/>
    <w:rsid w:val="007A16E1"/>
    <w:rsid w:val="007A19A6"/>
    <w:rsid w:val="007A1A06"/>
    <w:rsid w:val="007A1ACF"/>
    <w:rsid w:val="007A1B06"/>
    <w:rsid w:val="007A1B0D"/>
    <w:rsid w:val="007A1BB8"/>
    <w:rsid w:val="007A1BC9"/>
    <w:rsid w:val="007A1BE6"/>
    <w:rsid w:val="007A1C01"/>
    <w:rsid w:val="007A1DEB"/>
    <w:rsid w:val="007A209E"/>
    <w:rsid w:val="007A2162"/>
    <w:rsid w:val="007A21E9"/>
    <w:rsid w:val="007A22BC"/>
    <w:rsid w:val="007A22D7"/>
    <w:rsid w:val="007A2391"/>
    <w:rsid w:val="007A25C9"/>
    <w:rsid w:val="007A25D0"/>
    <w:rsid w:val="007A25F3"/>
    <w:rsid w:val="007A2684"/>
    <w:rsid w:val="007A274B"/>
    <w:rsid w:val="007A27AB"/>
    <w:rsid w:val="007A27ED"/>
    <w:rsid w:val="007A288F"/>
    <w:rsid w:val="007A28D4"/>
    <w:rsid w:val="007A29CB"/>
    <w:rsid w:val="007A2A48"/>
    <w:rsid w:val="007A2AD1"/>
    <w:rsid w:val="007A2C35"/>
    <w:rsid w:val="007A2DA9"/>
    <w:rsid w:val="007A2E0E"/>
    <w:rsid w:val="007A30AD"/>
    <w:rsid w:val="007A30FA"/>
    <w:rsid w:val="007A3140"/>
    <w:rsid w:val="007A3263"/>
    <w:rsid w:val="007A32F6"/>
    <w:rsid w:val="007A3305"/>
    <w:rsid w:val="007A34A2"/>
    <w:rsid w:val="007A351A"/>
    <w:rsid w:val="007A3585"/>
    <w:rsid w:val="007A35BA"/>
    <w:rsid w:val="007A365A"/>
    <w:rsid w:val="007A3660"/>
    <w:rsid w:val="007A3671"/>
    <w:rsid w:val="007A3788"/>
    <w:rsid w:val="007A37C9"/>
    <w:rsid w:val="007A399E"/>
    <w:rsid w:val="007A3A27"/>
    <w:rsid w:val="007A3A29"/>
    <w:rsid w:val="007A3BDB"/>
    <w:rsid w:val="007A3C0C"/>
    <w:rsid w:val="007A3C34"/>
    <w:rsid w:val="007A3EC0"/>
    <w:rsid w:val="007A4030"/>
    <w:rsid w:val="007A4122"/>
    <w:rsid w:val="007A413A"/>
    <w:rsid w:val="007A4231"/>
    <w:rsid w:val="007A4241"/>
    <w:rsid w:val="007A427E"/>
    <w:rsid w:val="007A4353"/>
    <w:rsid w:val="007A437C"/>
    <w:rsid w:val="007A43A7"/>
    <w:rsid w:val="007A43CC"/>
    <w:rsid w:val="007A443C"/>
    <w:rsid w:val="007A445D"/>
    <w:rsid w:val="007A4544"/>
    <w:rsid w:val="007A455D"/>
    <w:rsid w:val="007A45C8"/>
    <w:rsid w:val="007A47B7"/>
    <w:rsid w:val="007A47E4"/>
    <w:rsid w:val="007A48DC"/>
    <w:rsid w:val="007A494F"/>
    <w:rsid w:val="007A4A74"/>
    <w:rsid w:val="007A4ADF"/>
    <w:rsid w:val="007A4B96"/>
    <w:rsid w:val="007A4BA2"/>
    <w:rsid w:val="007A4C5A"/>
    <w:rsid w:val="007A4CA8"/>
    <w:rsid w:val="007A4CFC"/>
    <w:rsid w:val="007A4D97"/>
    <w:rsid w:val="007A4E2E"/>
    <w:rsid w:val="007A4E8B"/>
    <w:rsid w:val="007A4F31"/>
    <w:rsid w:val="007A4F7D"/>
    <w:rsid w:val="007A513F"/>
    <w:rsid w:val="007A51A1"/>
    <w:rsid w:val="007A51F9"/>
    <w:rsid w:val="007A52B5"/>
    <w:rsid w:val="007A5378"/>
    <w:rsid w:val="007A53C3"/>
    <w:rsid w:val="007A548A"/>
    <w:rsid w:val="007A55F8"/>
    <w:rsid w:val="007A56B1"/>
    <w:rsid w:val="007A5777"/>
    <w:rsid w:val="007A5813"/>
    <w:rsid w:val="007A599D"/>
    <w:rsid w:val="007A59B8"/>
    <w:rsid w:val="007A59D7"/>
    <w:rsid w:val="007A5A9E"/>
    <w:rsid w:val="007A5ABF"/>
    <w:rsid w:val="007A5B4D"/>
    <w:rsid w:val="007A5B8F"/>
    <w:rsid w:val="007A5C9B"/>
    <w:rsid w:val="007A5CC1"/>
    <w:rsid w:val="007A5D0D"/>
    <w:rsid w:val="007A5DE0"/>
    <w:rsid w:val="007A5E07"/>
    <w:rsid w:val="007A5E42"/>
    <w:rsid w:val="007A6002"/>
    <w:rsid w:val="007A605B"/>
    <w:rsid w:val="007A60C3"/>
    <w:rsid w:val="007A60F0"/>
    <w:rsid w:val="007A61A4"/>
    <w:rsid w:val="007A62D4"/>
    <w:rsid w:val="007A6356"/>
    <w:rsid w:val="007A63CD"/>
    <w:rsid w:val="007A6513"/>
    <w:rsid w:val="007A6664"/>
    <w:rsid w:val="007A667C"/>
    <w:rsid w:val="007A66A9"/>
    <w:rsid w:val="007A66BB"/>
    <w:rsid w:val="007A6759"/>
    <w:rsid w:val="007A6775"/>
    <w:rsid w:val="007A67D9"/>
    <w:rsid w:val="007A6852"/>
    <w:rsid w:val="007A6AA6"/>
    <w:rsid w:val="007A6B37"/>
    <w:rsid w:val="007A6BD8"/>
    <w:rsid w:val="007A6E25"/>
    <w:rsid w:val="007A6F1E"/>
    <w:rsid w:val="007A7019"/>
    <w:rsid w:val="007A70FA"/>
    <w:rsid w:val="007A7291"/>
    <w:rsid w:val="007A7343"/>
    <w:rsid w:val="007A7354"/>
    <w:rsid w:val="007A74B4"/>
    <w:rsid w:val="007A7503"/>
    <w:rsid w:val="007A7512"/>
    <w:rsid w:val="007A753E"/>
    <w:rsid w:val="007A7554"/>
    <w:rsid w:val="007A75D1"/>
    <w:rsid w:val="007A775B"/>
    <w:rsid w:val="007A77AD"/>
    <w:rsid w:val="007A78C2"/>
    <w:rsid w:val="007A7924"/>
    <w:rsid w:val="007A792F"/>
    <w:rsid w:val="007A797C"/>
    <w:rsid w:val="007A7A2D"/>
    <w:rsid w:val="007A7AF4"/>
    <w:rsid w:val="007A7B38"/>
    <w:rsid w:val="007A7B3E"/>
    <w:rsid w:val="007A7BDF"/>
    <w:rsid w:val="007A7CCE"/>
    <w:rsid w:val="007A7D0C"/>
    <w:rsid w:val="007A7E34"/>
    <w:rsid w:val="007A7ED5"/>
    <w:rsid w:val="007A7EDD"/>
    <w:rsid w:val="007B0057"/>
    <w:rsid w:val="007B00A3"/>
    <w:rsid w:val="007B01A5"/>
    <w:rsid w:val="007B0208"/>
    <w:rsid w:val="007B029D"/>
    <w:rsid w:val="007B038C"/>
    <w:rsid w:val="007B03CB"/>
    <w:rsid w:val="007B043C"/>
    <w:rsid w:val="007B049E"/>
    <w:rsid w:val="007B0522"/>
    <w:rsid w:val="007B0642"/>
    <w:rsid w:val="007B06C8"/>
    <w:rsid w:val="007B09DA"/>
    <w:rsid w:val="007B09F8"/>
    <w:rsid w:val="007B0A02"/>
    <w:rsid w:val="007B0A15"/>
    <w:rsid w:val="007B0A6E"/>
    <w:rsid w:val="007B0B4E"/>
    <w:rsid w:val="007B0B67"/>
    <w:rsid w:val="007B0BDD"/>
    <w:rsid w:val="007B0C82"/>
    <w:rsid w:val="007B0CDC"/>
    <w:rsid w:val="007B0D4C"/>
    <w:rsid w:val="007B0E24"/>
    <w:rsid w:val="007B0EA9"/>
    <w:rsid w:val="007B0EB4"/>
    <w:rsid w:val="007B0F37"/>
    <w:rsid w:val="007B10B1"/>
    <w:rsid w:val="007B10DA"/>
    <w:rsid w:val="007B1106"/>
    <w:rsid w:val="007B1166"/>
    <w:rsid w:val="007B11EA"/>
    <w:rsid w:val="007B12B5"/>
    <w:rsid w:val="007B12D0"/>
    <w:rsid w:val="007B1326"/>
    <w:rsid w:val="007B134C"/>
    <w:rsid w:val="007B136E"/>
    <w:rsid w:val="007B13FA"/>
    <w:rsid w:val="007B14CC"/>
    <w:rsid w:val="007B150F"/>
    <w:rsid w:val="007B1577"/>
    <w:rsid w:val="007B15DE"/>
    <w:rsid w:val="007B174F"/>
    <w:rsid w:val="007B18C8"/>
    <w:rsid w:val="007B192D"/>
    <w:rsid w:val="007B197D"/>
    <w:rsid w:val="007B19F1"/>
    <w:rsid w:val="007B1A18"/>
    <w:rsid w:val="007B1A67"/>
    <w:rsid w:val="007B1AA1"/>
    <w:rsid w:val="007B1BDF"/>
    <w:rsid w:val="007B1D7E"/>
    <w:rsid w:val="007B1DF9"/>
    <w:rsid w:val="007B1E6E"/>
    <w:rsid w:val="007B1E8B"/>
    <w:rsid w:val="007B1EE7"/>
    <w:rsid w:val="007B1F1B"/>
    <w:rsid w:val="007B1FA2"/>
    <w:rsid w:val="007B215F"/>
    <w:rsid w:val="007B220A"/>
    <w:rsid w:val="007B22C6"/>
    <w:rsid w:val="007B2348"/>
    <w:rsid w:val="007B2391"/>
    <w:rsid w:val="007B2432"/>
    <w:rsid w:val="007B2434"/>
    <w:rsid w:val="007B2626"/>
    <w:rsid w:val="007B2699"/>
    <w:rsid w:val="007B26E5"/>
    <w:rsid w:val="007B2771"/>
    <w:rsid w:val="007B2786"/>
    <w:rsid w:val="007B27C0"/>
    <w:rsid w:val="007B288B"/>
    <w:rsid w:val="007B2981"/>
    <w:rsid w:val="007B2A3F"/>
    <w:rsid w:val="007B2B63"/>
    <w:rsid w:val="007B2BCE"/>
    <w:rsid w:val="007B2C17"/>
    <w:rsid w:val="007B2D9D"/>
    <w:rsid w:val="007B2DA3"/>
    <w:rsid w:val="007B2E62"/>
    <w:rsid w:val="007B2E72"/>
    <w:rsid w:val="007B2EE9"/>
    <w:rsid w:val="007B2F09"/>
    <w:rsid w:val="007B2F4D"/>
    <w:rsid w:val="007B3100"/>
    <w:rsid w:val="007B311A"/>
    <w:rsid w:val="007B3182"/>
    <w:rsid w:val="007B3235"/>
    <w:rsid w:val="007B32BA"/>
    <w:rsid w:val="007B3326"/>
    <w:rsid w:val="007B3352"/>
    <w:rsid w:val="007B34B3"/>
    <w:rsid w:val="007B3533"/>
    <w:rsid w:val="007B3537"/>
    <w:rsid w:val="007B35AD"/>
    <w:rsid w:val="007B35B6"/>
    <w:rsid w:val="007B3601"/>
    <w:rsid w:val="007B360B"/>
    <w:rsid w:val="007B3656"/>
    <w:rsid w:val="007B3769"/>
    <w:rsid w:val="007B39D1"/>
    <w:rsid w:val="007B39DB"/>
    <w:rsid w:val="007B3AFA"/>
    <w:rsid w:val="007B3B08"/>
    <w:rsid w:val="007B3B96"/>
    <w:rsid w:val="007B3D80"/>
    <w:rsid w:val="007B3DAC"/>
    <w:rsid w:val="007B3F84"/>
    <w:rsid w:val="007B40AD"/>
    <w:rsid w:val="007B40BB"/>
    <w:rsid w:val="007B40BF"/>
    <w:rsid w:val="007B4174"/>
    <w:rsid w:val="007B426D"/>
    <w:rsid w:val="007B42C0"/>
    <w:rsid w:val="007B4344"/>
    <w:rsid w:val="007B44F9"/>
    <w:rsid w:val="007B4515"/>
    <w:rsid w:val="007B456E"/>
    <w:rsid w:val="007B468E"/>
    <w:rsid w:val="007B469D"/>
    <w:rsid w:val="007B4773"/>
    <w:rsid w:val="007B4778"/>
    <w:rsid w:val="007B4814"/>
    <w:rsid w:val="007B487F"/>
    <w:rsid w:val="007B48D6"/>
    <w:rsid w:val="007B48D7"/>
    <w:rsid w:val="007B492D"/>
    <w:rsid w:val="007B498C"/>
    <w:rsid w:val="007B4B3F"/>
    <w:rsid w:val="007B4C79"/>
    <w:rsid w:val="007B4E36"/>
    <w:rsid w:val="007B4E5E"/>
    <w:rsid w:val="007B4EFB"/>
    <w:rsid w:val="007B4FC9"/>
    <w:rsid w:val="007B5084"/>
    <w:rsid w:val="007B5088"/>
    <w:rsid w:val="007B5092"/>
    <w:rsid w:val="007B5227"/>
    <w:rsid w:val="007B526C"/>
    <w:rsid w:val="007B5321"/>
    <w:rsid w:val="007B54E8"/>
    <w:rsid w:val="007B553A"/>
    <w:rsid w:val="007B5553"/>
    <w:rsid w:val="007B5565"/>
    <w:rsid w:val="007B55BA"/>
    <w:rsid w:val="007B5645"/>
    <w:rsid w:val="007B566F"/>
    <w:rsid w:val="007B5674"/>
    <w:rsid w:val="007B56C2"/>
    <w:rsid w:val="007B5725"/>
    <w:rsid w:val="007B57A3"/>
    <w:rsid w:val="007B59A3"/>
    <w:rsid w:val="007B5B99"/>
    <w:rsid w:val="007B5BF5"/>
    <w:rsid w:val="007B5C3D"/>
    <w:rsid w:val="007B5E26"/>
    <w:rsid w:val="007B5E97"/>
    <w:rsid w:val="007B6030"/>
    <w:rsid w:val="007B6077"/>
    <w:rsid w:val="007B60BB"/>
    <w:rsid w:val="007B60EF"/>
    <w:rsid w:val="007B6149"/>
    <w:rsid w:val="007B6176"/>
    <w:rsid w:val="007B6214"/>
    <w:rsid w:val="007B6228"/>
    <w:rsid w:val="007B6342"/>
    <w:rsid w:val="007B638F"/>
    <w:rsid w:val="007B63A8"/>
    <w:rsid w:val="007B6445"/>
    <w:rsid w:val="007B6671"/>
    <w:rsid w:val="007B6721"/>
    <w:rsid w:val="007B68B1"/>
    <w:rsid w:val="007B6ABC"/>
    <w:rsid w:val="007B6B02"/>
    <w:rsid w:val="007B6C96"/>
    <w:rsid w:val="007B6CA9"/>
    <w:rsid w:val="007B6D32"/>
    <w:rsid w:val="007B6D43"/>
    <w:rsid w:val="007B6DCF"/>
    <w:rsid w:val="007B6E5C"/>
    <w:rsid w:val="007B6E99"/>
    <w:rsid w:val="007B6ECD"/>
    <w:rsid w:val="007B6F57"/>
    <w:rsid w:val="007B6FAF"/>
    <w:rsid w:val="007B6FD5"/>
    <w:rsid w:val="007B6FE3"/>
    <w:rsid w:val="007B7007"/>
    <w:rsid w:val="007B706F"/>
    <w:rsid w:val="007B70E4"/>
    <w:rsid w:val="007B7175"/>
    <w:rsid w:val="007B730F"/>
    <w:rsid w:val="007B735B"/>
    <w:rsid w:val="007B739F"/>
    <w:rsid w:val="007B73A6"/>
    <w:rsid w:val="007B73B2"/>
    <w:rsid w:val="007B7473"/>
    <w:rsid w:val="007B7523"/>
    <w:rsid w:val="007B7676"/>
    <w:rsid w:val="007B769A"/>
    <w:rsid w:val="007B76BF"/>
    <w:rsid w:val="007B778A"/>
    <w:rsid w:val="007B7797"/>
    <w:rsid w:val="007B780E"/>
    <w:rsid w:val="007B7869"/>
    <w:rsid w:val="007B786B"/>
    <w:rsid w:val="007B787C"/>
    <w:rsid w:val="007B78D0"/>
    <w:rsid w:val="007B78E7"/>
    <w:rsid w:val="007B7974"/>
    <w:rsid w:val="007B79DE"/>
    <w:rsid w:val="007B7BE7"/>
    <w:rsid w:val="007B7C0E"/>
    <w:rsid w:val="007B7C84"/>
    <w:rsid w:val="007B7E36"/>
    <w:rsid w:val="007B7E95"/>
    <w:rsid w:val="007B7EDA"/>
    <w:rsid w:val="007B7FA8"/>
    <w:rsid w:val="007B7FDC"/>
    <w:rsid w:val="007C0065"/>
    <w:rsid w:val="007C0194"/>
    <w:rsid w:val="007C0261"/>
    <w:rsid w:val="007C0296"/>
    <w:rsid w:val="007C029B"/>
    <w:rsid w:val="007C03C0"/>
    <w:rsid w:val="007C03CD"/>
    <w:rsid w:val="007C0401"/>
    <w:rsid w:val="007C0436"/>
    <w:rsid w:val="007C050D"/>
    <w:rsid w:val="007C05F2"/>
    <w:rsid w:val="007C0657"/>
    <w:rsid w:val="007C06B8"/>
    <w:rsid w:val="007C06F5"/>
    <w:rsid w:val="007C0835"/>
    <w:rsid w:val="007C08F9"/>
    <w:rsid w:val="007C09A3"/>
    <w:rsid w:val="007C0A6C"/>
    <w:rsid w:val="007C0C50"/>
    <w:rsid w:val="007C0E5B"/>
    <w:rsid w:val="007C0EC4"/>
    <w:rsid w:val="007C104A"/>
    <w:rsid w:val="007C1100"/>
    <w:rsid w:val="007C11AF"/>
    <w:rsid w:val="007C123B"/>
    <w:rsid w:val="007C135A"/>
    <w:rsid w:val="007C136C"/>
    <w:rsid w:val="007C140A"/>
    <w:rsid w:val="007C1498"/>
    <w:rsid w:val="007C15A5"/>
    <w:rsid w:val="007C15AD"/>
    <w:rsid w:val="007C169C"/>
    <w:rsid w:val="007C188B"/>
    <w:rsid w:val="007C189A"/>
    <w:rsid w:val="007C19AD"/>
    <w:rsid w:val="007C1AB2"/>
    <w:rsid w:val="007C1BE9"/>
    <w:rsid w:val="007C1D68"/>
    <w:rsid w:val="007C1EA7"/>
    <w:rsid w:val="007C1F67"/>
    <w:rsid w:val="007C1F85"/>
    <w:rsid w:val="007C1FA7"/>
    <w:rsid w:val="007C20DC"/>
    <w:rsid w:val="007C20E3"/>
    <w:rsid w:val="007C21CE"/>
    <w:rsid w:val="007C21F2"/>
    <w:rsid w:val="007C2296"/>
    <w:rsid w:val="007C22E1"/>
    <w:rsid w:val="007C2323"/>
    <w:rsid w:val="007C23E9"/>
    <w:rsid w:val="007C2412"/>
    <w:rsid w:val="007C255F"/>
    <w:rsid w:val="007C25FF"/>
    <w:rsid w:val="007C2615"/>
    <w:rsid w:val="007C2661"/>
    <w:rsid w:val="007C2669"/>
    <w:rsid w:val="007C26DD"/>
    <w:rsid w:val="007C26E7"/>
    <w:rsid w:val="007C2748"/>
    <w:rsid w:val="007C2778"/>
    <w:rsid w:val="007C278C"/>
    <w:rsid w:val="007C27D8"/>
    <w:rsid w:val="007C27E4"/>
    <w:rsid w:val="007C2885"/>
    <w:rsid w:val="007C2927"/>
    <w:rsid w:val="007C299B"/>
    <w:rsid w:val="007C2A51"/>
    <w:rsid w:val="007C2A56"/>
    <w:rsid w:val="007C2A6D"/>
    <w:rsid w:val="007C2A94"/>
    <w:rsid w:val="007C2AF2"/>
    <w:rsid w:val="007C2B17"/>
    <w:rsid w:val="007C2BAB"/>
    <w:rsid w:val="007C2CA1"/>
    <w:rsid w:val="007C2D93"/>
    <w:rsid w:val="007C2DC4"/>
    <w:rsid w:val="007C2DE3"/>
    <w:rsid w:val="007C2E80"/>
    <w:rsid w:val="007C2F80"/>
    <w:rsid w:val="007C2F87"/>
    <w:rsid w:val="007C3036"/>
    <w:rsid w:val="007C31C3"/>
    <w:rsid w:val="007C31E2"/>
    <w:rsid w:val="007C3289"/>
    <w:rsid w:val="007C33A4"/>
    <w:rsid w:val="007C33A8"/>
    <w:rsid w:val="007C341C"/>
    <w:rsid w:val="007C3457"/>
    <w:rsid w:val="007C3466"/>
    <w:rsid w:val="007C3474"/>
    <w:rsid w:val="007C34AB"/>
    <w:rsid w:val="007C352B"/>
    <w:rsid w:val="007C3554"/>
    <w:rsid w:val="007C35AE"/>
    <w:rsid w:val="007C35F7"/>
    <w:rsid w:val="007C365A"/>
    <w:rsid w:val="007C36E4"/>
    <w:rsid w:val="007C38B4"/>
    <w:rsid w:val="007C397D"/>
    <w:rsid w:val="007C3A72"/>
    <w:rsid w:val="007C3A7E"/>
    <w:rsid w:val="007C3ADB"/>
    <w:rsid w:val="007C3C36"/>
    <w:rsid w:val="007C3C92"/>
    <w:rsid w:val="007C3DA2"/>
    <w:rsid w:val="007C3E62"/>
    <w:rsid w:val="007C3EA1"/>
    <w:rsid w:val="007C3EC6"/>
    <w:rsid w:val="007C3F24"/>
    <w:rsid w:val="007C3F2F"/>
    <w:rsid w:val="007C3F91"/>
    <w:rsid w:val="007C3F96"/>
    <w:rsid w:val="007C3FD6"/>
    <w:rsid w:val="007C4045"/>
    <w:rsid w:val="007C4047"/>
    <w:rsid w:val="007C40DB"/>
    <w:rsid w:val="007C4144"/>
    <w:rsid w:val="007C41DB"/>
    <w:rsid w:val="007C4204"/>
    <w:rsid w:val="007C42A6"/>
    <w:rsid w:val="007C430E"/>
    <w:rsid w:val="007C44A3"/>
    <w:rsid w:val="007C454B"/>
    <w:rsid w:val="007C4573"/>
    <w:rsid w:val="007C466E"/>
    <w:rsid w:val="007C471B"/>
    <w:rsid w:val="007C478A"/>
    <w:rsid w:val="007C478D"/>
    <w:rsid w:val="007C4861"/>
    <w:rsid w:val="007C492F"/>
    <w:rsid w:val="007C498C"/>
    <w:rsid w:val="007C4A77"/>
    <w:rsid w:val="007C4B46"/>
    <w:rsid w:val="007C4C23"/>
    <w:rsid w:val="007C4CB9"/>
    <w:rsid w:val="007C4D01"/>
    <w:rsid w:val="007C4EBF"/>
    <w:rsid w:val="007C5023"/>
    <w:rsid w:val="007C509D"/>
    <w:rsid w:val="007C50D8"/>
    <w:rsid w:val="007C517A"/>
    <w:rsid w:val="007C51D9"/>
    <w:rsid w:val="007C52F4"/>
    <w:rsid w:val="007C5333"/>
    <w:rsid w:val="007C53CD"/>
    <w:rsid w:val="007C542F"/>
    <w:rsid w:val="007C543E"/>
    <w:rsid w:val="007C54DB"/>
    <w:rsid w:val="007C553E"/>
    <w:rsid w:val="007C56B8"/>
    <w:rsid w:val="007C56F9"/>
    <w:rsid w:val="007C578B"/>
    <w:rsid w:val="007C58F3"/>
    <w:rsid w:val="007C5B53"/>
    <w:rsid w:val="007C5B65"/>
    <w:rsid w:val="007C5CAF"/>
    <w:rsid w:val="007C5CCF"/>
    <w:rsid w:val="007C5D78"/>
    <w:rsid w:val="007C5DEA"/>
    <w:rsid w:val="007C5E57"/>
    <w:rsid w:val="007C5F99"/>
    <w:rsid w:val="007C5FD6"/>
    <w:rsid w:val="007C6004"/>
    <w:rsid w:val="007C6078"/>
    <w:rsid w:val="007C61CD"/>
    <w:rsid w:val="007C62B2"/>
    <w:rsid w:val="007C6341"/>
    <w:rsid w:val="007C6603"/>
    <w:rsid w:val="007C66C9"/>
    <w:rsid w:val="007C6762"/>
    <w:rsid w:val="007C676E"/>
    <w:rsid w:val="007C67A1"/>
    <w:rsid w:val="007C67E2"/>
    <w:rsid w:val="007C6990"/>
    <w:rsid w:val="007C6AFD"/>
    <w:rsid w:val="007C6B90"/>
    <w:rsid w:val="007C6C6D"/>
    <w:rsid w:val="007C6CE9"/>
    <w:rsid w:val="007C6DF7"/>
    <w:rsid w:val="007C6E4A"/>
    <w:rsid w:val="007C6F2E"/>
    <w:rsid w:val="007C7037"/>
    <w:rsid w:val="007C7092"/>
    <w:rsid w:val="007C70AC"/>
    <w:rsid w:val="007C70F6"/>
    <w:rsid w:val="007C71C4"/>
    <w:rsid w:val="007C7231"/>
    <w:rsid w:val="007C7289"/>
    <w:rsid w:val="007C72F6"/>
    <w:rsid w:val="007C73CB"/>
    <w:rsid w:val="007C73EB"/>
    <w:rsid w:val="007C73F5"/>
    <w:rsid w:val="007C74B1"/>
    <w:rsid w:val="007C74E6"/>
    <w:rsid w:val="007C7537"/>
    <w:rsid w:val="007C7550"/>
    <w:rsid w:val="007C7652"/>
    <w:rsid w:val="007C76BB"/>
    <w:rsid w:val="007C76D0"/>
    <w:rsid w:val="007C7714"/>
    <w:rsid w:val="007C77FC"/>
    <w:rsid w:val="007C78D3"/>
    <w:rsid w:val="007C7909"/>
    <w:rsid w:val="007C7940"/>
    <w:rsid w:val="007C794B"/>
    <w:rsid w:val="007C7980"/>
    <w:rsid w:val="007C7990"/>
    <w:rsid w:val="007C7997"/>
    <w:rsid w:val="007C79F8"/>
    <w:rsid w:val="007C7A47"/>
    <w:rsid w:val="007C7AE7"/>
    <w:rsid w:val="007C7B59"/>
    <w:rsid w:val="007C7BAD"/>
    <w:rsid w:val="007C7E10"/>
    <w:rsid w:val="007C7E87"/>
    <w:rsid w:val="007C7EE0"/>
    <w:rsid w:val="007C7F13"/>
    <w:rsid w:val="007C7F57"/>
    <w:rsid w:val="007D0290"/>
    <w:rsid w:val="007D03C2"/>
    <w:rsid w:val="007D0432"/>
    <w:rsid w:val="007D0498"/>
    <w:rsid w:val="007D04AE"/>
    <w:rsid w:val="007D04C6"/>
    <w:rsid w:val="007D0634"/>
    <w:rsid w:val="007D0635"/>
    <w:rsid w:val="007D07B6"/>
    <w:rsid w:val="007D0960"/>
    <w:rsid w:val="007D097A"/>
    <w:rsid w:val="007D099B"/>
    <w:rsid w:val="007D09ED"/>
    <w:rsid w:val="007D0A3D"/>
    <w:rsid w:val="007D0AAF"/>
    <w:rsid w:val="007D0AD8"/>
    <w:rsid w:val="007D0BCB"/>
    <w:rsid w:val="007D0C71"/>
    <w:rsid w:val="007D0DF7"/>
    <w:rsid w:val="007D0E63"/>
    <w:rsid w:val="007D0E77"/>
    <w:rsid w:val="007D0E93"/>
    <w:rsid w:val="007D0EA4"/>
    <w:rsid w:val="007D0F7E"/>
    <w:rsid w:val="007D0FFA"/>
    <w:rsid w:val="007D104A"/>
    <w:rsid w:val="007D10AF"/>
    <w:rsid w:val="007D11AF"/>
    <w:rsid w:val="007D12CB"/>
    <w:rsid w:val="007D1803"/>
    <w:rsid w:val="007D1907"/>
    <w:rsid w:val="007D19AD"/>
    <w:rsid w:val="007D1A27"/>
    <w:rsid w:val="007D1C2E"/>
    <w:rsid w:val="007D1C9E"/>
    <w:rsid w:val="007D1CD6"/>
    <w:rsid w:val="007D1D11"/>
    <w:rsid w:val="007D1D32"/>
    <w:rsid w:val="007D1DF9"/>
    <w:rsid w:val="007D1E41"/>
    <w:rsid w:val="007D1E7F"/>
    <w:rsid w:val="007D1ECE"/>
    <w:rsid w:val="007D1EDB"/>
    <w:rsid w:val="007D2091"/>
    <w:rsid w:val="007D20AE"/>
    <w:rsid w:val="007D215A"/>
    <w:rsid w:val="007D2171"/>
    <w:rsid w:val="007D2175"/>
    <w:rsid w:val="007D21B2"/>
    <w:rsid w:val="007D24D8"/>
    <w:rsid w:val="007D2567"/>
    <w:rsid w:val="007D25A6"/>
    <w:rsid w:val="007D2648"/>
    <w:rsid w:val="007D26BE"/>
    <w:rsid w:val="007D27BC"/>
    <w:rsid w:val="007D282C"/>
    <w:rsid w:val="007D2939"/>
    <w:rsid w:val="007D2A0E"/>
    <w:rsid w:val="007D2A2F"/>
    <w:rsid w:val="007D2A53"/>
    <w:rsid w:val="007D2A79"/>
    <w:rsid w:val="007D2A9D"/>
    <w:rsid w:val="007D2AE8"/>
    <w:rsid w:val="007D2B88"/>
    <w:rsid w:val="007D2C1E"/>
    <w:rsid w:val="007D2C8E"/>
    <w:rsid w:val="007D2D6D"/>
    <w:rsid w:val="007D2E61"/>
    <w:rsid w:val="007D2F0F"/>
    <w:rsid w:val="007D2FCE"/>
    <w:rsid w:val="007D3005"/>
    <w:rsid w:val="007D300B"/>
    <w:rsid w:val="007D30F8"/>
    <w:rsid w:val="007D3102"/>
    <w:rsid w:val="007D31BA"/>
    <w:rsid w:val="007D3278"/>
    <w:rsid w:val="007D3310"/>
    <w:rsid w:val="007D3369"/>
    <w:rsid w:val="007D338B"/>
    <w:rsid w:val="007D3412"/>
    <w:rsid w:val="007D34E1"/>
    <w:rsid w:val="007D3569"/>
    <w:rsid w:val="007D358F"/>
    <w:rsid w:val="007D3633"/>
    <w:rsid w:val="007D363F"/>
    <w:rsid w:val="007D37A4"/>
    <w:rsid w:val="007D37B0"/>
    <w:rsid w:val="007D381D"/>
    <w:rsid w:val="007D3857"/>
    <w:rsid w:val="007D3899"/>
    <w:rsid w:val="007D38EF"/>
    <w:rsid w:val="007D3BA0"/>
    <w:rsid w:val="007D3BFA"/>
    <w:rsid w:val="007D3C6B"/>
    <w:rsid w:val="007D3CA8"/>
    <w:rsid w:val="007D3CF1"/>
    <w:rsid w:val="007D3D37"/>
    <w:rsid w:val="007D3E94"/>
    <w:rsid w:val="007D3F2F"/>
    <w:rsid w:val="007D3F84"/>
    <w:rsid w:val="007D40D8"/>
    <w:rsid w:val="007D4194"/>
    <w:rsid w:val="007D425A"/>
    <w:rsid w:val="007D42F3"/>
    <w:rsid w:val="007D42FB"/>
    <w:rsid w:val="007D43AD"/>
    <w:rsid w:val="007D4446"/>
    <w:rsid w:val="007D44A0"/>
    <w:rsid w:val="007D44C1"/>
    <w:rsid w:val="007D44EC"/>
    <w:rsid w:val="007D456C"/>
    <w:rsid w:val="007D4604"/>
    <w:rsid w:val="007D46B5"/>
    <w:rsid w:val="007D46BA"/>
    <w:rsid w:val="007D47FA"/>
    <w:rsid w:val="007D480C"/>
    <w:rsid w:val="007D49BE"/>
    <w:rsid w:val="007D4A29"/>
    <w:rsid w:val="007D4B01"/>
    <w:rsid w:val="007D4BE3"/>
    <w:rsid w:val="007D4D93"/>
    <w:rsid w:val="007D4E4D"/>
    <w:rsid w:val="007D4FE6"/>
    <w:rsid w:val="007D511D"/>
    <w:rsid w:val="007D5218"/>
    <w:rsid w:val="007D5292"/>
    <w:rsid w:val="007D53DE"/>
    <w:rsid w:val="007D53DF"/>
    <w:rsid w:val="007D5445"/>
    <w:rsid w:val="007D554F"/>
    <w:rsid w:val="007D5568"/>
    <w:rsid w:val="007D55AD"/>
    <w:rsid w:val="007D561E"/>
    <w:rsid w:val="007D5641"/>
    <w:rsid w:val="007D5658"/>
    <w:rsid w:val="007D56A3"/>
    <w:rsid w:val="007D56E2"/>
    <w:rsid w:val="007D59FA"/>
    <w:rsid w:val="007D5A80"/>
    <w:rsid w:val="007D5A9A"/>
    <w:rsid w:val="007D5C4B"/>
    <w:rsid w:val="007D5C52"/>
    <w:rsid w:val="007D5CDE"/>
    <w:rsid w:val="007D5D6D"/>
    <w:rsid w:val="007D5E5C"/>
    <w:rsid w:val="007D60C2"/>
    <w:rsid w:val="007D6242"/>
    <w:rsid w:val="007D6262"/>
    <w:rsid w:val="007D62F5"/>
    <w:rsid w:val="007D6353"/>
    <w:rsid w:val="007D651B"/>
    <w:rsid w:val="007D67A4"/>
    <w:rsid w:val="007D68E1"/>
    <w:rsid w:val="007D692A"/>
    <w:rsid w:val="007D6937"/>
    <w:rsid w:val="007D69BC"/>
    <w:rsid w:val="007D6A0A"/>
    <w:rsid w:val="007D6B73"/>
    <w:rsid w:val="007D6B87"/>
    <w:rsid w:val="007D6CDD"/>
    <w:rsid w:val="007D6CEB"/>
    <w:rsid w:val="007D6D0D"/>
    <w:rsid w:val="007D6E08"/>
    <w:rsid w:val="007D6E43"/>
    <w:rsid w:val="007D6E45"/>
    <w:rsid w:val="007D6E87"/>
    <w:rsid w:val="007D6E89"/>
    <w:rsid w:val="007D6F19"/>
    <w:rsid w:val="007D715A"/>
    <w:rsid w:val="007D7193"/>
    <w:rsid w:val="007D71A6"/>
    <w:rsid w:val="007D7237"/>
    <w:rsid w:val="007D723E"/>
    <w:rsid w:val="007D73B0"/>
    <w:rsid w:val="007D73B4"/>
    <w:rsid w:val="007D73DE"/>
    <w:rsid w:val="007D7469"/>
    <w:rsid w:val="007D7483"/>
    <w:rsid w:val="007D74CC"/>
    <w:rsid w:val="007D75E9"/>
    <w:rsid w:val="007D7646"/>
    <w:rsid w:val="007D76B7"/>
    <w:rsid w:val="007D76C6"/>
    <w:rsid w:val="007D7706"/>
    <w:rsid w:val="007D77D7"/>
    <w:rsid w:val="007D7831"/>
    <w:rsid w:val="007D7939"/>
    <w:rsid w:val="007D7969"/>
    <w:rsid w:val="007D7B73"/>
    <w:rsid w:val="007D7C43"/>
    <w:rsid w:val="007D7C75"/>
    <w:rsid w:val="007D7CCB"/>
    <w:rsid w:val="007D7DCE"/>
    <w:rsid w:val="007D7DD4"/>
    <w:rsid w:val="007D7E99"/>
    <w:rsid w:val="007D7EBC"/>
    <w:rsid w:val="007D7EFD"/>
    <w:rsid w:val="007D7F0E"/>
    <w:rsid w:val="007E0034"/>
    <w:rsid w:val="007E00A6"/>
    <w:rsid w:val="007E00AF"/>
    <w:rsid w:val="007E017B"/>
    <w:rsid w:val="007E01D4"/>
    <w:rsid w:val="007E01F1"/>
    <w:rsid w:val="007E023A"/>
    <w:rsid w:val="007E0246"/>
    <w:rsid w:val="007E02BA"/>
    <w:rsid w:val="007E03B3"/>
    <w:rsid w:val="007E03DF"/>
    <w:rsid w:val="007E03E3"/>
    <w:rsid w:val="007E0491"/>
    <w:rsid w:val="007E04CF"/>
    <w:rsid w:val="007E04E3"/>
    <w:rsid w:val="007E0627"/>
    <w:rsid w:val="007E065D"/>
    <w:rsid w:val="007E06C4"/>
    <w:rsid w:val="007E06E7"/>
    <w:rsid w:val="007E0828"/>
    <w:rsid w:val="007E082D"/>
    <w:rsid w:val="007E08F0"/>
    <w:rsid w:val="007E09AF"/>
    <w:rsid w:val="007E0A67"/>
    <w:rsid w:val="007E0A9D"/>
    <w:rsid w:val="007E0C2C"/>
    <w:rsid w:val="007E0DF7"/>
    <w:rsid w:val="007E0E19"/>
    <w:rsid w:val="007E0E58"/>
    <w:rsid w:val="007E0F38"/>
    <w:rsid w:val="007E0FE3"/>
    <w:rsid w:val="007E10F0"/>
    <w:rsid w:val="007E110A"/>
    <w:rsid w:val="007E1257"/>
    <w:rsid w:val="007E12CD"/>
    <w:rsid w:val="007E13FB"/>
    <w:rsid w:val="007E140B"/>
    <w:rsid w:val="007E142F"/>
    <w:rsid w:val="007E1494"/>
    <w:rsid w:val="007E1547"/>
    <w:rsid w:val="007E15F9"/>
    <w:rsid w:val="007E16E2"/>
    <w:rsid w:val="007E173C"/>
    <w:rsid w:val="007E1765"/>
    <w:rsid w:val="007E1849"/>
    <w:rsid w:val="007E18BD"/>
    <w:rsid w:val="007E18F2"/>
    <w:rsid w:val="007E19FD"/>
    <w:rsid w:val="007E1ADC"/>
    <w:rsid w:val="007E1BFA"/>
    <w:rsid w:val="007E1C02"/>
    <w:rsid w:val="007E1C9D"/>
    <w:rsid w:val="007E1DAD"/>
    <w:rsid w:val="007E1DE1"/>
    <w:rsid w:val="007E1E98"/>
    <w:rsid w:val="007E1EB3"/>
    <w:rsid w:val="007E1F1A"/>
    <w:rsid w:val="007E1FA7"/>
    <w:rsid w:val="007E1FBF"/>
    <w:rsid w:val="007E1FDF"/>
    <w:rsid w:val="007E20AD"/>
    <w:rsid w:val="007E232D"/>
    <w:rsid w:val="007E2332"/>
    <w:rsid w:val="007E239E"/>
    <w:rsid w:val="007E2417"/>
    <w:rsid w:val="007E248B"/>
    <w:rsid w:val="007E2493"/>
    <w:rsid w:val="007E24B0"/>
    <w:rsid w:val="007E25A0"/>
    <w:rsid w:val="007E25A7"/>
    <w:rsid w:val="007E25B7"/>
    <w:rsid w:val="007E25C2"/>
    <w:rsid w:val="007E25DE"/>
    <w:rsid w:val="007E264B"/>
    <w:rsid w:val="007E26F3"/>
    <w:rsid w:val="007E297B"/>
    <w:rsid w:val="007E2A15"/>
    <w:rsid w:val="007E2A93"/>
    <w:rsid w:val="007E2AE4"/>
    <w:rsid w:val="007E2D23"/>
    <w:rsid w:val="007E2D59"/>
    <w:rsid w:val="007E2E4F"/>
    <w:rsid w:val="007E2E92"/>
    <w:rsid w:val="007E2FE6"/>
    <w:rsid w:val="007E2FF5"/>
    <w:rsid w:val="007E300B"/>
    <w:rsid w:val="007E301B"/>
    <w:rsid w:val="007E3051"/>
    <w:rsid w:val="007E305D"/>
    <w:rsid w:val="007E3132"/>
    <w:rsid w:val="007E318C"/>
    <w:rsid w:val="007E318E"/>
    <w:rsid w:val="007E3279"/>
    <w:rsid w:val="007E32F0"/>
    <w:rsid w:val="007E341E"/>
    <w:rsid w:val="007E343B"/>
    <w:rsid w:val="007E3482"/>
    <w:rsid w:val="007E36B8"/>
    <w:rsid w:val="007E36C4"/>
    <w:rsid w:val="007E36EE"/>
    <w:rsid w:val="007E372A"/>
    <w:rsid w:val="007E3882"/>
    <w:rsid w:val="007E38E1"/>
    <w:rsid w:val="007E38FB"/>
    <w:rsid w:val="007E3902"/>
    <w:rsid w:val="007E3C73"/>
    <w:rsid w:val="007E4064"/>
    <w:rsid w:val="007E4203"/>
    <w:rsid w:val="007E42B6"/>
    <w:rsid w:val="007E42DF"/>
    <w:rsid w:val="007E4318"/>
    <w:rsid w:val="007E4353"/>
    <w:rsid w:val="007E440E"/>
    <w:rsid w:val="007E4480"/>
    <w:rsid w:val="007E45E1"/>
    <w:rsid w:val="007E461E"/>
    <w:rsid w:val="007E462D"/>
    <w:rsid w:val="007E4710"/>
    <w:rsid w:val="007E477F"/>
    <w:rsid w:val="007E4815"/>
    <w:rsid w:val="007E4842"/>
    <w:rsid w:val="007E4906"/>
    <w:rsid w:val="007E49CC"/>
    <w:rsid w:val="007E4A0B"/>
    <w:rsid w:val="007E4A88"/>
    <w:rsid w:val="007E4AB8"/>
    <w:rsid w:val="007E4AE2"/>
    <w:rsid w:val="007E4B26"/>
    <w:rsid w:val="007E4B39"/>
    <w:rsid w:val="007E4BD8"/>
    <w:rsid w:val="007E4C6D"/>
    <w:rsid w:val="007E4C93"/>
    <w:rsid w:val="007E4C9D"/>
    <w:rsid w:val="007E4DBE"/>
    <w:rsid w:val="007E4DD3"/>
    <w:rsid w:val="007E4E12"/>
    <w:rsid w:val="007E50A3"/>
    <w:rsid w:val="007E51E3"/>
    <w:rsid w:val="007E5208"/>
    <w:rsid w:val="007E5281"/>
    <w:rsid w:val="007E52CD"/>
    <w:rsid w:val="007E52D8"/>
    <w:rsid w:val="007E53EC"/>
    <w:rsid w:val="007E5408"/>
    <w:rsid w:val="007E558F"/>
    <w:rsid w:val="007E559D"/>
    <w:rsid w:val="007E55B4"/>
    <w:rsid w:val="007E5603"/>
    <w:rsid w:val="007E5677"/>
    <w:rsid w:val="007E56D4"/>
    <w:rsid w:val="007E56DE"/>
    <w:rsid w:val="007E56E2"/>
    <w:rsid w:val="007E5778"/>
    <w:rsid w:val="007E5788"/>
    <w:rsid w:val="007E5939"/>
    <w:rsid w:val="007E597E"/>
    <w:rsid w:val="007E59B7"/>
    <w:rsid w:val="007E59DA"/>
    <w:rsid w:val="007E5A86"/>
    <w:rsid w:val="007E5BC5"/>
    <w:rsid w:val="007E5C28"/>
    <w:rsid w:val="007E5C3C"/>
    <w:rsid w:val="007E5C56"/>
    <w:rsid w:val="007E5D38"/>
    <w:rsid w:val="007E5D3F"/>
    <w:rsid w:val="007E5DB7"/>
    <w:rsid w:val="007E628B"/>
    <w:rsid w:val="007E635C"/>
    <w:rsid w:val="007E636B"/>
    <w:rsid w:val="007E63DA"/>
    <w:rsid w:val="007E63EB"/>
    <w:rsid w:val="007E647D"/>
    <w:rsid w:val="007E6535"/>
    <w:rsid w:val="007E681E"/>
    <w:rsid w:val="007E686C"/>
    <w:rsid w:val="007E68AF"/>
    <w:rsid w:val="007E6913"/>
    <w:rsid w:val="007E6951"/>
    <w:rsid w:val="007E69B8"/>
    <w:rsid w:val="007E6B61"/>
    <w:rsid w:val="007E6BC6"/>
    <w:rsid w:val="007E6DAE"/>
    <w:rsid w:val="007E6DDE"/>
    <w:rsid w:val="007E6EEC"/>
    <w:rsid w:val="007E6EFC"/>
    <w:rsid w:val="007E6EFE"/>
    <w:rsid w:val="007E6F6D"/>
    <w:rsid w:val="007E6F93"/>
    <w:rsid w:val="007E7001"/>
    <w:rsid w:val="007E7023"/>
    <w:rsid w:val="007E70BA"/>
    <w:rsid w:val="007E7131"/>
    <w:rsid w:val="007E71CC"/>
    <w:rsid w:val="007E730B"/>
    <w:rsid w:val="007E739C"/>
    <w:rsid w:val="007E73FA"/>
    <w:rsid w:val="007E746E"/>
    <w:rsid w:val="007E74E9"/>
    <w:rsid w:val="007E756B"/>
    <w:rsid w:val="007E772E"/>
    <w:rsid w:val="007E780A"/>
    <w:rsid w:val="007E799C"/>
    <w:rsid w:val="007E79E9"/>
    <w:rsid w:val="007E7B47"/>
    <w:rsid w:val="007E7B58"/>
    <w:rsid w:val="007E7BC8"/>
    <w:rsid w:val="007E7BC9"/>
    <w:rsid w:val="007E7C06"/>
    <w:rsid w:val="007E7D75"/>
    <w:rsid w:val="007E7E42"/>
    <w:rsid w:val="007E7EB6"/>
    <w:rsid w:val="007E7ED8"/>
    <w:rsid w:val="007E7F1C"/>
    <w:rsid w:val="007E7F8F"/>
    <w:rsid w:val="007F0026"/>
    <w:rsid w:val="007F0075"/>
    <w:rsid w:val="007F00A2"/>
    <w:rsid w:val="007F00C0"/>
    <w:rsid w:val="007F0108"/>
    <w:rsid w:val="007F018B"/>
    <w:rsid w:val="007F029E"/>
    <w:rsid w:val="007F02F7"/>
    <w:rsid w:val="007F0303"/>
    <w:rsid w:val="007F0398"/>
    <w:rsid w:val="007F0407"/>
    <w:rsid w:val="007F0408"/>
    <w:rsid w:val="007F042E"/>
    <w:rsid w:val="007F0524"/>
    <w:rsid w:val="007F0565"/>
    <w:rsid w:val="007F0591"/>
    <w:rsid w:val="007F0655"/>
    <w:rsid w:val="007F0693"/>
    <w:rsid w:val="007F06FC"/>
    <w:rsid w:val="007F07DE"/>
    <w:rsid w:val="007F0817"/>
    <w:rsid w:val="007F0822"/>
    <w:rsid w:val="007F08AC"/>
    <w:rsid w:val="007F08CF"/>
    <w:rsid w:val="007F094B"/>
    <w:rsid w:val="007F0ADD"/>
    <w:rsid w:val="007F0B42"/>
    <w:rsid w:val="007F0C32"/>
    <w:rsid w:val="007F0CF7"/>
    <w:rsid w:val="007F0D44"/>
    <w:rsid w:val="007F0D4E"/>
    <w:rsid w:val="007F0DCC"/>
    <w:rsid w:val="007F0EB0"/>
    <w:rsid w:val="007F0F42"/>
    <w:rsid w:val="007F0FB1"/>
    <w:rsid w:val="007F1054"/>
    <w:rsid w:val="007F10D5"/>
    <w:rsid w:val="007F10F5"/>
    <w:rsid w:val="007F1195"/>
    <w:rsid w:val="007F120C"/>
    <w:rsid w:val="007F1273"/>
    <w:rsid w:val="007F1299"/>
    <w:rsid w:val="007F1315"/>
    <w:rsid w:val="007F14E3"/>
    <w:rsid w:val="007F15B4"/>
    <w:rsid w:val="007F16AD"/>
    <w:rsid w:val="007F1798"/>
    <w:rsid w:val="007F1843"/>
    <w:rsid w:val="007F184B"/>
    <w:rsid w:val="007F19D7"/>
    <w:rsid w:val="007F1AE6"/>
    <w:rsid w:val="007F1B0B"/>
    <w:rsid w:val="007F1B5A"/>
    <w:rsid w:val="007F1BB3"/>
    <w:rsid w:val="007F1CA7"/>
    <w:rsid w:val="007F1CEC"/>
    <w:rsid w:val="007F1D39"/>
    <w:rsid w:val="007F1D41"/>
    <w:rsid w:val="007F1DF1"/>
    <w:rsid w:val="007F1E4E"/>
    <w:rsid w:val="007F1E5E"/>
    <w:rsid w:val="007F1E7E"/>
    <w:rsid w:val="007F1E9F"/>
    <w:rsid w:val="007F1EAC"/>
    <w:rsid w:val="007F1F23"/>
    <w:rsid w:val="007F1F24"/>
    <w:rsid w:val="007F1F60"/>
    <w:rsid w:val="007F1F86"/>
    <w:rsid w:val="007F209E"/>
    <w:rsid w:val="007F21C3"/>
    <w:rsid w:val="007F2214"/>
    <w:rsid w:val="007F2288"/>
    <w:rsid w:val="007F2331"/>
    <w:rsid w:val="007F2396"/>
    <w:rsid w:val="007F24FA"/>
    <w:rsid w:val="007F250A"/>
    <w:rsid w:val="007F2706"/>
    <w:rsid w:val="007F280E"/>
    <w:rsid w:val="007F2893"/>
    <w:rsid w:val="007F2AD4"/>
    <w:rsid w:val="007F2B2F"/>
    <w:rsid w:val="007F2CBC"/>
    <w:rsid w:val="007F2DF4"/>
    <w:rsid w:val="007F2E71"/>
    <w:rsid w:val="007F3023"/>
    <w:rsid w:val="007F3052"/>
    <w:rsid w:val="007F309D"/>
    <w:rsid w:val="007F30C8"/>
    <w:rsid w:val="007F31AE"/>
    <w:rsid w:val="007F3389"/>
    <w:rsid w:val="007F33C4"/>
    <w:rsid w:val="007F340D"/>
    <w:rsid w:val="007F344E"/>
    <w:rsid w:val="007F35D1"/>
    <w:rsid w:val="007F35E3"/>
    <w:rsid w:val="007F369A"/>
    <w:rsid w:val="007F3779"/>
    <w:rsid w:val="007F37BD"/>
    <w:rsid w:val="007F37D7"/>
    <w:rsid w:val="007F3897"/>
    <w:rsid w:val="007F38C3"/>
    <w:rsid w:val="007F38E9"/>
    <w:rsid w:val="007F3A41"/>
    <w:rsid w:val="007F3AED"/>
    <w:rsid w:val="007F3B51"/>
    <w:rsid w:val="007F3B74"/>
    <w:rsid w:val="007F3C3F"/>
    <w:rsid w:val="007F3CF2"/>
    <w:rsid w:val="007F3D9A"/>
    <w:rsid w:val="007F3E0D"/>
    <w:rsid w:val="007F3E67"/>
    <w:rsid w:val="007F3F10"/>
    <w:rsid w:val="007F3F1B"/>
    <w:rsid w:val="007F3F35"/>
    <w:rsid w:val="007F3FF6"/>
    <w:rsid w:val="007F40A4"/>
    <w:rsid w:val="007F40B9"/>
    <w:rsid w:val="007F40FB"/>
    <w:rsid w:val="007F41DC"/>
    <w:rsid w:val="007F420C"/>
    <w:rsid w:val="007F4289"/>
    <w:rsid w:val="007F42A2"/>
    <w:rsid w:val="007F43B3"/>
    <w:rsid w:val="007F4434"/>
    <w:rsid w:val="007F4550"/>
    <w:rsid w:val="007F4628"/>
    <w:rsid w:val="007F48C4"/>
    <w:rsid w:val="007F4982"/>
    <w:rsid w:val="007F4AE0"/>
    <w:rsid w:val="007F4B4E"/>
    <w:rsid w:val="007F4B4F"/>
    <w:rsid w:val="007F4DF5"/>
    <w:rsid w:val="007F4E83"/>
    <w:rsid w:val="007F4F45"/>
    <w:rsid w:val="007F4FB9"/>
    <w:rsid w:val="007F500B"/>
    <w:rsid w:val="007F5020"/>
    <w:rsid w:val="007F50A0"/>
    <w:rsid w:val="007F50DA"/>
    <w:rsid w:val="007F5163"/>
    <w:rsid w:val="007F5431"/>
    <w:rsid w:val="007F55D1"/>
    <w:rsid w:val="007F56EB"/>
    <w:rsid w:val="007F5795"/>
    <w:rsid w:val="007F5823"/>
    <w:rsid w:val="007F585B"/>
    <w:rsid w:val="007F5923"/>
    <w:rsid w:val="007F5996"/>
    <w:rsid w:val="007F5AEB"/>
    <w:rsid w:val="007F5B6D"/>
    <w:rsid w:val="007F5BC8"/>
    <w:rsid w:val="007F5C97"/>
    <w:rsid w:val="007F5CA6"/>
    <w:rsid w:val="007F5CB4"/>
    <w:rsid w:val="007F5CF0"/>
    <w:rsid w:val="007F5D6C"/>
    <w:rsid w:val="007F5E05"/>
    <w:rsid w:val="007F5E4F"/>
    <w:rsid w:val="007F60A9"/>
    <w:rsid w:val="007F61AD"/>
    <w:rsid w:val="007F62A5"/>
    <w:rsid w:val="007F640A"/>
    <w:rsid w:val="007F649A"/>
    <w:rsid w:val="007F64CC"/>
    <w:rsid w:val="007F6645"/>
    <w:rsid w:val="007F66D2"/>
    <w:rsid w:val="007F6786"/>
    <w:rsid w:val="007F6824"/>
    <w:rsid w:val="007F6913"/>
    <w:rsid w:val="007F693B"/>
    <w:rsid w:val="007F69DE"/>
    <w:rsid w:val="007F6AA0"/>
    <w:rsid w:val="007F6ABD"/>
    <w:rsid w:val="007F6B2A"/>
    <w:rsid w:val="007F6B48"/>
    <w:rsid w:val="007F6C68"/>
    <w:rsid w:val="007F6CEC"/>
    <w:rsid w:val="007F6D4B"/>
    <w:rsid w:val="007F6DC9"/>
    <w:rsid w:val="007F6DE2"/>
    <w:rsid w:val="007F6EA9"/>
    <w:rsid w:val="007F6F67"/>
    <w:rsid w:val="007F6FB3"/>
    <w:rsid w:val="007F709D"/>
    <w:rsid w:val="007F7147"/>
    <w:rsid w:val="007F7197"/>
    <w:rsid w:val="007F71B2"/>
    <w:rsid w:val="007F72C8"/>
    <w:rsid w:val="007F7348"/>
    <w:rsid w:val="007F7371"/>
    <w:rsid w:val="007F7390"/>
    <w:rsid w:val="007F7406"/>
    <w:rsid w:val="007F74A8"/>
    <w:rsid w:val="007F751A"/>
    <w:rsid w:val="007F7648"/>
    <w:rsid w:val="007F7680"/>
    <w:rsid w:val="007F769A"/>
    <w:rsid w:val="007F76FE"/>
    <w:rsid w:val="007F775A"/>
    <w:rsid w:val="007F77B4"/>
    <w:rsid w:val="007F784D"/>
    <w:rsid w:val="007F7881"/>
    <w:rsid w:val="007F7962"/>
    <w:rsid w:val="007F79DC"/>
    <w:rsid w:val="007F7A9E"/>
    <w:rsid w:val="007F7AE0"/>
    <w:rsid w:val="007F7B24"/>
    <w:rsid w:val="007F7B26"/>
    <w:rsid w:val="007F7BE9"/>
    <w:rsid w:val="007F7D3A"/>
    <w:rsid w:val="008000BA"/>
    <w:rsid w:val="008000C4"/>
    <w:rsid w:val="008001FA"/>
    <w:rsid w:val="00800353"/>
    <w:rsid w:val="00800485"/>
    <w:rsid w:val="008004F5"/>
    <w:rsid w:val="0080052E"/>
    <w:rsid w:val="00800582"/>
    <w:rsid w:val="008006A3"/>
    <w:rsid w:val="008007AD"/>
    <w:rsid w:val="008007D2"/>
    <w:rsid w:val="0080080D"/>
    <w:rsid w:val="008009A5"/>
    <w:rsid w:val="00800B46"/>
    <w:rsid w:val="00800C2A"/>
    <w:rsid w:val="00800DD8"/>
    <w:rsid w:val="00800E26"/>
    <w:rsid w:val="00800E2B"/>
    <w:rsid w:val="00800F89"/>
    <w:rsid w:val="00801004"/>
    <w:rsid w:val="0080103E"/>
    <w:rsid w:val="0080108D"/>
    <w:rsid w:val="0080115D"/>
    <w:rsid w:val="008012E8"/>
    <w:rsid w:val="0080131F"/>
    <w:rsid w:val="008013F9"/>
    <w:rsid w:val="00801510"/>
    <w:rsid w:val="00801511"/>
    <w:rsid w:val="0080151B"/>
    <w:rsid w:val="008015AE"/>
    <w:rsid w:val="008015D6"/>
    <w:rsid w:val="008017C2"/>
    <w:rsid w:val="00801884"/>
    <w:rsid w:val="008018DC"/>
    <w:rsid w:val="0080193C"/>
    <w:rsid w:val="008019C3"/>
    <w:rsid w:val="00801A44"/>
    <w:rsid w:val="00801B8D"/>
    <w:rsid w:val="00801C6A"/>
    <w:rsid w:val="00801DCF"/>
    <w:rsid w:val="00801DD5"/>
    <w:rsid w:val="00801ED9"/>
    <w:rsid w:val="0080207F"/>
    <w:rsid w:val="008020E8"/>
    <w:rsid w:val="008020F7"/>
    <w:rsid w:val="0080218A"/>
    <w:rsid w:val="00802211"/>
    <w:rsid w:val="008022C5"/>
    <w:rsid w:val="008023DB"/>
    <w:rsid w:val="00802464"/>
    <w:rsid w:val="008027FD"/>
    <w:rsid w:val="008028B6"/>
    <w:rsid w:val="008028D4"/>
    <w:rsid w:val="0080292B"/>
    <w:rsid w:val="008029E2"/>
    <w:rsid w:val="008029EA"/>
    <w:rsid w:val="00802A3E"/>
    <w:rsid w:val="00802ACA"/>
    <w:rsid w:val="00802B50"/>
    <w:rsid w:val="00802BE6"/>
    <w:rsid w:val="00802C7C"/>
    <w:rsid w:val="00802D4A"/>
    <w:rsid w:val="00802DAA"/>
    <w:rsid w:val="00802E16"/>
    <w:rsid w:val="00802E18"/>
    <w:rsid w:val="00802E92"/>
    <w:rsid w:val="00802EB4"/>
    <w:rsid w:val="00802F44"/>
    <w:rsid w:val="00802FD4"/>
    <w:rsid w:val="0080323E"/>
    <w:rsid w:val="00803543"/>
    <w:rsid w:val="008035D3"/>
    <w:rsid w:val="008035DA"/>
    <w:rsid w:val="008035EF"/>
    <w:rsid w:val="0080366D"/>
    <w:rsid w:val="008036C1"/>
    <w:rsid w:val="008037B6"/>
    <w:rsid w:val="00803806"/>
    <w:rsid w:val="008038FA"/>
    <w:rsid w:val="00803946"/>
    <w:rsid w:val="00803980"/>
    <w:rsid w:val="008039FD"/>
    <w:rsid w:val="00803B79"/>
    <w:rsid w:val="00803B9B"/>
    <w:rsid w:val="00803BF2"/>
    <w:rsid w:val="00803CC0"/>
    <w:rsid w:val="00803CC4"/>
    <w:rsid w:val="00803DB6"/>
    <w:rsid w:val="00803E03"/>
    <w:rsid w:val="00803EF4"/>
    <w:rsid w:val="00803F49"/>
    <w:rsid w:val="00803F8B"/>
    <w:rsid w:val="00803FC6"/>
    <w:rsid w:val="00803FDC"/>
    <w:rsid w:val="0080402C"/>
    <w:rsid w:val="00804058"/>
    <w:rsid w:val="008040ED"/>
    <w:rsid w:val="008042E7"/>
    <w:rsid w:val="00804384"/>
    <w:rsid w:val="008044DC"/>
    <w:rsid w:val="0080452B"/>
    <w:rsid w:val="00804562"/>
    <w:rsid w:val="00804584"/>
    <w:rsid w:val="008045D0"/>
    <w:rsid w:val="0080461F"/>
    <w:rsid w:val="00804672"/>
    <w:rsid w:val="008046EB"/>
    <w:rsid w:val="008047F3"/>
    <w:rsid w:val="008048F7"/>
    <w:rsid w:val="00804934"/>
    <w:rsid w:val="00804938"/>
    <w:rsid w:val="008049DC"/>
    <w:rsid w:val="00804B03"/>
    <w:rsid w:val="00804B78"/>
    <w:rsid w:val="00804BA2"/>
    <w:rsid w:val="00804C1B"/>
    <w:rsid w:val="00804CC0"/>
    <w:rsid w:val="00804DC0"/>
    <w:rsid w:val="00804DD2"/>
    <w:rsid w:val="00804DE8"/>
    <w:rsid w:val="00804E34"/>
    <w:rsid w:val="00804EA8"/>
    <w:rsid w:val="00804EB9"/>
    <w:rsid w:val="00804EEE"/>
    <w:rsid w:val="008050F5"/>
    <w:rsid w:val="0080519A"/>
    <w:rsid w:val="008051B4"/>
    <w:rsid w:val="00805436"/>
    <w:rsid w:val="008054F2"/>
    <w:rsid w:val="00805781"/>
    <w:rsid w:val="008057CC"/>
    <w:rsid w:val="0080581C"/>
    <w:rsid w:val="00805877"/>
    <w:rsid w:val="0080593D"/>
    <w:rsid w:val="00805A80"/>
    <w:rsid w:val="00805B7D"/>
    <w:rsid w:val="00805BAE"/>
    <w:rsid w:val="00805C7C"/>
    <w:rsid w:val="00805DCC"/>
    <w:rsid w:val="00805E0A"/>
    <w:rsid w:val="00805E42"/>
    <w:rsid w:val="00805F5F"/>
    <w:rsid w:val="00806028"/>
    <w:rsid w:val="008060A9"/>
    <w:rsid w:val="00806154"/>
    <w:rsid w:val="008062AE"/>
    <w:rsid w:val="00806430"/>
    <w:rsid w:val="00806498"/>
    <w:rsid w:val="008064E3"/>
    <w:rsid w:val="00806511"/>
    <w:rsid w:val="008066B8"/>
    <w:rsid w:val="00806782"/>
    <w:rsid w:val="0080679B"/>
    <w:rsid w:val="008067D0"/>
    <w:rsid w:val="00806816"/>
    <w:rsid w:val="00806842"/>
    <w:rsid w:val="0080685E"/>
    <w:rsid w:val="00806AD3"/>
    <w:rsid w:val="00806B7B"/>
    <w:rsid w:val="00806BBA"/>
    <w:rsid w:val="00806D49"/>
    <w:rsid w:val="00806DA3"/>
    <w:rsid w:val="00807075"/>
    <w:rsid w:val="008070EE"/>
    <w:rsid w:val="0080729B"/>
    <w:rsid w:val="008073B8"/>
    <w:rsid w:val="00807486"/>
    <w:rsid w:val="008074C5"/>
    <w:rsid w:val="00807560"/>
    <w:rsid w:val="008075A2"/>
    <w:rsid w:val="008075D8"/>
    <w:rsid w:val="00807760"/>
    <w:rsid w:val="00807962"/>
    <w:rsid w:val="00807A2F"/>
    <w:rsid w:val="00807B45"/>
    <w:rsid w:val="00807C17"/>
    <w:rsid w:val="00807DDB"/>
    <w:rsid w:val="00807E86"/>
    <w:rsid w:val="00807E93"/>
    <w:rsid w:val="00807E9B"/>
    <w:rsid w:val="00807ED3"/>
    <w:rsid w:val="00807EEA"/>
    <w:rsid w:val="00807F22"/>
    <w:rsid w:val="00810053"/>
    <w:rsid w:val="0081012D"/>
    <w:rsid w:val="00810166"/>
    <w:rsid w:val="008101C8"/>
    <w:rsid w:val="00810227"/>
    <w:rsid w:val="008102A4"/>
    <w:rsid w:val="00810460"/>
    <w:rsid w:val="008104AB"/>
    <w:rsid w:val="00810524"/>
    <w:rsid w:val="00810587"/>
    <w:rsid w:val="008106C9"/>
    <w:rsid w:val="008107B8"/>
    <w:rsid w:val="00810816"/>
    <w:rsid w:val="00810A2B"/>
    <w:rsid w:val="00810A6C"/>
    <w:rsid w:val="00810BA3"/>
    <w:rsid w:val="00810C6E"/>
    <w:rsid w:val="00810C81"/>
    <w:rsid w:val="00810C92"/>
    <w:rsid w:val="00810D56"/>
    <w:rsid w:val="00810D60"/>
    <w:rsid w:val="00810DFC"/>
    <w:rsid w:val="00810E1B"/>
    <w:rsid w:val="00810EC0"/>
    <w:rsid w:val="00810EF6"/>
    <w:rsid w:val="00811002"/>
    <w:rsid w:val="0081101F"/>
    <w:rsid w:val="0081113C"/>
    <w:rsid w:val="00811282"/>
    <w:rsid w:val="00811288"/>
    <w:rsid w:val="008112C5"/>
    <w:rsid w:val="008113E3"/>
    <w:rsid w:val="008113EC"/>
    <w:rsid w:val="00811644"/>
    <w:rsid w:val="008116DA"/>
    <w:rsid w:val="00811730"/>
    <w:rsid w:val="00811768"/>
    <w:rsid w:val="00811786"/>
    <w:rsid w:val="008117F0"/>
    <w:rsid w:val="00811930"/>
    <w:rsid w:val="00811A4D"/>
    <w:rsid w:val="00811B07"/>
    <w:rsid w:val="00811B3E"/>
    <w:rsid w:val="00811B66"/>
    <w:rsid w:val="00811C28"/>
    <w:rsid w:val="00811C82"/>
    <w:rsid w:val="00811C9A"/>
    <w:rsid w:val="00811CFD"/>
    <w:rsid w:val="00811E22"/>
    <w:rsid w:val="00811E64"/>
    <w:rsid w:val="00811E6F"/>
    <w:rsid w:val="00811E8C"/>
    <w:rsid w:val="00811F04"/>
    <w:rsid w:val="00811F17"/>
    <w:rsid w:val="00811F9F"/>
    <w:rsid w:val="00811FA9"/>
    <w:rsid w:val="008120B7"/>
    <w:rsid w:val="00812144"/>
    <w:rsid w:val="00812183"/>
    <w:rsid w:val="008121D5"/>
    <w:rsid w:val="00812222"/>
    <w:rsid w:val="00812277"/>
    <w:rsid w:val="00812377"/>
    <w:rsid w:val="00812464"/>
    <w:rsid w:val="008124BA"/>
    <w:rsid w:val="008124DB"/>
    <w:rsid w:val="00812515"/>
    <w:rsid w:val="0081265E"/>
    <w:rsid w:val="008126B0"/>
    <w:rsid w:val="008126D0"/>
    <w:rsid w:val="00812738"/>
    <w:rsid w:val="00812825"/>
    <w:rsid w:val="00812AFC"/>
    <w:rsid w:val="00812B05"/>
    <w:rsid w:val="00812C21"/>
    <w:rsid w:val="00812D03"/>
    <w:rsid w:val="00812D11"/>
    <w:rsid w:val="00812DE5"/>
    <w:rsid w:val="00812ED0"/>
    <w:rsid w:val="00812EE9"/>
    <w:rsid w:val="00812F37"/>
    <w:rsid w:val="00812F6F"/>
    <w:rsid w:val="0081303B"/>
    <w:rsid w:val="008131BC"/>
    <w:rsid w:val="008132C5"/>
    <w:rsid w:val="00813320"/>
    <w:rsid w:val="00813408"/>
    <w:rsid w:val="008134EF"/>
    <w:rsid w:val="00813646"/>
    <w:rsid w:val="008137E2"/>
    <w:rsid w:val="008138AC"/>
    <w:rsid w:val="008138FD"/>
    <w:rsid w:val="0081391B"/>
    <w:rsid w:val="00813A0E"/>
    <w:rsid w:val="00813A12"/>
    <w:rsid w:val="00813A1D"/>
    <w:rsid w:val="00813A20"/>
    <w:rsid w:val="00813AC8"/>
    <w:rsid w:val="00813B3A"/>
    <w:rsid w:val="00813B7F"/>
    <w:rsid w:val="00813C30"/>
    <w:rsid w:val="00813C3A"/>
    <w:rsid w:val="00813CBA"/>
    <w:rsid w:val="00813E79"/>
    <w:rsid w:val="0081400D"/>
    <w:rsid w:val="0081402C"/>
    <w:rsid w:val="00814090"/>
    <w:rsid w:val="008141ED"/>
    <w:rsid w:val="00814220"/>
    <w:rsid w:val="008142EC"/>
    <w:rsid w:val="00814309"/>
    <w:rsid w:val="008145DD"/>
    <w:rsid w:val="00814632"/>
    <w:rsid w:val="00814862"/>
    <w:rsid w:val="008148F4"/>
    <w:rsid w:val="00814940"/>
    <w:rsid w:val="0081494E"/>
    <w:rsid w:val="00814B78"/>
    <w:rsid w:val="00814CC1"/>
    <w:rsid w:val="00814DF6"/>
    <w:rsid w:val="00814E41"/>
    <w:rsid w:val="00814F18"/>
    <w:rsid w:val="00814FE6"/>
    <w:rsid w:val="008150EA"/>
    <w:rsid w:val="0081517B"/>
    <w:rsid w:val="0081529F"/>
    <w:rsid w:val="00815310"/>
    <w:rsid w:val="00815388"/>
    <w:rsid w:val="008155BC"/>
    <w:rsid w:val="008155C8"/>
    <w:rsid w:val="00815684"/>
    <w:rsid w:val="008156A6"/>
    <w:rsid w:val="00815702"/>
    <w:rsid w:val="00815770"/>
    <w:rsid w:val="0081581F"/>
    <w:rsid w:val="0081589F"/>
    <w:rsid w:val="0081599B"/>
    <w:rsid w:val="00815A8D"/>
    <w:rsid w:val="00815AA4"/>
    <w:rsid w:val="00815AD6"/>
    <w:rsid w:val="00815F99"/>
    <w:rsid w:val="00816040"/>
    <w:rsid w:val="00816152"/>
    <w:rsid w:val="008161B1"/>
    <w:rsid w:val="008161E1"/>
    <w:rsid w:val="0081628F"/>
    <w:rsid w:val="00816294"/>
    <w:rsid w:val="008163BC"/>
    <w:rsid w:val="008163FD"/>
    <w:rsid w:val="00816496"/>
    <w:rsid w:val="00816542"/>
    <w:rsid w:val="008165F6"/>
    <w:rsid w:val="0081664F"/>
    <w:rsid w:val="00816650"/>
    <w:rsid w:val="00816651"/>
    <w:rsid w:val="00816817"/>
    <w:rsid w:val="00816819"/>
    <w:rsid w:val="0081692E"/>
    <w:rsid w:val="00816A25"/>
    <w:rsid w:val="00816BC0"/>
    <w:rsid w:val="00816F4D"/>
    <w:rsid w:val="00816FDA"/>
    <w:rsid w:val="0081718B"/>
    <w:rsid w:val="00817215"/>
    <w:rsid w:val="00817516"/>
    <w:rsid w:val="008175F8"/>
    <w:rsid w:val="00817621"/>
    <w:rsid w:val="008176BF"/>
    <w:rsid w:val="0081771A"/>
    <w:rsid w:val="00817969"/>
    <w:rsid w:val="0081799B"/>
    <w:rsid w:val="00817A4E"/>
    <w:rsid w:val="00817D4F"/>
    <w:rsid w:val="00817D67"/>
    <w:rsid w:val="00817DC4"/>
    <w:rsid w:val="00817DD0"/>
    <w:rsid w:val="00817EA5"/>
    <w:rsid w:val="00817EF8"/>
    <w:rsid w:val="00817FAF"/>
    <w:rsid w:val="00820033"/>
    <w:rsid w:val="00820046"/>
    <w:rsid w:val="008201E0"/>
    <w:rsid w:val="0082035E"/>
    <w:rsid w:val="008203A6"/>
    <w:rsid w:val="008203FA"/>
    <w:rsid w:val="00820461"/>
    <w:rsid w:val="008204C6"/>
    <w:rsid w:val="008204E4"/>
    <w:rsid w:val="00820521"/>
    <w:rsid w:val="00820556"/>
    <w:rsid w:val="0082065B"/>
    <w:rsid w:val="00820762"/>
    <w:rsid w:val="00820828"/>
    <w:rsid w:val="00820858"/>
    <w:rsid w:val="00820860"/>
    <w:rsid w:val="0082089F"/>
    <w:rsid w:val="008208D8"/>
    <w:rsid w:val="008209F7"/>
    <w:rsid w:val="00820A07"/>
    <w:rsid w:val="00820A84"/>
    <w:rsid w:val="00820C0E"/>
    <w:rsid w:val="00820C36"/>
    <w:rsid w:val="00820CB2"/>
    <w:rsid w:val="00820DE5"/>
    <w:rsid w:val="00820E38"/>
    <w:rsid w:val="00820E3A"/>
    <w:rsid w:val="00820E4F"/>
    <w:rsid w:val="00820FB9"/>
    <w:rsid w:val="008211A6"/>
    <w:rsid w:val="008211B1"/>
    <w:rsid w:val="00821355"/>
    <w:rsid w:val="008214FC"/>
    <w:rsid w:val="0082155C"/>
    <w:rsid w:val="0082157D"/>
    <w:rsid w:val="0082172B"/>
    <w:rsid w:val="008218A2"/>
    <w:rsid w:val="008218F2"/>
    <w:rsid w:val="00821A2E"/>
    <w:rsid w:val="00821A60"/>
    <w:rsid w:val="00821AA1"/>
    <w:rsid w:val="00821D60"/>
    <w:rsid w:val="00821EAC"/>
    <w:rsid w:val="00821F14"/>
    <w:rsid w:val="008221D9"/>
    <w:rsid w:val="0082221F"/>
    <w:rsid w:val="0082230B"/>
    <w:rsid w:val="00822352"/>
    <w:rsid w:val="00822371"/>
    <w:rsid w:val="008223CE"/>
    <w:rsid w:val="008223FF"/>
    <w:rsid w:val="008224F0"/>
    <w:rsid w:val="0082263F"/>
    <w:rsid w:val="008227BF"/>
    <w:rsid w:val="00822822"/>
    <w:rsid w:val="008228BD"/>
    <w:rsid w:val="008228DD"/>
    <w:rsid w:val="00822A0F"/>
    <w:rsid w:val="00822A6F"/>
    <w:rsid w:val="00822CEF"/>
    <w:rsid w:val="00822EBD"/>
    <w:rsid w:val="008230B3"/>
    <w:rsid w:val="00823258"/>
    <w:rsid w:val="00823263"/>
    <w:rsid w:val="0082353F"/>
    <w:rsid w:val="00823679"/>
    <w:rsid w:val="0082375D"/>
    <w:rsid w:val="00823901"/>
    <w:rsid w:val="00823A2B"/>
    <w:rsid w:val="00823A37"/>
    <w:rsid w:val="00823A46"/>
    <w:rsid w:val="00823A86"/>
    <w:rsid w:val="00823A90"/>
    <w:rsid w:val="00823B43"/>
    <w:rsid w:val="00823C53"/>
    <w:rsid w:val="00823D64"/>
    <w:rsid w:val="00823DEC"/>
    <w:rsid w:val="00823EDA"/>
    <w:rsid w:val="00823F99"/>
    <w:rsid w:val="0082400A"/>
    <w:rsid w:val="00824153"/>
    <w:rsid w:val="008241D5"/>
    <w:rsid w:val="008241FA"/>
    <w:rsid w:val="00824273"/>
    <w:rsid w:val="0082428D"/>
    <w:rsid w:val="008242EC"/>
    <w:rsid w:val="0082433A"/>
    <w:rsid w:val="008244B0"/>
    <w:rsid w:val="008244D8"/>
    <w:rsid w:val="00824548"/>
    <w:rsid w:val="00824556"/>
    <w:rsid w:val="0082460B"/>
    <w:rsid w:val="0082469B"/>
    <w:rsid w:val="0082498D"/>
    <w:rsid w:val="00824A20"/>
    <w:rsid w:val="00824A38"/>
    <w:rsid w:val="00824BD1"/>
    <w:rsid w:val="00824C48"/>
    <w:rsid w:val="00824C77"/>
    <w:rsid w:val="00824CCA"/>
    <w:rsid w:val="00824DBB"/>
    <w:rsid w:val="00824EF4"/>
    <w:rsid w:val="00824F88"/>
    <w:rsid w:val="00824FB3"/>
    <w:rsid w:val="00825016"/>
    <w:rsid w:val="00825049"/>
    <w:rsid w:val="008250C3"/>
    <w:rsid w:val="0082512D"/>
    <w:rsid w:val="0082516A"/>
    <w:rsid w:val="00825217"/>
    <w:rsid w:val="00825270"/>
    <w:rsid w:val="008252F3"/>
    <w:rsid w:val="0082531B"/>
    <w:rsid w:val="00825352"/>
    <w:rsid w:val="00825355"/>
    <w:rsid w:val="00825414"/>
    <w:rsid w:val="00825415"/>
    <w:rsid w:val="00825445"/>
    <w:rsid w:val="00825450"/>
    <w:rsid w:val="008254B8"/>
    <w:rsid w:val="0082571F"/>
    <w:rsid w:val="0082574B"/>
    <w:rsid w:val="00825954"/>
    <w:rsid w:val="00825A54"/>
    <w:rsid w:val="00825C78"/>
    <w:rsid w:val="00825C9B"/>
    <w:rsid w:val="00825CF5"/>
    <w:rsid w:val="00825E12"/>
    <w:rsid w:val="00825E7D"/>
    <w:rsid w:val="00825EE6"/>
    <w:rsid w:val="00825FEF"/>
    <w:rsid w:val="00826103"/>
    <w:rsid w:val="008261A1"/>
    <w:rsid w:val="008261AB"/>
    <w:rsid w:val="00826245"/>
    <w:rsid w:val="0082627C"/>
    <w:rsid w:val="008263A9"/>
    <w:rsid w:val="008263C3"/>
    <w:rsid w:val="008263E0"/>
    <w:rsid w:val="00826407"/>
    <w:rsid w:val="0082640E"/>
    <w:rsid w:val="00826429"/>
    <w:rsid w:val="00826635"/>
    <w:rsid w:val="00826641"/>
    <w:rsid w:val="00826694"/>
    <w:rsid w:val="0082680F"/>
    <w:rsid w:val="0082686C"/>
    <w:rsid w:val="00826980"/>
    <w:rsid w:val="00826A12"/>
    <w:rsid w:val="00826AC9"/>
    <w:rsid w:val="00826B1B"/>
    <w:rsid w:val="00826B4A"/>
    <w:rsid w:val="00826BF7"/>
    <w:rsid w:val="00826BFB"/>
    <w:rsid w:val="00826BFD"/>
    <w:rsid w:val="00826C31"/>
    <w:rsid w:val="00826C37"/>
    <w:rsid w:val="00826E04"/>
    <w:rsid w:val="00826F84"/>
    <w:rsid w:val="0082701B"/>
    <w:rsid w:val="00827043"/>
    <w:rsid w:val="008270B0"/>
    <w:rsid w:val="008270B9"/>
    <w:rsid w:val="00827178"/>
    <w:rsid w:val="008272E5"/>
    <w:rsid w:val="00827363"/>
    <w:rsid w:val="008273DC"/>
    <w:rsid w:val="0082752C"/>
    <w:rsid w:val="00827799"/>
    <w:rsid w:val="008277DB"/>
    <w:rsid w:val="0082781C"/>
    <w:rsid w:val="00827850"/>
    <w:rsid w:val="008278A6"/>
    <w:rsid w:val="00827B8C"/>
    <w:rsid w:val="00827D1E"/>
    <w:rsid w:val="00827DB4"/>
    <w:rsid w:val="00827DE2"/>
    <w:rsid w:val="00827DEF"/>
    <w:rsid w:val="00827E5B"/>
    <w:rsid w:val="00827FCC"/>
    <w:rsid w:val="008300B0"/>
    <w:rsid w:val="008301B7"/>
    <w:rsid w:val="0083027F"/>
    <w:rsid w:val="008302B1"/>
    <w:rsid w:val="0083031D"/>
    <w:rsid w:val="0083050F"/>
    <w:rsid w:val="00830588"/>
    <w:rsid w:val="0083064B"/>
    <w:rsid w:val="008306ED"/>
    <w:rsid w:val="008306EF"/>
    <w:rsid w:val="00830823"/>
    <w:rsid w:val="00830882"/>
    <w:rsid w:val="008308A0"/>
    <w:rsid w:val="008309AF"/>
    <w:rsid w:val="008309C9"/>
    <w:rsid w:val="00830B59"/>
    <w:rsid w:val="00830B8E"/>
    <w:rsid w:val="00830BBD"/>
    <w:rsid w:val="00830C8D"/>
    <w:rsid w:val="00830F0A"/>
    <w:rsid w:val="00830F38"/>
    <w:rsid w:val="00830F3A"/>
    <w:rsid w:val="00830F8A"/>
    <w:rsid w:val="00830FCA"/>
    <w:rsid w:val="0083106C"/>
    <w:rsid w:val="008310B1"/>
    <w:rsid w:val="00831126"/>
    <w:rsid w:val="0083119E"/>
    <w:rsid w:val="008313EB"/>
    <w:rsid w:val="008314E7"/>
    <w:rsid w:val="00831511"/>
    <w:rsid w:val="00831834"/>
    <w:rsid w:val="00831884"/>
    <w:rsid w:val="008318CE"/>
    <w:rsid w:val="00831ADE"/>
    <w:rsid w:val="00831AFE"/>
    <w:rsid w:val="00831B96"/>
    <w:rsid w:val="00831E76"/>
    <w:rsid w:val="00831F68"/>
    <w:rsid w:val="00832116"/>
    <w:rsid w:val="008322E1"/>
    <w:rsid w:val="008323A5"/>
    <w:rsid w:val="008324AD"/>
    <w:rsid w:val="008324BF"/>
    <w:rsid w:val="00832571"/>
    <w:rsid w:val="0083262D"/>
    <w:rsid w:val="008326A2"/>
    <w:rsid w:val="00832707"/>
    <w:rsid w:val="0083287A"/>
    <w:rsid w:val="0083288C"/>
    <w:rsid w:val="008328A4"/>
    <w:rsid w:val="008328F2"/>
    <w:rsid w:val="00832B15"/>
    <w:rsid w:val="00832BA9"/>
    <w:rsid w:val="00832C80"/>
    <w:rsid w:val="00832C97"/>
    <w:rsid w:val="00832D7C"/>
    <w:rsid w:val="00832DF5"/>
    <w:rsid w:val="00832E59"/>
    <w:rsid w:val="00832ECD"/>
    <w:rsid w:val="00832FD6"/>
    <w:rsid w:val="00833023"/>
    <w:rsid w:val="00833040"/>
    <w:rsid w:val="00833173"/>
    <w:rsid w:val="0083318D"/>
    <w:rsid w:val="008331AC"/>
    <w:rsid w:val="008331FB"/>
    <w:rsid w:val="0083322C"/>
    <w:rsid w:val="00833261"/>
    <w:rsid w:val="00833291"/>
    <w:rsid w:val="0083336D"/>
    <w:rsid w:val="0083336F"/>
    <w:rsid w:val="0083341F"/>
    <w:rsid w:val="00833432"/>
    <w:rsid w:val="00833456"/>
    <w:rsid w:val="0083359C"/>
    <w:rsid w:val="008335EF"/>
    <w:rsid w:val="00833666"/>
    <w:rsid w:val="00833724"/>
    <w:rsid w:val="00833775"/>
    <w:rsid w:val="00833846"/>
    <w:rsid w:val="008339C6"/>
    <w:rsid w:val="00833A0D"/>
    <w:rsid w:val="00833A7C"/>
    <w:rsid w:val="00833A93"/>
    <w:rsid w:val="00833B5D"/>
    <w:rsid w:val="00833BD8"/>
    <w:rsid w:val="00833BDC"/>
    <w:rsid w:val="00833CC9"/>
    <w:rsid w:val="00833D13"/>
    <w:rsid w:val="00833D59"/>
    <w:rsid w:val="00833D7F"/>
    <w:rsid w:val="00833D88"/>
    <w:rsid w:val="00833E55"/>
    <w:rsid w:val="00833E62"/>
    <w:rsid w:val="00833EDD"/>
    <w:rsid w:val="00833FAA"/>
    <w:rsid w:val="00834085"/>
    <w:rsid w:val="008340C9"/>
    <w:rsid w:val="0083417D"/>
    <w:rsid w:val="00834231"/>
    <w:rsid w:val="0083439A"/>
    <w:rsid w:val="008343BB"/>
    <w:rsid w:val="008343CF"/>
    <w:rsid w:val="008343DF"/>
    <w:rsid w:val="008344B8"/>
    <w:rsid w:val="008344BE"/>
    <w:rsid w:val="00834584"/>
    <w:rsid w:val="008345CE"/>
    <w:rsid w:val="0083461B"/>
    <w:rsid w:val="00834673"/>
    <w:rsid w:val="00834841"/>
    <w:rsid w:val="00834964"/>
    <w:rsid w:val="008349CB"/>
    <w:rsid w:val="00834B25"/>
    <w:rsid w:val="00834C55"/>
    <w:rsid w:val="00834C62"/>
    <w:rsid w:val="00834CD9"/>
    <w:rsid w:val="00834D26"/>
    <w:rsid w:val="00834DAE"/>
    <w:rsid w:val="00834DF5"/>
    <w:rsid w:val="00834EED"/>
    <w:rsid w:val="00834F06"/>
    <w:rsid w:val="00834F74"/>
    <w:rsid w:val="00834FFF"/>
    <w:rsid w:val="0083510B"/>
    <w:rsid w:val="00835131"/>
    <w:rsid w:val="008351CA"/>
    <w:rsid w:val="008352F9"/>
    <w:rsid w:val="008353D3"/>
    <w:rsid w:val="00835405"/>
    <w:rsid w:val="008354F5"/>
    <w:rsid w:val="00835542"/>
    <w:rsid w:val="00835603"/>
    <w:rsid w:val="00835609"/>
    <w:rsid w:val="00835653"/>
    <w:rsid w:val="00835751"/>
    <w:rsid w:val="00835770"/>
    <w:rsid w:val="008357E1"/>
    <w:rsid w:val="008357F1"/>
    <w:rsid w:val="00835808"/>
    <w:rsid w:val="00835896"/>
    <w:rsid w:val="00835934"/>
    <w:rsid w:val="008359BB"/>
    <w:rsid w:val="00835A1B"/>
    <w:rsid w:val="00835A49"/>
    <w:rsid w:val="00835A4E"/>
    <w:rsid w:val="00835ACF"/>
    <w:rsid w:val="00835BD8"/>
    <w:rsid w:val="00835C0A"/>
    <w:rsid w:val="00835CBC"/>
    <w:rsid w:val="00835CFE"/>
    <w:rsid w:val="00835D18"/>
    <w:rsid w:val="00835DA7"/>
    <w:rsid w:val="00835E89"/>
    <w:rsid w:val="00835F27"/>
    <w:rsid w:val="00835F2C"/>
    <w:rsid w:val="00835F35"/>
    <w:rsid w:val="00835F96"/>
    <w:rsid w:val="00836042"/>
    <w:rsid w:val="0083617A"/>
    <w:rsid w:val="00836232"/>
    <w:rsid w:val="00836320"/>
    <w:rsid w:val="00836542"/>
    <w:rsid w:val="0083661C"/>
    <w:rsid w:val="00836781"/>
    <w:rsid w:val="00836798"/>
    <w:rsid w:val="008367A9"/>
    <w:rsid w:val="0083680E"/>
    <w:rsid w:val="00836849"/>
    <w:rsid w:val="008368BA"/>
    <w:rsid w:val="00836926"/>
    <w:rsid w:val="008369F7"/>
    <w:rsid w:val="00836A1F"/>
    <w:rsid w:val="00836A45"/>
    <w:rsid w:val="00836A51"/>
    <w:rsid w:val="00836C9E"/>
    <w:rsid w:val="00836CBF"/>
    <w:rsid w:val="00836D5D"/>
    <w:rsid w:val="00836D93"/>
    <w:rsid w:val="00836E05"/>
    <w:rsid w:val="00836E24"/>
    <w:rsid w:val="00836E3B"/>
    <w:rsid w:val="00836EE0"/>
    <w:rsid w:val="00836F35"/>
    <w:rsid w:val="00836FCD"/>
    <w:rsid w:val="00837081"/>
    <w:rsid w:val="008370B7"/>
    <w:rsid w:val="0083718D"/>
    <w:rsid w:val="00837262"/>
    <w:rsid w:val="00837386"/>
    <w:rsid w:val="0083741F"/>
    <w:rsid w:val="008374DB"/>
    <w:rsid w:val="008375C5"/>
    <w:rsid w:val="00837704"/>
    <w:rsid w:val="00837830"/>
    <w:rsid w:val="008378C4"/>
    <w:rsid w:val="00837906"/>
    <w:rsid w:val="00837B74"/>
    <w:rsid w:val="00837BC4"/>
    <w:rsid w:val="00837C5F"/>
    <w:rsid w:val="00837CD5"/>
    <w:rsid w:val="00837DA7"/>
    <w:rsid w:val="0084004D"/>
    <w:rsid w:val="00840102"/>
    <w:rsid w:val="00840188"/>
    <w:rsid w:val="008404D7"/>
    <w:rsid w:val="00840565"/>
    <w:rsid w:val="00840594"/>
    <w:rsid w:val="008405C0"/>
    <w:rsid w:val="00840613"/>
    <w:rsid w:val="008406CD"/>
    <w:rsid w:val="00840724"/>
    <w:rsid w:val="00840753"/>
    <w:rsid w:val="00840791"/>
    <w:rsid w:val="008407DA"/>
    <w:rsid w:val="00840836"/>
    <w:rsid w:val="00840851"/>
    <w:rsid w:val="0084090C"/>
    <w:rsid w:val="0084095D"/>
    <w:rsid w:val="0084099B"/>
    <w:rsid w:val="00840AA4"/>
    <w:rsid w:val="00840B73"/>
    <w:rsid w:val="00840B81"/>
    <w:rsid w:val="00840C6B"/>
    <w:rsid w:val="00840CA1"/>
    <w:rsid w:val="00840CAA"/>
    <w:rsid w:val="00840D82"/>
    <w:rsid w:val="00840DD1"/>
    <w:rsid w:val="00840E0F"/>
    <w:rsid w:val="00840F72"/>
    <w:rsid w:val="00841067"/>
    <w:rsid w:val="008410F5"/>
    <w:rsid w:val="00841324"/>
    <w:rsid w:val="00841328"/>
    <w:rsid w:val="00841333"/>
    <w:rsid w:val="008413DA"/>
    <w:rsid w:val="00841412"/>
    <w:rsid w:val="008414D5"/>
    <w:rsid w:val="00841573"/>
    <w:rsid w:val="008415DC"/>
    <w:rsid w:val="008415FF"/>
    <w:rsid w:val="00841602"/>
    <w:rsid w:val="008416CA"/>
    <w:rsid w:val="0084170E"/>
    <w:rsid w:val="008417CF"/>
    <w:rsid w:val="00841806"/>
    <w:rsid w:val="00841830"/>
    <w:rsid w:val="00841960"/>
    <w:rsid w:val="00841A92"/>
    <w:rsid w:val="00841AE5"/>
    <w:rsid w:val="00841BAF"/>
    <w:rsid w:val="00841BBC"/>
    <w:rsid w:val="00841BC3"/>
    <w:rsid w:val="00841CA5"/>
    <w:rsid w:val="00841CC2"/>
    <w:rsid w:val="00841D64"/>
    <w:rsid w:val="00841F07"/>
    <w:rsid w:val="00841F94"/>
    <w:rsid w:val="00841FCE"/>
    <w:rsid w:val="00842030"/>
    <w:rsid w:val="00842098"/>
    <w:rsid w:val="008420C2"/>
    <w:rsid w:val="008423C4"/>
    <w:rsid w:val="008423E3"/>
    <w:rsid w:val="008423EF"/>
    <w:rsid w:val="00842404"/>
    <w:rsid w:val="008424D0"/>
    <w:rsid w:val="00842580"/>
    <w:rsid w:val="00842641"/>
    <w:rsid w:val="008427BB"/>
    <w:rsid w:val="00842861"/>
    <w:rsid w:val="0084292D"/>
    <w:rsid w:val="00842963"/>
    <w:rsid w:val="00842988"/>
    <w:rsid w:val="00842B41"/>
    <w:rsid w:val="00842EFA"/>
    <w:rsid w:val="00842F3C"/>
    <w:rsid w:val="00843112"/>
    <w:rsid w:val="0084339C"/>
    <w:rsid w:val="0084357F"/>
    <w:rsid w:val="008436A0"/>
    <w:rsid w:val="008436D2"/>
    <w:rsid w:val="0084374D"/>
    <w:rsid w:val="00843988"/>
    <w:rsid w:val="00843AB9"/>
    <w:rsid w:val="00843DD4"/>
    <w:rsid w:val="00843DF9"/>
    <w:rsid w:val="00843FF0"/>
    <w:rsid w:val="0084400A"/>
    <w:rsid w:val="0084403C"/>
    <w:rsid w:val="0084427A"/>
    <w:rsid w:val="00844399"/>
    <w:rsid w:val="008443B9"/>
    <w:rsid w:val="008443BF"/>
    <w:rsid w:val="008445EE"/>
    <w:rsid w:val="0084461D"/>
    <w:rsid w:val="0084471E"/>
    <w:rsid w:val="00844745"/>
    <w:rsid w:val="0084477B"/>
    <w:rsid w:val="00844947"/>
    <w:rsid w:val="00844966"/>
    <w:rsid w:val="00844A02"/>
    <w:rsid w:val="00844A1F"/>
    <w:rsid w:val="00844A90"/>
    <w:rsid w:val="00844BB2"/>
    <w:rsid w:val="00844BD7"/>
    <w:rsid w:val="00844C5B"/>
    <w:rsid w:val="00844D08"/>
    <w:rsid w:val="00844EB5"/>
    <w:rsid w:val="00844F29"/>
    <w:rsid w:val="00844F63"/>
    <w:rsid w:val="00844F87"/>
    <w:rsid w:val="0084502E"/>
    <w:rsid w:val="008451B9"/>
    <w:rsid w:val="0084523B"/>
    <w:rsid w:val="00845377"/>
    <w:rsid w:val="00845478"/>
    <w:rsid w:val="0084548F"/>
    <w:rsid w:val="0084549B"/>
    <w:rsid w:val="00845509"/>
    <w:rsid w:val="008455AC"/>
    <w:rsid w:val="008456F9"/>
    <w:rsid w:val="00845AB6"/>
    <w:rsid w:val="00845ADF"/>
    <w:rsid w:val="00845B2B"/>
    <w:rsid w:val="00845BAF"/>
    <w:rsid w:val="00845BC0"/>
    <w:rsid w:val="00845C31"/>
    <w:rsid w:val="00845C90"/>
    <w:rsid w:val="00845CF0"/>
    <w:rsid w:val="00845DC3"/>
    <w:rsid w:val="00845DF1"/>
    <w:rsid w:val="00846019"/>
    <w:rsid w:val="0084601D"/>
    <w:rsid w:val="00846081"/>
    <w:rsid w:val="00846117"/>
    <w:rsid w:val="00846163"/>
    <w:rsid w:val="008461C7"/>
    <w:rsid w:val="008461F1"/>
    <w:rsid w:val="008462FE"/>
    <w:rsid w:val="00846417"/>
    <w:rsid w:val="00846442"/>
    <w:rsid w:val="0084647C"/>
    <w:rsid w:val="008465A4"/>
    <w:rsid w:val="0084661C"/>
    <w:rsid w:val="00846665"/>
    <w:rsid w:val="00846689"/>
    <w:rsid w:val="0084670B"/>
    <w:rsid w:val="00846711"/>
    <w:rsid w:val="00846735"/>
    <w:rsid w:val="00846799"/>
    <w:rsid w:val="008469BD"/>
    <w:rsid w:val="008469EB"/>
    <w:rsid w:val="00846A7E"/>
    <w:rsid w:val="00846A85"/>
    <w:rsid w:val="00846B84"/>
    <w:rsid w:val="00846BD2"/>
    <w:rsid w:val="00846C62"/>
    <w:rsid w:val="00846CD8"/>
    <w:rsid w:val="00846D9B"/>
    <w:rsid w:val="00846E56"/>
    <w:rsid w:val="00846EF2"/>
    <w:rsid w:val="00847033"/>
    <w:rsid w:val="00847068"/>
    <w:rsid w:val="008470A1"/>
    <w:rsid w:val="00847157"/>
    <w:rsid w:val="00847209"/>
    <w:rsid w:val="00847260"/>
    <w:rsid w:val="00847297"/>
    <w:rsid w:val="008472F9"/>
    <w:rsid w:val="00847344"/>
    <w:rsid w:val="00847393"/>
    <w:rsid w:val="008474D7"/>
    <w:rsid w:val="00847514"/>
    <w:rsid w:val="00847577"/>
    <w:rsid w:val="008476BE"/>
    <w:rsid w:val="00847724"/>
    <w:rsid w:val="00847750"/>
    <w:rsid w:val="00847935"/>
    <w:rsid w:val="00847B6C"/>
    <w:rsid w:val="00847DA3"/>
    <w:rsid w:val="00847DF8"/>
    <w:rsid w:val="00847F5F"/>
    <w:rsid w:val="00847F9A"/>
    <w:rsid w:val="00847FC2"/>
    <w:rsid w:val="008500CE"/>
    <w:rsid w:val="0085025B"/>
    <w:rsid w:val="008502D4"/>
    <w:rsid w:val="00850374"/>
    <w:rsid w:val="008503EE"/>
    <w:rsid w:val="0085060D"/>
    <w:rsid w:val="0085062D"/>
    <w:rsid w:val="00850703"/>
    <w:rsid w:val="00850762"/>
    <w:rsid w:val="00850781"/>
    <w:rsid w:val="00850856"/>
    <w:rsid w:val="008509FE"/>
    <w:rsid w:val="00850A8F"/>
    <w:rsid w:val="00850AC9"/>
    <w:rsid w:val="00850B17"/>
    <w:rsid w:val="00850B6F"/>
    <w:rsid w:val="00850BB5"/>
    <w:rsid w:val="00850C1D"/>
    <w:rsid w:val="00850CD3"/>
    <w:rsid w:val="00850D06"/>
    <w:rsid w:val="00850E39"/>
    <w:rsid w:val="00850E41"/>
    <w:rsid w:val="00850E90"/>
    <w:rsid w:val="00850F53"/>
    <w:rsid w:val="00850F64"/>
    <w:rsid w:val="008510B0"/>
    <w:rsid w:val="0085115B"/>
    <w:rsid w:val="008511CC"/>
    <w:rsid w:val="008511D5"/>
    <w:rsid w:val="00851207"/>
    <w:rsid w:val="00851217"/>
    <w:rsid w:val="008512A2"/>
    <w:rsid w:val="008512D7"/>
    <w:rsid w:val="0085131D"/>
    <w:rsid w:val="00851339"/>
    <w:rsid w:val="00851357"/>
    <w:rsid w:val="00851585"/>
    <w:rsid w:val="008515C4"/>
    <w:rsid w:val="008516D7"/>
    <w:rsid w:val="0085171C"/>
    <w:rsid w:val="00851756"/>
    <w:rsid w:val="0085188F"/>
    <w:rsid w:val="008518A5"/>
    <w:rsid w:val="0085191D"/>
    <w:rsid w:val="00851980"/>
    <w:rsid w:val="00851C52"/>
    <w:rsid w:val="00851DA7"/>
    <w:rsid w:val="00851DC6"/>
    <w:rsid w:val="00851F76"/>
    <w:rsid w:val="0085202F"/>
    <w:rsid w:val="00852045"/>
    <w:rsid w:val="008520CE"/>
    <w:rsid w:val="0085222A"/>
    <w:rsid w:val="00852279"/>
    <w:rsid w:val="008522BD"/>
    <w:rsid w:val="0085230A"/>
    <w:rsid w:val="0085232F"/>
    <w:rsid w:val="00852338"/>
    <w:rsid w:val="00852363"/>
    <w:rsid w:val="0085238E"/>
    <w:rsid w:val="008523AC"/>
    <w:rsid w:val="00852495"/>
    <w:rsid w:val="00852507"/>
    <w:rsid w:val="0085254B"/>
    <w:rsid w:val="008525D8"/>
    <w:rsid w:val="008526C2"/>
    <w:rsid w:val="00852832"/>
    <w:rsid w:val="008528ED"/>
    <w:rsid w:val="0085291C"/>
    <w:rsid w:val="0085292B"/>
    <w:rsid w:val="00852980"/>
    <w:rsid w:val="00852B0F"/>
    <w:rsid w:val="00852B25"/>
    <w:rsid w:val="00852B60"/>
    <w:rsid w:val="00852C22"/>
    <w:rsid w:val="00852CAD"/>
    <w:rsid w:val="00852D41"/>
    <w:rsid w:val="00852E27"/>
    <w:rsid w:val="00853044"/>
    <w:rsid w:val="00853235"/>
    <w:rsid w:val="008532E2"/>
    <w:rsid w:val="008532F5"/>
    <w:rsid w:val="008532F6"/>
    <w:rsid w:val="0085337A"/>
    <w:rsid w:val="008533F0"/>
    <w:rsid w:val="00853429"/>
    <w:rsid w:val="00853494"/>
    <w:rsid w:val="008534CC"/>
    <w:rsid w:val="0085358D"/>
    <w:rsid w:val="0085367F"/>
    <w:rsid w:val="008536CC"/>
    <w:rsid w:val="00853A71"/>
    <w:rsid w:val="00853B23"/>
    <w:rsid w:val="00853B28"/>
    <w:rsid w:val="00853B29"/>
    <w:rsid w:val="00853BB9"/>
    <w:rsid w:val="00853BF4"/>
    <w:rsid w:val="00853C24"/>
    <w:rsid w:val="00853C4E"/>
    <w:rsid w:val="00853CEA"/>
    <w:rsid w:val="00853D07"/>
    <w:rsid w:val="00853D83"/>
    <w:rsid w:val="00853EF8"/>
    <w:rsid w:val="00853F94"/>
    <w:rsid w:val="0085404A"/>
    <w:rsid w:val="008541E1"/>
    <w:rsid w:val="008542DC"/>
    <w:rsid w:val="008542E2"/>
    <w:rsid w:val="00854340"/>
    <w:rsid w:val="008543AC"/>
    <w:rsid w:val="008544A0"/>
    <w:rsid w:val="0085450E"/>
    <w:rsid w:val="008547BA"/>
    <w:rsid w:val="00854893"/>
    <w:rsid w:val="0085491B"/>
    <w:rsid w:val="00854946"/>
    <w:rsid w:val="008549C6"/>
    <w:rsid w:val="00854BF8"/>
    <w:rsid w:val="00854DF4"/>
    <w:rsid w:val="00854E86"/>
    <w:rsid w:val="00854F03"/>
    <w:rsid w:val="00855038"/>
    <w:rsid w:val="0085526F"/>
    <w:rsid w:val="008552F7"/>
    <w:rsid w:val="008552FE"/>
    <w:rsid w:val="00855584"/>
    <w:rsid w:val="008555A1"/>
    <w:rsid w:val="008555A9"/>
    <w:rsid w:val="008555C4"/>
    <w:rsid w:val="00855662"/>
    <w:rsid w:val="008556BC"/>
    <w:rsid w:val="00855799"/>
    <w:rsid w:val="0085583E"/>
    <w:rsid w:val="0085584F"/>
    <w:rsid w:val="00855881"/>
    <w:rsid w:val="008558BE"/>
    <w:rsid w:val="0085596C"/>
    <w:rsid w:val="00855A3C"/>
    <w:rsid w:val="00855C72"/>
    <w:rsid w:val="00855CD2"/>
    <w:rsid w:val="00855CDA"/>
    <w:rsid w:val="00855D58"/>
    <w:rsid w:val="00855D6D"/>
    <w:rsid w:val="00855E1C"/>
    <w:rsid w:val="00855EE0"/>
    <w:rsid w:val="00855EFD"/>
    <w:rsid w:val="00855F09"/>
    <w:rsid w:val="00855FB7"/>
    <w:rsid w:val="00855FFB"/>
    <w:rsid w:val="00856006"/>
    <w:rsid w:val="0085605D"/>
    <w:rsid w:val="00856060"/>
    <w:rsid w:val="0085613B"/>
    <w:rsid w:val="00856147"/>
    <w:rsid w:val="008562BF"/>
    <w:rsid w:val="008562EF"/>
    <w:rsid w:val="008563C1"/>
    <w:rsid w:val="008563C8"/>
    <w:rsid w:val="00856403"/>
    <w:rsid w:val="00856618"/>
    <w:rsid w:val="00856956"/>
    <w:rsid w:val="00856A23"/>
    <w:rsid w:val="00856B43"/>
    <w:rsid w:val="00856B46"/>
    <w:rsid w:val="00856B54"/>
    <w:rsid w:val="00856B5A"/>
    <w:rsid w:val="00856C29"/>
    <w:rsid w:val="00856CC7"/>
    <w:rsid w:val="00856DFC"/>
    <w:rsid w:val="00856DFE"/>
    <w:rsid w:val="00856E27"/>
    <w:rsid w:val="00856E3E"/>
    <w:rsid w:val="00856ECC"/>
    <w:rsid w:val="00856F0A"/>
    <w:rsid w:val="00856F14"/>
    <w:rsid w:val="00856FA7"/>
    <w:rsid w:val="0085701B"/>
    <w:rsid w:val="0085706B"/>
    <w:rsid w:val="0085716D"/>
    <w:rsid w:val="0085720C"/>
    <w:rsid w:val="0085722D"/>
    <w:rsid w:val="00857305"/>
    <w:rsid w:val="00857379"/>
    <w:rsid w:val="00857422"/>
    <w:rsid w:val="00857463"/>
    <w:rsid w:val="008575CE"/>
    <w:rsid w:val="008575D0"/>
    <w:rsid w:val="008576E4"/>
    <w:rsid w:val="0085772C"/>
    <w:rsid w:val="00857858"/>
    <w:rsid w:val="008578CD"/>
    <w:rsid w:val="00857911"/>
    <w:rsid w:val="0085796A"/>
    <w:rsid w:val="00857972"/>
    <w:rsid w:val="00857A08"/>
    <w:rsid w:val="00857ABF"/>
    <w:rsid w:val="00857AD3"/>
    <w:rsid w:val="00857AD6"/>
    <w:rsid w:val="00857B15"/>
    <w:rsid w:val="00857B3C"/>
    <w:rsid w:val="00857B6C"/>
    <w:rsid w:val="00857BAB"/>
    <w:rsid w:val="00857D02"/>
    <w:rsid w:val="00857D73"/>
    <w:rsid w:val="00857DB5"/>
    <w:rsid w:val="00857DFC"/>
    <w:rsid w:val="00857E2C"/>
    <w:rsid w:val="00857EA9"/>
    <w:rsid w:val="00857F66"/>
    <w:rsid w:val="008600EE"/>
    <w:rsid w:val="0086019F"/>
    <w:rsid w:val="008601FA"/>
    <w:rsid w:val="00860201"/>
    <w:rsid w:val="0086021C"/>
    <w:rsid w:val="008602D7"/>
    <w:rsid w:val="00860357"/>
    <w:rsid w:val="00860370"/>
    <w:rsid w:val="008603A7"/>
    <w:rsid w:val="008604F3"/>
    <w:rsid w:val="008605E5"/>
    <w:rsid w:val="0086066F"/>
    <w:rsid w:val="008606AB"/>
    <w:rsid w:val="00860734"/>
    <w:rsid w:val="00860746"/>
    <w:rsid w:val="00860896"/>
    <w:rsid w:val="00860A4F"/>
    <w:rsid w:val="00860A8C"/>
    <w:rsid w:val="00860BFF"/>
    <w:rsid w:val="00860E37"/>
    <w:rsid w:val="00860EAC"/>
    <w:rsid w:val="00860F12"/>
    <w:rsid w:val="00860F42"/>
    <w:rsid w:val="008611E4"/>
    <w:rsid w:val="008611F4"/>
    <w:rsid w:val="008612A4"/>
    <w:rsid w:val="00861355"/>
    <w:rsid w:val="008613E0"/>
    <w:rsid w:val="0086144D"/>
    <w:rsid w:val="008614AD"/>
    <w:rsid w:val="008614D1"/>
    <w:rsid w:val="00861622"/>
    <w:rsid w:val="0086172D"/>
    <w:rsid w:val="00861765"/>
    <w:rsid w:val="0086199C"/>
    <w:rsid w:val="008619A7"/>
    <w:rsid w:val="00861A08"/>
    <w:rsid w:val="00861AA2"/>
    <w:rsid w:val="00861B8A"/>
    <w:rsid w:val="00861D2D"/>
    <w:rsid w:val="00861EB2"/>
    <w:rsid w:val="00861F26"/>
    <w:rsid w:val="00861FE5"/>
    <w:rsid w:val="008620AD"/>
    <w:rsid w:val="008620E6"/>
    <w:rsid w:val="00862252"/>
    <w:rsid w:val="00862255"/>
    <w:rsid w:val="008622BB"/>
    <w:rsid w:val="008623B4"/>
    <w:rsid w:val="00862545"/>
    <w:rsid w:val="008625B5"/>
    <w:rsid w:val="008625E3"/>
    <w:rsid w:val="0086260F"/>
    <w:rsid w:val="00862719"/>
    <w:rsid w:val="00862849"/>
    <w:rsid w:val="00862876"/>
    <w:rsid w:val="0086289D"/>
    <w:rsid w:val="008628E4"/>
    <w:rsid w:val="00862A0B"/>
    <w:rsid w:val="00862A37"/>
    <w:rsid w:val="00862AB4"/>
    <w:rsid w:val="00862B67"/>
    <w:rsid w:val="00862C05"/>
    <w:rsid w:val="00862C1A"/>
    <w:rsid w:val="00862C2F"/>
    <w:rsid w:val="00862C55"/>
    <w:rsid w:val="00862DE1"/>
    <w:rsid w:val="00862E28"/>
    <w:rsid w:val="00862F14"/>
    <w:rsid w:val="00862F9D"/>
    <w:rsid w:val="008631A2"/>
    <w:rsid w:val="008631DB"/>
    <w:rsid w:val="00863220"/>
    <w:rsid w:val="00863349"/>
    <w:rsid w:val="00863415"/>
    <w:rsid w:val="00863449"/>
    <w:rsid w:val="00863481"/>
    <w:rsid w:val="00863496"/>
    <w:rsid w:val="008634EB"/>
    <w:rsid w:val="0086352E"/>
    <w:rsid w:val="008635E6"/>
    <w:rsid w:val="00863636"/>
    <w:rsid w:val="0086365E"/>
    <w:rsid w:val="00863739"/>
    <w:rsid w:val="00863758"/>
    <w:rsid w:val="0086377A"/>
    <w:rsid w:val="008637A0"/>
    <w:rsid w:val="008637B8"/>
    <w:rsid w:val="00863814"/>
    <w:rsid w:val="0086394E"/>
    <w:rsid w:val="00863953"/>
    <w:rsid w:val="00863960"/>
    <w:rsid w:val="008639C6"/>
    <w:rsid w:val="008639F4"/>
    <w:rsid w:val="00863A0A"/>
    <w:rsid w:val="00863ADB"/>
    <w:rsid w:val="00863BC4"/>
    <w:rsid w:val="00863D0A"/>
    <w:rsid w:val="00863D13"/>
    <w:rsid w:val="00863D96"/>
    <w:rsid w:val="00863DC0"/>
    <w:rsid w:val="00863E0F"/>
    <w:rsid w:val="00863F74"/>
    <w:rsid w:val="00864020"/>
    <w:rsid w:val="00864034"/>
    <w:rsid w:val="0086405C"/>
    <w:rsid w:val="00864136"/>
    <w:rsid w:val="0086414B"/>
    <w:rsid w:val="00864207"/>
    <w:rsid w:val="00864679"/>
    <w:rsid w:val="00864745"/>
    <w:rsid w:val="0086478B"/>
    <w:rsid w:val="008647A7"/>
    <w:rsid w:val="0086489C"/>
    <w:rsid w:val="00864928"/>
    <w:rsid w:val="00864A3B"/>
    <w:rsid w:val="00864A72"/>
    <w:rsid w:val="00864AB7"/>
    <w:rsid w:val="00864B58"/>
    <w:rsid w:val="00864BB2"/>
    <w:rsid w:val="00864C97"/>
    <w:rsid w:val="00864D0F"/>
    <w:rsid w:val="00864D63"/>
    <w:rsid w:val="00864F80"/>
    <w:rsid w:val="00864F89"/>
    <w:rsid w:val="00865121"/>
    <w:rsid w:val="00865344"/>
    <w:rsid w:val="008654E0"/>
    <w:rsid w:val="008654F1"/>
    <w:rsid w:val="0086558F"/>
    <w:rsid w:val="008655C6"/>
    <w:rsid w:val="00865611"/>
    <w:rsid w:val="0086563C"/>
    <w:rsid w:val="008656BC"/>
    <w:rsid w:val="00865718"/>
    <w:rsid w:val="0086571C"/>
    <w:rsid w:val="00865745"/>
    <w:rsid w:val="00865773"/>
    <w:rsid w:val="008658E8"/>
    <w:rsid w:val="00865921"/>
    <w:rsid w:val="008659A6"/>
    <w:rsid w:val="00865A1B"/>
    <w:rsid w:val="00865A60"/>
    <w:rsid w:val="00865C57"/>
    <w:rsid w:val="00865D01"/>
    <w:rsid w:val="00865F37"/>
    <w:rsid w:val="00865F85"/>
    <w:rsid w:val="00865F8B"/>
    <w:rsid w:val="00865FD5"/>
    <w:rsid w:val="0086600A"/>
    <w:rsid w:val="008660B3"/>
    <w:rsid w:val="00866208"/>
    <w:rsid w:val="008662FF"/>
    <w:rsid w:val="008663F0"/>
    <w:rsid w:val="008664AC"/>
    <w:rsid w:val="00866559"/>
    <w:rsid w:val="008665A8"/>
    <w:rsid w:val="00866688"/>
    <w:rsid w:val="0086673B"/>
    <w:rsid w:val="00866747"/>
    <w:rsid w:val="00866854"/>
    <w:rsid w:val="008668A0"/>
    <w:rsid w:val="008668C3"/>
    <w:rsid w:val="0086691B"/>
    <w:rsid w:val="00866A71"/>
    <w:rsid w:val="00866B15"/>
    <w:rsid w:val="00866B2F"/>
    <w:rsid w:val="00866C41"/>
    <w:rsid w:val="00866C9E"/>
    <w:rsid w:val="00866DEB"/>
    <w:rsid w:val="00866DEF"/>
    <w:rsid w:val="00866F21"/>
    <w:rsid w:val="00866F30"/>
    <w:rsid w:val="00866F70"/>
    <w:rsid w:val="00866F77"/>
    <w:rsid w:val="00866F7D"/>
    <w:rsid w:val="00866FC9"/>
    <w:rsid w:val="00867010"/>
    <w:rsid w:val="008670FE"/>
    <w:rsid w:val="00867100"/>
    <w:rsid w:val="00867267"/>
    <w:rsid w:val="00867282"/>
    <w:rsid w:val="008672E0"/>
    <w:rsid w:val="00867365"/>
    <w:rsid w:val="0086739E"/>
    <w:rsid w:val="008673AA"/>
    <w:rsid w:val="00867441"/>
    <w:rsid w:val="0086744B"/>
    <w:rsid w:val="00867559"/>
    <w:rsid w:val="008675CA"/>
    <w:rsid w:val="008676DE"/>
    <w:rsid w:val="00867742"/>
    <w:rsid w:val="00867830"/>
    <w:rsid w:val="0086792D"/>
    <w:rsid w:val="0086796E"/>
    <w:rsid w:val="008679A4"/>
    <w:rsid w:val="008679D8"/>
    <w:rsid w:val="00867A11"/>
    <w:rsid w:val="00867A5F"/>
    <w:rsid w:val="00867AD3"/>
    <w:rsid w:val="00867C31"/>
    <w:rsid w:val="00867C73"/>
    <w:rsid w:val="00867CF8"/>
    <w:rsid w:val="00867D0C"/>
    <w:rsid w:val="00867D4A"/>
    <w:rsid w:val="00867DBA"/>
    <w:rsid w:val="00867EFF"/>
    <w:rsid w:val="00867F48"/>
    <w:rsid w:val="00867F80"/>
    <w:rsid w:val="00870005"/>
    <w:rsid w:val="008700EC"/>
    <w:rsid w:val="008701AF"/>
    <w:rsid w:val="0087023B"/>
    <w:rsid w:val="00870346"/>
    <w:rsid w:val="00870347"/>
    <w:rsid w:val="008703FD"/>
    <w:rsid w:val="00870422"/>
    <w:rsid w:val="00870449"/>
    <w:rsid w:val="0087048F"/>
    <w:rsid w:val="0087049C"/>
    <w:rsid w:val="00870501"/>
    <w:rsid w:val="00870516"/>
    <w:rsid w:val="008705D2"/>
    <w:rsid w:val="00870680"/>
    <w:rsid w:val="0087076F"/>
    <w:rsid w:val="00870869"/>
    <w:rsid w:val="008708E3"/>
    <w:rsid w:val="00870A41"/>
    <w:rsid w:val="00870B33"/>
    <w:rsid w:val="00870C1C"/>
    <w:rsid w:val="00870D59"/>
    <w:rsid w:val="00870D76"/>
    <w:rsid w:val="008711F8"/>
    <w:rsid w:val="008713FE"/>
    <w:rsid w:val="0087146A"/>
    <w:rsid w:val="00871529"/>
    <w:rsid w:val="0087154C"/>
    <w:rsid w:val="0087157D"/>
    <w:rsid w:val="00871615"/>
    <w:rsid w:val="00871649"/>
    <w:rsid w:val="00871855"/>
    <w:rsid w:val="008718A5"/>
    <w:rsid w:val="00871A2C"/>
    <w:rsid w:val="00871A39"/>
    <w:rsid w:val="00871A5B"/>
    <w:rsid w:val="00871AAD"/>
    <w:rsid w:val="00871AC6"/>
    <w:rsid w:val="00871C88"/>
    <w:rsid w:val="00871CA9"/>
    <w:rsid w:val="00871D66"/>
    <w:rsid w:val="00871D8C"/>
    <w:rsid w:val="00871DFE"/>
    <w:rsid w:val="00871EEA"/>
    <w:rsid w:val="00871FF3"/>
    <w:rsid w:val="0087205C"/>
    <w:rsid w:val="00872105"/>
    <w:rsid w:val="0087210C"/>
    <w:rsid w:val="008721AD"/>
    <w:rsid w:val="008721B2"/>
    <w:rsid w:val="008721CF"/>
    <w:rsid w:val="00872257"/>
    <w:rsid w:val="008722C5"/>
    <w:rsid w:val="008722D6"/>
    <w:rsid w:val="008722E3"/>
    <w:rsid w:val="0087256F"/>
    <w:rsid w:val="008725D1"/>
    <w:rsid w:val="00872733"/>
    <w:rsid w:val="00872778"/>
    <w:rsid w:val="008729D9"/>
    <w:rsid w:val="00872D77"/>
    <w:rsid w:val="00872DF2"/>
    <w:rsid w:val="00873011"/>
    <w:rsid w:val="008730FD"/>
    <w:rsid w:val="0087317B"/>
    <w:rsid w:val="0087326C"/>
    <w:rsid w:val="008732FC"/>
    <w:rsid w:val="008733A0"/>
    <w:rsid w:val="008733A6"/>
    <w:rsid w:val="0087343D"/>
    <w:rsid w:val="0087353A"/>
    <w:rsid w:val="008737A6"/>
    <w:rsid w:val="00873802"/>
    <w:rsid w:val="0087381A"/>
    <w:rsid w:val="008738D2"/>
    <w:rsid w:val="008738E9"/>
    <w:rsid w:val="0087391D"/>
    <w:rsid w:val="0087395D"/>
    <w:rsid w:val="00873982"/>
    <w:rsid w:val="008739AA"/>
    <w:rsid w:val="008739FC"/>
    <w:rsid w:val="00873A26"/>
    <w:rsid w:val="00873A93"/>
    <w:rsid w:val="00873B46"/>
    <w:rsid w:val="00873B4D"/>
    <w:rsid w:val="00873B78"/>
    <w:rsid w:val="00873C13"/>
    <w:rsid w:val="00873C56"/>
    <w:rsid w:val="00873DEC"/>
    <w:rsid w:val="00873E85"/>
    <w:rsid w:val="00873EBF"/>
    <w:rsid w:val="00874036"/>
    <w:rsid w:val="00874086"/>
    <w:rsid w:val="008740B5"/>
    <w:rsid w:val="008740D6"/>
    <w:rsid w:val="008740F8"/>
    <w:rsid w:val="008743E8"/>
    <w:rsid w:val="0087444D"/>
    <w:rsid w:val="008744DF"/>
    <w:rsid w:val="00874566"/>
    <w:rsid w:val="0087465F"/>
    <w:rsid w:val="00874690"/>
    <w:rsid w:val="008746AF"/>
    <w:rsid w:val="008746EF"/>
    <w:rsid w:val="008748EC"/>
    <w:rsid w:val="00874955"/>
    <w:rsid w:val="00874AF7"/>
    <w:rsid w:val="00874DA4"/>
    <w:rsid w:val="00874E75"/>
    <w:rsid w:val="00874F84"/>
    <w:rsid w:val="00874FBB"/>
    <w:rsid w:val="0087539A"/>
    <w:rsid w:val="00875430"/>
    <w:rsid w:val="00875438"/>
    <w:rsid w:val="00875451"/>
    <w:rsid w:val="008754A5"/>
    <w:rsid w:val="008754B3"/>
    <w:rsid w:val="00875538"/>
    <w:rsid w:val="00875580"/>
    <w:rsid w:val="0087567B"/>
    <w:rsid w:val="00875789"/>
    <w:rsid w:val="0087589D"/>
    <w:rsid w:val="00875913"/>
    <w:rsid w:val="00875974"/>
    <w:rsid w:val="008759AD"/>
    <w:rsid w:val="008759B3"/>
    <w:rsid w:val="00875A9E"/>
    <w:rsid w:val="00875BB5"/>
    <w:rsid w:val="00875C34"/>
    <w:rsid w:val="00875E2B"/>
    <w:rsid w:val="00875EB2"/>
    <w:rsid w:val="00876147"/>
    <w:rsid w:val="0087617D"/>
    <w:rsid w:val="0087622A"/>
    <w:rsid w:val="008762F5"/>
    <w:rsid w:val="008763CD"/>
    <w:rsid w:val="0087645E"/>
    <w:rsid w:val="008764A0"/>
    <w:rsid w:val="00876664"/>
    <w:rsid w:val="0087666F"/>
    <w:rsid w:val="008766B6"/>
    <w:rsid w:val="008766E5"/>
    <w:rsid w:val="008768A4"/>
    <w:rsid w:val="00876901"/>
    <w:rsid w:val="0087692E"/>
    <w:rsid w:val="00876960"/>
    <w:rsid w:val="0087698E"/>
    <w:rsid w:val="00876A5D"/>
    <w:rsid w:val="00876A74"/>
    <w:rsid w:val="00876D5C"/>
    <w:rsid w:val="00876E8E"/>
    <w:rsid w:val="00876EA2"/>
    <w:rsid w:val="00876FD5"/>
    <w:rsid w:val="008770CF"/>
    <w:rsid w:val="00877193"/>
    <w:rsid w:val="00877237"/>
    <w:rsid w:val="008772F2"/>
    <w:rsid w:val="00877388"/>
    <w:rsid w:val="0087746F"/>
    <w:rsid w:val="0087747A"/>
    <w:rsid w:val="008774EA"/>
    <w:rsid w:val="008774F7"/>
    <w:rsid w:val="00877520"/>
    <w:rsid w:val="00877577"/>
    <w:rsid w:val="008775AC"/>
    <w:rsid w:val="0087762B"/>
    <w:rsid w:val="00877678"/>
    <w:rsid w:val="00877679"/>
    <w:rsid w:val="008776DA"/>
    <w:rsid w:val="008777A2"/>
    <w:rsid w:val="008777AC"/>
    <w:rsid w:val="008777EC"/>
    <w:rsid w:val="008778E1"/>
    <w:rsid w:val="008778FB"/>
    <w:rsid w:val="00877A70"/>
    <w:rsid w:val="00877AEE"/>
    <w:rsid w:val="00877B1A"/>
    <w:rsid w:val="00877B6F"/>
    <w:rsid w:val="00877BA6"/>
    <w:rsid w:val="00877C0C"/>
    <w:rsid w:val="00877C0E"/>
    <w:rsid w:val="00877CAB"/>
    <w:rsid w:val="00877D4B"/>
    <w:rsid w:val="00877D93"/>
    <w:rsid w:val="00877E1C"/>
    <w:rsid w:val="00877E29"/>
    <w:rsid w:val="00877E5E"/>
    <w:rsid w:val="00877E81"/>
    <w:rsid w:val="00880239"/>
    <w:rsid w:val="008802C9"/>
    <w:rsid w:val="0088036F"/>
    <w:rsid w:val="00880420"/>
    <w:rsid w:val="00880513"/>
    <w:rsid w:val="00880563"/>
    <w:rsid w:val="0088057A"/>
    <w:rsid w:val="0088063A"/>
    <w:rsid w:val="008806C9"/>
    <w:rsid w:val="00880728"/>
    <w:rsid w:val="008808A0"/>
    <w:rsid w:val="0088091A"/>
    <w:rsid w:val="0088091C"/>
    <w:rsid w:val="008809A3"/>
    <w:rsid w:val="008809DB"/>
    <w:rsid w:val="00880A4B"/>
    <w:rsid w:val="00880AE6"/>
    <w:rsid w:val="00880B42"/>
    <w:rsid w:val="00880B47"/>
    <w:rsid w:val="00880B49"/>
    <w:rsid w:val="00880C43"/>
    <w:rsid w:val="00880C70"/>
    <w:rsid w:val="00880CE0"/>
    <w:rsid w:val="00880F07"/>
    <w:rsid w:val="00880F16"/>
    <w:rsid w:val="00880F57"/>
    <w:rsid w:val="00880F63"/>
    <w:rsid w:val="0088102C"/>
    <w:rsid w:val="00881069"/>
    <w:rsid w:val="0088117A"/>
    <w:rsid w:val="0088146E"/>
    <w:rsid w:val="00881524"/>
    <w:rsid w:val="00881617"/>
    <w:rsid w:val="008816B0"/>
    <w:rsid w:val="0088179A"/>
    <w:rsid w:val="00881821"/>
    <w:rsid w:val="0088182D"/>
    <w:rsid w:val="0088196B"/>
    <w:rsid w:val="00881992"/>
    <w:rsid w:val="008819B4"/>
    <w:rsid w:val="008819C2"/>
    <w:rsid w:val="00881A04"/>
    <w:rsid w:val="00881B2E"/>
    <w:rsid w:val="00881DF8"/>
    <w:rsid w:val="00881E64"/>
    <w:rsid w:val="00881F02"/>
    <w:rsid w:val="00881F77"/>
    <w:rsid w:val="00881F90"/>
    <w:rsid w:val="00881FC8"/>
    <w:rsid w:val="0088201C"/>
    <w:rsid w:val="0088205D"/>
    <w:rsid w:val="0088212B"/>
    <w:rsid w:val="00882153"/>
    <w:rsid w:val="008821BA"/>
    <w:rsid w:val="0088233D"/>
    <w:rsid w:val="0088238C"/>
    <w:rsid w:val="008823CC"/>
    <w:rsid w:val="008823D2"/>
    <w:rsid w:val="0088245B"/>
    <w:rsid w:val="008825BA"/>
    <w:rsid w:val="00882601"/>
    <w:rsid w:val="0088264C"/>
    <w:rsid w:val="00882794"/>
    <w:rsid w:val="00882840"/>
    <w:rsid w:val="008828EA"/>
    <w:rsid w:val="0088297C"/>
    <w:rsid w:val="008829BB"/>
    <w:rsid w:val="00882A42"/>
    <w:rsid w:val="00882B68"/>
    <w:rsid w:val="00882BF3"/>
    <w:rsid w:val="00882CB1"/>
    <w:rsid w:val="00882CB6"/>
    <w:rsid w:val="00882D06"/>
    <w:rsid w:val="00882DC2"/>
    <w:rsid w:val="00882EF6"/>
    <w:rsid w:val="008830AA"/>
    <w:rsid w:val="00883186"/>
    <w:rsid w:val="008831A3"/>
    <w:rsid w:val="008831D5"/>
    <w:rsid w:val="0088328D"/>
    <w:rsid w:val="00883378"/>
    <w:rsid w:val="0088339C"/>
    <w:rsid w:val="00883476"/>
    <w:rsid w:val="00883622"/>
    <w:rsid w:val="0088363A"/>
    <w:rsid w:val="00883750"/>
    <w:rsid w:val="00883A6A"/>
    <w:rsid w:val="00883ABE"/>
    <w:rsid w:val="00883AC6"/>
    <w:rsid w:val="00883C19"/>
    <w:rsid w:val="00883CEA"/>
    <w:rsid w:val="00883D0A"/>
    <w:rsid w:val="00883D12"/>
    <w:rsid w:val="00883D7F"/>
    <w:rsid w:val="00883E53"/>
    <w:rsid w:val="00883EA0"/>
    <w:rsid w:val="00883EDE"/>
    <w:rsid w:val="00883F01"/>
    <w:rsid w:val="00883F55"/>
    <w:rsid w:val="00883F63"/>
    <w:rsid w:val="00884015"/>
    <w:rsid w:val="0088406F"/>
    <w:rsid w:val="00884083"/>
    <w:rsid w:val="0088415F"/>
    <w:rsid w:val="008841E9"/>
    <w:rsid w:val="00884313"/>
    <w:rsid w:val="00884363"/>
    <w:rsid w:val="0088452B"/>
    <w:rsid w:val="00884639"/>
    <w:rsid w:val="008846AD"/>
    <w:rsid w:val="00884766"/>
    <w:rsid w:val="008848A7"/>
    <w:rsid w:val="00884A70"/>
    <w:rsid w:val="00884BA5"/>
    <w:rsid w:val="00884BB1"/>
    <w:rsid w:val="00884BC1"/>
    <w:rsid w:val="00884C1E"/>
    <w:rsid w:val="00884C2D"/>
    <w:rsid w:val="00884C4B"/>
    <w:rsid w:val="00884D36"/>
    <w:rsid w:val="00884DFC"/>
    <w:rsid w:val="00884ECA"/>
    <w:rsid w:val="00884ED5"/>
    <w:rsid w:val="00884F64"/>
    <w:rsid w:val="00885034"/>
    <w:rsid w:val="008850C2"/>
    <w:rsid w:val="00885165"/>
    <w:rsid w:val="008851D5"/>
    <w:rsid w:val="00885252"/>
    <w:rsid w:val="00885285"/>
    <w:rsid w:val="00885299"/>
    <w:rsid w:val="008852FC"/>
    <w:rsid w:val="00885423"/>
    <w:rsid w:val="00885438"/>
    <w:rsid w:val="008854CF"/>
    <w:rsid w:val="00885500"/>
    <w:rsid w:val="0088565F"/>
    <w:rsid w:val="00885679"/>
    <w:rsid w:val="00885765"/>
    <w:rsid w:val="008857E0"/>
    <w:rsid w:val="008858D2"/>
    <w:rsid w:val="008858F6"/>
    <w:rsid w:val="00885920"/>
    <w:rsid w:val="0088597C"/>
    <w:rsid w:val="0088599E"/>
    <w:rsid w:val="008859AD"/>
    <w:rsid w:val="008859C5"/>
    <w:rsid w:val="00885A23"/>
    <w:rsid w:val="00885A3F"/>
    <w:rsid w:val="00885A6F"/>
    <w:rsid w:val="00885A8A"/>
    <w:rsid w:val="00885AD2"/>
    <w:rsid w:val="00885B7C"/>
    <w:rsid w:val="00885CF8"/>
    <w:rsid w:val="00885DD7"/>
    <w:rsid w:val="00885E7E"/>
    <w:rsid w:val="00885F62"/>
    <w:rsid w:val="00885F8C"/>
    <w:rsid w:val="00886009"/>
    <w:rsid w:val="00886043"/>
    <w:rsid w:val="008860D5"/>
    <w:rsid w:val="008861AA"/>
    <w:rsid w:val="008861F9"/>
    <w:rsid w:val="0088629C"/>
    <w:rsid w:val="008862B5"/>
    <w:rsid w:val="0088636E"/>
    <w:rsid w:val="00886455"/>
    <w:rsid w:val="008864BA"/>
    <w:rsid w:val="008864D5"/>
    <w:rsid w:val="00886562"/>
    <w:rsid w:val="00886682"/>
    <w:rsid w:val="0088668F"/>
    <w:rsid w:val="00886718"/>
    <w:rsid w:val="0088694F"/>
    <w:rsid w:val="00886951"/>
    <w:rsid w:val="00886A67"/>
    <w:rsid w:val="00886AAB"/>
    <w:rsid w:val="00886AD6"/>
    <w:rsid w:val="00886AF2"/>
    <w:rsid w:val="00886B01"/>
    <w:rsid w:val="00886B22"/>
    <w:rsid w:val="00886B78"/>
    <w:rsid w:val="00886DB1"/>
    <w:rsid w:val="00886E50"/>
    <w:rsid w:val="00887044"/>
    <w:rsid w:val="0088710A"/>
    <w:rsid w:val="0088712C"/>
    <w:rsid w:val="00887221"/>
    <w:rsid w:val="008872F8"/>
    <w:rsid w:val="00887446"/>
    <w:rsid w:val="00887451"/>
    <w:rsid w:val="008874B0"/>
    <w:rsid w:val="008874F0"/>
    <w:rsid w:val="008875EB"/>
    <w:rsid w:val="008878CC"/>
    <w:rsid w:val="00887A1D"/>
    <w:rsid w:val="00887A48"/>
    <w:rsid w:val="00887A70"/>
    <w:rsid w:val="00887B75"/>
    <w:rsid w:val="00887B77"/>
    <w:rsid w:val="00887B89"/>
    <w:rsid w:val="00887BC6"/>
    <w:rsid w:val="00887BD7"/>
    <w:rsid w:val="00887D7D"/>
    <w:rsid w:val="00887D7E"/>
    <w:rsid w:val="00887E97"/>
    <w:rsid w:val="00887EE0"/>
    <w:rsid w:val="00887F19"/>
    <w:rsid w:val="00887F60"/>
    <w:rsid w:val="008900AF"/>
    <w:rsid w:val="008900E4"/>
    <w:rsid w:val="00890129"/>
    <w:rsid w:val="00890230"/>
    <w:rsid w:val="0089023C"/>
    <w:rsid w:val="00890248"/>
    <w:rsid w:val="008902B7"/>
    <w:rsid w:val="00890372"/>
    <w:rsid w:val="008903D5"/>
    <w:rsid w:val="008903EA"/>
    <w:rsid w:val="00890418"/>
    <w:rsid w:val="008904ED"/>
    <w:rsid w:val="008905E7"/>
    <w:rsid w:val="008905F8"/>
    <w:rsid w:val="00890628"/>
    <w:rsid w:val="00890749"/>
    <w:rsid w:val="008907DC"/>
    <w:rsid w:val="00890883"/>
    <w:rsid w:val="00890A77"/>
    <w:rsid w:val="00890B91"/>
    <w:rsid w:val="00890C75"/>
    <w:rsid w:val="00890FEA"/>
    <w:rsid w:val="00891097"/>
    <w:rsid w:val="0089117A"/>
    <w:rsid w:val="00891206"/>
    <w:rsid w:val="00891490"/>
    <w:rsid w:val="008914BA"/>
    <w:rsid w:val="008914CE"/>
    <w:rsid w:val="00891538"/>
    <w:rsid w:val="00891571"/>
    <w:rsid w:val="008915D2"/>
    <w:rsid w:val="008916B4"/>
    <w:rsid w:val="00891794"/>
    <w:rsid w:val="00891864"/>
    <w:rsid w:val="008918DD"/>
    <w:rsid w:val="00891954"/>
    <w:rsid w:val="008919C0"/>
    <w:rsid w:val="008919D4"/>
    <w:rsid w:val="00891A15"/>
    <w:rsid w:val="00891A45"/>
    <w:rsid w:val="00891A94"/>
    <w:rsid w:val="00891AF9"/>
    <w:rsid w:val="00891B04"/>
    <w:rsid w:val="00891B08"/>
    <w:rsid w:val="00891B25"/>
    <w:rsid w:val="00891B51"/>
    <w:rsid w:val="00891CFE"/>
    <w:rsid w:val="00891D1E"/>
    <w:rsid w:val="00891D80"/>
    <w:rsid w:val="00891D84"/>
    <w:rsid w:val="00891D8E"/>
    <w:rsid w:val="00891E0C"/>
    <w:rsid w:val="00891E7D"/>
    <w:rsid w:val="00891E9E"/>
    <w:rsid w:val="00891F32"/>
    <w:rsid w:val="00891F7E"/>
    <w:rsid w:val="00891FF2"/>
    <w:rsid w:val="008920BF"/>
    <w:rsid w:val="008922C8"/>
    <w:rsid w:val="00892418"/>
    <w:rsid w:val="0089242F"/>
    <w:rsid w:val="0089247C"/>
    <w:rsid w:val="00892536"/>
    <w:rsid w:val="0089277D"/>
    <w:rsid w:val="0089280B"/>
    <w:rsid w:val="0089282B"/>
    <w:rsid w:val="00892A2A"/>
    <w:rsid w:val="00892BA2"/>
    <w:rsid w:val="00892C11"/>
    <w:rsid w:val="00892DE6"/>
    <w:rsid w:val="00892E50"/>
    <w:rsid w:val="00892EBE"/>
    <w:rsid w:val="00893038"/>
    <w:rsid w:val="008930BC"/>
    <w:rsid w:val="008932BF"/>
    <w:rsid w:val="0089330D"/>
    <w:rsid w:val="00893336"/>
    <w:rsid w:val="00893359"/>
    <w:rsid w:val="00893546"/>
    <w:rsid w:val="00893653"/>
    <w:rsid w:val="008936BE"/>
    <w:rsid w:val="008936DD"/>
    <w:rsid w:val="00893739"/>
    <w:rsid w:val="0089379D"/>
    <w:rsid w:val="0089385B"/>
    <w:rsid w:val="00893886"/>
    <w:rsid w:val="00893893"/>
    <w:rsid w:val="008938AD"/>
    <w:rsid w:val="008938D8"/>
    <w:rsid w:val="008939EC"/>
    <w:rsid w:val="00893A8A"/>
    <w:rsid w:val="00893B9F"/>
    <w:rsid w:val="00893BC7"/>
    <w:rsid w:val="00893BD0"/>
    <w:rsid w:val="00893BF5"/>
    <w:rsid w:val="00893D3B"/>
    <w:rsid w:val="00893D74"/>
    <w:rsid w:val="00893E6A"/>
    <w:rsid w:val="00893E93"/>
    <w:rsid w:val="00893EEE"/>
    <w:rsid w:val="00893F14"/>
    <w:rsid w:val="00893FBD"/>
    <w:rsid w:val="00893FDE"/>
    <w:rsid w:val="008941F6"/>
    <w:rsid w:val="0089428D"/>
    <w:rsid w:val="008942AD"/>
    <w:rsid w:val="0089434E"/>
    <w:rsid w:val="008943BE"/>
    <w:rsid w:val="008944FC"/>
    <w:rsid w:val="008945EF"/>
    <w:rsid w:val="00894637"/>
    <w:rsid w:val="008946AB"/>
    <w:rsid w:val="0089479C"/>
    <w:rsid w:val="008947C6"/>
    <w:rsid w:val="008947D2"/>
    <w:rsid w:val="00894881"/>
    <w:rsid w:val="008948E3"/>
    <w:rsid w:val="00894908"/>
    <w:rsid w:val="0089499A"/>
    <w:rsid w:val="00894A51"/>
    <w:rsid w:val="00894A77"/>
    <w:rsid w:val="00894BF6"/>
    <w:rsid w:val="00894C37"/>
    <w:rsid w:val="00894C5B"/>
    <w:rsid w:val="00894C75"/>
    <w:rsid w:val="00894CB8"/>
    <w:rsid w:val="00894CE2"/>
    <w:rsid w:val="00894D8F"/>
    <w:rsid w:val="00894DD9"/>
    <w:rsid w:val="00894FCC"/>
    <w:rsid w:val="0089502E"/>
    <w:rsid w:val="00895102"/>
    <w:rsid w:val="00895109"/>
    <w:rsid w:val="0089520B"/>
    <w:rsid w:val="00895236"/>
    <w:rsid w:val="008952AD"/>
    <w:rsid w:val="00895429"/>
    <w:rsid w:val="00895646"/>
    <w:rsid w:val="00895718"/>
    <w:rsid w:val="00895761"/>
    <w:rsid w:val="00895790"/>
    <w:rsid w:val="008957E5"/>
    <w:rsid w:val="00895819"/>
    <w:rsid w:val="008958D0"/>
    <w:rsid w:val="008959B7"/>
    <w:rsid w:val="008959F1"/>
    <w:rsid w:val="00895B97"/>
    <w:rsid w:val="00895BB3"/>
    <w:rsid w:val="00895C95"/>
    <w:rsid w:val="00895D40"/>
    <w:rsid w:val="00895D82"/>
    <w:rsid w:val="00895DA3"/>
    <w:rsid w:val="00895E56"/>
    <w:rsid w:val="00895E8C"/>
    <w:rsid w:val="00895FF4"/>
    <w:rsid w:val="0089603F"/>
    <w:rsid w:val="00896193"/>
    <w:rsid w:val="00896382"/>
    <w:rsid w:val="0089644F"/>
    <w:rsid w:val="00896463"/>
    <w:rsid w:val="0089653F"/>
    <w:rsid w:val="00896564"/>
    <w:rsid w:val="0089659C"/>
    <w:rsid w:val="00896642"/>
    <w:rsid w:val="00896650"/>
    <w:rsid w:val="00896719"/>
    <w:rsid w:val="00896723"/>
    <w:rsid w:val="008967B3"/>
    <w:rsid w:val="008967F0"/>
    <w:rsid w:val="0089684C"/>
    <w:rsid w:val="008968BD"/>
    <w:rsid w:val="008968F7"/>
    <w:rsid w:val="00896AEF"/>
    <w:rsid w:val="00896B36"/>
    <w:rsid w:val="00896C23"/>
    <w:rsid w:val="00896CA5"/>
    <w:rsid w:val="00896DE7"/>
    <w:rsid w:val="00896E46"/>
    <w:rsid w:val="00896F6D"/>
    <w:rsid w:val="008970AB"/>
    <w:rsid w:val="008970E1"/>
    <w:rsid w:val="008970FC"/>
    <w:rsid w:val="00897182"/>
    <w:rsid w:val="008971C8"/>
    <w:rsid w:val="008972D0"/>
    <w:rsid w:val="008972D3"/>
    <w:rsid w:val="00897447"/>
    <w:rsid w:val="008975BD"/>
    <w:rsid w:val="008975CA"/>
    <w:rsid w:val="008976F3"/>
    <w:rsid w:val="0089778A"/>
    <w:rsid w:val="00897796"/>
    <w:rsid w:val="008977C3"/>
    <w:rsid w:val="008977E9"/>
    <w:rsid w:val="008977F2"/>
    <w:rsid w:val="00897904"/>
    <w:rsid w:val="00897998"/>
    <w:rsid w:val="00897A1F"/>
    <w:rsid w:val="00897A85"/>
    <w:rsid w:val="00897AA7"/>
    <w:rsid w:val="00897AC9"/>
    <w:rsid w:val="00897AE6"/>
    <w:rsid w:val="00897B80"/>
    <w:rsid w:val="00897BA9"/>
    <w:rsid w:val="00897BB6"/>
    <w:rsid w:val="00897C32"/>
    <w:rsid w:val="00897C40"/>
    <w:rsid w:val="00897DC8"/>
    <w:rsid w:val="008A0053"/>
    <w:rsid w:val="008A0058"/>
    <w:rsid w:val="008A0061"/>
    <w:rsid w:val="008A00B3"/>
    <w:rsid w:val="008A00CA"/>
    <w:rsid w:val="008A015D"/>
    <w:rsid w:val="008A0182"/>
    <w:rsid w:val="008A01BA"/>
    <w:rsid w:val="008A01D9"/>
    <w:rsid w:val="008A01FB"/>
    <w:rsid w:val="008A024A"/>
    <w:rsid w:val="008A0271"/>
    <w:rsid w:val="008A0283"/>
    <w:rsid w:val="008A04C4"/>
    <w:rsid w:val="008A0514"/>
    <w:rsid w:val="008A052B"/>
    <w:rsid w:val="008A0559"/>
    <w:rsid w:val="008A06CC"/>
    <w:rsid w:val="008A073C"/>
    <w:rsid w:val="008A088D"/>
    <w:rsid w:val="008A091D"/>
    <w:rsid w:val="008A0988"/>
    <w:rsid w:val="008A0A25"/>
    <w:rsid w:val="008A0C4D"/>
    <w:rsid w:val="008A0D1D"/>
    <w:rsid w:val="008A0D3E"/>
    <w:rsid w:val="008A0E35"/>
    <w:rsid w:val="008A0E6C"/>
    <w:rsid w:val="008A0EA7"/>
    <w:rsid w:val="008A0EA8"/>
    <w:rsid w:val="008A0FC9"/>
    <w:rsid w:val="008A10E3"/>
    <w:rsid w:val="008A11CC"/>
    <w:rsid w:val="008A1207"/>
    <w:rsid w:val="008A133F"/>
    <w:rsid w:val="008A1357"/>
    <w:rsid w:val="008A14B2"/>
    <w:rsid w:val="008A1547"/>
    <w:rsid w:val="008A174C"/>
    <w:rsid w:val="008A1939"/>
    <w:rsid w:val="008A1B75"/>
    <w:rsid w:val="008A1B8B"/>
    <w:rsid w:val="008A1C1B"/>
    <w:rsid w:val="008A1CFA"/>
    <w:rsid w:val="008A1DCE"/>
    <w:rsid w:val="008A1E24"/>
    <w:rsid w:val="008A1E54"/>
    <w:rsid w:val="008A1F79"/>
    <w:rsid w:val="008A1FA0"/>
    <w:rsid w:val="008A21E6"/>
    <w:rsid w:val="008A2221"/>
    <w:rsid w:val="008A2258"/>
    <w:rsid w:val="008A228F"/>
    <w:rsid w:val="008A2295"/>
    <w:rsid w:val="008A2405"/>
    <w:rsid w:val="008A245F"/>
    <w:rsid w:val="008A249B"/>
    <w:rsid w:val="008A24AF"/>
    <w:rsid w:val="008A24E2"/>
    <w:rsid w:val="008A256C"/>
    <w:rsid w:val="008A2662"/>
    <w:rsid w:val="008A26A3"/>
    <w:rsid w:val="008A270B"/>
    <w:rsid w:val="008A2753"/>
    <w:rsid w:val="008A288C"/>
    <w:rsid w:val="008A291C"/>
    <w:rsid w:val="008A2AAF"/>
    <w:rsid w:val="008A2B2E"/>
    <w:rsid w:val="008A2C48"/>
    <w:rsid w:val="008A2D5C"/>
    <w:rsid w:val="008A2D5E"/>
    <w:rsid w:val="008A2DB0"/>
    <w:rsid w:val="008A2DB2"/>
    <w:rsid w:val="008A2E5B"/>
    <w:rsid w:val="008A2F06"/>
    <w:rsid w:val="008A2F24"/>
    <w:rsid w:val="008A30ED"/>
    <w:rsid w:val="008A3173"/>
    <w:rsid w:val="008A31EF"/>
    <w:rsid w:val="008A32B5"/>
    <w:rsid w:val="008A3350"/>
    <w:rsid w:val="008A33A0"/>
    <w:rsid w:val="008A3443"/>
    <w:rsid w:val="008A3471"/>
    <w:rsid w:val="008A347E"/>
    <w:rsid w:val="008A357C"/>
    <w:rsid w:val="008A358A"/>
    <w:rsid w:val="008A3597"/>
    <w:rsid w:val="008A3604"/>
    <w:rsid w:val="008A3626"/>
    <w:rsid w:val="008A3767"/>
    <w:rsid w:val="008A37BB"/>
    <w:rsid w:val="008A3838"/>
    <w:rsid w:val="008A3943"/>
    <w:rsid w:val="008A3962"/>
    <w:rsid w:val="008A3A17"/>
    <w:rsid w:val="008A3AD9"/>
    <w:rsid w:val="008A3C57"/>
    <w:rsid w:val="008A3CC0"/>
    <w:rsid w:val="008A3DF4"/>
    <w:rsid w:val="008A3DFA"/>
    <w:rsid w:val="008A3E3A"/>
    <w:rsid w:val="008A3E9B"/>
    <w:rsid w:val="008A3F1F"/>
    <w:rsid w:val="008A3F3E"/>
    <w:rsid w:val="008A4011"/>
    <w:rsid w:val="008A40DB"/>
    <w:rsid w:val="008A437D"/>
    <w:rsid w:val="008A448C"/>
    <w:rsid w:val="008A4620"/>
    <w:rsid w:val="008A47A1"/>
    <w:rsid w:val="008A47E0"/>
    <w:rsid w:val="008A48CE"/>
    <w:rsid w:val="008A49CC"/>
    <w:rsid w:val="008A4BA8"/>
    <w:rsid w:val="008A4BFB"/>
    <w:rsid w:val="008A4DB9"/>
    <w:rsid w:val="008A4E29"/>
    <w:rsid w:val="008A4EB5"/>
    <w:rsid w:val="008A4FC9"/>
    <w:rsid w:val="008A510A"/>
    <w:rsid w:val="008A51AF"/>
    <w:rsid w:val="008A528F"/>
    <w:rsid w:val="008A52C2"/>
    <w:rsid w:val="008A5306"/>
    <w:rsid w:val="008A5413"/>
    <w:rsid w:val="008A55B1"/>
    <w:rsid w:val="008A55B7"/>
    <w:rsid w:val="008A55FA"/>
    <w:rsid w:val="008A56D8"/>
    <w:rsid w:val="008A573B"/>
    <w:rsid w:val="008A57B1"/>
    <w:rsid w:val="008A57CF"/>
    <w:rsid w:val="008A57FA"/>
    <w:rsid w:val="008A581D"/>
    <w:rsid w:val="008A590D"/>
    <w:rsid w:val="008A5931"/>
    <w:rsid w:val="008A5C4B"/>
    <w:rsid w:val="008A5D21"/>
    <w:rsid w:val="008A5D8B"/>
    <w:rsid w:val="008A5DF4"/>
    <w:rsid w:val="008A5E0A"/>
    <w:rsid w:val="008A5E0E"/>
    <w:rsid w:val="008A5E9E"/>
    <w:rsid w:val="008A5F97"/>
    <w:rsid w:val="008A60D6"/>
    <w:rsid w:val="008A618D"/>
    <w:rsid w:val="008A61A3"/>
    <w:rsid w:val="008A61AC"/>
    <w:rsid w:val="008A61BD"/>
    <w:rsid w:val="008A6261"/>
    <w:rsid w:val="008A634B"/>
    <w:rsid w:val="008A63FA"/>
    <w:rsid w:val="008A640D"/>
    <w:rsid w:val="008A64EF"/>
    <w:rsid w:val="008A652F"/>
    <w:rsid w:val="008A6574"/>
    <w:rsid w:val="008A6597"/>
    <w:rsid w:val="008A66AB"/>
    <w:rsid w:val="008A6842"/>
    <w:rsid w:val="008A6896"/>
    <w:rsid w:val="008A689B"/>
    <w:rsid w:val="008A6918"/>
    <w:rsid w:val="008A694A"/>
    <w:rsid w:val="008A695D"/>
    <w:rsid w:val="008A69D9"/>
    <w:rsid w:val="008A6A77"/>
    <w:rsid w:val="008A6AB0"/>
    <w:rsid w:val="008A6B4B"/>
    <w:rsid w:val="008A6C74"/>
    <w:rsid w:val="008A6C99"/>
    <w:rsid w:val="008A6CD6"/>
    <w:rsid w:val="008A6E69"/>
    <w:rsid w:val="008A6E6D"/>
    <w:rsid w:val="008A6E88"/>
    <w:rsid w:val="008A6EAB"/>
    <w:rsid w:val="008A6EB2"/>
    <w:rsid w:val="008A6ECB"/>
    <w:rsid w:val="008A6F1F"/>
    <w:rsid w:val="008A6F31"/>
    <w:rsid w:val="008A6FBB"/>
    <w:rsid w:val="008A702F"/>
    <w:rsid w:val="008A708B"/>
    <w:rsid w:val="008A70FC"/>
    <w:rsid w:val="008A71A5"/>
    <w:rsid w:val="008A71F9"/>
    <w:rsid w:val="008A73CD"/>
    <w:rsid w:val="008A7484"/>
    <w:rsid w:val="008A74C6"/>
    <w:rsid w:val="008A7522"/>
    <w:rsid w:val="008A765D"/>
    <w:rsid w:val="008A76B9"/>
    <w:rsid w:val="008A7703"/>
    <w:rsid w:val="008A7717"/>
    <w:rsid w:val="008A77B6"/>
    <w:rsid w:val="008A77CA"/>
    <w:rsid w:val="008A77DD"/>
    <w:rsid w:val="008A77E6"/>
    <w:rsid w:val="008A793F"/>
    <w:rsid w:val="008A7AFD"/>
    <w:rsid w:val="008A7BA1"/>
    <w:rsid w:val="008A7C69"/>
    <w:rsid w:val="008A7D06"/>
    <w:rsid w:val="008A7D76"/>
    <w:rsid w:val="008A7E78"/>
    <w:rsid w:val="008A7F7B"/>
    <w:rsid w:val="008A7FC0"/>
    <w:rsid w:val="008A7FE1"/>
    <w:rsid w:val="008B0083"/>
    <w:rsid w:val="008B0207"/>
    <w:rsid w:val="008B022A"/>
    <w:rsid w:val="008B02D2"/>
    <w:rsid w:val="008B0399"/>
    <w:rsid w:val="008B03DD"/>
    <w:rsid w:val="008B0490"/>
    <w:rsid w:val="008B0611"/>
    <w:rsid w:val="008B068E"/>
    <w:rsid w:val="008B06EA"/>
    <w:rsid w:val="008B070B"/>
    <w:rsid w:val="008B073D"/>
    <w:rsid w:val="008B076C"/>
    <w:rsid w:val="008B0878"/>
    <w:rsid w:val="008B0949"/>
    <w:rsid w:val="008B09E8"/>
    <w:rsid w:val="008B0A9B"/>
    <w:rsid w:val="008B0AE0"/>
    <w:rsid w:val="008B0BC9"/>
    <w:rsid w:val="008B0C0B"/>
    <w:rsid w:val="008B0DC3"/>
    <w:rsid w:val="008B0E53"/>
    <w:rsid w:val="008B0E6F"/>
    <w:rsid w:val="008B0EA4"/>
    <w:rsid w:val="008B0ED4"/>
    <w:rsid w:val="008B0F28"/>
    <w:rsid w:val="008B1002"/>
    <w:rsid w:val="008B10E5"/>
    <w:rsid w:val="008B1179"/>
    <w:rsid w:val="008B11FC"/>
    <w:rsid w:val="008B12E4"/>
    <w:rsid w:val="008B1316"/>
    <w:rsid w:val="008B1327"/>
    <w:rsid w:val="008B1436"/>
    <w:rsid w:val="008B14DB"/>
    <w:rsid w:val="008B16FE"/>
    <w:rsid w:val="008B1764"/>
    <w:rsid w:val="008B1778"/>
    <w:rsid w:val="008B17C5"/>
    <w:rsid w:val="008B18D5"/>
    <w:rsid w:val="008B19DA"/>
    <w:rsid w:val="008B1B55"/>
    <w:rsid w:val="008B1B94"/>
    <w:rsid w:val="008B1C42"/>
    <w:rsid w:val="008B1CE5"/>
    <w:rsid w:val="008B1DDD"/>
    <w:rsid w:val="008B1E2B"/>
    <w:rsid w:val="008B1E44"/>
    <w:rsid w:val="008B1EA5"/>
    <w:rsid w:val="008B1EC7"/>
    <w:rsid w:val="008B1F75"/>
    <w:rsid w:val="008B2111"/>
    <w:rsid w:val="008B21BE"/>
    <w:rsid w:val="008B21EB"/>
    <w:rsid w:val="008B2357"/>
    <w:rsid w:val="008B2359"/>
    <w:rsid w:val="008B2387"/>
    <w:rsid w:val="008B24A5"/>
    <w:rsid w:val="008B2519"/>
    <w:rsid w:val="008B25F4"/>
    <w:rsid w:val="008B2613"/>
    <w:rsid w:val="008B2799"/>
    <w:rsid w:val="008B27BE"/>
    <w:rsid w:val="008B287B"/>
    <w:rsid w:val="008B291A"/>
    <w:rsid w:val="008B2943"/>
    <w:rsid w:val="008B29A5"/>
    <w:rsid w:val="008B29AC"/>
    <w:rsid w:val="008B29F2"/>
    <w:rsid w:val="008B2A66"/>
    <w:rsid w:val="008B2B44"/>
    <w:rsid w:val="008B2B60"/>
    <w:rsid w:val="008B2B9E"/>
    <w:rsid w:val="008B2BC9"/>
    <w:rsid w:val="008B2D3F"/>
    <w:rsid w:val="008B2D98"/>
    <w:rsid w:val="008B2DCB"/>
    <w:rsid w:val="008B2DD7"/>
    <w:rsid w:val="008B2E45"/>
    <w:rsid w:val="008B2E5E"/>
    <w:rsid w:val="008B2EA4"/>
    <w:rsid w:val="008B2F7C"/>
    <w:rsid w:val="008B2F8D"/>
    <w:rsid w:val="008B300F"/>
    <w:rsid w:val="008B315F"/>
    <w:rsid w:val="008B3160"/>
    <w:rsid w:val="008B3190"/>
    <w:rsid w:val="008B31F7"/>
    <w:rsid w:val="008B3209"/>
    <w:rsid w:val="008B3277"/>
    <w:rsid w:val="008B32AE"/>
    <w:rsid w:val="008B32FB"/>
    <w:rsid w:val="008B331D"/>
    <w:rsid w:val="008B3491"/>
    <w:rsid w:val="008B34AB"/>
    <w:rsid w:val="008B34B4"/>
    <w:rsid w:val="008B34CE"/>
    <w:rsid w:val="008B3500"/>
    <w:rsid w:val="008B3572"/>
    <w:rsid w:val="008B36C6"/>
    <w:rsid w:val="008B3753"/>
    <w:rsid w:val="008B375E"/>
    <w:rsid w:val="008B37BE"/>
    <w:rsid w:val="008B3980"/>
    <w:rsid w:val="008B39A2"/>
    <w:rsid w:val="008B3AD9"/>
    <w:rsid w:val="008B3AF9"/>
    <w:rsid w:val="008B3C87"/>
    <w:rsid w:val="008B3C98"/>
    <w:rsid w:val="008B3D0A"/>
    <w:rsid w:val="008B3D7D"/>
    <w:rsid w:val="008B3F17"/>
    <w:rsid w:val="008B4014"/>
    <w:rsid w:val="008B404C"/>
    <w:rsid w:val="008B40C0"/>
    <w:rsid w:val="008B40FF"/>
    <w:rsid w:val="008B410B"/>
    <w:rsid w:val="008B41A6"/>
    <w:rsid w:val="008B41F3"/>
    <w:rsid w:val="008B4243"/>
    <w:rsid w:val="008B4382"/>
    <w:rsid w:val="008B4386"/>
    <w:rsid w:val="008B4427"/>
    <w:rsid w:val="008B4439"/>
    <w:rsid w:val="008B44AC"/>
    <w:rsid w:val="008B44F2"/>
    <w:rsid w:val="008B45B4"/>
    <w:rsid w:val="008B4611"/>
    <w:rsid w:val="008B4643"/>
    <w:rsid w:val="008B4665"/>
    <w:rsid w:val="008B466C"/>
    <w:rsid w:val="008B47F4"/>
    <w:rsid w:val="008B484A"/>
    <w:rsid w:val="008B49A8"/>
    <w:rsid w:val="008B49C6"/>
    <w:rsid w:val="008B4A04"/>
    <w:rsid w:val="008B4A69"/>
    <w:rsid w:val="008B4AEF"/>
    <w:rsid w:val="008B4AF1"/>
    <w:rsid w:val="008B4BA5"/>
    <w:rsid w:val="008B4BE0"/>
    <w:rsid w:val="008B4C33"/>
    <w:rsid w:val="008B4CC1"/>
    <w:rsid w:val="008B4F6B"/>
    <w:rsid w:val="008B4F8A"/>
    <w:rsid w:val="008B5019"/>
    <w:rsid w:val="008B502E"/>
    <w:rsid w:val="008B5038"/>
    <w:rsid w:val="008B5122"/>
    <w:rsid w:val="008B518B"/>
    <w:rsid w:val="008B528A"/>
    <w:rsid w:val="008B5339"/>
    <w:rsid w:val="008B5355"/>
    <w:rsid w:val="008B5412"/>
    <w:rsid w:val="008B56C7"/>
    <w:rsid w:val="008B574F"/>
    <w:rsid w:val="008B57D0"/>
    <w:rsid w:val="008B583A"/>
    <w:rsid w:val="008B585E"/>
    <w:rsid w:val="008B5916"/>
    <w:rsid w:val="008B59E9"/>
    <w:rsid w:val="008B59FA"/>
    <w:rsid w:val="008B5AB2"/>
    <w:rsid w:val="008B5B01"/>
    <w:rsid w:val="008B5B48"/>
    <w:rsid w:val="008B5B50"/>
    <w:rsid w:val="008B5B53"/>
    <w:rsid w:val="008B5B61"/>
    <w:rsid w:val="008B5B6E"/>
    <w:rsid w:val="008B5BC4"/>
    <w:rsid w:val="008B5CA3"/>
    <w:rsid w:val="008B5CDF"/>
    <w:rsid w:val="008B5E6A"/>
    <w:rsid w:val="008B5FDB"/>
    <w:rsid w:val="008B6112"/>
    <w:rsid w:val="008B6214"/>
    <w:rsid w:val="008B63FE"/>
    <w:rsid w:val="008B6507"/>
    <w:rsid w:val="008B67DA"/>
    <w:rsid w:val="008B6810"/>
    <w:rsid w:val="008B6850"/>
    <w:rsid w:val="008B6902"/>
    <w:rsid w:val="008B6A8D"/>
    <w:rsid w:val="008B6B06"/>
    <w:rsid w:val="008B6B2B"/>
    <w:rsid w:val="008B6BEB"/>
    <w:rsid w:val="008B6C8B"/>
    <w:rsid w:val="008B6DAC"/>
    <w:rsid w:val="008B6E68"/>
    <w:rsid w:val="008B6E78"/>
    <w:rsid w:val="008B6ECA"/>
    <w:rsid w:val="008B6ED9"/>
    <w:rsid w:val="008B6EE3"/>
    <w:rsid w:val="008B7003"/>
    <w:rsid w:val="008B70F6"/>
    <w:rsid w:val="008B712C"/>
    <w:rsid w:val="008B714D"/>
    <w:rsid w:val="008B731A"/>
    <w:rsid w:val="008B73B8"/>
    <w:rsid w:val="008B740F"/>
    <w:rsid w:val="008B75C2"/>
    <w:rsid w:val="008B771A"/>
    <w:rsid w:val="008B777D"/>
    <w:rsid w:val="008B787C"/>
    <w:rsid w:val="008B78DD"/>
    <w:rsid w:val="008B7994"/>
    <w:rsid w:val="008B7A79"/>
    <w:rsid w:val="008B7A9E"/>
    <w:rsid w:val="008B7AEE"/>
    <w:rsid w:val="008B7B17"/>
    <w:rsid w:val="008B7B41"/>
    <w:rsid w:val="008B7B64"/>
    <w:rsid w:val="008B7BA0"/>
    <w:rsid w:val="008B7BA1"/>
    <w:rsid w:val="008B7D29"/>
    <w:rsid w:val="008B7DE0"/>
    <w:rsid w:val="008B7DF4"/>
    <w:rsid w:val="008B7E0B"/>
    <w:rsid w:val="008B7E24"/>
    <w:rsid w:val="008B7F47"/>
    <w:rsid w:val="008B7F6A"/>
    <w:rsid w:val="008C0003"/>
    <w:rsid w:val="008C00C1"/>
    <w:rsid w:val="008C0116"/>
    <w:rsid w:val="008C017C"/>
    <w:rsid w:val="008C02B3"/>
    <w:rsid w:val="008C02EA"/>
    <w:rsid w:val="008C0614"/>
    <w:rsid w:val="008C061E"/>
    <w:rsid w:val="008C0882"/>
    <w:rsid w:val="008C096E"/>
    <w:rsid w:val="008C0989"/>
    <w:rsid w:val="008C0A18"/>
    <w:rsid w:val="008C0A77"/>
    <w:rsid w:val="008C0BA7"/>
    <w:rsid w:val="008C0CF6"/>
    <w:rsid w:val="008C0D6C"/>
    <w:rsid w:val="008C0E38"/>
    <w:rsid w:val="008C0EBA"/>
    <w:rsid w:val="008C0EF4"/>
    <w:rsid w:val="008C0F37"/>
    <w:rsid w:val="008C0FEE"/>
    <w:rsid w:val="008C0FF0"/>
    <w:rsid w:val="008C105B"/>
    <w:rsid w:val="008C108E"/>
    <w:rsid w:val="008C1103"/>
    <w:rsid w:val="008C12A5"/>
    <w:rsid w:val="008C12CC"/>
    <w:rsid w:val="008C134E"/>
    <w:rsid w:val="008C1370"/>
    <w:rsid w:val="008C14D1"/>
    <w:rsid w:val="008C154C"/>
    <w:rsid w:val="008C165A"/>
    <w:rsid w:val="008C17A8"/>
    <w:rsid w:val="008C195B"/>
    <w:rsid w:val="008C199D"/>
    <w:rsid w:val="008C1A64"/>
    <w:rsid w:val="008C1AA5"/>
    <w:rsid w:val="008C1B24"/>
    <w:rsid w:val="008C1C08"/>
    <w:rsid w:val="008C1C38"/>
    <w:rsid w:val="008C1D88"/>
    <w:rsid w:val="008C1D9A"/>
    <w:rsid w:val="008C1DBD"/>
    <w:rsid w:val="008C1DFF"/>
    <w:rsid w:val="008C1E12"/>
    <w:rsid w:val="008C1EC6"/>
    <w:rsid w:val="008C206B"/>
    <w:rsid w:val="008C20D3"/>
    <w:rsid w:val="008C2196"/>
    <w:rsid w:val="008C21AC"/>
    <w:rsid w:val="008C21B9"/>
    <w:rsid w:val="008C2226"/>
    <w:rsid w:val="008C22D1"/>
    <w:rsid w:val="008C2512"/>
    <w:rsid w:val="008C254E"/>
    <w:rsid w:val="008C25B4"/>
    <w:rsid w:val="008C26CC"/>
    <w:rsid w:val="008C270F"/>
    <w:rsid w:val="008C275C"/>
    <w:rsid w:val="008C28A0"/>
    <w:rsid w:val="008C29A9"/>
    <w:rsid w:val="008C29E0"/>
    <w:rsid w:val="008C29E2"/>
    <w:rsid w:val="008C2B9E"/>
    <w:rsid w:val="008C2DC5"/>
    <w:rsid w:val="008C2E59"/>
    <w:rsid w:val="008C2EAE"/>
    <w:rsid w:val="008C2F69"/>
    <w:rsid w:val="008C2F8A"/>
    <w:rsid w:val="008C3058"/>
    <w:rsid w:val="008C3180"/>
    <w:rsid w:val="008C3186"/>
    <w:rsid w:val="008C31DD"/>
    <w:rsid w:val="008C32B2"/>
    <w:rsid w:val="008C336F"/>
    <w:rsid w:val="008C3460"/>
    <w:rsid w:val="008C348D"/>
    <w:rsid w:val="008C3533"/>
    <w:rsid w:val="008C355E"/>
    <w:rsid w:val="008C3590"/>
    <w:rsid w:val="008C36D2"/>
    <w:rsid w:val="008C3722"/>
    <w:rsid w:val="008C37C5"/>
    <w:rsid w:val="008C38B3"/>
    <w:rsid w:val="008C38FC"/>
    <w:rsid w:val="008C395D"/>
    <w:rsid w:val="008C39CF"/>
    <w:rsid w:val="008C3A1E"/>
    <w:rsid w:val="008C3A2F"/>
    <w:rsid w:val="008C3A44"/>
    <w:rsid w:val="008C3B0E"/>
    <w:rsid w:val="008C3B98"/>
    <w:rsid w:val="008C3BB1"/>
    <w:rsid w:val="008C3BC3"/>
    <w:rsid w:val="008C3D86"/>
    <w:rsid w:val="008C3E42"/>
    <w:rsid w:val="008C3EAF"/>
    <w:rsid w:val="008C409C"/>
    <w:rsid w:val="008C4175"/>
    <w:rsid w:val="008C41C2"/>
    <w:rsid w:val="008C4276"/>
    <w:rsid w:val="008C42D5"/>
    <w:rsid w:val="008C4327"/>
    <w:rsid w:val="008C44E3"/>
    <w:rsid w:val="008C4621"/>
    <w:rsid w:val="008C4669"/>
    <w:rsid w:val="008C46AF"/>
    <w:rsid w:val="008C4712"/>
    <w:rsid w:val="008C47BE"/>
    <w:rsid w:val="008C4880"/>
    <w:rsid w:val="008C48DA"/>
    <w:rsid w:val="008C4907"/>
    <w:rsid w:val="008C4975"/>
    <w:rsid w:val="008C49B4"/>
    <w:rsid w:val="008C4A7F"/>
    <w:rsid w:val="008C4A89"/>
    <w:rsid w:val="008C4BFD"/>
    <w:rsid w:val="008C4D31"/>
    <w:rsid w:val="008C4D52"/>
    <w:rsid w:val="008C4E2E"/>
    <w:rsid w:val="008C4E6E"/>
    <w:rsid w:val="008C4EA9"/>
    <w:rsid w:val="008C506D"/>
    <w:rsid w:val="008C5177"/>
    <w:rsid w:val="008C5185"/>
    <w:rsid w:val="008C5352"/>
    <w:rsid w:val="008C5377"/>
    <w:rsid w:val="008C53BE"/>
    <w:rsid w:val="008C549A"/>
    <w:rsid w:val="008C5545"/>
    <w:rsid w:val="008C56F6"/>
    <w:rsid w:val="008C5776"/>
    <w:rsid w:val="008C57F1"/>
    <w:rsid w:val="008C5862"/>
    <w:rsid w:val="008C588B"/>
    <w:rsid w:val="008C5A12"/>
    <w:rsid w:val="008C5A31"/>
    <w:rsid w:val="008C5A67"/>
    <w:rsid w:val="008C5B78"/>
    <w:rsid w:val="008C5C9C"/>
    <w:rsid w:val="008C5C9E"/>
    <w:rsid w:val="008C5D22"/>
    <w:rsid w:val="008C5D7F"/>
    <w:rsid w:val="008C5F9D"/>
    <w:rsid w:val="008C5FD5"/>
    <w:rsid w:val="008C5FF8"/>
    <w:rsid w:val="008C6009"/>
    <w:rsid w:val="008C6022"/>
    <w:rsid w:val="008C60C2"/>
    <w:rsid w:val="008C60D6"/>
    <w:rsid w:val="008C60DA"/>
    <w:rsid w:val="008C6146"/>
    <w:rsid w:val="008C6166"/>
    <w:rsid w:val="008C6273"/>
    <w:rsid w:val="008C6299"/>
    <w:rsid w:val="008C6371"/>
    <w:rsid w:val="008C6410"/>
    <w:rsid w:val="008C6454"/>
    <w:rsid w:val="008C66C3"/>
    <w:rsid w:val="008C672C"/>
    <w:rsid w:val="008C6805"/>
    <w:rsid w:val="008C6829"/>
    <w:rsid w:val="008C6850"/>
    <w:rsid w:val="008C6A30"/>
    <w:rsid w:val="008C6A78"/>
    <w:rsid w:val="008C6A90"/>
    <w:rsid w:val="008C6BB9"/>
    <w:rsid w:val="008C6D27"/>
    <w:rsid w:val="008C6D49"/>
    <w:rsid w:val="008C6D73"/>
    <w:rsid w:val="008C6DE7"/>
    <w:rsid w:val="008C6DFB"/>
    <w:rsid w:val="008C6DFE"/>
    <w:rsid w:val="008C6E15"/>
    <w:rsid w:val="008C6F1A"/>
    <w:rsid w:val="008C706B"/>
    <w:rsid w:val="008C70D1"/>
    <w:rsid w:val="008C7139"/>
    <w:rsid w:val="008C72F8"/>
    <w:rsid w:val="008C730C"/>
    <w:rsid w:val="008C738E"/>
    <w:rsid w:val="008C7436"/>
    <w:rsid w:val="008C74AB"/>
    <w:rsid w:val="008C751E"/>
    <w:rsid w:val="008C757C"/>
    <w:rsid w:val="008C75BD"/>
    <w:rsid w:val="008C770A"/>
    <w:rsid w:val="008C7733"/>
    <w:rsid w:val="008C77A3"/>
    <w:rsid w:val="008C7810"/>
    <w:rsid w:val="008C783C"/>
    <w:rsid w:val="008C788A"/>
    <w:rsid w:val="008C78B1"/>
    <w:rsid w:val="008C795C"/>
    <w:rsid w:val="008C7977"/>
    <w:rsid w:val="008C79DE"/>
    <w:rsid w:val="008C7A85"/>
    <w:rsid w:val="008C7ACC"/>
    <w:rsid w:val="008C7AD0"/>
    <w:rsid w:val="008C7E3C"/>
    <w:rsid w:val="008C7FC3"/>
    <w:rsid w:val="008C7FDE"/>
    <w:rsid w:val="008D0117"/>
    <w:rsid w:val="008D01D7"/>
    <w:rsid w:val="008D02A8"/>
    <w:rsid w:val="008D0398"/>
    <w:rsid w:val="008D03F4"/>
    <w:rsid w:val="008D046E"/>
    <w:rsid w:val="008D04F0"/>
    <w:rsid w:val="008D0515"/>
    <w:rsid w:val="008D05E9"/>
    <w:rsid w:val="008D072F"/>
    <w:rsid w:val="008D086D"/>
    <w:rsid w:val="008D0876"/>
    <w:rsid w:val="008D08FE"/>
    <w:rsid w:val="008D09B1"/>
    <w:rsid w:val="008D0A2A"/>
    <w:rsid w:val="008D0B96"/>
    <w:rsid w:val="008D0B9C"/>
    <w:rsid w:val="008D0BFE"/>
    <w:rsid w:val="008D0CC2"/>
    <w:rsid w:val="008D0D39"/>
    <w:rsid w:val="008D0D40"/>
    <w:rsid w:val="008D0D7B"/>
    <w:rsid w:val="008D0EBB"/>
    <w:rsid w:val="008D0F9A"/>
    <w:rsid w:val="008D0FB2"/>
    <w:rsid w:val="008D1014"/>
    <w:rsid w:val="008D109C"/>
    <w:rsid w:val="008D11AF"/>
    <w:rsid w:val="008D127F"/>
    <w:rsid w:val="008D12BD"/>
    <w:rsid w:val="008D12E4"/>
    <w:rsid w:val="008D145E"/>
    <w:rsid w:val="008D1462"/>
    <w:rsid w:val="008D14DD"/>
    <w:rsid w:val="008D16A0"/>
    <w:rsid w:val="008D17A4"/>
    <w:rsid w:val="008D1A2A"/>
    <w:rsid w:val="008D1A2D"/>
    <w:rsid w:val="008D1A56"/>
    <w:rsid w:val="008D1A96"/>
    <w:rsid w:val="008D1D5C"/>
    <w:rsid w:val="008D1D96"/>
    <w:rsid w:val="008D1DFE"/>
    <w:rsid w:val="008D1E0A"/>
    <w:rsid w:val="008D204F"/>
    <w:rsid w:val="008D20D2"/>
    <w:rsid w:val="008D20D8"/>
    <w:rsid w:val="008D215B"/>
    <w:rsid w:val="008D219D"/>
    <w:rsid w:val="008D21B7"/>
    <w:rsid w:val="008D21BE"/>
    <w:rsid w:val="008D227E"/>
    <w:rsid w:val="008D23E9"/>
    <w:rsid w:val="008D243A"/>
    <w:rsid w:val="008D24A8"/>
    <w:rsid w:val="008D2536"/>
    <w:rsid w:val="008D254C"/>
    <w:rsid w:val="008D25EF"/>
    <w:rsid w:val="008D26D2"/>
    <w:rsid w:val="008D2783"/>
    <w:rsid w:val="008D286B"/>
    <w:rsid w:val="008D29BA"/>
    <w:rsid w:val="008D29D8"/>
    <w:rsid w:val="008D2A05"/>
    <w:rsid w:val="008D2B5D"/>
    <w:rsid w:val="008D2C60"/>
    <w:rsid w:val="008D2C81"/>
    <w:rsid w:val="008D2D71"/>
    <w:rsid w:val="008D2D8C"/>
    <w:rsid w:val="008D2F82"/>
    <w:rsid w:val="008D2FBE"/>
    <w:rsid w:val="008D3010"/>
    <w:rsid w:val="008D301C"/>
    <w:rsid w:val="008D30DE"/>
    <w:rsid w:val="008D337B"/>
    <w:rsid w:val="008D3431"/>
    <w:rsid w:val="008D3449"/>
    <w:rsid w:val="008D34CB"/>
    <w:rsid w:val="008D3548"/>
    <w:rsid w:val="008D35F1"/>
    <w:rsid w:val="008D35FE"/>
    <w:rsid w:val="008D36DA"/>
    <w:rsid w:val="008D3864"/>
    <w:rsid w:val="008D393F"/>
    <w:rsid w:val="008D39CB"/>
    <w:rsid w:val="008D3DAD"/>
    <w:rsid w:val="008D3F08"/>
    <w:rsid w:val="008D3F63"/>
    <w:rsid w:val="008D4160"/>
    <w:rsid w:val="008D419A"/>
    <w:rsid w:val="008D41B4"/>
    <w:rsid w:val="008D4219"/>
    <w:rsid w:val="008D4256"/>
    <w:rsid w:val="008D435F"/>
    <w:rsid w:val="008D436E"/>
    <w:rsid w:val="008D4409"/>
    <w:rsid w:val="008D4458"/>
    <w:rsid w:val="008D447F"/>
    <w:rsid w:val="008D45A3"/>
    <w:rsid w:val="008D460A"/>
    <w:rsid w:val="008D46BF"/>
    <w:rsid w:val="008D47B6"/>
    <w:rsid w:val="008D47E0"/>
    <w:rsid w:val="008D4867"/>
    <w:rsid w:val="008D4918"/>
    <w:rsid w:val="008D496C"/>
    <w:rsid w:val="008D49D1"/>
    <w:rsid w:val="008D4ADA"/>
    <w:rsid w:val="008D4B01"/>
    <w:rsid w:val="008D4BA7"/>
    <w:rsid w:val="008D4CD1"/>
    <w:rsid w:val="008D4D82"/>
    <w:rsid w:val="008D4E9C"/>
    <w:rsid w:val="008D500E"/>
    <w:rsid w:val="008D503E"/>
    <w:rsid w:val="008D5042"/>
    <w:rsid w:val="008D5157"/>
    <w:rsid w:val="008D5198"/>
    <w:rsid w:val="008D51A6"/>
    <w:rsid w:val="008D5284"/>
    <w:rsid w:val="008D53E1"/>
    <w:rsid w:val="008D5545"/>
    <w:rsid w:val="008D560D"/>
    <w:rsid w:val="008D5616"/>
    <w:rsid w:val="008D56D6"/>
    <w:rsid w:val="008D5730"/>
    <w:rsid w:val="008D57AD"/>
    <w:rsid w:val="008D57BD"/>
    <w:rsid w:val="008D57EA"/>
    <w:rsid w:val="008D580A"/>
    <w:rsid w:val="008D5826"/>
    <w:rsid w:val="008D595F"/>
    <w:rsid w:val="008D5BBC"/>
    <w:rsid w:val="008D5CAE"/>
    <w:rsid w:val="008D5DB7"/>
    <w:rsid w:val="008D5ED9"/>
    <w:rsid w:val="008D606C"/>
    <w:rsid w:val="008D6074"/>
    <w:rsid w:val="008D60ED"/>
    <w:rsid w:val="008D616F"/>
    <w:rsid w:val="008D6173"/>
    <w:rsid w:val="008D62C5"/>
    <w:rsid w:val="008D6334"/>
    <w:rsid w:val="008D6343"/>
    <w:rsid w:val="008D6356"/>
    <w:rsid w:val="008D6370"/>
    <w:rsid w:val="008D64D7"/>
    <w:rsid w:val="008D6511"/>
    <w:rsid w:val="008D652E"/>
    <w:rsid w:val="008D665F"/>
    <w:rsid w:val="008D6755"/>
    <w:rsid w:val="008D6776"/>
    <w:rsid w:val="008D67BE"/>
    <w:rsid w:val="008D67E2"/>
    <w:rsid w:val="008D6810"/>
    <w:rsid w:val="008D6888"/>
    <w:rsid w:val="008D68E0"/>
    <w:rsid w:val="008D6919"/>
    <w:rsid w:val="008D69AD"/>
    <w:rsid w:val="008D69C5"/>
    <w:rsid w:val="008D6A60"/>
    <w:rsid w:val="008D6A8B"/>
    <w:rsid w:val="008D6ABE"/>
    <w:rsid w:val="008D6BD6"/>
    <w:rsid w:val="008D6D34"/>
    <w:rsid w:val="008D6DA8"/>
    <w:rsid w:val="008D6DB3"/>
    <w:rsid w:val="008D6DE9"/>
    <w:rsid w:val="008D6EA8"/>
    <w:rsid w:val="008D6EF4"/>
    <w:rsid w:val="008D6FBE"/>
    <w:rsid w:val="008D7119"/>
    <w:rsid w:val="008D7173"/>
    <w:rsid w:val="008D7197"/>
    <w:rsid w:val="008D719F"/>
    <w:rsid w:val="008D7287"/>
    <w:rsid w:val="008D7293"/>
    <w:rsid w:val="008D731D"/>
    <w:rsid w:val="008D74F2"/>
    <w:rsid w:val="008D76CA"/>
    <w:rsid w:val="008D76F1"/>
    <w:rsid w:val="008D7797"/>
    <w:rsid w:val="008D782C"/>
    <w:rsid w:val="008D7999"/>
    <w:rsid w:val="008D7A52"/>
    <w:rsid w:val="008D7AAA"/>
    <w:rsid w:val="008D7B76"/>
    <w:rsid w:val="008D7C9A"/>
    <w:rsid w:val="008D7EE6"/>
    <w:rsid w:val="008D7FC7"/>
    <w:rsid w:val="008E0030"/>
    <w:rsid w:val="008E009E"/>
    <w:rsid w:val="008E0113"/>
    <w:rsid w:val="008E02DC"/>
    <w:rsid w:val="008E02FA"/>
    <w:rsid w:val="008E038F"/>
    <w:rsid w:val="008E0459"/>
    <w:rsid w:val="008E04BB"/>
    <w:rsid w:val="008E04CF"/>
    <w:rsid w:val="008E05B1"/>
    <w:rsid w:val="008E060F"/>
    <w:rsid w:val="008E076D"/>
    <w:rsid w:val="008E0A41"/>
    <w:rsid w:val="008E0A6C"/>
    <w:rsid w:val="008E0A72"/>
    <w:rsid w:val="008E0A7C"/>
    <w:rsid w:val="008E0B83"/>
    <w:rsid w:val="008E0C35"/>
    <w:rsid w:val="008E0D88"/>
    <w:rsid w:val="008E0DED"/>
    <w:rsid w:val="008E0E29"/>
    <w:rsid w:val="008E0E73"/>
    <w:rsid w:val="008E0ECE"/>
    <w:rsid w:val="008E0EE0"/>
    <w:rsid w:val="008E0FD8"/>
    <w:rsid w:val="008E105E"/>
    <w:rsid w:val="008E10A6"/>
    <w:rsid w:val="008E10E4"/>
    <w:rsid w:val="008E1138"/>
    <w:rsid w:val="008E1149"/>
    <w:rsid w:val="008E133E"/>
    <w:rsid w:val="008E13F5"/>
    <w:rsid w:val="008E148D"/>
    <w:rsid w:val="008E14F7"/>
    <w:rsid w:val="008E15A3"/>
    <w:rsid w:val="008E1612"/>
    <w:rsid w:val="008E1624"/>
    <w:rsid w:val="008E163E"/>
    <w:rsid w:val="008E16CC"/>
    <w:rsid w:val="008E17B8"/>
    <w:rsid w:val="008E183B"/>
    <w:rsid w:val="008E189D"/>
    <w:rsid w:val="008E18BE"/>
    <w:rsid w:val="008E19B7"/>
    <w:rsid w:val="008E19F6"/>
    <w:rsid w:val="008E1B68"/>
    <w:rsid w:val="008E1BC3"/>
    <w:rsid w:val="008E1D1D"/>
    <w:rsid w:val="008E1DBE"/>
    <w:rsid w:val="008E1E0F"/>
    <w:rsid w:val="008E2241"/>
    <w:rsid w:val="008E224D"/>
    <w:rsid w:val="008E22C0"/>
    <w:rsid w:val="008E22FE"/>
    <w:rsid w:val="008E230F"/>
    <w:rsid w:val="008E2353"/>
    <w:rsid w:val="008E23C2"/>
    <w:rsid w:val="008E2595"/>
    <w:rsid w:val="008E25B4"/>
    <w:rsid w:val="008E263C"/>
    <w:rsid w:val="008E26B2"/>
    <w:rsid w:val="008E26F0"/>
    <w:rsid w:val="008E27D4"/>
    <w:rsid w:val="008E282B"/>
    <w:rsid w:val="008E2901"/>
    <w:rsid w:val="008E292B"/>
    <w:rsid w:val="008E2986"/>
    <w:rsid w:val="008E2A35"/>
    <w:rsid w:val="008E2AE7"/>
    <w:rsid w:val="008E2C7A"/>
    <w:rsid w:val="008E2C8C"/>
    <w:rsid w:val="008E2D06"/>
    <w:rsid w:val="008E2D0C"/>
    <w:rsid w:val="008E2E50"/>
    <w:rsid w:val="008E30DB"/>
    <w:rsid w:val="008E31AA"/>
    <w:rsid w:val="008E3216"/>
    <w:rsid w:val="008E32C4"/>
    <w:rsid w:val="008E335F"/>
    <w:rsid w:val="008E358C"/>
    <w:rsid w:val="008E3618"/>
    <w:rsid w:val="008E36A5"/>
    <w:rsid w:val="008E36D6"/>
    <w:rsid w:val="008E37C8"/>
    <w:rsid w:val="008E394B"/>
    <w:rsid w:val="008E395D"/>
    <w:rsid w:val="008E397B"/>
    <w:rsid w:val="008E39FF"/>
    <w:rsid w:val="008E3AEF"/>
    <w:rsid w:val="008E3B42"/>
    <w:rsid w:val="008E3BC8"/>
    <w:rsid w:val="008E3C6D"/>
    <w:rsid w:val="008E3CA7"/>
    <w:rsid w:val="008E3CF7"/>
    <w:rsid w:val="008E3DAE"/>
    <w:rsid w:val="008E3DD4"/>
    <w:rsid w:val="008E3DE7"/>
    <w:rsid w:val="008E4190"/>
    <w:rsid w:val="008E41A1"/>
    <w:rsid w:val="008E41A6"/>
    <w:rsid w:val="008E4241"/>
    <w:rsid w:val="008E42D8"/>
    <w:rsid w:val="008E43CE"/>
    <w:rsid w:val="008E4412"/>
    <w:rsid w:val="008E46D9"/>
    <w:rsid w:val="008E4733"/>
    <w:rsid w:val="008E4789"/>
    <w:rsid w:val="008E47C5"/>
    <w:rsid w:val="008E47CB"/>
    <w:rsid w:val="008E49DD"/>
    <w:rsid w:val="008E49F5"/>
    <w:rsid w:val="008E4B0C"/>
    <w:rsid w:val="008E4B4D"/>
    <w:rsid w:val="008E4C0A"/>
    <w:rsid w:val="008E4C3C"/>
    <w:rsid w:val="008E4C50"/>
    <w:rsid w:val="008E4C9C"/>
    <w:rsid w:val="008E4CA3"/>
    <w:rsid w:val="008E4D58"/>
    <w:rsid w:val="008E4D8A"/>
    <w:rsid w:val="008E4F55"/>
    <w:rsid w:val="008E4FCB"/>
    <w:rsid w:val="008E50D7"/>
    <w:rsid w:val="008E51E8"/>
    <w:rsid w:val="008E5236"/>
    <w:rsid w:val="008E529D"/>
    <w:rsid w:val="008E52DE"/>
    <w:rsid w:val="008E5381"/>
    <w:rsid w:val="008E53D5"/>
    <w:rsid w:val="008E5464"/>
    <w:rsid w:val="008E5468"/>
    <w:rsid w:val="008E549E"/>
    <w:rsid w:val="008E5567"/>
    <w:rsid w:val="008E55AC"/>
    <w:rsid w:val="008E579E"/>
    <w:rsid w:val="008E57F5"/>
    <w:rsid w:val="008E58BE"/>
    <w:rsid w:val="008E5920"/>
    <w:rsid w:val="008E598B"/>
    <w:rsid w:val="008E59A6"/>
    <w:rsid w:val="008E59C6"/>
    <w:rsid w:val="008E5A5D"/>
    <w:rsid w:val="008E5A97"/>
    <w:rsid w:val="008E5A9C"/>
    <w:rsid w:val="008E5B9E"/>
    <w:rsid w:val="008E5CD9"/>
    <w:rsid w:val="008E5CDF"/>
    <w:rsid w:val="008E5CE0"/>
    <w:rsid w:val="008E5D10"/>
    <w:rsid w:val="008E5D1B"/>
    <w:rsid w:val="008E5EE6"/>
    <w:rsid w:val="008E5F5C"/>
    <w:rsid w:val="008E5FA1"/>
    <w:rsid w:val="008E5FFC"/>
    <w:rsid w:val="008E60A1"/>
    <w:rsid w:val="008E610D"/>
    <w:rsid w:val="008E617D"/>
    <w:rsid w:val="008E620A"/>
    <w:rsid w:val="008E62A3"/>
    <w:rsid w:val="008E63E0"/>
    <w:rsid w:val="008E655E"/>
    <w:rsid w:val="008E6733"/>
    <w:rsid w:val="008E67F1"/>
    <w:rsid w:val="008E680C"/>
    <w:rsid w:val="008E6869"/>
    <w:rsid w:val="008E68D7"/>
    <w:rsid w:val="008E69CC"/>
    <w:rsid w:val="008E6A64"/>
    <w:rsid w:val="008E6B3F"/>
    <w:rsid w:val="008E6C69"/>
    <w:rsid w:val="008E6D3E"/>
    <w:rsid w:val="008E6D9B"/>
    <w:rsid w:val="008E6DB3"/>
    <w:rsid w:val="008E6DC7"/>
    <w:rsid w:val="008E6E9F"/>
    <w:rsid w:val="008E6FD4"/>
    <w:rsid w:val="008E70A1"/>
    <w:rsid w:val="008E70D2"/>
    <w:rsid w:val="008E7204"/>
    <w:rsid w:val="008E724B"/>
    <w:rsid w:val="008E72E5"/>
    <w:rsid w:val="008E7507"/>
    <w:rsid w:val="008E75E7"/>
    <w:rsid w:val="008E76C7"/>
    <w:rsid w:val="008E77B8"/>
    <w:rsid w:val="008E781E"/>
    <w:rsid w:val="008E7A97"/>
    <w:rsid w:val="008E7BD4"/>
    <w:rsid w:val="008E7C54"/>
    <w:rsid w:val="008E7CAA"/>
    <w:rsid w:val="008E7DD4"/>
    <w:rsid w:val="008E7EBA"/>
    <w:rsid w:val="008E7F51"/>
    <w:rsid w:val="008E7F96"/>
    <w:rsid w:val="008E7FFD"/>
    <w:rsid w:val="008F0146"/>
    <w:rsid w:val="008F01A2"/>
    <w:rsid w:val="008F01A7"/>
    <w:rsid w:val="008F01B3"/>
    <w:rsid w:val="008F0287"/>
    <w:rsid w:val="008F02D1"/>
    <w:rsid w:val="008F0308"/>
    <w:rsid w:val="008F0350"/>
    <w:rsid w:val="008F03D9"/>
    <w:rsid w:val="008F048D"/>
    <w:rsid w:val="008F04FD"/>
    <w:rsid w:val="008F0586"/>
    <w:rsid w:val="008F05D0"/>
    <w:rsid w:val="008F0692"/>
    <w:rsid w:val="008F06A7"/>
    <w:rsid w:val="008F070C"/>
    <w:rsid w:val="008F0743"/>
    <w:rsid w:val="008F07F8"/>
    <w:rsid w:val="008F096F"/>
    <w:rsid w:val="008F0995"/>
    <w:rsid w:val="008F0A09"/>
    <w:rsid w:val="008F0ABF"/>
    <w:rsid w:val="008F0BE0"/>
    <w:rsid w:val="008F0CAF"/>
    <w:rsid w:val="008F0CFF"/>
    <w:rsid w:val="008F0D49"/>
    <w:rsid w:val="008F0E37"/>
    <w:rsid w:val="008F0F39"/>
    <w:rsid w:val="008F0FB6"/>
    <w:rsid w:val="008F1034"/>
    <w:rsid w:val="008F106E"/>
    <w:rsid w:val="008F1125"/>
    <w:rsid w:val="008F1178"/>
    <w:rsid w:val="008F11D9"/>
    <w:rsid w:val="008F1223"/>
    <w:rsid w:val="008F127B"/>
    <w:rsid w:val="008F136C"/>
    <w:rsid w:val="008F14CC"/>
    <w:rsid w:val="008F1511"/>
    <w:rsid w:val="008F151F"/>
    <w:rsid w:val="008F1550"/>
    <w:rsid w:val="008F15B6"/>
    <w:rsid w:val="008F164F"/>
    <w:rsid w:val="008F184C"/>
    <w:rsid w:val="008F194B"/>
    <w:rsid w:val="008F198D"/>
    <w:rsid w:val="008F19B6"/>
    <w:rsid w:val="008F1A0C"/>
    <w:rsid w:val="008F1AD2"/>
    <w:rsid w:val="008F1C41"/>
    <w:rsid w:val="008F1C98"/>
    <w:rsid w:val="008F1CEB"/>
    <w:rsid w:val="008F1D3F"/>
    <w:rsid w:val="008F1DEA"/>
    <w:rsid w:val="008F1DEB"/>
    <w:rsid w:val="008F1DF1"/>
    <w:rsid w:val="008F1E15"/>
    <w:rsid w:val="008F1E51"/>
    <w:rsid w:val="008F1E97"/>
    <w:rsid w:val="008F1F2A"/>
    <w:rsid w:val="008F1F49"/>
    <w:rsid w:val="008F2123"/>
    <w:rsid w:val="008F214A"/>
    <w:rsid w:val="008F21D0"/>
    <w:rsid w:val="008F22AA"/>
    <w:rsid w:val="008F22DE"/>
    <w:rsid w:val="008F2450"/>
    <w:rsid w:val="008F24B8"/>
    <w:rsid w:val="008F251B"/>
    <w:rsid w:val="008F252F"/>
    <w:rsid w:val="008F2668"/>
    <w:rsid w:val="008F2690"/>
    <w:rsid w:val="008F279B"/>
    <w:rsid w:val="008F2915"/>
    <w:rsid w:val="008F29C7"/>
    <w:rsid w:val="008F2A5A"/>
    <w:rsid w:val="008F2B2E"/>
    <w:rsid w:val="008F2B98"/>
    <w:rsid w:val="008F2CD4"/>
    <w:rsid w:val="008F2CE0"/>
    <w:rsid w:val="008F2D22"/>
    <w:rsid w:val="008F2EBE"/>
    <w:rsid w:val="008F2F92"/>
    <w:rsid w:val="008F2FA9"/>
    <w:rsid w:val="008F2FC9"/>
    <w:rsid w:val="008F3071"/>
    <w:rsid w:val="008F3086"/>
    <w:rsid w:val="008F317F"/>
    <w:rsid w:val="008F3199"/>
    <w:rsid w:val="008F3261"/>
    <w:rsid w:val="008F32E9"/>
    <w:rsid w:val="008F34B4"/>
    <w:rsid w:val="008F3561"/>
    <w:rsid w:val="008F35B9"/>
    <w:rsid w:val="008F362B"/>
    <w:rsid w:val="008F3763"/>
    <w:rsid w:val="008F387A"/>
    <w:rsid w:val="008F38DC"/>
    <w:rsid w:val="008F39DC"/>
    <w:rsid w:val="008F39DD"/>
    <w:rsid w:val="008F3A02"/>
    <w:rsid w:val="008F3A76"/>
    <w:rsid w:val="008F3AEB"/>
    <w:rsid w:val="008F3B25"/>
    <w:rsid w:val="008F3B65"/>
    <w:rsid w:val="008F3BA7"/>
    <w:rsid w:val="008F3D34"/>
    <w:rsid w:val="008F3E0A"/>
    <w:rsid w:val="008F3E62"/>
    <w:rsid w:val="008F413B"/>
    <w:rsid w:val="008F418A"/>
    <w:rsid w:val="008F42F4"/>
    <w:rsid w:val="008F4304"/>
    <w:rsid w:val="008F446E"/>
    <w:rsid w:val="008F447E"/>
    <w:rsid w:val="008F4482"/>
    <w:rsid w:val="008F465D"/>
    <w:rsid w:val="008F46B5"/>
    <w:rsid w:val="008F4733"/>
    <w:rsid w:val="008F4817"/>
    <w:rsid w:val="008F4833"/>
    <w:rsid w:val="008F483A"/>
    <w:rsid w:val="008F4903"/>
    <w:rsid w:val="008F49A5"/>
    <w:rsid w:val="008F4AA8"/>
    <w:rsid w:val="008F4CC3"/>
    <w:rsid w:val="008F4CFD"/>
    <w:rsid w:val="008F4D09"/>
    <w:rsid w:val="008F4D0E"/>
    <w:rsid w:val="008F4D36"/>
    <w:rsid w:val="008F4D79"/>
    <w:rsid w:val="008F4DD8"/>
    <w:rsid w:val="008F4E0E"/>
    <w:rsid w:val="008F4F2F"/>
    <w:rsid w:val="008F4F94"/>
    <w:rsid w:val="008F4FB2"/>
    <w:rsid w:val="008F500A"/>
    <w:rsid w:val="008F515B"/>
    <w:rsid w:val="008F522F"/>
    <w:rsid w:val="008F52C4"/>
    <w:rsid w:val="008F531D"/>
    <w:rsid w:val="008F5545"/>
    <w:rsid w:val="008F55B2"/>
    <w:rsid w:val="008F56A0"/>
    <w:rsid w:val="008F578C"/>
    <w:rsid w:val="008F5793"/>
    <w:rsid w:val="008F5897"/>
    <w:rsid w:val="008F58E4"/>
    <w:rsid w:val="008F5923"/>
    <w:rsid w:val="008F59CA"/>
    <w:rsid w:val="008F5A28"/>
    <w:rsid w:val="008F5AC3"/>
    <w:rsid w:val="008F5B1A"/>
    <w:rsid w:val="008F5B65"/>
    <w:rsid w:val="008F5C01"/>
    <w:rsid w:val="008F5C20"/>
    <w:rsid w:val="008F5D13"/>
    <w:rsid w:val="008F5D37"/>
    <w:rsid w:val="008F5E24"/>
    <w:rsid w:val="008F5E57"/>
    <w:rsid w:val="008F5F1C"/>
    <w:rsid w:val="008F6138"/>
    <w:rsid w:val="008F6170"/>
    <w:rsid w:val="008F61D9"/>
    <w:rsid w:val="008F62CB"/>
    <w:rsid w:val="008F63B7"/>
    <w:rsid w:val="008F63FA"/>
    <w:rsid w:val="008F645C"/>
    <w:rsid w:val="008F64A0"/>
    <w:rsid w:val="008F657A"/>
    <w:rsid w:val="008F672C"/>
    <w:rsid w:val="008F6764"/>
    <w:rsid w:val="008F69CE"/>
    <w:rsid w:val="008F6AFF"/>
    <w:rsid w:val="008F6B08"/>
    <w:rsid w:val="008F6B54"/>
    <w:rsid w:val="008F6BC6"/>
    <w:rsid w:val="008F6C32"/>
    <w:rsid w:val="008F6C62"/>
    <w:rsid w:val="008F6ED6"/>
    <w:rsid w:val="008F70AC"/>
    <w:rsid w:val="008F70BE"/>
    <w:rsid w:val="008F70CC"/>
    <w:rsid w:val="008F712B"/>
    <w:rsid w:val="008F716D"/>
    <w:rsid w:val="008F717B"/>
    <w:rsid w:val="008F7267"/>
    <w:rsid w:val="008F7280"/>
    <w:rsid w:val="008F7332"/>
    <w:rsid w:val="008F73AA"/>
    <w:rsid w:val="008F73EC"/>
    <w:rsid w:val="008F740B"/>
    <w:rsid w:val="008F7420"/>
    <w:rsid w:val="008F7453"/>
    <w:rsid w:val="008F74FC"/>
    <w:rsid w:val="008F7602"/>
    <w:rsid w:val="008F760F"/>
    <w:rsid w:val="008F77C7"/>
    <w:rsid w:val="008F77D0"/>
    <w:rsid w:val="008F77D3"/>
    <w:rsid w:val="008F7AF1"/>
    <w:rsid w:val="008F7B0E"/>
    <w:rsid w:val="008F7C05"/>
    <w:rsid w:val="008F7C10"/>
    <w:rsid w:val="008F7C8E"/>
    <w:rsid w:val="008F7CC6"/>
    <w:rsid w:val="008F7D0D"/>
    <w:rsid w:val="008F7D54"/>
    <w:rsid w:val="008F7D77"/>
    <w:rsid w:val="008F7E83"/>
    <w:rsid w:val="008F7E86"/>
    <w:rsid w:val="0090008A"/>
    <w:rsid w:val="00900123"/>
    <w:rsid w:val="0090014A"/>
    <w:rsid w:val="0090037B"/>
    <w:rsid w:val="00900477"/>
    <w:rsid w:val="00900497"/>
    <w:rsid w:val="009004BF"/>
    <w:rsid w:val="009005E5"/>
    <w:rsid w:val="0090064F"/>
    <w:rsid w:val="00900661"/>
    <w:rsid w:val="00900768"/>
    <w:rsid w:val="00900A40"/>
    <w:rsid w:val="00900A73"/>
    <w:rsid w:val="00900B74"/>
    <w:rsid w:val="00900CA5"/>
    <w:rsid w:val="00900D65"/>
    <w:rsid w:val="00900E00"/>
    <w:rsid w:val="00900EAC"/>
    <w:rsid w:val="0090101C"/>
    <w:rsid w:val="0090104F"/>
    <w:rsid w:val="0090107F"/>
    <w:rsid w:val="009010F4"/>
    <w:rsid w:val="0090110C"/>
    <w:rsid w:val="00901112"/>
    <w:rsid w:val="00901134"/>
    <w:rsid w:val="00901188"/>
    <w:rsid w:val="009011B3"/>
    <w:rsid w:val="009011BD"/>
    <w:rsid w:val="00901256"/>
    <w:rsid w:val="009012B9"/>
    <w:rsid w:val="0090130F"/>
    <w:rsid w:val="0090151C"/>
    <w:rsid w:val="00901531"/>
    <w:rsid w:val="00901618"/>
    <w:rsid w:val="00901691"/>
    <w:rsid w:val="009016DC"/>
    <w:rsid w:val="009016DF"/>
    <w:rsid w:val="00901711"/>
    <w:rsid w:val="0090172C"/>
    <w:rsid w:val="009017D9"/>
    <w:rsid w:val="009018D6"/>
    <w:rsid w:val="0090199F"/>
    <w:rsid w:val="00901A4E"/>
    <w:rsid w:val="00901AF7"/>
    <w:rsid w:val="00901B0F"/>
    <w:rsid w:val="00901B37"/>
    <w:rsid w:val="00901B74"/>
    <w:rsid w:val="00901BDC"/>
    <w:rsid w:val="00901CB4"/>
    <w:rsid w:val="00901D77"/>
    <w:rsid w:val="00901EF3"/>
    <w:rsid w:val="00901EF5"/>
    <w:rsid w:val="00901F5D"/>
    <w:rsid w:val="0090201A"/>
    <w:rsid w:val="00902038"/>
    <w:rsid w:val="009021EA"/>
    <w:rsid w:val="0090223A"/>
    <w:rsid w:val="009023DA"/>
    <w:rsid w:val="00902492"/>
    <w:rsid w:val="0090298D"/>
    <w:rsid w:val="00902992"/>
    <w:rsid w:val="00902A7B"/>
    <w:rsid w:val="00902AAA"/>
    <w:rsid w:val="00902AB2"/>
    <w:rsid w:val="00902AD7"/>
    <w:rsid w:val="00902B84"/>
    <w:rsid w:val="00902C12"/>
    <w:rsid w:val="00902D35"/>
    <w:rsid w:val="00902DAF"/>
    <w:rsid w:val="00902E19"/>
    <w:rsid w:val="00902E36"/>
    <w:rsid w:val="00902F45"/>
    <w:rsid w:val="00902FC4"/>
    <w:rsid w:val="00903044"/>
    <w:rsid w:val="009030BC"/>
    <w:rsid w:val="00903100"/>
    <w:rsid w:val="0090310E"/>
    <w:rsid w:val="00903197"/>
    <w:rsid w:val="00903347"/>
    <w:rsid w:val="00903378"/>
    <w:rsid w:val="009035F5"/>
    <w:rsid w:val="0090372E"/>
    <w:rsid w:val="00903862"/>
    <w:rsid w:val="00903988"/>
    <w:rsid w:val="00903A73"/>
    <w:rsid w:val="00903AEE"/>
    <w:rsid w:val="00903B5F"/>
    <w:rsid w:val="00903BCF"/>
    <w:rsid w:val="00903C73"/>
    <w:rsid w:val="00903CAD"/>
    <w:rsid w:val="00903DFA"/>
    <w:rsid w:val="00903E10"/>
    <w:rsid w:val="00903FDC"/>
    <w:rsid w:val="009041CE"/>
    <w:rsid w:val="009041E0"/>
    <w:rsid w:val="009041EB"/>
    <w:rsid w:val="009042B5"/>
    <w:rsid w:val="00904486"/>
    <w:rsid w:val="00904566"/>
    <w:rsid w:val="009046F7"/>
    <w:rsid w:val="0090474F"/>
    <w:rsid w:val="00904779"/>
    <w:rsid w:val="009047D6"/>
    <w:rsid w:val="00904811"/>
    <w:rsid w:val="0090481B"/>
    <w:rsid w:val="0090481C"/>
    <w:rsid w:val="00904992"/>
    <w:rsid w:val="00904A2A"/>
    <w:rsid w:val="00904A72"/>
    <w:rsid w:val="00904AD9"/>
    <w:rsid w:val="00904B3C"/>
    <w:rsid w:val="00904B7A"/>
    <w:rsid w:val="00904B9D"/>
    <w:rsid w:val="00904BA1"/>
    <w:rsid w:val="00904BAF"/>
    <w:rsid w:val="00904BCD"/>
    <w:rsid w:val="00904C02"/>
    <w:rsid w:val="00904C52"/>
    <w:rsid w:val="00904C9C"/>
    <w:rsid w:val="00904CCC"/>
    <w:rsid w:val="00904CFB"/>
    <w:rsid w:val="00904D73"/>
    <w:rsid w:val="00904D74"/>
    <w:rsid w:val="00904D81"/>
    <w:rsid w:val="00904E39"/>
    <w:rsid w:val="00904EE4"/>
    <w:rsid w:val="00904FCB"/>
    <w:rsid w:val="00905067"/>
    <w:rsid w:val="009050BB"/>
    <w:rsid w:val="009052FA"/>
    <w:rsid w:val="00905333"/>
    <w:rsid w:val="0090533D"/>
    <w:rsid w:val="00905361"/>
    <w:rsid w:val="009053CA"/>
    <w:rsid w:val="0090542A"/>
    <w:rsid w:val="0090546C"/>
    <w:rsid w:val="00905727"/>
    <w:rsid w:val="00905803"/>
    <w:rsid w:val="00905972"/>
    <w:rsid w:val="00905A3D"/>
    <w:rsid w:val="00905A4D"/>
    <w:rsid w:val="00905B68"/>
    <w:rsid w:val="00905BC7"/>
    <w:rsid w:val="00905BF6"/>
    <w:rsid w:val="00905D7E"/>
    <w:rsid w:val="00905D82"/>
    <w:rsid w:val="00905ED6"/>
    <w:rsid w:val="00905F1B"/>
    <w:rsid w:val="00906002"/>
    <w:rsid w:val="0090600B"/>
    <w:rsid w:val="00906284"/>
    <w:rsid w:val="009062FA"/>
    <w:rsid w:val="009063B7"/>
    <w:rsid w:val="009063FC"/>
    <w:rsid w:val="00906463"/>
    <w:rsid w:val="0090650D"/>
    <w:rsid w:val="0090678D"/>
    <w:rsid w:val="009067CD"/>
    <w:rsid w:val="00906855"/>
    <w:rsid w:val="00906893"/>
    <w:rsid w:val="0090695E"/>
    <w:rsid w:val="00906976"/>
    <w:rsid w:val="009069AC"/>
    <w:rsid w:val="009069F4"/>
    <w:rsid w:val="00906A66"/>
    <w:rsid w:val="00906AB8"/>
    <w:rsid w:val="00906ADA"/>
    <w:rsid w:val="00906B53"/>
    <w:rsid w:val="00906BA6"/>
    <w:rsid w:val="00906BC1"/>
    <w:rsid w:val="00906BF6"/>
    <w:rsid w:val="00906ED9"/>
    <w:rsid w:val="00906EF5"/>
    <w:rsid w:val="00906F26"/>
    <w:rsid w:val="00907115"/>
    <w:rsid w:val="0090736F"/>
    <w:rsid w:val="009074B1"/>
    <w:rsid w:val="009074B2"/>
    <w:rsid w:val="00907548"/>
    <w:rsid w:val="009076E0"/>
    <w:rsid w:val="009076E9"/>
    <w:rsid w:val="00907853"/>
    <w:rsid w:val="009079DE"/>
    <w:rsid w:val="00907A7C"/>
    <w:rsid w:val="00907B0A"/>
    <w:rsid w:val="00907BC0"/>
    <w:rsid w:val="00907BF3"/>
    <w:rsid w:val="00907BFF"/>
    <w:rsid w:val="00907D9C"/>
    <w:rsid w:val="00907DD9"/>
    <w:rsid w:val="0091006C"/>
    <w:rsid w:val="009100A4"/>
    <w:rsid w:val="009100B7"/>
    <w:rsid w:val="0091011E"/>
    <w:rsid w:val="0091021C"/>
    <w:rsid w:val="009102A2"/>
    <w:rsid w:val="00910534"/>
    <w:rsid w:val="0091069C"/>
    <w:rsid w:val="0091096C"/>
    <w:rsid w:val="009109AD"/>
    <w:rsid w:val="009109D1"/>
    <w:rsid w:val="009109F6"/>
    <w:rsid w:val="00910AAC"/>
    <w:rsid w:val="00910B01"/>
    <w:rsid w:val="00910C52"/>
    <w:rsid w:val="00910F3A"/>
    <w:rsid w:val="00910F3F"/>
    <w:rsid w:val="00911004"/>
    <w:rsid w:val="00911036"/>
    <w:rsid w:val="009111B9"/>
    <w:rsid w:val="0091123A"/>
    <w:rsid w:val="00911242"/>
    <w:rsid w:val="0091133D"/>
    <w:rsid w:val="00911390"/>
    <w:rsid w:val="0091141F"/>
    <w:rsid w:val="00911521"/>
    <w:rsid w:val="0091156F"/>
    <w:rsid w:val="0091171F"/>
    <w:rsid w:val="0091178C"/>
    <w:rsid w:val="00911999"/>
    <w:rsid w:val="009119EF"/>
    <w:rsid w:val="00911ACB"/>
    <w:rsid w:val="00911B7E"/>
    <w:rsid w:val="00911BD6"/>
    <w:rsid w:val="00911BD9"/>
    <w:rsid w:val="00911C5A"/>
    <w:rsid w:val="00911C92"/>
    <w:rsid w:val="00911CBC"/>
    <w:rsid w:val="00911DB3"/>
    <w:rsid w:val="00911EC2"/>
    <w:rsid w:val="00912378"/>
    <w:rsid w:val="009123E9"/>
    <w:rsid w:val="0091241B"/>
    <w:rsid w:val="0091248F"/>
    <w:rsid w:val="009124B2"/>
    <w:rsid w:val="009124B4"/>
    <w:rsid w:val="00912534"/>
    <w:rsid w:val="00912576"/>
    <w:rsid w:val="009125C3"/>
    <w:rsid w:val="00912628"/>
    <w:rsid w:val="00912738"/>
    <w:rsid w:val="00912766"/>
    <w:rsid w:val="0091282F"/>
    <w:rsid w:val="0091286E"/>
    <w:rsid w:val="00912873"/>
    <w:rsid w:val="00912969"/>
    <w:rsid w:val="009129D4"/>
    <w:rsid w:val="00912A82"/>
    <w:rsid w:val="00912AB9"/>
    <w:rsid w:val="00912B5C"/>
    <w:rsid w:val="00912C68"/>
    <w:rsid w:val="00912CDE"/>
    <w:rsid w:val="00912D48"/>
    <w:rsid w:val="00912DBF"/>
    <w:rsid w:val="00912EF3"/>
    <w:rsid w:val="00912F13"/>
    <w:rsid w:val="00912F33"/>
    <w:rsid w:val="0091309D"/>
    <w:rsid w:val="009130A3"/>
    <w:rsid w:val="009130C7"/>
    <w:rsid w:val="009130F0"/>
    <w:rsid w:val="00913162"/>
    <w:rsid w:val="00913168"/>
    <w:rsid w:val="009131FA"/>
    <w:rsid w:val="00913268"/>
    <w:rsid w:val="0091338E"/>
    <w:rsid w:val="009135CE"/>
    <w:rsid w:val="00913678"/>
    <w:rsid w:val="009136CD"/>
    <w:rsid w:val="009136FF"/>
    <w:rsid w:val="009138E2"/>
    <w:rsid w:val="00913A72"/>
    <w:rsid w:val="00913B0F"/>
    <w:rsid w:val="00913B6F"/>
    <w:rsid w:val="00913BD1"/>
    <w:rsid w:val="00913CC1"/>
    <w:rsid w:val="00913E7C"/>
    <w:rsid w:val="00913E8A"/>
    <w:rsid w:val="00913FD2"/>
    <w:rsid w:val="00914166"/>
    <w:rsid w:val="00914196"/>
    <w:rsid w:val="0091424C"/>
    <w:rsid w:val="00914276"/>
    <w:rsid w:val="009144EC"/>
    <w:rsid w:val="00914514"/>
    <w:rsid w:val="00914672"/>
    <w:rsid w:val="00914711"/>
    <w:rsid w:val="0091475C"/>
    <w:rsid w:val="009148F8"/>
    <w:rsid w:val="00914924"/>
    <w:rsid w:val="00914991"/>
    <w:rsid w:val="009149F0"/>
    <w:rsid w:val="00914A1A"/>
    <w:rsid w:val="00914B29"/>
    <w:rsid w:val="00914C20"/>
    <w:rsid w:val="00914E1E"/>
    <w:rsid w:val="00914E7F"/>
    <w:rsid w:val="00914EAC"/>
    <w:rsid w:val="00914EBE"/>
    <w:rsid w:val="00914F07"/>
    <w:rsid w:val="00915016"/>
    <w:rsid w:val="00915027"/>
    <w:rsid w:val="00915051"/>
    <w:rsid w:val="009150E7"/>
    <w:rsid w:val="0091520B"/>
    <w:rsid w:val="00915212"/>
    <w:rsid w:val="00915284"/>
    <w:rsid w:val="00915392"/>
    <w:rsid w:val="009153EF"/>
    <w:rsid w:val="009154EF"/>
    <w:rsid w:val="00915525"/>
    <w:rsid w:val="00915580"/>
    <w:rsid w:val="009156DE"/>
    <w:rsid w:val="00915733"/>
    <w:rsid w:val="009157D1"/>
    <w:rsid w:val="00915931"/>
    <w:rsid w:val="009159EB"/>
    <w:rsid w:val="00915BBA"/>
    <w:rsid w:val="00915BCA"/>
    <w:rsid w:val="00915D75"/>
    <w:rsid w:val="00915DC3"/>
    <w:rsid w:val="00915DFA"/>
    <w:rsid w:val="00915E22"/>
    <w:rsid w:val="00915E92"/>
    <w:rsid w:val="00915EDE"/>
    <w:rsid w:val="00915F01"/>
    <w:rsid w:val="00915F63"/>
    <w:rsid w:val="00915F83"/>
    <w:rsid w:val="00916054"/>
    <w:rsid w:val="009160B1"/>
    <w:rsid w:val="00916112"/>
    <w:rsid w:val="009161F5"/>
    <w:rsid w:val="0091629B"/>
    <w:rsid w:val="009162D8"/>
    <w:rsid w:val="009162F7"/>
    <w:rsid w:val="0091637F"/>
    <w:rsid w:val="0091643D"/>
    <w:rsid w:val="009164AF"/>
    <w:rsid w:val="0091662E"/>
    <w:rsid w:val="0091663F"/>
    <w:rsid w:val="009166D9"/>
    <w:rsid w:val="00916827"/>
    <w:rsid w:val="0091684E"/>
    <w:rsid w:val="0091690C"/>
    <w:rsid w:val="00916977"/>
    <w:rsid w:val="009169F4"/>
    <w:rsid w:val="00916AF0"/>
    <w:rsid w:val="00916B66"/>
    <w:rsid w:val="00916C55"/>
    <w:rsid w:val="00916CB4"/>
    <w:rsid w:val="00916ED3"/>
    <w:rsid w:val="00916FD7"/>
    <w:rsid w:val="00917052"/>
    <w:rsid w:val="0091705C"/>
    <w:rsid w:val="0091718C"/>
    <w:rsid w:val="0091718E"/>
    <w:rsid w:val="009171F0"/>
    <w:rsid w:val="009172A2"/>
    <w:rsid w:val="0091734E"/>
    <w:rsid w:val="009173BD"/>
    <w:rsid w:val="009173C4"/>
    <w:rsid w:val="009173CD"/>
    <w:rsid w:val="009173DB"/>
    <w:rsid w:val="00917417"/>
    <w:rsid w:val="009176A2"/>
    <w:rsid w:val="00917768"/>
    <w:rsid w:val="009177B7"/>
    <w:rsid w:val="009177CA"/>
    <w:rsid w:val="0091786B"/>
    <w:rsid w:val="00917887"/>
    <w:rsid w:val="0091792E"/>
    <w:rsid w:val="00917976"/>
    <w:rsid w:val="00917A53"/>
    <w:rsid w:val="00917AC5"/>
    <w:rsid w:val="00917B26"/>
    <w:rsid w:val="00917BFA"/>
    <w:rsid w:val="00917C07"/>
    <w:rsid w:val="00917C11"/>
    <w:rsid w:val="00917C1A"/>
    <w:rsid w:val="00917C4A"/>
    <w:rsid w:val="00917D6D"/>
    <w:rsid w:val="00917DC0"/>
    <w:rsid w:val="00917F57"/>
    <w:rsid w:val="00920089"/>
    <w:rsid w:val="00920124"/>
    <w:rsid w:val="00920128"/>
    <w:rsid w:val="00920189"/>
    <w:rsid w:val="009201B0"/>
    <w:rsid w:val="009201D8"/>
    <w:rsid w:val="00920209"/>
    <w:rsid w:val="00920219"/>
    <w:rsid w:val="00920281"/>
    <w:rsid w:val="00920319"/>
    <w:rsid w:val="00920347"/>
    <w:rsid w:val="0092038B"/>
    <w:rsid w:val="00920514"/>
    <w:rsid w:val="00920547"/>
    <w:rsid w:val="009207FA"/>
    <w:rsid w:val="00920C47"/>
    <w:rsid w:val="00920DF0"/>
    <w:rsid w:val="00920E27"/>
    <w:rsid w:val="009211AF"/>
    <w:rsid w:val="0092120E"/>
    <w:rsid w:val="00921244"/>
    <w:rsid w:val="00921255"/>
    <w:rsid w:val="0092126C"/>
    <w:rsid w:val="009212E6"/>
    <w:rsid w:val="00921352"/>
    <w:rsid w:val="0092138F"/>
    <w:rsid w:val="009213C6"/>
    <w:rsid w:val="0092160C"/>
    <w:rsid w:val="009216B3"/>
    <w:rsid w:val="00921731"/>
    <w:rsid w:val="0092177C"/>
    <w:rsid w:val="0092181A"/>
    <w:rsid w:val="0092184E"/>
    <w:rsid w:val="00921886"/>
    <w:rsid w:val="00921888"/>
    <w:rsid w:val="009219B4"/>
    <w:rsid w:val="00921A06"/>
    <w:rsid w:val="00921A71"/>
    <w:rsid w:val="00921AD1"/>
    <w:rsid w:val="00921C00"/>
    <w:rsid w:val="00921C38"/>
    <w:rsid w:val="00921D25"/>
    <w:rsid w:val="00921D55"/>
    <w:rsid w:val="00921FE3"/>
    <w:rsid w:val="00921FE8"/>
    <w:rsid w:val="0092203E"/>
    <w:rsid w:val="0092220D"/>
    <w:rsid w:val="00922260"/>
    <w:rsid w:val="00922302"/>
    <w:rsid w:val="00922340"/>
    <w:rsid w:val="00922349"/>
    <w:rsid w:val="0092247F"/>
    <w:rsid w:val="009226CD"/>
    <w:rsid w:val="00922762"/>
    <w:rsid w:val="009227AC"/>
    <w:rsid w:val="009227EF"/>
    <w:rsid w:val="00922866"/>
    <w:rsid w:val="00922953"/>
    <w:rsid w:val="00922A3A"/>
    <w:rsid w:val="00922C73"/>
    <w:rsid w:val="00922CD9"/>
    <w:rsid w:val="00922E74"/>
    <w:rsid w:val="00922EBD"/>
    <w:rsid w:val="00922ECB"/>
    <w:rsid w:val="00922F28"/>
    <w:rsid w:val="00922F39"/>
    <w:rsid w:val="0092301F"/>
    <w:rsid w:val="009230DE"/>
    <w:rsid w:val="00923115"/>
    <w:rsid w:val="00923292"/>
    <w:rsid w:val="00923397"/>
    <w:rsid w:val="009233A5"/>
    <w:rsid w:val="00923447"/>
    <w:rsid w:val="009234B6"/>
    <w:rsid w:val="009234DA"/>
    <w:rsid w:val="00923509"/>
    <w:rsid w:val="009235C9"/>
    <w:rsid w:val="00923649"/>
    <w:rsid w:val="00923840"/>
    <w:rsid w:val="009239E2"/>
    <w:rsid w:val="00923AB3"/>
    <w:rsid w:val="00923B16"/>
    <w:rsid w:val="00923DD5"/>
    <w:rsid w:val="00923E6A"/>
    <w:rsid w:val="00923F67"/>
    <w:rsid w:val="00924010"/>
    <w:rsid w:val="00924116"/>
    <w:rsid w:val="009241A6"/>
    <w:rsid w:val="009241C1"/>
    <w:rsid w:val="009241FC"/>
    <w:rsid w:val="009243B1"/>
    <w:rsid w:val="009243E8"/>
    <w:rsid w:val="0092441A"/>
    <w:rsid w:val="0092446F"/>
    <w:rsid w:val="009244A3"/>
    <w:rsid w:val="00924552"/>
    <w:rsid w:val="009247EC"/>
    <w:rsid w:val="0092480A"/>
    <w:rsid w:val="00924823"/>
    <w:rsid w:val="00924887"/>
    <w:rsid w:val="0092491C"/>
    <w:rsid w:val="00924A42"/>
    <w:rsid w:val="00924A69"/>
    <w:rsid w:val="00924B67"/>
    <w:rsid w:val="00924CCB"/>
    <w:rsid w:val="00924D45"/>
    <w:rsid w:val="00924DBA"/>
    <w:rsid w:val="00924DEF"/>
    <w:rsid w:val="00924E7A"/>
    <w:rsid w:val="00924F2F"/>
    <w:rsid w:val="00924F89"/>
    <w:rsid w:val="0092508C"/>
    <w:rsid w:val="00925103"/>
    <w:rsid w:val="00925162"/>
    <w:rsid w:val="0092521D"/>
    <w:rsid w:val="009254BD"/>
    <w:rsid w:val="00925590"/>
    <w:rsid w:val="009255A7"/>
    <w:rsid w:val="009255AE"/>
    <w:rsid w:val="009255E0"/>
    <w:rsid w:val="009256D9"/>
    <w:rsid w:val="00925708"/>
    <w:rsid w:val="00925769"/>
    <w:rsid w:val="009257BB"/>
    <w:rsid w:val="009258B6"/>
    <w:rsid w:val="009259B6"/>
    <w:rsid w:val="00925A95"/>
    <w:rsid w:val="00925AD5"/>
    <w:rsid w:val="00925ADF"/>
    <w:rsid w:val="00925B84"/>
    <w:rsid w:val="00925CDD"/>
    <w:rsid w:val="00925CE0"/>
    <w:rsid w:val="00925D3A"/>
    <w:rsid w:val="00925E65"/>
    <w:rsid w:val="00925E84"/>
    <w:rsid w:val="00925F11"/>
    <w:rsid w:val="00926049"/>
    <w:rsid w:val="009260C0"/>
    <w:rsid w:val="009261A8"/>
    <w:rsid w:val="009262AA"/>
    <w:rsid w:val="009262FC"/>
    <w:rsid w:val="00926367"/>
    <w:rsid w:val="009263FE"/>
    <w:rsid w:val="00926412"/>
    <w:rsid w:val="009264E3"/>
    <w:rsid w:val="00926550"/>
    <w:rsid w:val="00926559"/>
    <w:rsid w:val="009265B9"/>
    <w:rsid w:val="00926611"/>
    <w:rsid w:val="00926619"/>
    <w:rsid w:val="00926629"/>
    <w:rsid w:val="009267B7"/>
    <w:rsid w:val="0092685C"/>
    <w:rsid w:val="0092693C"/>
    <w:rsid w:val="00926995"/>
    <w:rsid w:val="009269CB"/>
    <w:rsid w:val="00926A6C"/>
    <w:rsid w:val="00926A89"/>
    <w:rsid w:val="00926B23"/>
    <w:rsid w:val="00926BF7"/>
    <w:rsid w:val="00926D0B"/>
    <w:rsid w:val="00926D44"/>
    <w:rsid w:val="00926DD7"/>
    <w:rsid w:val="00926DDE"/>
    <w:rsid w:val="00926E76"/>
    <w:rsid w:val="00926F03"/>
    <w:rsid w:val="00927095"/>
    <w:rsid w:val="009270DD"/>
    <w:rsid w:val="0092711C"/>
    <w:rsid w:val="00927125"/>
    <w:rsid w:val="0092712D"/>
    <w:rsid w:val="0092727E"/>
    <w:rsid w:val="009273D9"/>
    <w:rsid w:val="0092740A"/>
    <w:rsid w:val="00927498"/>
    <w:rsid w:val="0092764B"/>
    <w:rsid w:val="009276D2"/>
    <w:rsid w:val="009276E5"/>
    <w:rsid w:val="009277C3"/>
    <w:rsid w:val="00927843"/>
    <w:rsid w:val="009278A1"/>
    <w:rsid w:val="009279E6"/>
    <w:rsid w:val="00927C1B"/>
    <w:rsid w:val="00927C1D"/>
    <w:rsid w:val="00927C52"/>
    <w:rsid w:val="00927D0F"/>
    <w:rsid w:val="00927E45"/>
    <w:rsid w:val="00927E8C"/>
    <w:rsid w:val="00927EEB"/>
    <w:rsid w:val="00927F65"/>
    <w:rsid w:val="00927FFE"/>
    <w:rsid w:val="0093003E"/>
    <w:rsid w:val="00930079"/>
    <w:rsid w:val="009300D7"/>
    <w:rsid w:val="00930102"/>
    <w:rsid w:val="0093013A"/>
    <w:rsid w:val="00930255"/>
    <w:rsid w:val="00930346"/>
    <w:rsid w:val="009305AD"/>
    <w:rsid w:val="009305D9"/>
    <w:rsid w:val="009305E0"/>
    <w:rsid w:val="009307FD"/>
    <w:rsid w:val="00930806"/>
    <w:rsid w:val="00930856"/>
    <w:rsid w:val="00930861"/>
    <w:rsid w:val="009308AB"/>
    <w:rsid w:val="009309F9"/>
    <w:rsid w:val="00930B36"/>
    <w:rsid w:val="00930BCC"/>
    <w:rsid w:val="00930C3C"/>
    <w:rsid w:val="00930CA1"/>
    <w:rsid w:val="00930E01"/>
    <w:rsid w:val="00930E6E"/>
    <w:rsid w:val="00930F55"/>
    <w:rsid w:val="00930FC3"/>
    <w:rsid w:val="00931065"/>
    <w:rsid w:val="009310BA"/>
    <w:rsid w:val="009310E5"/>
    <w:rsid w:val="009310E7"/>
    <w:rsid w:val="009310FA"/>
    <w:rsid w:val="0093111E"/>
    <w:rsid w:val="00931132"/>
    <w:rsid w:val="009311C9"/>
    <w:rsid w:val="00931290"/>
    <w:rsid w:val="009313A8"/>
    <w:rsid w:val="009313F5"/>
    <w:rsid w:val="00931648"/>
    <w:rsid w:val="00931679"/>
    <w:rsid w:val="00931697"/>
    <w:rsid w:val="009316AC"/>
    <w:rsid w:val="009316F7"/>
    <w:rsid w:val="0093173C"/>
    <w:rsid w:val="0093174E"/>
    <w:rsid w:val="00931805"/>
    <w:rsid w:val="00931815"/>
    <w:rsid w:val="009318D8"/>
    <w:rsid w:val="009318ED"/>
    <w:rsid w:val="00931912"/>
    <w:rsid w:val="00931936"/>
    <w:rsid w:val="0093197E"/>
    <w:rsid w:val="00931A28"/>
    <w:rsid w:val="00931A6A"/>
    <w:rsid w:val="00931A6B"/>
    <w:rsid w:val="00931B35"/>
    <w:rsid w:val="00931B74"/>
    <w:rsid w:val="00931CDC"/>
    <w:rsid w:val="00931D6F"/>
    <w:rsid w:val="00931D86"/>
    <w:rsid w:val="00931E04"/>
    <w:rsid w:val="00931E36"/>
    <w:rsid w:val="00931F5D"/>
    <w:rsid w:val="00931FA0"/>
    <w:rsid w:val="00931FDA"/>
    <w:rsid w:val="00931FFE"/>
    <w:rsid w:val="00932056"/>
    <w:rsid w:val="0093205D"/>
    <w:rsid w:val="009320FB"/>
    <w:rsid w:val="0093214A"/>
    <w:rsid w:val="009321EB"/>
    <w:rsid w:val="0093223E"/>
    <w:rsid w:val="0093259E"/>
    <w:rsid w:val="00932639"/>
    <w:rsid w:val="009327FD"/>
    <w:rsid w:val="009328D1"/>
    <w:rsid w:val="00932A96"/>
    <w:rsid w:val="00932B8C"/>
    <w:rsid w:val="00932E55"/>
    <w:rsid w:val="00932E5B"/>
    <w:rsid w:val="00932FDE"/>
    <w:rsid w:val="0093310F"/>
    <w:rsid w:val="00933152"/>
    <w:rsid w:val="009331E1"/>
    <w:rsid w:val="00933230"/>
    <w:rsid w:val="00933274"/>
    <w:rsid w:val="009332AA"/>
    <w:rsid w:val="009332CE"/>
    <w:rsid w:val="00933308"/>
    <w:rsid w:val="00933439"/>
    <w:rsid w:val="009334AD"/>
    <w:rsid w:val="00933738"/>
    <w:rsid w:val="00933830"/>
    <w:rsid w:val="00933850"/>
    <w:rsid w:val="0093388C"/>
    <w:rsid w:val="00933AF2"/>
    <w:rsid w:val="00933BA2"/>
    <w:rsid w:val="00933D3E"/>
    <w:rsid w:val="00933E26"/>
    <w:rsid w:val="00933F79"/>
    <w:rsid w:val="00933FA7"/>
    <w:rsid w:val="00934038"/>
    <w:rsid w:val="0093415C"/>
    <w:rsid w:val="0093419E"/>
    <w:rsid w:val="0093423A"/>
    <w:rsid w:val="009342A9"/>
    <w:rsid w:val="00934328"/>
    <w:rsid w:val="0093433E"/>
    <w:rsid w:val="0093436C"/>
    <w:rsid w:val="00934386"/>
    <w:rsid w:val="009343F3"/>
    <w:rsid w:val="009345DD"/>
    <w:rsid w:val="00934638"/>
    <w:rsid w:val="00934769"/>
    <w:rsid w:val="009347FF"/>
    <w:rsid w:val="0093487C"/>
    <w:rsid w:val="00934931"/>
    <w:rsid w:val="00934988"/>
    <w:rsid w:val="00934D34"/>
    <w:rsid w:val="00934D79"/>
    <w:rsid w:val="00934E8D"/>
    <w:rsid w:val="00934E90"/>
    <w:rsid w:val="00934ED3"/>
    <w:rsid w:val="00934EFF"/>
    <w:rsid w:val="00934F13"/>
    <w:rsid w:val="00935014"/>
    <w:rsid w:val="0093501F"/>
    <w:rsid w:val="00935076"/>
    <w:rsid w:val="00935143"/>
    <w:rsid w:val="00935174"/>
    <w:rsid w:val="00935391"/>
    <w:rsid w:val="0093544A"/>
    <w:rsid w:val="00935464"/>
    <w:rsid w:val="009354DB"/>
    <w:rsid w:val="00935550"/>
    <w:rsid w:val="009355C6"/>
    <w:rsid w:val="009356D6"/>
    <w:rsid w:val="00935716"/>
    <w:rsid w:val="0093579E"/>
    <w:rsid w:val="0093598C"/>
    <w:rsid w:val="00935A1C"/>
    <w:rsid w:val="00935AC9"/>
    <w:rsid w:val="00935B15"/>
    <w:rsid w:val="00935B3C"/>
    <w:rsid w:val="00935C14"/>
    <w:rsid w:val="00935CA2"/>
    <w:rsid w:val="00935CA7"/>
    <w:rsid w:val="00935D12"/>
    <w:rsid w:val="00935EBA"/>
    <w:rsid w:val="00935F6D"/>
    <w:rsid w:val="00935FE9"/>
    <w:rsid w:val="0093606D"/>
    <w:rsid w:val="00936117"/>
    <w:rsid w:val="0093611A"/>
    <w:rsid w:val="00936156"/>
    <w:rsid w:val="00936216"/>
    <w:rsid w:val="00936227"/>
    <w:rsid w:val="00936292"/>
    <w:rsid w:val="00936298"/>
    <w:rsid w:val="009362C0"/>
    <w:rsid w:val="009363DA"/>
    <w:rsid w:val="00936401"/>
    <w:rsid w:val="00936552"/>
    <w:rsid w:val="00936633"/>
    <w:rsid w:val="0093664F"/>
    <w:rsid w:val="009366EB"/>
    <w:rsid w:val="00936745"/>
    <w:rsid w:val="0093683F"/>
    <w:rsid w:val="00936883"/>
    <w:rsid w:val="00936B52"/>
    <w:rsid w:val="00936C5C"/>
    <w:rsid w:val="00936F1A"/>
    <w:rsid w:val="00936F22"/>
    <w:rsid w:val="00936F2B"/>
    <w:rsid w:val="00936F30"/>
    <w:rsid w:val="0093717D"/>
    <w:rsid w:val="0093717F"/>
    <w:rsid w:val="009372FF"/>
    <w:rsid w:val="0093736E"/>
    <w:rsid w:val="00937389"/>
    <w:rsid w:val="00937406"/>
    <w:rsid w:val="00937428"/>
    <w:rsid w:val="0093753E"/>
    <w:rsid w:val="00937540"/>
    <w:rsid w:val="0093759F"/>
    <w:rsid w:val="00937636"/>
    <w:rsid w:val="0093768A"/>
    <w:rsid w:val="00937709"/>
    <w:rsid w:val="009379CE"/>
    <w:rsid w:val="009379D3"/>
    <w:rsid w:val="00937A62"/>
    <w:rsid w:val="00937AB0"/>
    <w:rsid w:val="00937B0A"/>
    <w:rsid w:val="00937B20"/>
    <w:rsid w:val="00937B78"/>
    <w:rsid w:val="00937B90"/>
    <w:rsid w:val="00937CA4"/>
    <w:rsid w:val="00937D2A"/>
    <w:rsid w:val="00937D3F"/>
    <w:rsid w:val="00937D55"/>
    <w:rsid w:val="00937D74"/>
    <w:rsid w:val="00937D78"/>
    <w:rsid w:val="00937E5D"/>
    <w:rsid w:val="00937F41"/>
    <w:rsid w:val="00937FC9"/>
    <w:rsid w:val="00940001"/>
    <w:rsid w:val="009400F7"/>
    <w:rsid w:val="0094010B"/>
    <w:rsid w:val="00940123"/>
    <w:rsid w:val="00940161"/>
    <w:rsid w:val="00940189"/>
    <w:rsid w:val="009401B1"/>
    <w:rsid w:val="00940267"/>
    <w:rsid w:val="009402B7"/>
    <w:rsid w:val="00940322"/>
    <w:rsid w:val="00940341"/>
    <w:rsid w:val="00940358"/>
    <w:rsid w:val="00940369"/>
    <w:rsid w:val="009404E3"/>
    <w:rsid w:val="009404F5"/>
    <w:rsid w:val="0094063B"/>
    <w:rsid w:val="009406D4"/>
    <w:rsid w:val="00940710"/>
    <w:rsid w:val="00940798"/>
    <w:rsid w:val="009407C7"/>
    <w:rsid w:val="00940889"/>
    <w:rsid w:val="00940906"/>
    <w:rsid w:val="0094099C"/>
    <w:rsid w:val="009409F7"/>
    <w:rsid w:val="00940BA9"/>
    <w:rsid w:val="00940BE5"/>
    <w:rsid w:val="00940C95"/>
    <w:rsid w:val="00940DD8"/>
    <w:rsid w:val="00940E50"/>
    <w:rsid w:val="00940F10"/>
    <w:rsid w:val="00940FEC"/>
    <w:rsid w:val="0094106A"/>
    <w:rsid w:val="009412BE"/>
    <w:rsid w:val="0094136B"/>
    <w:rsid w:val="00941390"/>
    <w:rsid w:val="0094146D"/>
    <w:rsid w:val="0094152B"/>
    <w:rsid w:val="00941596"/>
    <w:rsid w:val="0094164C"/>
    <w:rsid w:val="0094166E"/>
    <w:rsid w:val="009416EA"/>
    <w:rsid w:val="0094185D"/>
    <w:rsid w:val="009418B8"/>
    <w:rsid w:val="009418E0"/>
    <w:rsid w:val="00941972"/>
    <w:rsid w:val="00941988"/>
    <w:rsid w:val="009419A6"/>
    <w:rsid w:val="009419C7"/>
    <w:rsid w:val="00941A61"/>
    <w:rsid w:val="00941CB3"/>
    <w:rsid w:val="00941CC9"/>
    <w:rsid w:val="00941D80"/>
    <w:rsid w:val="00941DDB"/>
    <w:rsid w:val="00941E21"/>
    <w:rsid w:val="00941EA6"/>
    <w:rsid w:val="00941F8B"/>
    <w:rsid w:val="00941FCF"/>
    <w:rsid w:val="0094202D"/>
    <w:rsid w:val="009420D3"/>
    <w:rsid w:val="00942136"/>
    <w:rsid w:val="0094222D"/>
    <w:rsid w:val="0094224E"/>
    <w:rsid w:val="00942308"/>
    <w:rsid w:val="0094243D"/>
    <w:rsid w:val="009425A4"/>
    <w:rsid w:val="009427BA"/>
    <w:rsid w:val="009427C2"/>
    <w:rsid w:val="00942820"/>
    <w:rsid w:val="0094282E"/>
    <w:rsid w:val="009428F3"/>
    <w:rsid w:val="00942935"/>
    <w:rsid w:val="00942984"/>
    <w:rsid w:val="009429A1"/>
    <w:rsid w:val="009429DB"/>
    <w:rsid w:val="00942A0B"/>
    <w:rsid w:val="00942A66"/>
    <w:rsid w:val="00942A78"/>
    <w:rsid w:val="00942A95"/>
    <w:rsid w:val="00942AEA"/>
    <w:rsid w:val="00942B48"/>
    <w:rsid w:val="00942B83"/>
    <w:rsid w:val="00942C5E"/>
    <w:rsid w:val="00942CBD"/>
    <w:rsid w:val="00942DE8"/>
    <w:rsid w:val="0094300C"/>
    <w:rsid w:val="00943058"/>
    <w:rsid w:val="00943186"/>
    <w:rsid w:val="009434E3"/>
    <w:rsid w:val="0094353B"/>
    <w:rsid w:val="009435C5"/>
    <w:rsid w:val="00943675"/>
    <w:rsid w:val="0094372D"/>
    <w:rsid w:val="009437F7"/>
    <w:rsid w:val="009438E2"/>
    <w:rsid w:val="009439E1"/>
    <w:rsid w:val="00943A07"/>
    <w:rsid w:val="00943B3E"/>
    <w:rsid w:val="00943C3F"/>
    <w:rsid w:val="00943C5E"/>
    <w:rsid w:val="00943C79"/>
    <w:rsid w:val="00943CCA"/>
    <w:rsid w:val="00943D21"/>
    <w:rsid w:val="00943E66"/>
    <w:rsid w:val="00943EB1"/>
    <w:rsid w:val="00943FEE"/>
    <w:rsid w:val="00944137"/>
    <w:rsid w:val="009441E9"/>
    <w:rsid w:val="009444E8"/>
    <w:rsid w:val="00944530"/>
    <w:rsid w:val="0094457C"/>
    <w:rsid w:val="00944594"/>
    <w:rsid w:val="00944638"/>
    <w:rsid w:val="009446C6"/>
    <w:rsid w:val="00944866"/>
    <w:rsid w:val="00944AAE"/>
    <w:rsid w:val="00944B6F"/>
    <w:rsid w:val="00944C4A"/>
    <w:rsid w:val="00944C77"/>
    <w:rsid w:val="00944C9B"/>
    <w:rsid w:val="00944DC4"/>
    <w:rsid w:val="00944EFD"/>
    <w:rsid w:val="00945148"/>
    <w:rsid w:val="0094514F"/>
    <w:rsid w:val="00945151"/>
    <w:rsid w:val="009451A7"/>
    <w:rsid w:val="00945222"/>
    <w:rsid w:val="009452D6"/>
    <w:rsid w:val="009453A8"/>
    <w:rsid w:val="009453FB"/>
    <w:rsid w:val="009454EE"/>
    <w:rsid w:val="00945541"/>
    <w:rsid w:val="009455AB"/>
    <w:rsid w:val="009455C8"/>
    <w:rsid w:val="009456EE"/>
    <w:rsid w:val="0094575F"/>
    <w:rsid w:val="009457D5"/>
    <w:rsid w:val="009459E9"/>
    <w:rsid w:val="00945A5E"/>
    <w:rsid w:val="00945AC0"/>
    <w:rsid w:val="00945AE8"/>
    <w:rsid w:val="00945B24"/>
    <w:rsid w:val="00945B66"/>
    <w:rsid w:val="00945B91"/>
    <w:rsid w:val="00945C5A"/>
    <w:rsid w:val="00945D92"/>
    <w:rsid w:val="00945DCB"/>
    <w:rsid w:val="00945EAB"/>
    <w:rsid w:val="00945F1B"/>
    <w:rsid w:val="00945FAC"/>
    <w:rsid w:val="009460BD"/>
    <w:rsid w:val="009463DB"/>
    <w:rsid w:val="00946421"/>
    <w:rsid w:val="00946451"/>
    <w:rsid w:val="009465EC"/>
    <w:rsid w:val="00946684"/>
    <w:rsid w:val="009466C1"/>
    <w:rsid w:val="00946716"/>
    <w:rsid w:val="00946815"/>
    <w:rsid w:val="009468CB"/>
    <w:rsid w:val="00946938"/>
    <w:rsid w:val="00946B3C"/>
    <w:rsid w:val="00946C25"/>
    <w:rsid w:val="00946CA8"/>
    <w:rsid w:val="00946D40"/>
    <w:rsid w:val="00946D8D"/>
    <w:rsid w:val="00946F91"/>
    <w:rsid w:val="00946FDC"/>
    <w:rsid w:val="00947140"/>
    <w:rsid w:val="009471F9"/>
    <w:rsid w:val="00947450"/>
    <w:rsid w:val="00947466"/>
    <w:rsid w:val="00947467"/>
    <w:rsid w:val="0094761A"/>
    <w:rsid w:val="0094778F"/>
    <w:rsid w:val="00947888"/>
    <w:rsid w:val="009478E6"/>
    <w:rsid w:val="0094790E"/>
    <w:rsid w:val="00947A21"/>
    <w:rsid w:val="00947B3A"/>
    <w:rsid w:val="00947B80"/>
    <w:rsid w:val="00947BDF"/>
    <w:rsid w:val="00947CAE"/>
    <w:rsid w:val="00947DC8"/>
    <w:rsid w:val="00947ED6"/>
    <w:rsid w:val="00947EF2"/>
    <w:rsid w:val="00947FBC"/>
    <w:rsid w:val="009500B2"/>
    <w:rsid w:val="00950153"/>
    <w:rsid w:val="00950161"/>
    <w:rsid w:val="00950203"/>
    <w:rsid w:val="00950217"/>
    <w:rsid w:val="00950278"/>
    <w:rsid w:val="009502C2"/>
    <w:rsid w:val="009502F1"/>
    <w:rsid w:val="00950410"/>
    <w:rsid w:val="0095048A"/>
    <w:rsid w:val="00950496"/>
    <w:rsid w:val="009505F7"/>
    <w:rsid w:val="0095061B"/>
    <w:rsid w:val="0095061C"/>
    <w:rsid w:val="009506E7"/>
    <w:rsid w:val="00950770"/>
    <w:rsid w:val="0095095A"/>
    <w:rsid w:val="009509DB"/>
    <w:rsid w:val="00950A4D"/>
    <w:rsid w:val="00950B7E"/>
    <w:rsid w:val="00950C01"/>
    <w:rsid w:val="00950DED"/>
    <w:rsid w:val="00950DFF"/>
    <w:rsid w:val="00950E7C"/>
    <w:rsid w:val="00951235"/>
    <w:rsid w:val="00951361"/>
    <w:rsid w:val="009513B4"/>
    <w:rsid w:val="009513ED"/>
    <w:rsid w:val="00951488"/>
    <w:rsid w:val="009514EF"/>
    <w:rsid w:val="009516E6"/>
    <w:rsid w:val="00951800"/>
    <w:rsid w:val="00951851"/>
    <w:rsid w:val="0095187E"/>
    <w:rsid w:val="00951BFA"/>
    <w:rsid w:val="00951D39"/>
    <w:rsid w:val="00951D6F"/>
    <w:rsid w:val="00951E49"/>
    <w:rsid w:val="00951E60"/>
    <w:rsid w:val="00951EC4"/>
    <w:rsid w:val="00951EEF"/>
    <w:rsid w:val="00951F57"/>
    <w:rsid w:val="00951F5A"/>
    <w:rsid w:val="00951F5D"/>
    <w:rsid w:val="00951FE5"/>
    <w:rsid w:val="0095214D"/>
    <w:rsid w:val="00952210"/>
    <w:rsid w:val="009522DD"/>
    <w:rsid w:val="00952348"/>
    <w:rsid w:val="00952357"/>
    <w:rsid w:val="00952371"/>
    <w:rsid w:val="009523C7"/>
    <w:rsid w:val="00952450"/>
    <w:rsid w:val="009524ED"/>
    <w:rsid w:val="00952504"/>
    <w:rsid w:val="00952630"/>
    <w:rsid w:val="00952639"/>
    <w:rsid w:val="0095263B"/>
    <w:rsid w:val="00952668"/>
    <w:rsid w:val="00952764"/>
    <w:rsid w:val="009529B4"/>
    <w:rsid w:val="00952A5A"/>
    <w:rsid w:val="00952A74"/>
    <w:rsid w:val="00952B98"/>
    <w:rsid w:val="00952BB3"/>
    <w:rsid w:val="00952BEF"/>
    <w:rsid w:val="00952C42"/>
    <w:rsid w:val="00952CFD"/>
    <w:rsid w:val="00952D26"/>
    <w:rsid w:val="00953057"/>
    <w:rsid w:val="00953064"/>
    <w:rsid w:val="0095308D"/>
    <w:rsid w:val="009530AC"/>
    <w:rsid w:val="0095329C"/>
    <w:rsid w:val="009532C4"/>
    <w:rsid w:val="009532E8"/>
    <w:rsid w:val="00953388"/>
    <w:rsid w:val="009533C3"/>
    <w:rsid w:val="009535CA"/>
    <w:rsid w:val="009535D7"/>
    <w:rsid w:val="00953629"/>
    <w:rsid w:val="00953634"/>
    <w:rsid w:val="009536D9"/>
    <w:rsid w:val="00953723"/>
    <w:rsid w:val="00953795"/>
    <w:rsid w:val="009537BA"/>
    <w:rsid w:val="009537F6"/>
    <w:rsid w:val="0095386A"/>
    <w:rsid w:val="009538AE"/>
    <w:rsid w:val="0095393D"/>
    <w:rsid w:val="00953B11"/>
    <w:rsid w:val="00953B83"/>
    <w:rsid w:val="00953BB3"/>
    <w:rsid w:val="00953C68"/>
    <w:rsid w:val="00953CBF"/>
    <w:rsid w:val="00953D3E"/>
    <w:rsid w:val="00953D5D"/>
    <w:rsid w:val="00953D9F"/>
    <w:rsid w:val="00953DA7"/>
    <w:rsid w:val="00953E0F"/>
    <w:rsid w:val="00953EE0"/>
    <w:rsid w:val="00953FF5"/>
    <w:rsid w:val="00954076"/>
    <w:rsid w:val="009541E5"/>
    <w:rsid w:val="00954315"/>
    <w:rsid w:val="0095442F"/>
    <w:rsid w:val="009544C5"/>
    <w:rsid w:val="0095468B"/>
    <w:rsid w:val="009546DB"/>
    <w:rsid w:val="00954730"/>
    <w:rsid w:val="00954748"/>
    <w:rsid w:val="0095475E"/>
    <w:rsid w:val="00954763"/>
    <w:rsid w:val="00954804"/>
    <w:rsid w:val="0095480A"/>
    <w:rsid w:val="00954874"/>
    <w:rsid w:val="00954A79"/>
    <w:rsid w:val="00954AA9"/>
    <w:rsid w:val="00954B8A"/>
    <w:rsid w:val="00954B8B"/>
    <w:rsid w:val="00954BA5"/>
    <w:rsid w:val="00954C13"/>
    <w:rsid w:val="00954C60"/>
    <w:rsid w:val="00954DDF"/>
    <w:rsid w:val="00955071"/>
    <w:rsid w:val="009550A2"/>
    <w:rsid w:val="0095522A"/>
    <w:rsid w:val="009554BB"/>
    <w:rsid w:val="009554F3"/>
    <w:rsid w:val="009555F1"/>
    <w:rsid w:val="0095569F"/>
    <w:rsid w:val="009556AC"/>
    <w:rsid w:val="0095572D"/>
    <w:rsid w:val="009557F0"/>
    <w:rsid w:val="0095580B"/>
    <w:rsid w:val="009558CB"/>
    <w:rsid w:val="00955916"/>
    <w:rsid w:val="00955A10"/>
    <w:rsid w:val="00955A46"/>
    <w:rsid w:val="00955B07"/>
    <w:rsid w:val="00955B32"/>
    <w:rsid w:val="00955BB6"/>
    <w:rsid w:val="00955CA6"/>
    <w:rsid w:val="00955D31"/>
    <w:rsid w:val="00955DB5"/>
    <w:rsid w:val="00955E09"/>
    <w:rsid w:val="00955F3D"/>
    <w:rsid w:val="00955F59"/>
    <w:rsid w:val="0095605E"/>
    <w:rsid w:val="0095614E"/>
    <w:rsid w:val="00956264"/>
    <w:rsid w:val="00956273"/>
    <w:rsid w:val="009562AE"/>
    <w:rsid w:val="009564C5"/>
    <w:rsid w:val="009564CC"/>
    <w:rsid w:val="0095657F"/>
    <w:rsid w:val="009565BB"/>
    <w:rsid w:val="009565ED"/>
    <w:rsid w:val="009566CF"/>
    <w:rsid w:val="00956802"/>
    <w:rsid w:val="00956871"/>
    <w:rsid w:val="009568AC"/>
    <w:rsid w:val="009568DD"/>
    <w:rsid w:val="009569FE"/>
    <w:rsid w:val="00956A20"/>
    <w:rsid w:val="00956A78"/>
    <w:rsid w:val="00956A90"/>
    <w:rsid w:val="00956B68"/>
    <w:rsid w:val="00956B7E"/>
    <w:rsid w:val="00956BD0"/>
    <w:rsid w:val="00956D55"/>
    <w:rsid w:val="00956E1F"/>
    <w:rsid w:val="00956E2A"/>
    <w:rsid w:val="00956E97"/>
    <w:rsid w:val="00956EC9"/>
    <w:rsid w:val="00956EDE"/>
    <w:rsid w:val="00956F92"/>
    <w:rsid w:val="00957015"/>
    <w:rsid w:val="0095702A"/>
    <w:rsid w:val="00957119"/>
    <w:rsid w:val="00957130"/>
    <w:rsid w:val="0095717F"/>
    <w:rsid w:val="009571A6"/>
    <w:rsid w:val="00957232"/>
    <w:rsid w:val="0095723A"/>
    <w:rsid w:val="009572DC"/>
    <w:rsid w:val="00957506"/>
    <w:rsid w:val="00957514"/>
    <w:rsid w:val="00957534"/>
    <w:rsid w:val="00957654"/>
    <w:rsid w:val="009576FA"/>
    <w:rsid w:val="009577A9"/>
    <w:rsid w:val="009577E8"/>
    <w:rsid w:val="009579EE"/>
    <w:rsid w:val="009579F9"/>
    <w:rsid w:val="009579FB"/>
    <w:rsid w:val="00957A3B"/>
    <w:rsid w:val="00957A48"/>
    <w:rsid w:val="00957A68"/>
    <w:rsid w:val="00957ABD"/>
    <w:rsid w:val="00957AD6"/>
    <w:rsid w:val="00957CAE"/>
    <w:rsid w:val="00957D4F"/>
    <w:rsid w:val="00957E9F"/>
    <w:rsid w:val="00957F11"/>
    <w:rsid w:val="00957FB4"/>
    <w:rsid w:val="00960078"/>
    <w:rsid w:val="0096009D"/>
    <w:rsid w:val="009600D0"/>
    <w:rsid w:val="0096010C"/>
    <w:rsid w:val="0096019F"/>
    <w:rsid w:val="009601BB"/>
    <w:rsid w:val="009601D4"/>
    <w:rsid w:val="009602C0"/>
    <w:rsid w:val="009603C2"/>
    <w:rsid w:val="0096055B"/>
    <w:rsid w:val="009605DB"/>
    <w:rsid w:val="00960604"/>
    <w:rsid w:val="0096076E"/>
    <w:rsid w:val="009607AF"/>
    <w:rsid w:val="00960908"/>
    <w:rsid w:val="009609CA"/>
    <w:rsid w:val="009609DE"/>
    <w:rsid w:val="00960A93"/>
    <w:rsid w:val="00960ABD"/>
    <w:rsid w:val="00960B59"/>
    <w:rsid w:val="00960C0E"/>
    <w:rsid w:val="00960C8D"/>
    <w:rsid w:val="00960CEA"/>
    <w:rsid w:val="00960EB0"/>
    <w:rsid w:val="00960EED"/>
    <w:rsid w:val="00960EF2"/>
    <w:rsid w:val="00960F0F"/>
    <w:rsid w:val="00960F55"/>
    <w:rsid w:val="00960F64"/>
    <w:rsid w:val="00960FE9"/>
    <w:rsid w:val="00961026"/>
    <w:rsid w:val="00961139"/>
    <w:rsid w:val="009611C0"/>
    <w:rsid w:val="009611EF"/>
    <w:rsid w:val="009613B2"/>
    <w:rsid w:val="0096142C"/>
    <w:rsid w:val="009614AA"/>
    <w:rsid w:val="009614C0"/>
    <w:rsid w:val="00961554"/>
    <w:rsid w:val="009615BD"/>
    <w:rsid w:val="009616E9"/>
    <w:rsid w:val="00961703"/>
    <w:rsid w:val="00961936"/>
    <w:rsid w:val="00961937"/>
    <w:rsid w:val="00961957"/>
    <w:rsid w:val="00961B18"/>
    <w:rsid w:val="00961B8D"/>
    <w:rsid w:val="00961C38"/>
    <w:rsid w:val="00961C7D"/>
    <w:rsid w:val="00961EC8"/>
    <w:rsid w:val="00961F06"/>
    <w:rsid w:val="00961F1E"/>
    <w:rsid w:val="009620DC"/>
    <w:rsid w:val="0096213B"/>
    <w:rsid w:val="0096216F"/>
    <w:rsid w:val="009621F2"/>
    <w:rsid w:val="0096226D"/>
    <w:rsid w:val="009622A1"/>
    <w:rsid w:val="00962308"/>
    <w:rsid w:val="00962417"/>
    <w:rsid w:val="00962421"/>
    <w:rsid w:val="00962464"/>
    <w:rsid w:val="00962488"/>
    <w:rsid w:val="009624BD"/>
    <w:rsid w:val="00962542"/>
    <w:rsid w:val="0096289D"/>
    <w:rsid w:val="0096295D"/>
    <w:rsid w:val="0096297C"/>
    <w:rsid w:val="00962A6A"/>
    <w:rsid w:val="00962B24"/>
    <w:rsid w:val="00962B2D"/>
    <w:rsid w:val="00962B3C"/>
    <w:rsid w:val="00962BA4"/>
    <w:rsid w:val="00962BDC"/>
    <w:rsid w:val="00963008"/>
    <w:rsid w:val="00963026"/>
    <w:rsid w:val="0096315E"/>
    <w:rsid w:val="00963197"/>
    <w:rsid w:val="009633DE"/>
    <w:rsid w:val="00963497"/>
    <w:rsid w:val="009634D8"/>
    <w:rsid w:val="009634FE"/>
    <w:rsid w:val="009635D1"/>
    <w:rsid w:val="0096364D"/>
    <w:rsid w:val="0096365C"/>
    <w:rsid w:val="0096376F"/>
    <w:rsid w:val="00963773"/>
    <w:rsid w:val="00963837"/>
    <w:rsid w:val="0096385D"/>
    <w:rsid w:val="009638D5"/>
    <w:rsid w:val="00963902"/>
    <w:rsid w:val="009639D1"/>
    <w:rsid w:val="00963A32"/>
    <w:rsid w:val="00963A5E"/>
    <w:rsid w:val="00963B12"/>
    <w:rsid w:val="00963B48"/>
    <w:rsid w:val="00963D61"/>
    <w:rsid w:val="00963ED4"/>
    <w:rsid w:val="00963F0D"/>
    <w:rsid w:val="00963FE1"/>
    <w:rsid w:val="00964007"/>
    <w:rsid w:val="0096402B"/>
    <w:rsid w:val="00964095"/>
    <w:rsid w:val="009640CC"/>
    <w:rsid w:val="009640F4"/>
    <w:rsid w:val="00964220"/>
    <w:rsid w:val="00964278"/>
    <w:rsid w:val="009642B9"/>
    <w:rsid w:val="009643CC"/>
    <w:rsid w:val="00964429"/>
    <w:rsid w:val="00964437"/>
    <w:rsid w:val="0096443D"/>
    <w:rsid w:val="0096450D"/>
    <w:rsid w:val="0096452D"/>
    <w:rsid w:val="00964785"/>
    <w:rsid w:val="009647BB"/>
    <w:rsid w:val="009647C5"/>
    <w:rsid w:val="00964928"/>
    <w:rsid w:val="00964AD8"/>
    <w:rsid w:val="00964B44"/>
    <w:rsid w:val="00964B8A"/>
    <w:rsid w:val="00964B8F"/>
    <w:rsid w:val="00964BB5"/>
    <w:rsid w:val="00964BEC"/>
    <w:rsid w:val="00964DE5"/>
    <w:rsid w:val="00964E30"/>
    <w:rsid w:val="0096505B"/>
    <w:rsid w:val="00965135"/>
    <w:rsid w:val="00965142"/>
    <w:rsid w:val="0096519B"/>
    <w:rsid w:val="009651A5"/>
    <w:rsid w:val="00965235"/>
    <w:rsid w:val="009653B2"/>
    <w:rsid w:val="009653F7"/>
    <w:rsid w:val="00965569"/>
    <w:rsid w:val="009655AE"/>
    <w:rsid w:val="0096573C"/>
    <w:rsid w:val="009657EB"/>
    <w:rsid w:val="0096586D"/>
    <w:rsid w:val="00965911"/>
    <w:rsid w:val="009659E5"/>
    <w:rsid w:val="00965A39"/>
    <w:rsid w:val="00965A51"/>
    <w:rsid w:val="00965AAD"/>
    <w:rsid w:val="00965AC5"/>
    <w:rsid w:val="00965B30"/>
    <w:rsid w:val="00965B9F"/>
    <w:rsid w:val="00965BDA"/>
    <w:rsid w:val="00965BF7"/>
    <w:rsid w:val="00965D2B"/>
    <w:rsid w:val="009660E9"/>
    <w:rsid w:val="009661BB"/>
    <w:rsid w:val="00966258"/>
    <w:rsid w:val="009663F8"/>
    <w:rsid w:val="00966425"/>
    <w:rsid w:val="00966520"/>
    <w:rsid w:val="00966562"/>
    <w:rsid w:val="00966587"/>
    <w:rsid w:val="009665C4"/>
    <w:rsid w:val="00966631"/>
    <w:rsid w:val="0096666E"/>
    <w:rsid w:val="00966673"/>
    <w:rsid w:val="00966731"/>
    <w:rsid w:val="00966776"/>
    <w:rsid w:val="00966813"/>
    <w:rsid w:val="009668DF"/>
    <w:rsid w:val="00966B89"/>
    <w:rsid w:val="00966BF4"/>
    <w:rsid w:val="00966C35"/>
    <w:rsid w:val="00966C46"/>
    <w:rsid w:val="00966C8C"/>
    <w:rsid w:val="00966CFF"/>
    <w:rsid w:val="00966D29"/>
    <w:rsid w:val="00966E2D"/>
    <w:rsid w:val="00966ED6"/>
    <w:rsid w:val="00966F4F"/>
    <w:rsid w:val="00967091"/>
    <w:rsid w:val="00967097"/>
    <w:rsid w:val="009670CA"/>
    <w:rsid w:val="0096726A"/>
    <w:rsid w:val="00967280"/>
    <w:rsid w:val="009672B9"/>
    <w:rsid w:val="009672F5"/>
    <w:rsid w:val="00967450"/>
    <w:rsid w:val="009674D3"/>
    <w:rsid w:val="00967572"/>
    <w:rsid w:val="0096757E"/>
    <w:rsid w:val="00967658"/>
    <w:rsid w:val="009676F2"/>
    <w:rsid w:val="009676FF"/>
    <w:rsid w:val="00967779"/>
    <w:rsid w:val="009677E0"/>
    <w:rsid w:val="009678C4"/>
    <w:rsid w:val="00967915"/>
    <w:rsid w:val="0096799F"/>
    <w:rsid w:val="00967A50"/>
    <w:rsid w:val="00967AE3"/>
    <w:rsid w:val="00967B78"/>
    <w:rsid w:val="00967C19"/>
    <w:rsid w:val="00967C48"/>
    <w:rsid w:val="00967D41"/>
    <w:rsid w:val="00967E96"/>
    <w:rsid w:val="00967FCF"/>
    <w:rsid w:val="0097005F"/>
    <w:rsid w:val="0097008C"/>
    <w:rsid w:val="009701A9"/>
    <w:rsid w:val="009701BD"/>
    <w:rsid w:val="0097029F"/>
    <w:rsid w:val="00970315"/>
    <w:rsid w:val="00970347"/>
    <w:rsid w:val="009703DF"/>
    <w:rsid w:val="0097045C"/>
    <w:rsid w:val="009704E8"/>
    <w:rsid w:val="009704EC"/>
    <w:rsid w:val="00970517"/>
    <w:rsid w:val="00970590"/>
    <w:rsid w:val="009705BE"/>
    <w:rsid w:val="0097064C"/>
    <w:rsid w:val="00970668"/>
    <w:rsid w:val="0097073A"/>
    <w:rsid w:val="0097073C"/>
    <w:rsid w:val="0097074B"/>
    <w:rsid w:val="0097083B"/>
    <w:rsid w:val="00970874"/>
    <w:rsid w:val="00970958"/>
    <w:rsid w:val="00970994"/>
    <w:rsid w:val="009709DC"/>
    <w:rsid w:val="00970A8A"/>
    <w:rsid w:val="00970BB7"/>
    <w:rsid w:val="00970BEC"/>
    <w:rsid w:val="00970BF7"/>
    <w:rsid w:val="00970E41"/>
    <w:rsid w:val="00970F01"/>
    <w:rsid w:val="0097107F"/>
    <w:rsid w:val="009710AF"/>
    <w:rsid w:val="009711B7"/>
    <w:rsid w:val="009712BD"/>
    <w:rsid w:val="0097145A"/>
    <w:rsid w:val="0097159D"/>
    <w:rsid w:val="009715BB"/>
    <w:rsid w:val="0097160A"/>
    <w:rsid w:val="009717BC"/>
    <w:rsid w:val="009717FF"/>
    <w:rsid w:val="0097186C"/>
    <w:rsid w:val="00971B89"/>
    <w:rsid w:val="00971BAD"/>
    <w:rsid w:val="00971BDD"/>
    <w:rsid w:val="00971C01"/>
    <w:rsid w:val="00971C63"/>
    <w:rsid w:val="00971D42"/>
    <w:rsid w:val="00971EB5"/>
    <w:rsid w:val="00971F8D"/>
    <w:rsid w:val="0097213B"/>
    <w:rsid w:val="009721E2"/>
    <w:rsid w:val="00972306"/>
    <w:rsid w:val="009723BB"/>
    <w:rsid w:val="009723C1"/>
    <w:rsid w:val="00972486"/>
    <w:rsid w:val="00972515"/>
    <w:rsid w:val="0097256A"/>
    <w:rsid w:val="00972623"/>
    <w:rsid w:val="0097268D"/>
    <w:rsid w:val="00972884"/>
    <w:rsid w:val="009728CF"/>
    <w:rsid w:val="00972968"/>
    <w:rsid w:val="009729A0"/>
    <w:rsid w:val="009729F8"/>
    <w:rsid w:val="00972A44"/>
    <w:rsid w:val="00972ABC"/>
    <w:rsid w:val="00972AC9"/>
    <w:rsid w:val="00972AD4"/>
    <w:rsid w:val="00972BA3"/>
    <w:rsid w:val="00972CB6"/>
    <w:rsid w:val="00972DC0"/>
    <w:rsid w:val="00972DCE"/>
    <w:rsid w:val="00972E03"/>
    <w:rsid w:val="00972E2E"/>
    <w:rsid w:val="00972E6A"/>
    <w:rsid w:val="00972EB8"/>
    <w:rsid w:val="00972FD2"/>
    <w:rsid w:val="0097308B"/>
    <w:rsid w:val="00973252"/>
    <w:rsid w:val="00973264"/>
    <w:rsid w:val="009732ED"/>
    <w:rsid w:val="00973315"/>
    <w:rsid w:val="0097341F"/>
    <w:rsid w:val="00973638"/>
    <w:rsid w:val="0097373A"/>
    <w:rsid w:val="009737EA"/>
    <w:rsid w:val="00973879"/>
    <w:rsid w:val="009738BA"/>
    <w:rsid w:val="00973931"/>
    <w:rsid w:val="00973935"/>
    <w:rsid w:val="00973964"/>
    <w:rsid w:val="009739EC"/>
    <w:rsid w:val="00973A2E"/>
    <w:rsid w:val="00973B90"/>
    <w:rsid w:val="00973CDF"/>
    <w:rsid w:val="00973CE6"/>
    <w:rsid w:val="00973F51"/>
    <w:rsid w:val="00973F68"/>
    <w:rsid w:val="0097411B"/>
    <w:rsid w:val="00974232"/>
    <w:rsid w:val="0097424F"/>
    <w:rsid w:val="00974372"/>
    <w:rsid w:val="00974402"/>
    <w:rsid w:val="0097451F"/>
    <w:rsid w:val="00974590"/>
    <w:rsid w:val="009745D5"/>
    <w:rsid w:val="00974623"/>
    <w:rsid w:val="009747F7"/>
    <w:rsid w:val="0097489E"/>
    <w:rsid w:val="0097492A"/>
    <w:rsid w:val="00974963"/>
    <w:rsid w:val="00974B0E"/>
    <w:rsid w:val="00974B82"/>
    <w:rsid w:val="00974BBF"/>
    <w:rsid w:val="00974BD7"/>
    <w:rsid w:val="00974C10"/>
    <w:rsid w:val="00974D81"/>
    <w:rsid w:val="00974DF1"/>
    <w:rsid w:val="00974E06"/>
    <w:rsid w:val="00974E23"/>
    <w:rsid w:val="00974E6E"/>
    <w:rsid w:val="00974ED6"/>
    <w:rsid w:val="00974F62"/>
    <w:rsid w:val="00975116"/>
    <w:rsid w:val="0097516C"/>
    <w:rsid w:val="0097517F"/>
    <w:rsid w:val="0097531A"/>
    <w:rsid w:val="00975380"/>
    <w:rsid w:val="009753A9"/>
    <w:rsid w:val="00975423"/>
    <w:rsid w:val="00975448"/>
    <w:rsid w:val="0097550B"/>
    <w:rsid w:val="00975588"/>
    <w:rsid w:val="009755DB"/>
    <w:rsid w:val="0097570F"/>
    <w:rsid w:val="00975724"/>
    <w:rsid w:val="00975727"/>
    <w:rsid w:val="0097572C"/>
    <w:rsid w:val="009757C2"/>
    <w:rsid w:val="009757C3"/>
    <w:rsid w:val="00975800"/>
    <w:rsid w:val="00975864"/>
    <w:rsid w:val="0097586A"/>
    <w:rsid w:val="009758B5"/>
    <w:rsid w:val="00975939"/>
    <w:rsid w:val="00975A59"/>
    <w:rsid w:val="00975E51"/>
    <w:rsid w:val="00975F0E"/>
    <w:rsid w:val="00975F35"/>
    <w:rsid w:val="00975F9F"/>
    <w:rsid w:val="00975FBD"/>
    <w:rsid w:val="00975FC0"/>
    <w:rsid w:val="009761C1"/>
    <w:rsid w:val="00976276"/>
    <w:rsid w:val="00976346"/>
    <w:rsid w:val="00976378"/>
    <w:rsid w:val="009764A9"/>
    <w:rsid w:val="0097664C"/>
    <w:rsid w:val="00976746"/>
    <w:rsid w:val="009767AB"/>
    <w:rsid w:val="009767DA"/>
    <w:rsid w:val="00976818"/>
    <w:rsid w:val="0097695A"/>
    <w:rsid w:val="00976994"/>
    <w:rsid w:val="00976A4F"/>
    <w:rsid w:val="00976B62"/>
    <w:rsid w:val="00976B8A"/>
    <w:rsid w:val="00976C2D"/>
    <w:rsid w:val="00976C77"/>
    <w:rsid w:val="00976C9E"/>
    <w:rsid w:val="00976CA4"/>
    <w:rsid w:val="00976CC1"/>
    <w:rsid w:val="00976D73"/>
    <w:rsid w:val="00976DC1"/>
    <w:rsid w:val="00976E3C"/>
    <w:rsid w:val="00976E46"/>
    <w:rsid w:val="00976E6D"/>
    <w:rsid w:val="00976E92"/>
    <w:rsid w:val="00976F41"/>
    <w:rsid w:val="009770F6"/>
    <w:rsid w:val="00977180"/>
    <w:rsid w:val="009771A4"/>
    <w:rsid w:val="009771BC"/>
    <w:rsid w:val="00977237"/>
    <w:rsid w:val="00977254"/>
    <w:rsid w:val="00977274"/>
    <w:rsid w:val="0097728E"/>
    <w:rsid w:val="009772A8"/>
    <w:rsid w:val="009772E9"/>
    <w:rsid w:val="0097733F"/>
    <w:rsid w:val="009773DF"/>
    <w:rsid w:val="009774AE"/>
    <w:rsid w:val="009775BF"/>
    <w:rsid w:val="00977950"/>
    <w:rsid w:val="00977A17"/>
    <w:rsid w:val="00977A50"/>
    <w:rsid w:val="00977BD9"/>
    <w:rsid w:val="00977C42"/>
    <w:rsid w:val="00977C5B"/>
    <w:rsid w:val="00977D87"/>
    <w:rsid w:val="00977E4B"/>
    <w:rsid w:val="00977ECA"/>
    <w:rsid w:val="00977EFF"/>
    <w:rsid w:val="00980032"/>
    <w:rsid w:val="00980041"/>
    <w:rsid w:val="00980113"/>
    <w:rsid w:val="0098015B"/>
    <w:rsid w:val="00980164"/>
    <w:rsid w:val="009801AB"/>
    <w:rsid w:val="009802BE"/>
    <w:rsid w:val="00980334"/>
    <w:rsid w:val="0098033D"/>
    <w:rsid w:val="00980374"/>
    <w:rsid w:val="009803AF"/>
    <w:rsid w:val="00980447"/>
    <w:rsid w:val="009804E7"/>
    <w:rsid w:val="0098056C"/>
    <w:rsid w:val="00980573"/>
    <w:rsid w:val="00980599"/>
    <w:rsid w:val="009805A2"/>
    <w:rsid w:val="009805E9"/>
    <w:rsid w:val="009806C8"/>
    <w:rsid w:val="0098077E"/>
    <w:rsid w:val="00980784"/>
    <w:rsid w:val="0098088C"/>
    <w:rsid w:val="009808B9"/>
    <w:rsid w:val="009809A4"/>
    <w:rsid w:val="009809BC"/>
    <w:rsid w:val="00980AB7"/>
    <w:rsid w:val="00980AF7"/>
    <w:rsid w:val="00980BDD"/>
    <w:rsid w:val="00980C0D"/>
    <w:rsid w:val="00980C2F"/>
    <w:rsid w:val="00980C96"/>
    <w:rsid w:val="00980DE6"/>
    <w:rsid w:val="00980EB3"/>
    <w:rsid w:val="00981064"/>
    <w:rsid w:val="00981124"/>
    <w:rsid w:val="0098113A"/>
    <w:rsid w:val="0098125B"/>
    <w:rsid w:val="00981289"/>
    <w:rsid w:val="0098139F"/>
    <w:rsid w:val="009813C2"/>
    <w:rsid w:val="00981404"/>
    <w:rsid w:val="0098148E"/>
    <w:rsid w:val="009814BF"/>
    <w:rsid w:val="00981558"/>
    <w:rsid w:val="009815E4"/>
    <w:rsid w:val="009815EE"/>
    <w:rsid w:val="009816E0"/>
    <w:rsid w:val="00981734"/>
    <w:rsid w:val="0098174F"/>
    <w:rsid w:val="009817F9"/>
    <w:rsid w:val="00981800"/>
    <w:rsid w:val="0098193F"/>
    <w:rsid w:val="00981A0E"/>
    <w:rsid w:val="00981A44"/>
    <w:rsid w:val="00981B73"/>
    <w:rsid w:val="00981CEF"/>
    <w:rsid w:val="00981D37"/>
    <w:rsid w:val="00981DA4"/>
    <w:rsid w:val="00981E5A"/>
    <w:rsid w:val="00981EFA"/>
    <w:rsid w:val="00981F4C"/>
    <w:rsid w:val="009820C0"/>
    <w:rsid w:val="009821C9"/>
    <w:rsid w:val="0098226F"/>
    <w:rsid w:val="009824EF"/>
    <w:rsid w:val="009825BA"/>
    <w:rsid w:val="009825DE"/>
    <w:rsid w:val="009829E0"/>
    <w:rsid w:val="00982AC0"/>
    <w:rsid w:val="00982B59"/>
    <w:rsid w:val="00982DA3"/>
    <w:rsid w:val="0098301A"/>
    <w:rsid w:val="0098302F"/>
    <w:rsid w:val="00983095"/>
    <w:rsid w:val="00983124"/>
    <w:rsid w:val="00983158"/>
    <w:rsid w:val="0098320A"/>
    <w:rsid w:val="009832DD"/>
    <w:rsid w:val="009832FF"/>
    <w:rsid w:val="009833D6"/>
    <w:rsid w:val="00983487"/>
    <w:rsid w:val="009834A8"/>
    <w:rsid w:val="009834DE"/>
    <w:rsid w:val="009834E4"/>
    <w:rsid w:val="009834EE"/>
    <w:rsid w:val="00983616"/>
    <w:rsid w:val="00983742"/>
    <w:rsid w:val="009837C7"/>
    <w:rsid w:val="009839C0"/>
    <w:rsid w:val="00983A73"/>
    <w:rsid w:val="00983ADD"/>
    <w:rsid w:val="00983B10"/>
    <w:rsid w:val="00983B79"/>
    <w:rsid w:val="00983B9C"/>
    <w:rsid w:val="00983C49"/>
    <w:rsid w:val="00983C63"/>
    <w:rsid w:val="00983CED"/>
    <w:rsid w:val="00983D3C"/>
    <w:rsid w:val="00983EAF"/>
    <w:rsid w:val="00983ECE"/>
    <w:rsid w:val="00983F06"/>
    <w:rsid w:val="00983F70"/>
    <w:rsid w:val="00983FAB"/>
    <w:rsid w:val="00983FB0"/>
    <w:rsid w:val="00983FDA"/>
    <w:rsid w:val="0098410F"/>
    <w:rsid w:val="0098412D"/>
    <w:rsid w:val="0098416C"/>
    <w:rsid w:val="00984172"/>
    <w:rsid w:val="00984188"/>
    <w:rsid w:val="00984234"/>
    <w:rsid w:val="00984259"/>
    <w:rsid w:val="00984320"/>
    <w:rsid w:val="00984321"/>
    <w:rsid w:val="00984424"/>
    <w:rsid w:val="00984524"/>
    <w:rsid w:val="00984656"/>
    <w:rsid w:val="00984767"/>
    <w:rsid w:val="0098477A"/>
    <w:rsid w:val="0098478B"/>
    <w:rsid w:val="00984814"/>
    <w:rsid w:val="00984B5C"/>
    <w:rsid w:val="00984CAB"/>
    <w:rsid w:val="00984DB1"/>
    <w:rsid w:val="00984DF5"/>
    <w:rsid w:val="00984EA6"/>
    <w:rsid w:val="00984F99"/>
    <w:rsid w:val="00984FA8"/>
    <w:rsid w:val="009850C0"/>
    <w:rsid w:val="00985107"/>
    <w:rsid w:val="00985118"/>
    <w:rsid w:val="00985323"/>
    <w:rsid w:val="00985346"/>
    <w:rsid w:val="0098534B"/>
    <w:rsid w:val="0098543F"/>
    <w:rsid w:val="009854F5"/>
    <w:rsid w:val="00985683"/>
    <w:rsid w:val="0098569A"/>
    <w:rsid w:val="0098577E"/>
    <w:rsid w:val="0098585D"/>
    <w:rsid w:val="0098588C"/>
    <w:rsid w:val="009858D9"/>
    <w:rsid w:val="00985A2C"/>
    <w:rsid w:val="00985A70"/>
    <w:rsid w:val="00985AB3"/>
    <w:rsid w:val="00985B0C"/>
    <w:rsid w:val="00985BDE"/>
    <w:rsid w:val="00985E62"/>
    <w:rsid w:val="00985F5E"/>
    <w:rsid w:val="00985F76"/>
    <w:rsid w:val="009860A0"/>
    <w:rsid w:val="009860C9"/>
    <w:rsid w:val="009861ED"/>
    <w:rsid w:val="009862D9"/>
    <w:rsid w:val="00986333"/>
    <w:rsid w:val="00986355"/>
    <w:rsid w:val="00986480"/>
    <w:rsid w:val="00986481"/>
    <w:rsid w:val="00986515"/>
    <w:rsid w:val="00986637"/>
    <w:rsid w:val="0098667E"/>
    <w:rsid w:val="009866CE"/>
    <w:rsid w:val="00986715"/>
    <w:rsid w:val="009867E5"/>
    <w:rsid w:val="00986972"/>
    <w:rsid w:val="009869B9"/>
    <w:rsid w:val="00986A0A"/>
    <w:rsid w:val="00986B05"/>
    <w:rsid w:val="00986B6E"/>
    <w:rsid w:val="00986CF1"/>
    <w:rsid w:val="00986EA5"/>
    <w:rsid w:val="00986EE6"/>
    <w:rsid w:val="00986F27"/>
    <w:rsid w:val="00986F52"/>
    <w:rsid w:val="00986F79"/>
    <w:rsid w:val="00986FF9"/>
    <w:rsid w:val="00986FFA"/>
    <w:rsid w:val="00986FFF"/>
    <w:rsid w:val="00987035"/>
    <w:rsid w:val="009870FA"/>
    <w:rsid w:val="00987104"/>
    <w:rsid w:val="009872E4"/>
    <w:rsid w:val="00987321"/>
    <w:rsid w:val="0098732C"/>
    <w:rsid w:val="00987426"/>
    <w:rsid w:val="0098753A"/>
    <w:rsid w:val="00987646"/>
    <w:rsid w:val="009876C9"/>
    <w:rsid w:val="0098775E"/>
    <w:rsid w:val="0098776F"/>
    <w:rsid w:val="009877D3"/>
    <w:rsid w:val="009877FE"/>
    <w:rsid w:val="00987850"/>
    <w:rsid w:val="00987986"/>
    <w:rsid w:val="009879C5"/>
    <w:rsid w:val="009879D9"/>
    <w:rsid w:val="00987A23"/>
    <w:rsid w:val="00987AFD"/>
    <w:rsid w:val="00987B43"/>
    <w:rsid w:val="00987BB7"/>
    <w:rsid w:val="00987C08"/>
    <w:rsid w:val="00987C28"/>
    <w:rsid w:val="00987C69"/>
    <w:rsid w:val="00987CBD"/>
    <w:rsid w:val="00987D7F"/>
    <w:rsid w:val="00987DAF"/>
    <w:rsid w:val="00987E37"/>
    <w:rsid w:val="00987E44"/>
    <w:rsid w:val="00987EF7"/>
    <w:rsid w:val="0099004C"/>
    <w:rsid w:val="009900CE"/>
    <w:rsid w:val="009900E8"/>
    <w:rsid w:val="00990134"/>
    <w:rsid w:val="00990288"/>
    <w:rsid w:val="009902B5"/>
    <w:rsid w:val="00990365"/>
    <w:rsid w:val="0099037E"/>
    <w:rsid w:val="009903EC"/>
    <w:rsid w:val="0099044E"/>
    <w:rsid w:val="0099045D"/>
    <w:rsid w:val="00990501"/>
    <w:rsid w:val="0099052B"/>
    <w:rsid w:val="009905AE"/>
    <w:rsid w:val="009905BF"/>
    <w:rsid w:val="0099071C"/>
    <w:rsid w:val="00990785"/>
    <w:rsid w:val="00990977"/>
    <w:rsid w:val="009909BA"/>
    <w:rsid w:val="00990A30"/>
    <w:rsid w:val="00990C0F"/>
    <w:rsid w:val="00990E97"/>
    <w:rsid w:val="00990E99"/>
    <w:rsid w:val="00990F1C"/>
    <w:rsid w:val="00990F51"/>
    <w:rsid w:val="00990FA8"/>
    <w:rsid w:val="00990FD7"/>
    <w:rsid w:val="0099107F"/>
    <w:rsid w:val="009911A5"/>
    <w:rsid w:val="00991280"/>
    <w:rsid w:val="009912D0"/>
    <w:rsid w:val="009913C8"/>
    <w:rsid w:val="00991506"/>
    <w:rsid w:val="0099155F"/>
    <w:rsid w:val="00991718"/>
    <w:rsid w:val="009917C7"/>
    <w:rsid w:val="009917D9"/>
    <w:rsid w:val="00991826"/>
    <w:rsid w:val="0099186B"/>
    <w:rsid w:val="009919F4"/>
    <w:rsid w:val="00991A74"/>
    <w:rsid w:val="00991A81"/>
    <w:rsid w:val="00991B49"/>
    <w:rsid w:val="00991B71"/>
    <w:rsid w:val="00991C64"/>
    <w:rsid w:val="00991CCE"/>
    <w:rsid w:val="00991D17"/>
    <w:rsid w:val="00991DD9"/>
    <w:rsid w:val="00991E7E"/>
    <w:rsid w:val="00991E96"/>
    <w:rsid w:val="00991EBE"/>
    <w:rsid w:val="00991ED6"/>
    <w:rsid w:val="00991F66"/>
    <w:rsid w:val="00992185"/>
    <w:rsid w:val="0099218B"/>
    <w:rsid w:val="009921B2"/>
    <w:rsid w:val="00992266"/>
    <w:rsid w:val="009922F1"/>
    <w:rsid w:val="00992430"/>
    <w:rsid w:val="00992660"/>
    <w:rsid w:val="00992721"/>
    <w:rsid w:val="009927BB"/>
    <w:rsid w:val="009927CD"/>
    <w:rsid w:val="00992845"/>
    <w:rsid w:val="00992846"/>
    <w:rsid w:val="009928D2"/>
    <w:rsid w:val="00992922"/>
    <w:rsid w:val="00992AD2"/>
    <w:rsid w:val="00992B03"/>
    <w:rsid w:val="00992C1C"/>
    <w:rsid w:val="00992CA7"/>
    <w:rsid w:val="00992D8E"/>
    <w:rsid w:val="00992EB4"/>
    <w:rsid w:val="00992F32"/>
    <w:rsid w:val="00992FB2"/>
    <w:rsid w:val="00993195"/>
    <w:rsid w:val="009931E2"/>
    <w:rsid w:val="0099323A"/>
    <w:rsid w:val="0099333E"/>
    <w:rsid w:val="0099335D"/>
    <w:rsid w:val="009933A9"/>
    <w:rsid w:val="00993419"/>
    <w:rsid w:val="009934DB"/>
    <w:rsid w:val="00993533"/>
    <w:rsid w:val="0099365B"/>
    <w:rsid w:val="009936FA"/>
    <w:rsid w:val="0099381C"/>
    <w:rsid w:val="00993883"/>
    <w:rsid w:val="00993A15"/>
    <w:rsid w:val="00993A24"/>
    <w:rsid w:val="00993A73"/>
    <w:rsid w:val="00993B2D"/>
    <w:rsid w:val="00993B3D"/>
    <w:rsid w:val="00993BCE"/>
    <w:rsid w:val="00993CA6"/>
    <w:rsid w:val="00993E4F"/>
    <w:rsid w:val="00993E9B"/>
    <w:rsid w:val="00993F7E"/>
    <w:rsid w:val="0099403A"/>
    <w:rsid w:val="0099415C"/>
    <w:rsid w:val="00994199"/>
    <w:rsid w:val="009941CC"/>
    <w:rsid w:val="00994207"/>
    <w:rsid w:val="0099420B"/>
    <w:rsid w:val="00994260"/>
    <w:rsid w:val="00994279"/>
    <w:rsid w:val="009943B8"/>
    <w:rsid w:val="009943C0"/>
    <w:rsid w:val="009943D6"/>
    <w:rsid w:val="009944AF"/>
    <w:rsid w:val="0099450E"/>
    <w:rsid w:val="00994683"/>
    <w:rsid w:val="00994699"/>
    <w:rsid w:val="0099474F"/>
    <w:rsid w:val="00994834"/>
    <w:rsid w:val="009948A6"/>
    <w:rsid w:val="009948BF"/>
    <w:rsid w:val="009948EC"/>
    <w:rsid w:val="00994933"/>
    <w:rsid w:val="009949E1"/>
    <w:rsid w:val="00994AD8"/>
    <w:rsid w:val="00994B08"/>
    <w:rsid w:val="00994B17"/>
    <w:rsid w:val="00994B87"/>
    <w:rsid w:val="00994DD3"/>
    <w:rsid w:val="00994E9F"/>
    <w:rsid w:val="00994F3B"/>
    <w:rsid w:val="00994F86"/>
    <w:rsid w:val="00994FE7"/>
    <w:rsid w:val="009950A9"/>
    <w:rsid w:val="009951DC"/>
    <w:rsid w:val="00995205"/>
    <w:rsid w:val="00995207"/>
    <w:rsid w:val="00995209"/>
    <w:rsid w:val="0099525A"/>
    <w:rsid w:val="009952B8"/>
    <w:rsid w:val="009954AD"/>
    <w:rsid w:val="0099563C"/>
    <w:rsid w:val="0099565B"/>
    <w:rsid w:val="00995676"/>
    <w:rsid w:val="0099571B"/>
    <w:rsid w:val="00995826"/>
    <w:rsid w:val="0099582D"/>
    <w:rsid w:val="00995912"/>
    <w:rsid w:val="00995950"/>
    <w:rsid w:val="00995975"/>
    <w:rsid w:val="00995A75"/>
    <w:rsid w:val="00995B36"/>
    <w:rsid w:val="00995BE1"/>
    <w:rsid w:val="00995C50"/>
    <w:rsid w:val="00995C67"/>
    <w:rsid w:val="00995DCD"/>
    <w:rsid w:val="00995DEC"/>
    <w:rsid w:val="00995E6A"/>
    <w:rsid w:val="00995E7F"/>
    <w:rsid w:val="00995EF5"/>
    <w:rsid w:val="00996094"/>
    <w:rsid w:val="009961A3"/>
    <w:rsid w:val="00996260"/>
    <w:rsid w:val="009962F0"/>
    <w:rsid w:val="009962F2"/>
    <w:rsid w:val="009962F6"/>
    <w:rsid w:val="00996372"/>
    <w:rsid w:val="009964DA"/>
    <w:rsid w:val="00996581"/>
    <w:rsid w:val="00996649"/>
    <w:rsid w:val="0099664A"/>
    <w:rsid w:val="0099668F"/>
    <w:rsid w:val="00996775"/>
    <w:rsid w:val="0099688B"/>
    <w:rsid w:val="009968BD"/>
    <w:rsid w:val="00996B25"/>
    <w:rsid w:val="00996B28"/>
    <w:rsid w:val="00996E07"/>
    <w:rsid w:val="00996F8A"/>
    <w:rsid w:val="00996FB2"/>
    <w:rsid w:val="00996FE0"/>
    <w:rsid w:val="00997054"/>
    <w:rsid w:val="00997062"/>
    <w:rsid w:val="00997154"/>
    <w:rsid w:val="0099726E"/>
    <w:rsid w:val="0099740E"/>
    <w:rsid w:val="009974ED"/>
    <w:rsid w:val="00997567"/>
    <w:rsid w:val="00997647"/>
    <w:rsid w:val="009976F3"/>
    <w:rsid w:val="00997709"/>
    <w:rsid w:val="0099770A"/>
    <w:rsid w:val="0099788F"/>
    <w:rsid w:val="009978D9"/>
    <w:rsid w:val="009978F3"/>
    <w:rsid w:val="0099792F"/>
    <w:rsid w:val="00997952"/>
    <w:rsid w:val="00997977"/>
    <w:rsid w:val="00997A99"/>
    <w:rsid w:val="00997AF0"/>
    <w:rsid w:val="00997BF0"/>
    <w:rsid w:val="00997CC8"/>
    <w:rsid w:val="00997CE0"/>
    <w:rsid w:val="00997D5C"/>
    <w:rsid w:val="00997DC5"/>
    <w:rsid w:val="00997E23"/>
    <w:rsid w:val="00997FBA"/>
    <w:rsid w:val="00997FDC"/>
    <w:rsid w:val="009A0137"/>
    <w:rsid w:val="009A0268"/>
    <w:rsid w:val="009A0319"/>
    <w:rsid w:val="009A0391"/>
    <w:rsid w:val="009A04B3"/>
    <w:rsid w:val="009A04BF"/>
    <w:rsid w:val="009A051C"/>
    <w:rsid w:val="009A051F"/>
    <w:rsid w:val="009A053C"/>
    <w:rsid w:val="009A0578"/>
    <w:rsid w:val="009A0610"/>
    <w:rsid w:val="009A063F"/>
    <w:rsid w:val="009A0759"/>
    <w:rsid w:val="009A0868"/>
    <w:rsid w:val="009A09D6"/>
    <w:rsid w:val="009A0A04"/>
    <w:rsid w:val="009A0A2A"/>
    <w:rsid w:val="009A0C32"/>
    <w:rsid w:val="009A0CB9"/>
    <w:rsid w:val="009A0D70"/>
    <w:rsid w:val="009A0DF3"/>
    <w:rsid w:val="009A0E17"/>
    <w:rsid w:val="009A0E4A"/>
    <w:rsid w:val="009A0E57"/>
    <w:rsid w:val="009A0EDA"/>
    <w:rsid w:val="009A0FA3"/>
    <w:rsid w:val="009A1197"/>
    <w:rsid w:val="009A12FD"/>
    <w:rsid w:val="009A13B9"/>
    <w:rsid w:val="009A1417"/>
    <w:rsid w:val="009A14F3"/>
    <w:rsid w:val="009A155F"/>
    <w:rsid w:val="009A156D"/>
    <w:rsid w:val="009A160A"/>
    <w:rsid w:val="009A1648"/>
    <w:rsid w:val="009A165F"/>
    <w:rsid w:val="009A1728"/>
    <w:rsid w:val="009A175E"/>
    <w:rsid w:val="009A18AA"/>
    <w:rsid w:val="009A1914"/>
    <w:rsid w:val="009A194A"/>
    <w:rsid w:val="009A1C12"/>
    <w:rsid w:val="009A1C55"/>
    <w:rsid w:val="009A1E21"/>
    <w:rsid w:val="009A1F9F"/>
    <w:rsid w:val="009A1FA7"/>
    <w:rsid w:val="009A2027"/>
    <w:rsid w:val="009A2045"/>
    <w:rsid w:val="009A2357"/>
    <w:rsid w:val="009A23CC"/>
    <w:rsid w:val="009A2494"/>
    <w:rsid w:val="009A24C8"/>
    <w:rsid w:val="009A260D"/>
    <w:rsid w:val="009A2648"/>
    <w:rsid w:val="009A26A2"/>
    <w:rsid w:val="009A26E2"/>
    <w:rsid w:val="009A26EC"/>
    <w:rsid w:val="009A26F0"/>
    <w:rsid w:val="009A26FB"/>
    <w:rsid w:val="009A2785"/>
    <w:rsid w:val="009A28A6"/>
    <w:rsid w:val="009A28D3"/>
    <w:rsid w:val="009A2942"/>
    <w:rsid w:val="009A29FB"/>
    <w:rsid w:val="009A2B51"/>
    <w:rsid w:val="009A2B53"/>
    <w:rsid w:val="009A2BF3"/>
    <w:rsid w:val="009A2C6D"/>
    <w:rsid w:val="009A2CF9"/>
    <w:rsid w:val="009A2DB4"/>
    <w:rsid w:val="009A2DEF"/>
    <w:rsid w:val="009A2EAC"/>
    <w:rsid w:val="009A2F32"/>
    <w:rsid w:val="009A2F3C"/>
    <w:rsid w:val="009A2F75"/>
    <w:rsid w:val="009A2FAC"/>
    <w:rsid w:val="009A327D"/>
    <w:rsid w:val="009A32B4"/>
    <w:rsid w:val="009A32D7"/>
    <w:rsid w:val="009A3460"/>
    <w:rsid w:val="009A346C"/>
    <w:rsid w:val="009A3512"/>
    <w:rsid w:val="009A3576"/>
    <w:rsid w:val="009A35C2"/>
    <w:rsid w:val="009A36F5"/>
    <w:rsid w:val="009A3739"/>
    <w:rsid w:val="009A3766"/>
    <w:rsid w:val="009A3877"/>
    <w:rsid w:val="009A3A70"/>
    <w:rsid w:val="009A3AA6"/>
    <w:rsid w:val="009A3ADC"/>
    <w:rsid w:val="009A3AE5"/>
    <w:rsid w:val="009A3B0C"/>
    <w:rsid w:val="009A3D7F"/>
    <w:rsid w:val="009A3DD7"/>
    <w:rsid w:val="009A3E1E"/>
    <w:rsid w:val="009A3E50"/>
    <w:rsid w:val="009A3EEF"/>
    <w:rsid w:val="009A3EFD"/>
    <w:rsid w:val="009A3FC3"/>
    <w:rsid w:val="009A3FD7"/>
    <w:rsid w:val="009A4175"/>
    <w:rsid w:val="009A42FA"/>
    <w:rsid w:val="009A43DA"/>
    <w:rsid w:val="009A44D9"/>
    <w:rsid w:val="009A44DD"/>
    <w:rsid w:val="009A451A"/>
    <w:rsid w:val="009A4649"/>
    <w:rsid w:val="009A46AC"/>
    <w:rsid w:val="009A4765"/>
    <w:rsid w:val="009A47F3"/>
    <w:rsid w:val="009A4820"/>
    <w:rsid w:val="009A4842"/>
    <w:rsid w:val="009A4990"/>
    <w:rsid w:val="009A4996"/>
    <w:rsid w:val="009A4A70"/>
    <w:rsid w:val="009A4B31"/>
    <w:rsid w:val="009A4B67"/>
    <w:rsid w:val="009A4BC3"/>
    <w:rsid w:val="009A4C8D"/>
    <w:rsid w:val="009A4CE7"/>
    <w:rsid w:val="009A50F4"/>
    <w:rsid w:val="009A50F8"/>
    <w:rsid w:val="009A511F"/>
    <w:rsid w:val="009A52A8"/>
    <w:rsid w:val="009A5382"/>
    <w:rsid w:val="009A54BF"/>
    <w:rsid w:val="009A55B3"/>
    <w:rsid w:val="009A55DB"/>
    <w:rsid w:val="009A57E6"/>
    <w:rsid w:val="009A5967"/>
    <w:rsid w:val="009A596C"/>
    <w:rsid w:val="009A5989"/>
    <w:rsid w:val="009A598D"/>
    <w:rsid w:val="009A5AA4"/>
    <w:rsid w:val="009A5B36"/>
    <w:rsid w:val="009A5B60"/>
    <w:rsid w:val="009A5BDE"/>
    <w:rsid w:val="009A5C3A"/>
    <w:rsid w:val="009A5C9A"/>
    <w:rsid w:val="009A5CA3"/>
    <w:rsid w:val="009A5D8A"/>
    <w:rsid w:val="009A5E38"/>
    <w:rsid w:val="009A5F0D"/>
    <w:rsid w:val="009A5FCC"/>
    <w:rsid w:val="009A60AF"/>
    <w:rsid w:val="009A60DE"/>
    <w:rsid w:val="009A6162"/>
    <w:rsid w:val="009A618B"/>
    <w:rsid w:val="009A628B"/>
    <w:rsid w:val="009A62B2"/>
    <w:rsid w:val="009A62D0"/>
    <w:rsid w:val="009A6326"/>
    <w:rsid w:val="009A6393"/>
    <w:rsid w:val="009A63B8"/>
    <w:rsid w:val="009A643A"/>
    <w:rsid w:val="009A64AC"/>
    <w:rsid w:val="009A65CC"/>
    <w:rsid w:val="009A6614"/>
    <w:rsid w:val="009A6660"/>
    <w:rsid w:val="009A66E7"/>
    <w:rsid w:val="009A686E"/>
    <w:rsid w:val="009A688F"/>
    <w:rsid w:val="009A68E5"/>
    <w:rsid w:val="009A6B6A"/>
    <w:rsid w:val="009A6C08"/>
    <w:rsid w:val="009A6CA3"/>
    <w:rsid w:val="009A6CA4"/>
    <w:rsid w:val="009A6CF6"/>
    <w:rsid w:val="009A6EC9"/>
    <w:rsid w:val="009A6EE8"/>
    <w:rsid w:val="009A6F3A"/>
    <w:rsid w:val="009A6F9A"/>
    <w:rsid w:val="009A6FD2"/>
    <w:rsid w:val="009A704B"/>
    <w:rsid w:val="009A70B0"/>
    <w:rsid w:val="009A70CC"/>
    <w:rsid w:val="009A71C1"/>
    <w:rsid w:val="009A72DF"/>
    <w:rsid w:val="009A7393"/>
    <w:rsid w:val="009A74B0"/>
    <w:rsid w:val="009A7576"/>
    <w:rsid w:val="009A7661"/>
    <w:rsid w:val="009A7767"/>
    <w:rsid w:val="009A7798"/>
    <w:rsid w:val="009A78D0"/>
    <w:rsid w:val="009A79C1"/>
    <w:rsid w:val="009A7AC2"/>
    <w:rsid w:val="009A7ADB"/>
    <w:rsid w:val="009A7CB9"/>
    <w:rsid w:val="009A7D16"/>
    <w:rsid w:val="009A7D64"/>
    <w:rsid w:val="009A7D79"/>
    <w:rsid w:val="009A7F27"/>
    <w:rsid w:val="009B0009"/>
    <w:rsid w:val="009B013F"/>
    <w:rsid w:val="009B0251"/>
    <w:rsid w:val="009B02A7"/>
    <w:rsid w:val="009B034A"/>
    <w:rsid w:val="009B03D0"/>
    <w:rsid w:val="009B03E5"/>
    <w:rsid w:val="009B0597"/>
    <w:rsid w:val="009B05C7"/>
    <w:rsid w:val="009B05FC"/>
    <w:rsid w:val="009B06E1"/>
    <w:rsid w:val="009B0797"/>
    <w:rsid w:val="009B0869"/>
    <w:rsid w:val="009B08B3"/>
    <w:rsid w:val="009B098F"/>
    <w:rsid w:val="009B09DC"/>
    <w:rsid w:val="009B0A85"/>
    <w:rsid w:val="009B0AD2"/>
    <w:rsid w:val="009B0AD8"/>
    <w:rsid w:val="009B0B98"/>
    <w:rsid w:val="009B0BAD"/>
    <w:rsid w:val="009B0CEB"/>
    <w:rsid w:val="009B0DAB"/>
    <w:rsid w:val="009B0DC4"/>
    <w:rsid w:val="009B0E97"/>
    <w:rsid w:val="009B0F0A"/>
    <w:rsid w:val="009B0FF4"/>
    <w:rsid w:val="009B0FF8"/>
    <w:rsid w:val="009B1036"/>
    <w:rsid w:val="009B1046"/>
    <w:rsid w:val="009B1104"/>
    <w:rsid w:val="009B113A"/>
    <w:rsid w:val="009B11F2"/>
    <w:rsid w:val="009B1218"/>
    <w:rsid w:val="009B1240"/>
    <w:rsid w:val="009B12BF"/>
    <w:rsid w:val="009B132C"/>
    <w:rsid w:val="009B1422"/>
    <w:rsid w:val="009B142F"/>
    <w:rsid w:val="009B14E1"/>
    <w:rsid w:val="009B150A"/>
    <w:rsid w:val="009B1598"/>
    <w:rsid w:val="009B15B6"/>
    <w:rsid w:val="009B16B9"/>
    <w:rsid w:val="009B1721"/>
    <w:rsid w:val="009B17C4"/>
    <w:rsid w:val="009B1844"/>
    <w:rsid w:val="009B184C"/>
    <w:rsid w:val="009B1A04"/>
    <w:rsid w:val="009B1BE6"/>
    <w:rsid w:val="009B1D9E"/>
    <w:rsid w:val="009B1E5F"/>
    <w:rsid w:val="009B1EF5"/>
    <w:rsid w:val="009B1F4E"/>
    <w:rsid w:val="009B1F6F"/>
    <w:rsid w:val="009B20AA"/>
    <w:rsid w:val="009B20B1"/>
    <w:rsid w:val="009B20D7"/>
    <w:rsid w:val="009B2218"/>
    <w:rsid w:val="009B23BC"/>
    <w:rsid w:val="009B23BF"/>
    <w:rsid w:val="009B24D8"/>
    <w:rsid w:val="009B266C"/>
    <w:rsid w:val="009B2841"/>
    <w:rsid w:val="009B288D"/>
    <w:rsid w:val="009B2A17"/>
    <w:rsid w:val="009B2A37"/>
    <w:rsid w:val="009B2C33"/>
    <w:rsid w:val="009B2C58"/>
    <w:rsid w:val="009B2D2A"/>
    <w:rsid w:val="009B2DC2"/>
    <w:rsid w:val="009B2E91"/>
    <w:rsid w:val="009B3013"/>
    <w:rsid w:val="009B3042"/>
    <w:rsid w:val="009B3147"/>
    <w:rsid w:val="009B31A4"/>
    <w:rsid w:val="009B31AD"/>
    <w:rsid w:val="009B3346"/>
    <w:rsid w:val="009B3365"/>
    <w:rsid w:val="009B3374"/>
    <w:rsid w:val="009B349E"/>
    <w:rsid w:val="009B3582"/>
    <w:rsid w:val="009B3639"/>
    <w:rsid w:val="009B3640"/>
    <w:rsid w:val="009B3783"/>
    <w:rsid w:val="009B38F4"/>
    <w:rsid w:val="009B397A"/>
    <w:rsid w:val="009B3A8B"/>
    <w:rsid w:val="009B3AC5"/>
    <w:rsid w:val="009B3B84"/>
    <w:rsid w:val="009B3BB6"/>
    <w:rsid w:val="009B3C20"/>
    <w:rsid w:val="009B3D52"/>
    <w:rsid w:val="009B3E1F"/>
    <w:rsid w:val="009B3EE0"/>
    <w:rsid w:val="009B3F4A"/>
    <w:rsid w:val="009B4039"/>
    <w:rsid w:val="009B4082"/>
    <w:rsid w:val="009B40AD"/>
    <w:rsid w:val="009B4138"/>
    <w:rsid w:val="009B4176"/>
    <w:rsid w:val="009B41DB"/>
    <w:rsid w:val="009B42FF"/>
    <w:rsid w:val="009B4445"/>
    <w:rsid w:val="009B453B"/>
    <w:rsid w:val="009B453F"/>
    <w:rsid w:val="009B4636"/>
    <w:rsid w:val="009B4664"/>
    <w:rsid w:val="009B4703"/>
    <w:rsid w:val="009B475C"/>
    <w:rsid w:val="009B47A3"/>
    <w:rsid w:val="009B47BC"/>
    <w:rsid w:val="009B4827"/>
    <w:rsid w:val="009B4861"/>
    <w:rsid w:val="009B493D"/>
    <w:rsid w:val="009B49A5"/>
    <w:rsid w:val="009B49D3"/>
    <w:rsid w:val="009B4A05"/>
    <w:rsid w:val="009B4A13"/>
    <w:rsid w:val="009B4A16"/>
    <w:rsid w:val="009B4DBD"/>
    <w:rsid w:val="009B4F8D"/>
    <w:rsid w:val="009B5025"/>
    <w:rsid w:val="009B50BC"/>
    <w:rsid w:val="009B50C6"/>
    <w:rsid w:val="009B50E4"/>
    <w:rsid w:val="009B5108"/>
    <w:rsid w:val="009B51D4"/>
    <w:rsid w:val="009B51E9"/>
    <w:rsid w:val="009B528A"/>
    <w:rsid w:val="009B52D9"/>
    <w:rsid w:val="009B52E2"/>
    <w:rsid w:val="009B53C6"/>
    <w:rsid w:val="009B54E9"/>
    <w:rsid w:val="009B55A3"/>
    <w:rsid w:val="009B5620"/>
    <w:rsid w:val="009B56E5"/>
    <w:rsid w:val="009B5740"/>
    <w:rsid w:val="009B5809"/>
    <w:rsid w:val="009B595D"/>
    <w:rsid w:val="009B5961"/>
    <w:rsid w:val="009B59A1"/>
    <w:rsid w:val="009B5A64"/>
    <w:rsid w:val="009B5ADA"/>
    <w:rsid w:val="009B5AFC"/>
    <w:rsid w:val="009B5B13"/>
    <w:rsid w:val="009B5B2D"/>
    <w:rsid w:val="009B5BED"/>
    <w:rsid w:val="009B5CC4"/>
    <w:rsid w:val="009B5E28"/>
    <w:rsid w:val="009B5F01"/>
    <w:rsid w:val="009B5F35"/>
    <w:rsid w:val="009B6034"/>
    <w:rsid w:val="009B610E"/>
    <w:rsid w:val="009B61D2"/>
    <w:rsid w:val="009B62E1"/>
    <w:rsid w:val="009B6345"/>
    <w:rsid w:val="009B6347"/>
    <w:rsid w:val="009B6430"/>
    <w:rsid w:val="009B6490"/>
    <w:rsid w:val="009B6696"/>
    <w:rsid w:val="009B67D8"/>
    <w:rsid w:val="009B68AA"/>
    <w:rsid w:val="009B68C6"/>
    <w:rsid w:val="009B6995"/>
    <w:rsid w:val="009B69A9"/>
    <w:rsid w:val="009B69E0"/>
    <w:rsid w:val="009B6A3C"/>
    <w:rsid w:val="009B6A86"/>
    <w:rsid w:val="009B6AEB"/>
    <w:rsid w:val="009B6D24"/>
    <w:rsid w:val="009B6E5D"/>
    <w:rsid w:val="009B6EF2"/>
    <w:rsid w:val="009B6F44"/>
    <w:rsid w:val="009B6F9B"/>
    <w:rsid w:val="009B705C"/>
    <w:rsid w:val="009B7065"/>
    <w:rsid w:val="009B7099"/>
    <w:rsid w:val="009B70EA"/>
    <w:rsid w:val="009B710B"/>
    <w:rsid w:val="009B71F4"/>
    <w:rsid w:val="009B721F"/>
    <w:rsid w:val="009B7297"/>
    <w:rsid w:val="009B72E6"/>
    <w:rsid w:val="009B73C2"/>
    <w:rsid w:val="009B7430"/>
    <w:rsid w:val="009B7541"/>
    <w:rsid w:val="009B7549"/>
    <w:rsid w:val="009B768D"/>
    <w:rsid w:val="009B771E"/>
    <w:rsid w:val="009B7742"/>
    <w:rsid w:val="009B774F"/>
    <w:rsid w:val="009B776C"/>
    <w:rsid w:val="009B77AB"/>
    <w:rsid w:val="009B77C4"/>
    <w:rsid w:val="009B787E"/>
    <w:rsid w:val="009B794D"/>
    <w:rsid w:val="009B794E"/>
    <w:rsid w:val="009B7976"/>
    <w:rsid w:val="009B7AF3"/>
    <w:rsid w:val="009B7C0A"/>
    <w:rsid w:val="009B7C25"/>
    <w:rsid w:val="009B7C44"/>
    <w:rsid w:val="009B7C9C"/>
    <w:rsid w:val="009B7D89"/>
    <w:rsid w:val="009B7DF6"/>
    <w:rsid w:val="009B7DF7"/>
    <w:rsid w:val="009B7FA7"/>
    <w:rsid w:val="009C001C"/>
    <w:rsid w:val="009C014D"/>
    <w:rsid w:val="009C02DB"/>
    <w:rsid w:val="009C0418"/>
    <w:rsid w:val="009C048F"/>
    <w:rsid w:val="009C04B7"/>
    <w:rsid w:val="009C04D3"/>
    <w:rsid w:val="009C0540"/>
    <w:rsid w:val="009C063D"/>
    <w:rsid w:val="009C0643"/>
    <w:rsid w:val="009C06C3"/>
    <w:rsid w:val="009C06C5"/>
    <w:rsid w:val="009C0729"/>
    <w:rsid w:val="009C085A"/>
    <w:rsid w:val="009C08F0"/>
    <w:rsid w:val="009C097B"/>
    <w:rsid w:val="009C0980"/>
    <w:rsid w:val="009C09A2"/>
    <w:rsid w:val="009C09C2"/>
    <w:rsid w:val="009C0A5B"/>
    <w:rsid w:val="009C0A67"/>
    <w:rsid w:val="009C0A83"/>
    <w:rsid w:val="009C0AA7"/>
    <w:rsid w:val="009C0B04"/>
    <w:rsid w:val="009C0B0D"/>
    <w:rsid w:val="009C0B16"/>
    <w:rsid w:val="009C0BF7"/>
    <w:rsid w:val="009C0CAF"/>
    <w:rsid w:val="009C0DAF"/>
    <w:rsid w:val="009C0E9A"/>
    <w:rsid w:val="009C0EC9"/>
    <w:rsid w:val="009C0F6D"/>
    <w:rsid w:val="009C0FA7"/>
    <w:rsid w:val="009C0FC3"/>
    <w:rsid w:val="009C1033"/>
    <w:rsid w:val="009C1077"/>
    <w:rsid w:val="009C111D"/>
    <w:rsid w:val="009C1174"/>
    <w:rsid w:val="009C11CC"/>
    <w:rsid w:val="009C1239"/>
    <w:rsid w:val="009C1347"/>
    <w:rsid w:val="009C15A5"/>
    <w:rsid w:val="009C15BE"/>
    <w:rsid w:val="009C15C4"/>
    <w:rsid w:val="009C184D"/>
    <w:rsid w:val="009C185A"/>
    <w:rsid w:val="009C185C"/>
    <w:rsid w:val="009C18A5"/>
    <w:rsid w:val="009C18BF"/>
    <w:rsid w:val="009C1A04"/>
    <w:rsid w:val="009C1A2A"/>
    <w:rsid w:val="009C1A67"/>
    <w:rsid w:val="009C1AD0"/>
    <w:rsid w:val="009C1AFF"/>
    <w:rsid w:val="009C1B3A"/>
    <w:rsid w:val="009C1BAB"/>
    <w:rsid w:val="009C1BB9"/>
    <w:rsid w:val="009C1CDD"/>
    <w:rsid w:val="009C1D71"/>
    <w:rsid w:val="009C1D7F"/>
    <w:rsid w:val="009C1DB1"/>
    <w:rsid w:val="009C1ED6"/>
    <w:rsid w:val="009C1EF6"/>
    <w:rsid w:val="009C2168"/>
    <w:rsid w:val="009C21DC"/>
    <w:rsid w:val="009C220F"/>
    <w:rsid w:val="009C2342"/>
    <w:rsid w:val="009C2355"/>
    <w:rsid w:val="009C24D0"/>
    <w:rsid w:val="009C24F1"/>
    <w:rsid w:val="009C2682"/>
    <w:rsid w:val="009C2759"/>
    <w:rsid w:val="009C27F9"/>
    <w:rsid w:val="009C2811"/>
    <w:rsid w:val="009C283B"/>
    <w:rsid w:val="009C283F"/>
    <w:rsid w:val="009C2845"/>
    <w:rsid w:val="009C2848"/>
    <w:rsid w:val="009C285F"/>
    <w:rsid w:val="009C291E"/>
    <w:rsid w:val="009C2933"/>
    <w:rsid w:val="009C2987"/>
    <w:rsid w:val="009C29D3"/>
    <w:rsid w:val="009C2A03"/>
    <w:rsid w:val="009C2AD0"/>
    <w:rsid w:val="009C2B0D"/>
    <w:rsid w:val="009C2CA6"/>
    <w:rsid w:val="009C2D2F"/>
    <w:rsid w:val="009C2EC9"/>
    <w:rsid w:val="009C2F09"/>
    <w:rsid w:val="009C2F60"/>
    <w:rsid w:val="009C3069"/>
    <w:rsid w:val="009C30DF"/>
    <w:rsid w:val="009C31C4"/>
    <w:rsid w:val="009C32E1"/>
    <w:rsid w:val="009C331B"/>
    <w:rsid w:val="009C33AA"/>
    <w:rsid w:val="009C33CC"/>
    <w:rsid w:val="009C3456"/>
    <w:rsid w:val="009C3642"/>
    <w:rsid w:val="009C3652"/>
    <w:rsid w:val="009C36C7"/>
    <w:rsid w:val="009C36FE"/>
    <w:rsid w:val="009C372C"/>
    <w:rsid w:val="009C3734"/>
    <w:rsid w:val="009C37BA"/>
    <w:rsid w:val="009C37CE"/>
    <w:rsid w:val="009C38BF"/>
    <w:rsid w:val="009C3959"/>
    <w:rsid w:val="009C399F"/>
    <w:rsid w:val="009C39F9"/>
    <w:rsid w:val="009C3AD4"/>
    <w:rsid w:val="009C3B05"/>
    <w:rsid w:val="009C3B40"/>
    <w:rsid w:val="009C3BA2"/>
    <w:rsid w:val="009C3CE6"/>
    <w:rsid w:val="009C3D75"/>
    <w:rsid w:val="009C3D9A"/>
    <w:rsid w:val="009C3DB3"/>
    <w:rsid w:val="009C3F48"/>
    <w:rsid w:val="009C3F98"/>
    <w:rsid w:val="009C3FA2"/>
    <w:rsid w:val="009C401A"/>
    <w:rsid w:val="009C4058"/>
    <w:rsid w:val="009C4165"/>
    <w:rsid w:val="009C42AE"/>
    <w:rsid w:val="009C4351"/>
    <w:rsid w:val="009C435F"/>
    <w:rsid w:val="009C4407"/>
    <w:rsid w:val="009C4408"/>
    <w:rsid w:val="009C441A"/>
    <w:rsid w:val="009C44AE"/>
    <w:rsid w:val="009C4570"/>
    <w:rsid w:val="009C4646"/>
    <w:rsid w:val="009C4955"/>
    <w:rsid w:val="009C4A31"/>
    <w:rsid w:val="009C4BA9"/>
    <w:rsid w:val="009C4C4B"/>
    <w:rsid w:val="009C4C52"/>
    <w:rsid w:val="009C4D59"/>
    <w:rsid w:val="009C4DDD"/>
    <w:rsid w:val="009C4E79"/>
    <w:rsid w:val="009C4EDD"/>
    <w:rsid w:val="009C4EE6"/>
    <w:rsid w:val="009C4F71"/>
    <w:rsid w:val="009C5068"/>
    <w:rsid w:val="009C5074"/>
    <w:rsid w:val="009C50ED"/>
    <w:rsid w:val="009C50EE"/>
    <w:rsid w:val="009C50F1"/>
    <w:rsid w:val="009C515C"/>
    <w:rsid w:val="009C51A2"/>
    <w:rsid w:val="009C5273"/>
    <w:rsid w:val="009C53EC"/>
    <w:rsid w:val="009C5472"/>
    <w:rsid w:val="009C551E"/>
    <w:rsid w:val="009C5573"/>
    <w:rsid w:val="009C55E6"/>
    <w:rsid w:val="009C5694"/>
    <w:rsid w:val="009C56A4"/>
    <w:rsid w:val="009C56D3"/>
    <w:rsid w:val="009C5782"/>
    <w:rsid w:val="009C579D"/>
    <w:rsid w:val="009C57DE"/>
    <w:rsid w:val="009C5916"/>
    <w:rsid w:val="009C5957"/>
    <w:rsid w:val="009C5965"/>
    <w:rsid w:val="009C599D"/>
    <w:rsid w:val="009C59B4"/>
    <w:rsid w:val="009C5B31"/>
    <w:rsid w:val="009C5B9E"/>
    <w:rsid w:val="009C5BE9"/>
    <w:rsid w:val="009C5C68"/>
    <w:rsid w:val="009C5D2B"/>
    <w:rsid w:val="009C5D2F"/>
    <w:rsid w:val="009C5D84"/>
    <w:rsid w:val="009C5E31"/>
    <w:rsid w:val="009C5EC6"/>
    <w:rsid w:val="009C5EEB"/>
    <w:rsid w:val="009C5F2D"/>
    <w:rsid w:val="009C5FD6"/>
    <w:rsid w:val="009C6072"/>
    <w:rsid w:val="009C6147"/>
    <w:rsid w:val="009C6238"/>
    <w:rsid w:val="009C6348"/>
    <w:rsid w:val="009C64F4"/>
    <w:rsid w:val="009C6517"/>
    <w:rsid w:val="009C6591"/>
    <w:rsid w:val="009C65C4"/>
    <w:rsid w:val="009C65CA"/>
    <w:rsid w:val="009C6610"/>
    <w:rsid w:val="009C665F"/>
    <w:rsid w:val="009C66F1"/>
    <w:rsid w:val="009C6728"/>
    <w:rsid w:val="009C6756"/>
    <w:rsid w:val="009C697E"/>
    <w:rsid w:val="009C6A20"/>
    <w:rsid w:val="009C6AF8"/>
    <w:rsid w:val="009C6C2C"/>
    <w:rsid w:val="009C6CB7"/>
    <w:rsid w:val="009C6CCB"/>
    <w:rsid w:val="009C6CF1"/>
    <w:rsid w:val="009C6DD9"/>
    <w:rsid w:val="009C6E32"/>
    <w:rsid w:val="009C6EB8"/>
    <w:rsid w:val="009C6EBF"/>
    <w:rsid w:val="009C6EDB"/>
    <w:rsid w:val="009C6F2E"/>
    <w:rsid w:val="009C6FAE"/>
    <w:rsid w:val="009C6FCE"/>
    <w:rsid w:val="009C6FE7"/>
    <w:rsid w:val="009C70DC"/>
    <w:rsid w:val="009C70F5"/>
    <w:rsid w:val="009C70FB"/>
    <w:rsid w:val="009C7184"/>
    <w:rsid w:val="009C74BD"/>
    <w:rsid w:val="009C7549"/>
    <w:rsid w:val="009C75E3"/>
    <w:rsid w:val="009C76CC"/>
    <w:rsid w:val="009C76D8"/>
    <w:rsid w:val="009C7792"/>
    <w:rsid w:val="009C77C0"/>
    <w:rsid w:val="009C77C8"/>
    <w:rsid w:val="009C783D"/>
    <w:rsid w:val="009C78AE"/>
    <w:rsid w:val="009C78F4"/>
    <w:rsid w:val="009C7915"/>
    <w:rsid w:val="009C7917"/>
    <w:rsid w:val="009C79C3"/>
    <w:rsid w:val="009C7AFD"/>
    <w:rsid w:val="009C7B95"/>
    <w:rsid w:val="009C7EA1"/>
    <w:rsid w:val="009C7F9B"/>
    <w:rsid w:val="009D001E"/>
    <w:rsid w:val="009D009A"/>
    <w:rsid w:val="009D012B"/>
    <w:rsid w:val="009D018A"/>
    <w:rsid w:val="009D0195"/>
    <w:rsid w:val="009D01C2"/>
    <w:rsid w:val="009D024A"/>
    <w:rsid w:val="009D02DA"/>
    <w:rsid w:val="009D032F"/>
    <w:rsid w:val="009D0333"/>
    <w:rsid w:val="009D0377"/>
    <w:rsid w:val="009D03DD"/>
    <w:rsid w:val="009D048B"/>
    <w:rsid w:val="009D04BF"/>
    <w:rsid w:val="009D04E1"/>
    <w:rsid w:val="009D04EA"/>
    <w:rsid w:val="009D050D"/>
    <w:rsid w:val="009D0639"/>
    <w:rsid w:val="009D06BE"/>
    <w:rsid w:val="009D06EA"/>
    <w:rsid w:val="009D0738"/>
    <w:rsid w:val="009D076F"/>
    <w:rsid w:val="009D0781"/>
    <w:rsid w:val="009D078A"/>
    <w:rsid w:val="009D0919"/>
    <w:rsid w:val="009D0ABD"/>
    <w:rsid w:val="009D0B97"/>
    <w:rsid w:val="009D0D32"/>
    <w:rsid w:val="009D0E64"/>
    <w:rsid w:val="009D0EC8"/>
    <w:rsid w:val="009D0F08"/>
    <w:rsid w:val="009D101B"/>
    <w:rsid w:val="009D1140"/>
    <w:rsid w:val="009D115A"/>
    <w:rsid w:val="009D1177"/>
    <w:rsid w:val="009D11BE"/>
    <w:rsid w:val="009D11C9"/>
    <w:rsid w:val="009D1409"/>
    <w:rsid w:val="009D1420"/>
    <w:rsid w:val="009D1562"/>
    <w:rsid w:val="009D1575"/>
    <w:rsid w:val="009D1615"/>
    <w:rsid w:val="009D163B"/>
    <w:rsid w:val="009D1745"/>
    <w:rsid w:val="009D17CB"/>
    <w:rsid w:val="009D1836"/>
    <w:rsid w:val="009D18BF"/>
    <w:rsid w:val="009D1900"/>
    <w:rsid w:val="009D190B"/>
    <w:rsid w:val="009D1939"/>
    <w:rsid w:val="009D19C4"/>
    <w:rsid w:val="009D1A2A"/>
    <w:rsid w:val="009D1A64"/>
    <w:rsid w:val="009D1ABB"/>
    <w:rsid w:val="009D1ADE"/>
    <w:rsid w:val="009D1BCB"/>
    <w:rsid w:val="009D1BEF"/>
    <w:rsid w:val="009D1BF1"/>
    <w:rsid w:val="009D1C21"/>
    <w:rsid w:val="009D1CED"/>
    <w:rsid w:val="009D1D73"/>
    <w:rsid w:val="009D1DBA"/>
    <w:rsid w:val="009D1DFC"/>
    <w:rsid w:val="009D1E2E"/>
    <w:rsid w:val="009D1EF1"/>
    <w:rsid w:val="009D1F4D"/>
    <w:rsid w:val="009D1FA0"/>
    <w:rsid w:val="009D1FBC"/>
    <w:rsid w:val="009D1FEE"/>
    <w:rsid w:val="009D20E1"/>
    <w:rsid w:val="009D217E"/>
    <w:rsid w:val="009D219C"/>
    <w:rsid w:val="009D21F5"/>
    <w:rsid w:val="009D222F"/>
    <w:rsid w:val="009D2267"/>
    <w:rsid w:val="009D22F1"/>
    <w:rsid w:val="009D2358"/>
    <w:rsid w:val="009D2413"/>
    <w:rsid w:val="009D248F"/>
    <w:rsid w:val="009D251F"/>
    <w:rsid w:val="009D253B"/>
    <w:rsid w:val="009D255E"/>
    <w:rsid w:val="009D2591"/>
    <w:rsid w:val="009D2597"/>
    <w:rsid w:val="009D2609"/>
    <w:rsid w:val="009D26B8"/>
    <w:rsid w:val="009D26CB"/>
    <w:rsid w:val="009D2742"/>
    <w:rsid w:val="009D279C"/>
    <w:rsid w:val="009D296A"/>
    <w:rsid w:val="009D297C"/>
    <w:rsid w:val="009D297D"/>
    <w:rsid w:val="009D29C8"/>
    <w:rsid w:val="009D2AB3"/>
    <w:rsid w:val="009D2B27"/>
    <w:rsid w:val="009D2B91"/>
    <w:rsid w:val="009D2CCD"/>
    <w:rsid w:val="009D2E0A"/>
    <w:rsid w:val="009D2EBF"/>
    <w:rsid w:val="009D2ED8"/>
    <w:rsid w:val="009D2F67"/>
    <w:rsid w:val="009D30B4"/>
    <w:rsid w:val="009D30C6"/>
    <w:rsid w:val="009D31AB"/>
    <w:rsid w:val="009D3201"/>
    <w:rsid w:val="009D3318"/>
    <w:rsid w:val="009D3506"/>
    <w:rsid w:val="009D3507"/>
    <w:rsid w:val="009D35AA"/>
    <w:rsid w:val="009D3694"/>
    <w:rsid w:val="009D36D1"/>
    <w:rsid w:val="009D3778"/>
    <w:rsid w:val="009D37A0"/>
    <w:rsid w:val="009D37AC"/>
    <w:rsid w:val="009D38FD"/>
    <w:rsid w:val="009D396F"/>
    <w:rsid w:val="009D3978"/>
    <w:rsid w:val="009D39B2"/>
    <w:rsid w:val="009D3ADA"/>
    <w:rsid w:val="009D3BF0"/>
    <w:rsid w:val="009D3C24"/>
    <w:rsid w:val="009D3CAA"/>
    <w:rsid w:val="009D3CEC"/>
    <w:rsid w:val="009D3D3A"/>
    <w:rsid w:val="009D3D6F"/>
    <w:rsid w:val="009D3EEE"/>
    <w:rsid w:val="009D3F0B"/>
    <w:rsid w:val="009D3F30"/>
    <w:rsid w:val="009D4022"/>
    <w:rsid w:val="009D40E3"/>
    <w:rsid w:val="009D4124"/>
    <w:rsid w:val="009D4200"/>
    <w:rsid w:val="009D4206"/>
    <w:rsid w:val="009D422C"/>
    <w:rsid w:val="009D4236"/>
    <w:rsid w:val="009D433F"/>
    <w:rsid w:val="009D438D"/>
    <w:rsid w:val="009D444B"/>
    <w:rsid w:val="009D45E1"/>
    <w:rsid w:val="009D4609"/>
    <w:rsid w:val="009D46F8"/>
    <w:rsid w:val="009D48C0"/>
    <w:rsid w:val="009D48D7"/>
    <w:rsid w:val="009D48F4"/>
    <w:rsid w:val="009D49EB"/>
    <w:rsid w:val="009D4AC9"/>
    <w:rsid w:val="009D4B84"/>
    <w:rsid w:val="009D4F58"/>
    <w:rsid w:val="009D5075"/>
    <w:rsid w:val="009D507A"/>
    <w:rsid w:val="009D50B6"/>
    <w:rsid w:val="009D50E8"/>
    <w:rsid w:val="009D5107"/>
    <w:rsid w:val="009D5157"/>
    <w:rsid w:val="009D5253"/>
    <w:rsid w:val="009D5265"/>
    <w:rsid w:val="009D531F"/>
    <w:rsid w:val="009D537D"/>
    <w:rsid w:val="009D5443"/>
    <w:rsid w:val="009D5476"/>
    <w:rsid w:val="009D55AB"/>
    <w:rsid w:val="009D55C6"/>
    <w:rsid w:val="009D56A8"/>
    <w:rsid w:val="009D56DB"/>
    <w:rsid w:val="009D573D"/>
    <w:rsid w:val="009D5774"/>
    <w:rsid w:val="009D5909"/>
    <w:rsid w:val="009D5959"/>
    <w:rsid w:val="009D59B9"/>
    <w:rsid w:val="009D5A79"/>
    <w:rsid w:val="009D5AFA"/>
    <w:rsid w:val="009D5B39"/>
    <w:rsid w:val="009D5BC8"/>
    <w:rsid w:val="009D5C4D"/>
    <w:rsid w:val="009D5C64"/>
    <w:rsid w:val="009D5D4E"/>
    <w:rsid w:val="009D5D6E"/>
    <w:rsid w:val="009D5D8E"/>
    <w:rsid w:val="009D5DE5"/>
    <w:rsid w:val="009D5E02"/>
    <w:rsid w:val="009D5E44"/>
    <w:rsid w:val="009D5E56"/>
    <w:rsid w:val="009D5F4D"/>
    <w:rsid w:val="009D5FA8"/>
    <w:rsid w:val="009D604D"/>
    <w:rsid w:val="009D60F2"/>
    <w:rsid w:val="009D611E"/>
    <w:rsid w:val="009D616E"/>
    <w:rsid w:val="009D6490"/>
    <w:rsid w:val="009D6583"/>
    <w:rsid w:val="009D6630"/>
    <w:rsid w:val="009D6682"/>
    <w:rsid w:val="009D6714"/>
    <w:rsid w:val="009D6801"/>
    <w:rsid w:val="009D681E"/>
    <w:rsid w:val="009D684A"/>
    <w:rsid w:val="009D68CF"/>
    <w:rsid w:val="009D694D"/>
    <w:rsid w:val="009D698E"/>
    <w:rsid w:val="009D6A5F"/>
    <w:rsid w:val="009D6C03"/>
    <w:rsid w:val="009D6C48"/>
    <w:rsid w:val="009D6C9F"/>
    <w:rsid w:val="009D6CA6"/>
    <w:rsid w:val="009D6CFA"/>
    <w:rsid w:val="009D6D61"/>
    <w:rsid w:val="009D6DC3"/>
    <w:rsid w:val="009D6DF7"/>
    <w:rsid w:val="009D6E2E"/>
    <w:rsid w:val="009D6E83"/>
    <w:rsid w:val="009D6E8B"/>
    <w:rsid w:val="009D6EC3"/>
    <w:rsid w:val="009D6F34"/>
    <w:rsid w:val="009D6F86"/>
    <w:rsid w:val="009D6FBC"/>
    <w:rsid w:val="009D70A4"/>
    <w:rsid w:val="009D71BE"/>
    <w:rsid w:val="009D7327"/>
    <w:rsid w:val="009D7371"/>
    <w:rsid w:val="009D74AB"/>
    <w:rsid w:val="009D7566"/>
    <w:rsid w:val="009D7602"/>
    <w:rsid w:val="009D760A"/>
    <w:rsid w:val="009D762B"/>
    <w:rsid w:val="009D773B"/>
    <w:rsid w:val="009D7753"/>
    <w:rsid w:val="009D77F6"/>
    <w:rsid w:val="009D78DB"/>
    <w:rsid w:val="009D79A6"/>
    <w:rsid w:val="009D79B4"/>
    <w:rsid w:val="009D79BF"/>
    <w:rsid w:val="009D79CE"/>
    <w:rsid w:val="009D79DC"/>
    <w:rsid w:val="009D7B2C"/>
    <w:rsid w:val="009D7CA1"/>
    <w:rsid w:val="009D7CBD"/>
    <w:rsid w:val="009D7CC5"/>
    <w:rsid w:val="009D7D8F"/>
    <w:rsid w:val="009D7DF2"/>
    <w:rsid w:val="009D7F32"/>
    <w:rsid w:val="009D7F3C"/>
    <w:rsid w:val="009D7FAA"/>
    <w:rsid w:val="009D7FB8"/>
    <w:rsid w:val="009E007D"/>
    <w:rsid w:val="009E01A4"/>
    <w:rsid w:val="009E01BA"/>
    <w:rsid w:val="009E027D"/>
    <w:rsid w:val="009E0298"/>
    <w:rsid w:val="009E044D"/>
    <w:rsid w:val="009E047E"/>
    <w:rsid w:val="009E04FD"/>
    <w:rsid w:val="009E0529"/>
    <w:rsid w:val="009E057B"/>
    <w:rsid w:val="009E05F0"/>
    <w:rsid w:val="009E0606"/>
    <w:rsid w:val="009E0668"/>
    <w:rsid w:val="009E06BD"/>
    <w:rsid w:val="009E06C8"/>
    <w:rsid w:val="009E0713"/>
    <w:rsid w:val="009E0788"/>
    <w:rsid w:val="009E07C3"/>
    <w:rsid w:val="009E0902"/>
    <w:rsid w:val="009E0974"/>
    <w:rsid w:val="009E0ACA"/>
    <w:rsid w:val="009E0CD6"/>
    <w:rsid w:val="009E0D75"/>
    <w:rsid w:val="009E0FC1"/>
    <w:rsid w:val="009E0FFE"/>
    <w:rsid w:val="009E10AA"/>
    <w:rsid w:val="009E115C"/>
    <w:rsid w:val="009E1250"/>
    <w:rsid w:val="009E12F2"/>
    <w:rsid w:val="009E1381"/>
    <w:rsid w:val="009E138F"/>
    <w:rsid w:val="009E13F6"/>
    <w:rsid w:val="009E1551"/>
    <w:rsid w:val="009E1562"/>
    <w:rsid w:val="009E166B"/>
    <w:rsid w:val="009E1824"/>
    <w:rsid w:val="009E18CA"/>
    <w:rsid w:val="009E1AC5"/>
    <w:rsid w:val="009E1B0D"/>
    <w:rsid w:val="009E1BAD"/>
    <w:rsid w:val="009E1BC2"/>
    <w:rsid w:val="009E1C33"/>
    <w:rsid w:val="009E1DB3"/>
    <w:rsid w:val="009E1E98"/>
    <w:rsid w:val="009E1E9E"/>
    <w:rsid w:val="009E1ECF"/>
    <w:rsid w:val="009E1F3D"/>
    <w:rsid w:val="009E2009"/>
    <w:rsid w:val="009E2024"/>
    <w:rsid w:val="009E2062"/>
    <w:rsid w:val="009E20DF"/>
    <w:rsid w:val="009E21E1"/>
    <w:rsid w:val="009E223C"/>
    <w:rsid w:val="009E2243"/>
    <w:rsid w:val="009E2288"/>
    <w:rsid w:val="009E22F6"/>
    <w:rsid w:val="009E2340"/>
    <w:rsid w:val="009E2484"/>
    <w:rsid w:val="009E26B5"/>
    <w:rsid w:val="009E270D"/>
    <w:rsid w:val="009E274C"/>
    <w:rsid w:val="009E275E"/>
    <w:rsid w:val="009E27B6"/>
    <w:rsid w:val="009E2867"/>
    <w:rsid w:val="009E286C"/>
    <w:rsid w:val="009E2998"/>
    <w:rsid w:val="009E2AB8"/>
    <w:rsid w:val="009E2B1E"/>
    <w:rsid w:val="009E2B29"/>
    <w:rsid w:val="009E2BEC"/>
    <w:rsid w:val="009E2C01"/>
    <w:rsid w:val="009E2E0D"/>
    <w:rsid w:val="009E2E19"/>
    <w:rsid w:val="009E2F2D"/>
    <w:rsid w:val="009E2F88"/>
    <w:rsid w:val="009E31A3"/>
    <w:rsid w:val="009E323A"/>
    <w:rsid w:val="009E3262"/>
    <w:rsid w:val="009E330D"/>
    <w:rsid w:val="009E336C"/>
    <w:rsid w:val="009E33B3"/>
    <w:rsid w:val="009E34BA"/>
    <w:rsid w:val="009E34D5"/>
    <w:rsid w:val="009E34D9"/>
    <w:rsid w:val="009E3520"/>
    <w:rsid w:val="009E3554"/>
    <w:rsid w:val="009E35B1"/>
    <w:rsid w:val="009E35D0"/>
    <w:rsid w:val="009E3669"/>
    <w:rsid w:val="009E37C9"/>
    <w:rsid w:val="009E38FD"/>
    <w:rsid w:val="009E396E"/>
    <w:rsid w:val="009E3A0E"/>
    <w:rsid w:val="009E3A43"/>
    <w:rsid w:val="009E3AAD"/>
    <w:rsid w:val="009E3B83"/>
    <w:rsid w:val="009E3C28"/>
    <w:rsid w:val="009E3C40"/>
    <w:rsid w:val="009E3D36"/>
    <w:rsid w:val="009E3D48"/>
    <w:rsid w:val="009E3DFB"/>
    <w:rsid w:val="009E3E47"/>
    <w:rsid w:val="009E3E68"/>
    <w:rsid w:val="009E3EC6"/>
    <w:rsid w:val="009E3EF4"/>
    <w:rsid w:val="009E3F88"/>
    <w:rsid w:val="009E40A0"/>
    <w:rsid w:val="009E40FB"/>
    <w:rsid w:val="009E41F2"/>
    <w:rsid w:val="009E4252"/>
    <w:rsid w:val="009E4312"/>
    <w:rsid w:val="009E4334"/>
    <w:rsid w:val="009E4363"/>
    <w:rsid w:val="009E43D7"/>
    <w:rsid w:val="009E45FF"/>
    <w:rsid w:val="009E46A9"/>
    <w:rsid w:val="009E47D9"/>
    <w:rsid w:val="009E4802"/>
    <w:rsid w:val="009E484F"/>
    <w:rsid w:val="009E491F"/>
    <w:rsid w:val="009E49F6"/>
    <w:rsid w:val="009E4A07"/>
    <w:rsid w:val="009E4A13"/>
    <w:rsid w:val="009E4A76"/>
    <w:rsid w:val="009E4B6B"/>
    <w:rsid w:val="009E4BDC"/>
    <w:rsid w:val="009E4BF1"/>
    <w:rsid w:val="009E4BF7"/>
    <w:rsid w:val="009E4C2B"/>
    <w:rsid w:val="009E4C54"/>
    <w:rsid w:val="009E4CC6"/>
    <w:rsid w:val="009E4CE2"/>
    <w:rsid w:val="009E4D38"/>
    <w:rsid w:val="009E4D64"/>
    <w:rsid w:val="009E4D95"/>
    <w:rsid w:val="009E4DCA"/>
    <w:rsid w:val="009E4DE3"/>
    <w:rsid w:val="009E4F3E"/>
    <w:rsid w:val="009E50BB"/>
    <w:rsid w:val="009E50C7"/>
    <w:rsid w:val="009E51B5"/>
    <w:rsid w:val="009E5332"/>
    <w:rsid w:val="009E53C7"/>
    <w:rsid w:val="009E53DE"/>
    <w:rsid w:val="009E53F7"/>
    <w:rsid w:val="009E5475"/>
    <w:rsid w:val="009E559C"/>
    <w:rsid w:val="009E55C1"/>
    <w:rsid w:val="009E57EE"/>
    <w:rsid w:val="009E58EB"/>
    <w:rsid w:val="009E5921"/>
    <w:rsid w:val="009E5986"/>
    <w:rsid w:val="009E5988"/>
    <w:rsid w:val="009E59E7"/>
    <w:rsid w:val="009E5AC2"/>
    <w:rsid w:val="009E5B1A"/>
    <w:rsid w:val="009E5B67"/>
    <w:rsid w:val="009E5C76"/>
    <w:rsid w:val="009E5CAA"/>
    <w:rsid w:val="009E5DF1"/>
    <w:rsid w:val="009E5EFB"/>
    <w:rsid w:val="009E5F13"/>
    <w:rsid w:val="009E5F4F"/>
    <w:rsid w:val="009E5FCB"/>
    <w:rsid w:val="009E6019"/>
    <w:rsid w:val="009E602B"/>
    <w:rsid w:val="009E602F"/>
    <w:rsid w:val="009E60F6"/>
    <w:rsid w:val="009E613D"/>
    <w:rsid w:val="009E614C"/>
    <w:rsid w:val="009E61CF"/>
    <w:rsid w:val="009E6206"/>
    <w:rsid w:val="009E63C4"/>
    <w:rsid w:val="009E640E"/>
    <w:rsid w:val="009E647E"/>
    <w:rsid w:val="009E64A4"/>
    <w:rsid w:val="009E6502"/>
    <w:rsid w:val="009E6601"/>
    <w:rsid w:val="009E660B"/>
    <w:rsid w:val="009E6640"/>
    <w:rsid w:val="009E6650"/>
    <w:rsid w:val="009E669B"/>
    <w:rsid w:val="009E677A"/>
    <w:rsid w:val="009E679C"/>
    <w:rsid w:val="009E68B7"/>
    <w:rsid w:val="009E6914"/>
    <w:rsid w:val="009E6971"/>
    <w:rsid w:val="009E69A2"/>
    <w:rsid w:val="009E6AE0"/>
    <w:rsid w:val="009E6B3C"/>
    <w:rsid w:val="009E6BAB"/>
    <w:rsid w:val="009E6C8A"/>
    <w:rsid w:val="009E6D0A"/>
    <w:rsid w:val="009E6D63"/>
    <w:rsid w:val="009E6DC2"/>
    <w:rsid w:val="009E6E4F"/>
    <w:rsid w:val="009E6E6A"/>
    <w:rsid w:val="009E6F04"/>
    <w:rsid w:val="009E6F13"/>
    <w:rsid w:val="009E6F7A"/>
    <w:rsid w:val="009E7052"/>
    <w:rsid w:val="009E71DE"/>
    <w:rsid w:val="009E71E3"/>
    <w:rsid w:val="009E7217"/>
    <w:rsid w:val="009E72D3"/>
    <w:rsid w:val="009E7326"/>
    <w:rsid w:val="009E7374"/>
    <w:rsid w:val="009E74FA"/>
    <w:rsid w:val="009E7502"/>
    <w:rsid w:val="009E7548"/>
    <w:rsid w:val="009E75A0"/>
    <w:rsid w:val="009E76D0"/>
    <w:rsid w:val="009E76FE"/>
    <w:rsid w:val="009E78FE"/>
    <w:rsid w:val="009E7A0C"/>
    <w:rsid w:val="009E7A19"/>
    <w:rsid w:val="009E7A27"/>
    <w:rsid w:val="009E7AB5"/>
    <w:rsid w:val="009E7B35"/>
    <w:rsid w:val="009E7D16"/>
    <w:rsid w:val="009E7DAA"/>
    <w:rsid w:val="009E7E8B"/>
    <w:rsid w:val="009E7F81"/>
    <w:rsid w:val="009E7FC9"/>
    <w:rsid w:val="009E7FE4"/>
    <w:rsid w:val="009F000B"/>
    <w:rsid w:val="009F0061"/>
    <w:rsid w:val="009F00EB"/>
    <w:rsid w:val="009F0108"/>
    <w:rsid w:val="009F020A"/>
    <w:rsid w:val="009F022B"/>
    <w:rsid w:val="009F0276"/>
    <w:rsid w:val="009F02C9"/>
    <w:rsid w:val="009F0313"/>
    <w:rsid w:val="009F057B"/>
    <w:rsid w:val="009F057D"/>
    <w:rsid w:val="009F05AD"/>
    <w:rsid w:val="009F05BA"/>
    <w:rsid w:val="009F0648"/>
    <w:rsid w:val="009F06D2"/>
    <w:rsid w:val="009F07A9"/>
    <w:rsid w:val="009F09D5"/>
    <w:rsid w:val="009F0AE6"/>
    <w:rsid w:val="009F0B85"/>
    <w:rsid w:val="009F0C32"/>
    <w:rsid w:val="009F0CF9"/>
    <w:rsid w:val="009F0E88"/>
    <w:rsid w:val="009F0E9E"/>
    <w:rsid w:val="009F0EE6"/>
    <w:rsid w:val="009F0EE7"/>
    <w:rsid w:val="009F0F30"/>
    <w:rsid w:val="009F0F36"/>
    <w:rsid w:val="009F0F54"/>
    <w:rsid w:val="009F0FBF"/>
    <w:rsid w:val="009F0FEC"/>
    <w:rsid w:val="009F10F9"/>
    <w:rsid w:val="009F111A"/>
    <w:rsid w:val="009F116D"/>
    <w:rsid w:val="009F11AC"/>
    <w:rsid w:val="009F1241"/>
    <w:rsid w:val="009F127A"/>
    <w:rsid w:val="009F135B"/>
    <w:rsid w:val="009F13F0"/>
    <w:rsid w:val="009F14DB"/>
    <w:rsid w:val="009F1568"/>
    <w:rsid w:val="009F1847"/>
    <w:rsid w:val="009F18C9"/>
    <w:rsid w:val="009F1A25"/>
    <w:rsid w:val="009F1A4E"/>
    <w:rsid w:val="009F1B9D"/>
    <w:rsid w:val="009F1BDE"/>
    <w:rsid w:val="009F1C39"/>
    <w:rsid w:val="009F1CE7"/>
    <w:rsid w:val="009F1D24"/>
    <w:rsid w:val="009F1E63"/>
    <w:rsid w:val="009F1FD1"/>
    <w:rsid w:val="009F208C"/>
    <w:rsid w:val="009F2098"/>
    <w:rsid w:val="009F20C1"/>
    <w:rsid w:val="009F219C"/>
    <w:rsid w:val="009F2201"/>
    <w:rsid w:val="009F224E"/>
    <w:rsid w:val="009F22A4"/>
    <w:rsid w:val="009F234F"/>
    <w:rsid w:val="009F2426"/>
    <w:rsid w:val="009F2431"/>
    <w:rsid w:val="009F25D1"/>
    <w:rsid w:val="009F2741"/>
    <w:rsid w:val="009F28AB"/>
    <w:rsid w:val="009F28C2"/>
    <w:rsid w:val="009F299C"/>
    <w:rsid w:val="009F29A8"/>
    <w:rsid w:val="009F29DE"/>
    <w:rsid w:val="009F2A51"/>
    <w:rsid w:val="009F2CA3"/>
    <w:rsid w:val="009F2D5E"/>
    <w:rsid w:val="009F2E2C"/>
    <w:rsid w:val="009F2F16"/>
    <w:rsid w:val="009F2F8D"/>
    <w:rsid w:val="009F3049"/>
    <w:rsid w:val="009F3094"/>
    <w:rsid w:val="009F30C2"/>
    <w:rsid w:val="009F3103"/>
    <w:rsid w:val="009F3114"/>
    <w:rsid w:val="009F31CD"/>
    <w:rsid w:val="009F31CF"/>
    <w:rsid w:val="009F3364"/>
    <w:rsid w:val="009F33C6"/>
    <w:rsid w:val="009F3400"/>
    <w:rsid w:val="009F349F"/>
    <w:rsid w:val="009F36D3"/>
    <w:rsid w:val="009F37F7"/>
    <w:rsid w:val="009F3989"/>
    <w:rsid w:val="009F39CD"/>
    <w:rsid w:val="009F3A41"/>
    <w:rsid w:val="009F3A65"/>
    <w:rsid w:val="009F3ADF"/>
    <w:rsid w:val="009F3B30"/>
    <w:rsid w:val="009F3BD6"/>
    <w:rsid w:val="009F3C0A"/>
    <w:rsid w:val="009F3C45"/>
    <w:rsid w:val="009F3C9B"/>
    <w:rsid w:val="009F3CBD"/>
    <w:rsid w:val="009F3CD5"/>
    <w:rsid w:val="009F3CE7"/>
    <w:rsid w:val="009F3D4F"/>
    <w:rsid w:val="009F3F2F"/>
    <w:rsid w:val="009F4003"/>
    <w:rsid w:val="009F405E"/>
    <w:rsid w:val="009F41EA"/>
    <w:rsid w:val="009F42D2"/>
    <w:rsid w:val="009F4304"/>
    <w:rsid w:val="009F4423"/>
    <w:rsid w:val="009F46EE"/>
    <w:rsid w:val="009F4700"/>
    <w:rsid w:val="009F4750"/>
    <w:rsid w:val="009F479E"/>
    <w:rsid w:val="009F47FE"/>
    <w:rsid w:val="009F4805"/>
    <w:rsid w:val="009F4952"/>
    <w:rsid w:val="009F495F"/>
    <w:rsid w:val="009F49E7"/>
    <w:rsid w:val="009F4A97"/>
    <w:rsid w:val="009F4AD8"/>
    <w:rsid w:val="009F4B96"/>
    <w:rsid w:val="009F4BC7"/>
    <w:rsid w:val="009F4C01"/>
    <w:rsid w:val="009F4CD8"/>
    <w:rsid w:val="009F4DE4"/>
    <w:rsid w:val="009F4E3E"/>
    <w:rsid w:val="009F4E77"/>
    <w:rsid w:val="009F4F01"/>
    <w:rsid w:val="009F4FB8"/>
    <w:rsid w:val="009F4FDC"/>
    <w:rsid w:val="009F5038"/>
    <w:rsid w:val="009F5081"/>
    <w:rsid w:val="009F5119"/>
    <w:rsid w:val="009F522D"/>
    <w:rsid w:val="009F525E"/>
    <w:rsid w:val="009F538A"/>
    <w:rsid w:val="009F5455"/>
    <w:rsid w:val="009F54F4"/>
    <w:rsid w:val="009F556C"/>
    <w:rsid w:val="009F5584"/>
    <w:rsid w:val="009F562E"/>
    <w:rsid w:val="009F581F"/>
    <w:rsid w:val="009F5828"/>
    <w:rsid w:val="009F588E"/>
    <w:rsid w:val="009F59B7"/>
    <w:rsid w:val="009F59B9"/>
    <w:rsid w:val="009F59FF"/>
    <w:rsid w:val="009F5A11"/>
    <w:rsid w:val="009F5AC2"/>
    <w:rsid w:val="009F5B1F"/>
    <w:rsid w:val="009F5C29"/>
    <w:rsid w:val="009F5C9F"/>
    <w:rsid w:val="009F5D2C"/>
    <w:rsid w:val="009F5F5F"/>
    <w:rsid w:val="009F5F85"/>
    <w:rsid w:val="009F5FC3"/>
    <w:rsid w:val="009F6224"/>
    <w:rsid w:val="009F6266"/>
    <w:rsid w:val="009F631D"/>
    <w:rsid w:val="009F63E4"/>
    <w:rsid w:val="009F64B4"/>
    <w:rsid w:val="009F64FD"/>
    <w:rsid w:val="009F6562"/>
    <w:rsid w:val="009F65E0"/>
    <w:rsid w:val="009F65EF"/>
    <w:rsid w:val="009F6650"/>
    <w:rsid w:val="009F6655"/>
    <w:rsid w:val="009F6737"/>
    <w:rsid w:val="009F6782"/>
    <w:rsid w:val="009F67A1"/>
    <w:rsid w:val="009F6940"/>
    <w:rsid w:val="009F6A6D"/>
    <w:rsid w:val="009F6AD1"/>
    <w:rsid w:val="009F6AED"/>
    <w:rsid w:val="009F6AF6"/>
    <w:rsid w:val="009F6BA5"/>
    <w:rsid w:val="009F6CBF"/>
    <w:rsid w:val="009F6CF0"/>
    <w:rsid w:val="009F6D14"/>
    <w:rsid w:val="009F6D8B"/>
    <w:rsid w:val="009F6E7D"/>
    <w:rsid w:val="009F70C5"/>
    <w:rsid w:val="009F70EE"/>
    <w:rsid w:val="009F7146"/>
    <w:rsid w:val="009F7176"/>
    <w:rsid w:val="009F718F"/>
    <w:rsid w:val="009F71C5"/>
    <w:rsid w:val="009F71F4"/>
    <w:rsid w:val="009F7220"/>
    <w:rsid w:val="009F74AE"/>
    <w:rsid w:val="009F74B1"/>
    <w:rsid w:val="009F74BE"/>
    <w:rsid w:val="009F7518"/>
    <w:rsid w:val="009F75E2"/>
    <w:rsid w:val="009F763C"/>
    <w:rsid w:val="009F7682"/>
    <w:rsid w:val="009F773E"/>
    <w:rsid w:val="009F774D"/>
    <w:rsid w:val="009F7751"/>
    <w:rsid w:val="009F7764"/>
    <w:rsid w:val="009F77CE"/>
    <w:rsid w:val="009F7815"/>
    <w:rsid w:val="009F78CB"/>
    <w:rsid w:val="009F7958"/>
    <w:rsid w:val="009F79DF"/>
    <w:rsid w:val="009F7B07"/>
    <w:rsid w:val="009F7B1D"/>
    <w:rsid w:val="009F7C31"/>
    <w:rsid w:val="009F7CEF"/>
    <w:rsid w:val="009F7E73"/>
    <w:rsid w:val="009F7F1B"/>
    <w:rsid w:val="009F7F3D"/>
    <w:rsid w:val="009F7F58"/>
    <w:rsid w:val="00A000A4"/>
    <w:rsid w:val="00A000AB"/>
    <w:rsid w:val="00A0011B"/>
    <w:rsid w:val="00A001D4"/>
    <w:rsid w:val="00A00280"/>
    <w:rsid w:val="00A00347"/>
    <w:rsid w:val="00A003F7"/>
    <w:rsid w:val="00A00536"/>
    <w:rsid w:val="00A00627"/>
    <w:rsid w:val="00A0077D"/>
    <w:rsid w:val="00A008E1"/>
    <w:rsid w:val="00A008EC"/>
    <w:rsid w:val="00A009C8"/>
    <w:rsid w:val="00A009D5"/>
    <w:rsid w:val="00A00A9B"/>
    <w:rsid w:val="00A00BB3"/>
    <w:rsid w:val="00A00C29"/>
    <w:rsid w:val="00A00D43"/>
    <w:rsid w:val="00A00D93"/>
    <w:rsid w:val="00A00DC5"/>
    <w:rsid w:val="00A00DF2"/>
    <w:rsid w:val="00A00E72"/>
    <w:rsid w:val="00A00E91"/>
    <w:rsid w:val="00A00F1A"/>
    <w:rsid w:val="00A0108D"/>
    <w:rsid w:val="00A0115C"/>
    <w:rsid w:val="00A011E5"/>
    <w:rsid w:val="00A01373"/>
    <w:rsid w:val="00A01528"/>
    <w:rsid w:val="00A01564"/>
    <w:rsid w:val="00A01645"/>
    <w:rsid w:val="00A016B5"/>
    <w:rsid w:val="00A016CE"/>
    <w:rsid w:val="00A01758"/>
    <w:rsid w:val="00A017CD"/>
    <w:rsid w:val="00A0182E"/>
    <w:rsid w:val="00A018EF"/>
    <w:rsid w:val="00A018F9"/>
    <w:rsid w:val="00A01913"/>
    <w:rsid w:val="00A01927"/>
    <w:rsid w:val="00A01932"/>
    <w:rsid w:val="00A0195B"/>
    <w:rsid w:val="00A019EB"/>
    <w:rsid w:val="00A01A49"/>
    <w:rsid w:val="00A01CAB"/>
    <w:rsid w:val="00A01D06"/>
    <w:rsid w:val="00A01DDF"/>
    <w:rsid w:val="00A01DED"/>
    <w:rsid w:val="00A01DF7"/>
    <w:rsid w:val="00A01E1F"/>
    <w:rsid w:val="00A01E9F"/>
    <w:rsid w:val="00A01EE4"/>
    <w:rsid w:val="00A0201A"/>
    <w:rsid w:val="00A0202C"/>
    <w:rsid w:val="00A0214B"/>
    <w:rsid w:val="00A0215F"/>
    <w:rsid w:val="00A0229A"/>
    <w:rsid w:val="00A02400"/>
    <w:rsid w:val="00A024F9"/>
    <w:rsid w:val="00A02507"/>
    <w:rsid w:val="00A02586"/>
    <w:rsid w:val="00A026BF"/>
    <w:rsid w:val="00A0285E"/>
    <w:rsid w:val="00A0288B"/>
    <w:rsid w:val="00A028CF"/>
    <w:rsid w:val="00A029A7"/>
    <w:rsid w:val="00A02A7A"/>
    <w:rsid w:val="00A02ACF"/>
    <w:rsid w:val="00A02C71"/>
    <w:rsid w:val="00A02D14"/>
    <w:rsid w:val="00A02DC3"/>
    <w:rsid w:val="00A02DD6"/>
    <w:rsid w:val="00A02EA5"/>
    <w:rsid w:val="00A02EE0"/>
    <w:rsid w:val="00A02F81"/>
    <w:rsid w:val="00A02FA4"/>
    <w:rsid w:val="00A02FC4"/>
    <w:rsid w:val="00A032FE"/>
    <w:rsid w:val="00A0347E"/>
    <w:rsid w:val="00A034EB"/>
    <w:rsid w:val="00A0354B"/>
    <w:rsid w:val="00A03555"/>
    <w:rsid w:val="00A03569"/>
    <w:rsid w:val="00A03578"/>
    <w:rsid w:val="00A035A7"/>
    <w:rsid w:val="00A0362F"/>
    <w:rsid w:val="00A036BE"/>
    <w:rsid w:val="00A0373A"/>
    <w:rsid w:val="00A037E4"/>
    <w:rsid w:val="00A03857"/>
    <w:rsid w:val="00A038AA"/>
    <w:rsid w:val="00A038E6"/>
    <w:rsid w:val="00A03A0C"/>
    <w:rsid w:val="00A03AF6"/>
    <w:rsid w:val="00A03B00"/>
    <w:rsid w:val="00A03B68"/>
    <w:rsid w:val="00A03B8F"/>
    <w:rsid w:val="00A03BD7"/>
    <w:rsid w:val="00A03CC8"/>
    <w:rsid w:val="00A03EEE"/>
    <w:rsid w:val="00A03FAE"/>
    <w:rsid w:val="00A04077"/>
    <w:rsid w:val="00A0413D"/>
    <w:rsid w:val="00A04143"/>
    <w:rsid w:val="00A041E2"/>
    <w:rsid w:val="00A04205"/>
    <w:rsid w:val="00A0420B"/>
    <w:rsid w:val="00A0427D"/>
    <w:rsid w:val="00A04350"/>
    <w:rsid w:val="00A045B0"/>
    <w:rsid w:val="00A047F4"/>
    <w:rsid w:val="00A04867"/>
    <w:rsid w:val="00A04950"/>
    <w:rsid w:val="00A04A5B"/>
    <w:rsid w:val="00A04A9C"/>
    <w:rsid w:val="00A04B33"/>
    <w:rsid w:val="00A04C33"/>
    <w:rsid w:val="00A04C4E"/>
    <w:rsid w:val="00A04CCC"/>
    <w:rsid w:val="00A04CFC"/>
    <w:rsid w:val="00A04D70"/>
    <w:rsid w:val="00A04F58"/>
    <w:rsid w:val="00A0502E"/>
    <w:rsid w:val="00A0517F"/>
    <w:rsid w:val="00A051D2"/>
    <w:rsid w:val="00A05269"/>
    <w:rsid w:val="00A054FD"/>
    <w:rsid w:val="00A0552B"/>
    <w:rsid w:val="00A0556F"/>
    <w:rsid w:val="00A0564A"/>
    <w:rsid w:val="00A05695"/>
    <w:rsid w:val="00A056A0"/>
    <w:rsid w:val="00A057AD"/>
    <w:rsid w:val="00A057EC"/>
    <w:rsid w:val="00A05972"/>
    <w:rsid w:val="00A05A2D"/>
    <w:rsid w:val="00A05B8D"/>
    <w:rsid w:val="00A05B9F"/>
    <w:rsid w:val="00A05C0E"/>
    <w:rsid w:val="00A05D60"/>
    <w:rsid w:val="00A05D6C"/>
    <w:rsid w:val="00A05DA9"/>
    <w:rsid w:val="00A05DE0"/>
    <w:rsid w:val="00A05E0D"/>
    <w:rsid w:val="00A05E50"/>
    <w:rsid w:val="00A05E5D"/>
    <w:rsid w:val="00A05F62"/>
    <w:rsid w:val="00A05F66"/>
    <w:rsid w:val="00A05FA2"/>
    <w:rsid w:val="00A05FA5"/>
    <w:rsid w:val="00A05FBA"/>
    <w:rsid w:val="00A0633B"/>
    <w:rsid w:val="00A06401"/>
    <w:rsid w:val="00A06481"/>
    <w:rsid w:val="00A06506"/>
    <w:rsid w:val="00A06706"/>
    <w:rsid w:val="00A06708"/>
    <w:rsid w:val="00A06780"/>
    <w:rsid w:val="00A0692E"/>
    <w:rsid w:val="00A06A45"/>
    <w:rsid w:val="00A06AE0"/>
    <w:rsid w:val="00A06B11"/>
    <w:rsid w:val="00A06BAF"/>
    <w:rsid w:val="00A06CEE"/>
    <w:rsid w:val="00A06D51"/>
    <w:rsid w:val="00A06DD6"/>
    <w:rsid w:val="00A06E27"/>
    <w:rsid w:val="00A06E7A"/>
    <w:rsid w:val="00A0703F"/>
    <w:rsid w:val="00A0704B"/>
    <w:rsid w:val="00A0713C"/>
    <w:rsid w:val="00A07170"/>
    <w:rsid w:val="00A0723D"/>
    <w:rsid w:val="00A07500"/>
    <w:rsid w:val="00A075EB"/>
    <w:rsid w:val="00A078D0"/>
    <w:rsid w:val="00A078D2"/>
    <w:rsid w:val="00A07908"/>
    <w:rsid w:val="00A079B9"/>
    <w:rsid w:val="00A07A78"/>
    <w:rsid w:val="00A07AAB"/>
    <w:rsid w:val="00A07BAD"/>
    <w:rsid w:val="00A07C26"/>
    <w:rsid w:val="00A07C49"/>
    <w:rsid w:val="00A07CA6"/>
    <w:rsid w:val="00A07CFE"/>
    <w:rsid w:val="00A07D1E"/>
    <w:rsid w:val="00A07DA8"/>
    <w:rsid w:val="00A07F98"/>
    <w:rsid w:val="00A1008C"/>
    <w:rsid w:val="00A100B5"/>
    <w:rsid w:val="00A101E6"/>
    <w:rsid w:val="00A10225"/>
    <w:rsid w:val="00A10276"/>
    <w:rsid w:val="00A102DD"/>
    <w:rsid w:val="00A10373"/>
    <w:rsid w:val="00A10383"/>
    <w:rsid w:val="00A10536"/>
    <w:rsid w:val="00A105D6"/>
    <w:rsid w:val="00A1060E"/>
    <w:rsid w:val="00A106D6"/>
    <w:rsid w:val="00A1090A"/>
    <w:rsid w:val="00A10974"/>
    <w:rsid w:val="00A1099C"/>
    <w:rsid w:val="00A109D2"/>
    <w:rsid w:val="00A10A6E"/>
    <w:rsid w:val="00A10D20"/>
    <w:rsid w:val="00A10D32"/>
    <w:rsid w:val="00A10DCD"/>
    <w:rsid w:val="00A10DD3"/>
    <w:rsid w:val="00A10EAC"/>
    <w:rsid w:val="00A10EBC"/>
    <w:rsid w:val="00A10F27"/>
    <w:rsid w:val="00A10F2A"/>
    <w:rsid w:val="00A10F48"/>
    <w:rsid w:val="00A11051"/>
    <w:rsid w:val="00A11081"/>
    <w:rsid w:val="00A110A6"/>
    <w:rsid w:val="00A11502"/>
    <w:rsid w:val="00A11536"/>
    <w:rsid w:val="00A11570"/>
    <w:rsid w:val="00A1157B"/>
    <w:rsid w:val="00A115A7"/>
    <w:rsid w:val="00A1175B"/>
    <w:rsid w:val="00A1179B"/>
    <w:rsid w:val="00A117B2"/>
    <w:rsid w:val="00A11807"/>
    <w:rsid w:val="00A11885"/>
    <w:rsid w:val="00A11920"/>
    <w:rsid w:val="00A11992"/>
    <w:rsid w:val="00A11A8A"/>
    <w:rsid w:val="00A11AAC"/>
    <w:rsid w:val="00A11B54"/>
    <w:rsid w:val="00A11BC5"/>
    <w:rsid w:val="00A11BF9"/>
    <w:rsid w:val="00A11C2B"/>
    <w:rsid w:val="00A11CA0"/>
    <w:rsid w:val="00A11D4F"/>
    <w:rsid w:val="00A11DA3"/>
    <w:rsid w:val="00A11DBE"/>
    <w:rsid w:val="00A11DC9"/>
    <w:rsid w:val="00A11F6C"/>
    <w:rsid w:val="00A11FC2"/>
    <w:rsid w:val="00A12013"/>
    <w:rsid w:val="00A12059"/>
    <w:rsid w:val="00A12140"/>
    <w:rsid w:val="00A1214C"/>
    <w:rsid w:val="00A12152"/>
    <w:rsid w:val="00A12212"/>
    <w:rsid w:val="00A1223B"/>
    <w:rsid w:val="00A122F4"/>
    <w:rsid w:val="00A124AB"/>
    <w:rsid w:val="00A12514"/>
    <w:rsid w:val="00A1253E"/>
    <w:rsid w:val="00A12557"/>
    <w:rsid w:val="00A12585"/>
    <w:rsid w:val="00A125CF"/>
    <w:rsid w:val="00A12662"/>
    <w:rsid w:val="00A1270A"/>
    <w:rsid w:val="00A12780"/>
    <w:rsid w:val="00A127B0"/>
    <w:rsid w:val="00A127F8"/>
    <w:rsid w:val="00A1293D"/>
    <w:rsid w:val="00A12949"/>
    <w:rsid w:val="00A12951"/>
    <w:rsid w:val="00A12955"/>
    <w:rsid w:val="00A129C0"/>
    <w:rsid w:val="00A129F3"/>
    <w:rsid w:val="00A129FA"/>
    <w:rsid w:val="00A12AE6"/>
    <w:rsid w:val="00A12B2E"/>
    <w:rsid w:val="00A12B70"/>
    <w:rsid w:val="00A12C29"/>
    <w:rsid w:val="00A12C5A"/>
    <w:rsid w:val="00A12CCD"/>
    <w:rsid w:val="00A12D38"/>
    <w:rsid w:val="00A12DB2"/>
    <w:rsid w:val="00A12EFD"/>
    <w:rsid w:val="00A12F69"/>
    <w:rsid w:val="00A12F9E"/>
    <w:rsid w:val="00A13048"/>
    <w:rsid w:val="00A13112"/>
    <w:rsid w:val="00A131B9"/>
    <w:rsid w:val="00A1321F"/>
    <w:rsid w:val="00A1328E"/>
    <w:rsid w:val="00A132B0"/>
    <w:rsid w:val="00A13333"/>
    <w:rsid w:val="00A13427"/>
    <w:rsid w:val="00A1343F"/>
    <w:rsid w:val="00A1350A"/>
    <w:rsid w:val="00A1358B"/>
    <w:rsid w:val="00A135B5"/>
    <w:rsid w:val="00A1360F"/>
    <w:rsid w:val="00A13620"/>
    <w:rsid w:val="00A136D9"/>
    <w:rsid w:val="00A136EC"/>
    <w:rsid w:val="00A13786"/>
    <w:rsid w:val="00A137A9"/>
    <w:rsid w:val="00A1380E"/>
    <w:rsid w:val="00A1382B"/>
    <w:rsid w:val="00A1390C"/>
    <w:rsid w:val="00A13976"/>
    <w:rsid w:val="00A139EF"/>
    <w:rsid w:val="00A13A7A"/>
    <w:rsid w:val="00A13AA5"/>
    <w:rsid w:val="00A13AFB"/>
    <w:rsid w:val="00A13B63"/>
    <w:rsid w:val="00A13C07"/>
    <w:rsid w:val="00A13CAC"/>
    <w:rsid w:val="00A13D63"/>
    <w:rsid w:val="00A13D76"/>
    <w:rsid w:val="00A13DA1"/>
    <w:rsid w:val="00A13DCF"/>
    <w:rsid w:val="00A13E87"/>
    <w:rsid w:val="00A13EC5"/>
    <w:rsid w:val="00A13FED"/>
    <w:rsid w:val="00A14005"/>
    <w:rsid w:val="00A1402D"/>
    <w:rsid w:val="00A140BA"/>
    <w:rsid w:val="00A14212"/>
    <w:rsid w:val="00A142B5"/>
    <w:rsid w:val="00A14394"/>
    <w:rsid w:val="00A143B7"/>
    <w:rsid w:val="00A143E3"/>
    <w:rsid w:val="00A14499"/>
    <w:rsid w:val="00A144E4"/>
    <w:rsid w:val="00A14564"/>
    <w:rsid w:val="00A1477F"/>
    <w:rsid w:val="00A147E6"/>
    <w:rsid w:val="00A14808"/>
    <w:rsid w:val="00A14912"/>
    <w:rsid w:val="00A14944"/>
    <w:rsid w:val="00A1495E"/>
    <w:rsid w:val="00A1498B"/>
    <w:rsid w:val="00A14A2E"/>
    <w:rsid w:val="00A14B20"/>
    <w:rsid w:val="00A14C31"/>
    <w:rsid w:val="00A14D14"/>
    <w:rsid w:val="00A14DE6"/>
    <w:rsid w:val="00A14E2B"/>
    <w:rsid w:val="00A14F7C"/>
    <w:rsid w:val="00A14F8D"/>
    <w:rsid w:val="00A1502D"/>
    <w:rsid w:val="00A15079"/>
    <w:rsid w:val="00A150A9"/>
    <w:rsid w:val="00A150B9"/>
    <w:rsid w:val="00A152B1"/>
    <w:rsid w:val="00A152D2"/>
    <w:rsid w:val="00A153AC"/>
    <w:rsid w:val="00A1540F"/>
    <w:rsid w:val="00A15410"/>
    <w:rsid w:val="00A154A8"/>
    <w:rsid w:val="00A154B6"/>
    <w:rsid w:val="00A154EC"/>
    <w:rsid w:val="00A154F4"/>
    <w:rsid w:val="00A1564B"/>
    <w:rsid w:val="00A1568F"/>
    <w:rsid w:val="00A156DD"/>
    <w:rsid w:val="00A15854"/>
    <w:rsid w:val="00A159F2"/>
    <w:rsid w:val="00A15A43"/>
    <w:rsid w:val="00A15AE3"/>
    <w:rsid w:val="00A15BE7"/>
    <w:rsid w:val="00A15C67"/>
    <w:rsid w:val="00A15C7A"/>
    <w:rsid w:val="00A15D34"/>
    <w:rsid w:val="00A15DA0"/>
    <w:rsid w:val="00A15DC6"/>
    <w:rsid w:val="00A15E43"/>
    <w:rsid w:val="00A15E4B"/>
    <w:rsid w:val="00A15ED7"/>
    <w:rsid w:val="00A15EDC"/>
    <w:rsid w:val="00A15F7B"/>
    <w:rsid w:val="00A15FC4"/>
    <w:rsid w:val="00A160A7"/>
    <w:rsid w:val="00A160B0"/>
    <w:rsid w:val="00A1615A"/>
    <w:rsid w:val="00A161C4"/>
    <w:rsid w:val="00A16252"/>
    <w:rsid w:val="00A16317"/>
    <w:rsid w:val="00A16359"/>
    <w:rsid w:val="00A1644F"/>
    <w:rsid w:val="00A164F5"/>
    <w:rsid w:val="00A16554"/>
    <w:rsid w:val="00A165E7"/>
    <w:rsid w:val="00A16630"/>
    <w:rsid w:val="00A1671B"/>
    <w:rsid w:val="00A16779"/>
    <w:rsid w:val="00A1679D"/>
    <w:rsid w:val="00A167F9"/>
    <w:rsid w:val="00A168BD"/>
    <w:rsid w:val="00A1694C"/>
    <w:rsid w:val="00A1695B"/>
    <w:rsid w:val="00A1697D"/>
    <w:rsid w:val="00A16993"/>
    <w:rsid w:val="00A169FA"/>
    <w:rsid w:val="00A16A12"/>
    <w:rsid w:val="00A16B5B"/>
    <w:rsid w:val="00A16E38"/>
    <w:rsid w:val="00A16E42"/>
    <w:rsid w:val="00A16EBB"/>
    <w:rsid w:val="00A16F1E"/>
    <w:rsid w:val="00A17041"/>
    <w:rsid w:val="00A1706B"/>
    <w:rsid w:val="00A17071"/>
    <w:rsid w:val="00A1710D"/>
    <w:rsid w:val="00A172A2"/>
    <w:rsid w:val="00A1732A"/>
    <w:rsid w:val="00A17338"/>
    <w:rsid w:val="00A1733D"/>
    <w:rsid w:val="00A174A9"/>
    <w:rsid w:val="00A174DE"/>
    <w:rsid w:val="00A1758A"/>
    <w:rsid w:val="00A175B4"/>
    <w:rsid w:val="00A1769F"/>
    <w:rsid w:val="00A17853"/>
    <w:rsid w:val="00A1791D"/>
    <w:rsid w:val="00A17CBB"/>
    <w:rsid w:val="00A17CC4"/>
    <w:rsid w:val="00A17D0D"/>
    <w:rsid w:val="00A17E97"/>
    <w:rsid w:val="00A17F68"/>
    <w:rsid w:val="00A17F81"/>
    <w:rsid w:val="00A17F98"/>
    <w:rsid w:val="00A17FBA"/>
    <w:rsid w:val="00A17FFA"/>
    <w:rsid w:val="00A200E4"/>
    <w:rsid w:val="00A200E9"/>
    <w:rsid w:val="00A20135"/>
    <w:rsid w:val="00A2014D"/>
    <w:rsid w:val="00A20156"/>
    <w:rsid w:val="00A201E0"/>
    <w:rsid w:val="00A2022E"/>
    <w:rsid w:val="00A20233"/>
    <w:rsid w:val="00A20329"/>
    <w:rsid w:val="00A20385"/>
    <w:rsid w:val="00A2045E"/>
    <w:rsid w:val="00A20487"/>
    <w:rsid w:val="00A204FF"/>
    <w:rsid w:val="00A20549"/>
    <w:rsid w:val="00A20833"/>
    <w:rsid w:val="00A20908"/>
    <w:rsid w:val="00A20958"/>
    <w:rsid w:val="00A20A9D"/>
    <w:rsid w:val="00A20AD1"/>
    <w:rsid w:val="00A20B01"/>
    <w:rsid w:val="00A20B25"/>
    <w:rsid w:val="00A20CB4"/>
    <w:rsid w:val="00A20CEE"/>
    <w:rsid w:val="00A20D53"/>
    <w:rsid w:val="00A20D84"/>
    <w:rsid w:val="00A20DBB"/>
    <w:rsid w:val="00A20E56"/>
    <w:rsid w:val="00A20E98"/>
    <w:rsid w:val="00A20EA7"/>
    <w:rsid w:val="00A20ED1"/>
    <w:rsid w:val="00A20F87"/>
    <w:rsid w:val="00A20FD6"/>
    <w:rsid w:val="00A20FF5"/>
    <w:rsid w:val="00A2103C"/>
    <w:rsid w:val="00A21255"/>
    <w:rsid w:val="00A21380"/>
    <w:rsid w:val="00A213A0"/>
    <w:rsid w:val="00A21453"/>
    <w:rsid w:val="00A21564"/>
    <w:rsid w:val="00A217F2"/>
    <w:rsid w:val="00A21904"/>
    <w:rsid w:val="00A21922"/>
    <w:rsid w:val="00A219FB"/>
    <w:rsid w:val="00A21A79"/>
    <w:rsid w:val="00A21C67"/>
    <w:rsid w:val="00A21D5E"/>
    <w:rsid w:val="00A21D72"/>
    <w:rsid w:val="00A21DDA"/>
    <w:rsid w:val="00A21DE1"/>
    <w:rsid w:val="00A21F73"/>
    <w:rsid w:val="00A2212C"/>
    <w:rsid w:val="00A221B7"/>
    <w:rsid w:val="00A22258"/>
    <w:rsid w:val="00A22292"/>
    <w:rsid w:val="00A222A0"/>
    <w:rsid w:val="00A222FD"/>
    <w:rsid w:val="00A222FF"/>
    <w:rsid w:val="00A22396"/>
    <w:rsid w:val="00A2243C"/>
    <w:rsid w:val="00A2243E"/>
    <w:rsid w:val="00A22450"/>
    <w:rsid w:val="00A224DF"/>
    <w:rsid w:val="00A224FA"/>
    <w:rsid w:val="00A22525"/>
    <w:rsid w:val="00A22702"/>
    <w:rsid w:val="00A22735"/>
    <w:rsid w:val="00A2273D"/>
    <w:rsid w:val="00A227B0"/>
    <w:rsid w:val="00A22889"/>
    <w:rsid w:val="00A228BB"/>
    <w:rsid w:val="00A22945"/>
    <w:rsid w:val="00A2295E"/>
    <w:rsid w:val="00A22992"/>
    <w:rsid w:val="00A22A50"/>
    <w:rsid w:val="00A22B66"/>
    <w:rsid w:val="00A22C30"/>
    <w:rsid w:val="00A22C98"/>
    <w:rsid w:val="00A22CFD"/>
    <w:rsid w:val="00A22D53"/>
    <w:rsid w:val="00A22D85"/>
    <w:rsid w:val="00A22ECE"/>
    <w:rsid w:val="00A22FEA"/>
    <w:rsid w:val="00A23164"/>
    <w:rsid w:val="00A2322A"/>
    <w:rsid w:val="00A23377"/>
    <w:rsid w:val="00A23398"/>
    <w:rsid w:val="00A233C9"/>
    <w:rsid w:val="00A2361C"/>
    <w:rsid w:val="00A23626"/>
    <w:rsid w:val="00A23700"/>
    <w:rsid w:val="00A237B5"/>
    <w:rsid w:val="00A237BF"/>
    <w:rsid w:val="00A2382D"/>
    <w:rsid w:val="00A23894"/>
    <w:rsid w:val="00A238B1"/>
    <w:rsid w:val="00A239A3"/>
    <w:rsid w:val="00A23A6A"/>
    <w:rsid w:val="00A23B30"/>
    <w:rsid w:val="00A23B59"/>
    <w:rsid w:val="00A23B9F"/>
    <w:rsid w:val="00A23C4C"/>
    <w:rsid w:val="00A23C78"/>
    <w:rsid w:val="00A23C84"/>
    <w:rsid w:val="00A23CAF"/>
    <w:rsid w:val="00A23E2E"/>
    <w:rsid w:val="00A23E99"/>
    <w:rsid w:val="00A23EEB"/>
    <w:rsid w:val="00A23F45"/>
    <w:rsid w:val="00A24096"/>
    <w:rsid w:val="00A24200"/>
    <w:rsid w:val="00A24375"/>
    <w:rsid w:val="00A2437B"/>
    <w:rsid w:val="00A243D9"/>
    <w:rsid w:val="00A2445B"/>
    <w:rsid w:val="00A24542"/>
    <w:rsid w:val="00A245B3"/>
    <w:rsid w:val="00A246BE"/>
    <w:rsid w:val="00A24704"/>
    <w:rsid w:val="00A247A9"/>
    <w:rsid w:val="00A2486C"/>
    <w:rsid w:val="00A248EB"/>
    <w:rsid w:val="00A24A79"/>
    <w:rsid w:val="00A24AAB"/>
    <w:rsid w:val="00A24AAF"/>
    <w:rsid w:val="00A24BA5"/>
    <w:rsid w:val="00A24CBF"/>
    <w:rsid w:val="00A24CDD"/>
    <w:rsid w:val="00A24D60"/>
    <w:rsid w:val="00A24D93"/>
    <w:rsid w:val="00A24DAE"/>
    <w:rsid w:val="00A24E27"/>
    <w:rsid w:val="00A2509D"/>
    <w:rsid w:val="00A2511F"/>
    <w:rsid w:val="00A25120"/>
    <w:rsid w:val="00A25224"/>
    <w:rsid w:val="00A2522D"/>
    <w:rsid w:val="00A25582"/>
    <w:rsid w:val="00A2561B"/>
    <w:rsid w:val="00A25682"/>
    <w:rsid w:val="00A25701"/>
    <w:rsid w:val="00A25760"/>
    <w:rsid w:val="00A257F1"/>
    <w:rsid w:val="00A25908"/>
    <w:rsid w:val="00A25968"/>
    <w:rsid w:val="00A259F8"/>
    <w:rsid w:val="00A25C66"/>
    <w:rsid w:val="00A25D30"/>
    <w:rsid w:val="00A25DC5"/>
    <w:rsid w:val="00A26036"/>
    <w:rsid w:val="00A261B5"/>
    <w:rsid w:val="00A261BA"/>
    <w:rsid w:val="00A2626D"/>
    <w:rsid w:val="00A264BD"/>
    <w:rsid w:val="00A2650E"/>
    <w:rsid w:val="00A26579"/>
    <w:rsid w:val="00A265B6"/>
    <w:rsid w:val="00A2677C"/>
    <w:rsid w:val="00A267D0"/>
    <w:rsid w:val="00A267D3"/>
    <w:rsid w:val="00A26860"/>
    <w:rsid w:val="00A2686A"/>
    <w:rsid w:val="00A269A6"/>
    <w:rsid w:val="00A26A11"/>
    <w:rsid w:val="00A26A8C"/>
    <w:rsid w:val="00A26B0E"/>
    <w:rsid w:val="00A26C2E"/>
    <w:rsid w:val="00A26C78"/>
    <w:rsid w:val="00A26F18"/>
    <w:rsid w:val="00A26F1E"/>
    <w:rsid w:val="00A26F85"/>
    <w:rsid w:val="00A26FFB"/>
    <w:rsid w:val="00A27104"/>
    <w:rsid w:val="00A27167"/>
    <w:rsid w:val="00A2716E"/>
    <w:rsid w:val="00A27173"/>
    <w:rsid w:val="00A271F9"/>
    <w:rsid w:val="00A27216"/>
    <w:rsid w:val="00A27298"/>
    <w:rsid w:val="00A27334"/>
    <w:rsid w:val="00A27411"/>
    <w:rsid w:val="00A27435"/>
    <w:rsid w:val="00A2754C"/>
    <w:rsid w:val="00A27750"/>
    <w:rsid w:val="00A2777E"/>
    <w:rsid w:val="00A2778C"/>
    <w:rsid w:val="00A278E4"/>
    <w:rsid w:val="00A27A9A"/>
    <w:rsid w:val="00A27B32"/>
    <w:rsid w:val="00A27C58"/>
    <w:rsid w:val="00A27C5A"/>
    <w:rsid w:val="00A27C9A"/>
    <w:rsid w:val="00A27E4D"/>
    <w:rsid w:val="00A27F78"/>
    <w:rsid w:val="00A27FDF"/>
    <w:rsid w:val="00A27FE3"/>
    <w:rsid w:val="00A3000D"/>
    <w:rsid w:val="00A3005A"/>
    <w:rsid w:val="00A300B4"/>
    <w:rsid w:val="00A3012C"/>
    <w:rsid w:val="00A301B0"/>
    <w:rsid w:val="00A30241"/>
    <w:rsid w:val="00A302B8"/>
    <w:rsid w:val="00A30324"/>
    <w:rsid w:val="00A30366"/>
    <w:rsid w:val="00A303E9"/>
    <w:rsid w:val="00A303EC"/>
    <w:rsid w:val="00A303FC"/>
    <w:rsid w:val="00A305A0"/>
    <w:rsid w:val="00A3060B"/>
    <w:rsid w:val="00A307EE"/>
    <w:rsid w:val="00A30874"/>
    <w:rsid w:val="00A30960"/>
    <w:rsid w:val="00A30B5C"/>
    <w:rsid w:val="00A30D35"/>
    <w:rsid w:val="00A30D94"/>
    <w:rsid w:val="00A30E63"/>
    <w:rsid w:val="00A31043"/>
    <w:rsid w:val="00A3107E"/>
    <w:rsid w:val="00A312E5"/>
    <w:rsid w:val="00A313C0"/>
    <w:rsid w:val="00A314AF"/>
    <w:rsid w:val="00A31721"/>
    <w:rsid w:val="00A31754"/>
    <w:rsid w:val="00A318C3"/>
    <w:rsid w:val="00A31974"/>
    <w:rsid w:val="00A31ACF"/>
    <w:rsid w:val="00A31B02"/>
    <w:rsid w:val="00A31B36"/>
    <w:rsid w:val="00A31B4F"/>
    <w:rsid w:val="00A31CC8"/>
    <w:rsid w:val="00A31CC9"/>
    <w:rsid w:val="00A31D1F"/>
    <w:rsid w:val="00A31EF7"/>
    <w:rsid w:val="00A31F06"/>
    <w:rsid w:val="00A31FBE"/>
    <w:rsid w:val="00A32048"/>
    <w:rsid w:val="00A32138"/>
    <w:rsid w:val="00A3214E"/>
    <w:rsid w:val="00A32161"/>
    <w:rsid w:val="00A321C4"/>
    <w:rsid w:val="00A32201"/>
    <w:rsid w:val="00A322BC"/>
    <w:rsid w:val="00A32303"/>
    <w:rsid w:val="00A32345"/>
    <w:rsid w:val="00A323A5"/>
    <w:rsid w:val="00A323B6"/>
    <w:rsid w:val="00A324F4"/>
    <w:rsid w:val="00A3250B"/>
    <w:rsid w:val="00A325A7"/>
    <w:rsid w:val="00A325EA"/>
    <w:rsid w:val="00A3266C"/>
    <w:rsid w:val="00A3267C"/>
    <w:rsid w:val="00A326DF"/>
    <w:rsid w:val="00A326F0"/>
    <w:rsid w:val="00A3290D"/>
    <w:rsid w:val="00A32A3D"/>
    <w:rsid w:val="00A32C0F"/>
    <w:rsid w:val="00A32C94"/>
    <w:rsid w:val="00A32CDA"/>
    <w:rsid w:val="00A32CE2"/>
    <w:rsid w:val="00A32E3C"/>
    <w:rsid w:val="00A32E49"/>
    <w:rsid w:val="00A32E79"/>
    <w:rsid w:val="00A32EA6"/>
    <w:rsid w:val="00A32EAA"/>
    <w:rsid w:val="00A32EBE"/>
    <w:rsid w:val="00A32ED8"/>
    <w:rsid w:val="00A3303B"/>
    <w:rsid w:val="00A3311D"/>
    <w:rsid w:val="00A33124"/>
    <w:rsid w:val="00A3327F"/>
    <w:rsid w:val="00A332AE"/>
    <w:rsid w:val="00A333CD"/>
    <w:rsid w:val="00A333E4"/>
    <w:rsid w:val="00A333EB"/>
    <w:rsid w:val="00A3340E"/>
    <w:rsid w:val="00A3343F"/>
    <w:rsid w:val="00A33482"/>
    <w:rsid w:val="00A33496"/>
    <w:rsid w:val="00A334ED"/>
    <w:rsid w:val="00A3354C"/>
    <w:rsid w:val="00A335D8"/>
    <w:rsid w:val="00A336B2"/>
    <w:rsid w:val="00A33741"/>
    <w:rsid w:val="00A337F9"/>
    <w:rsid w:val="00A337FA"/>
    <w:rsid w:val="00A338A3"/>
    <w:rsid w:val="00A33C91"/>
    <w:rsid w:val="00A33D88"/>
    <w:rsid w:val="00A33D9B"/>
    <w:rsid w:val="00A33FC4"/>
    <w:rsid w:val="00A33FDC"/>
    <w:rsid w:val="00A34127"/>
    <w:rsid w:val="00A3418F"/>
    <w:rsid w:val="00A341D3"/>
    <w:rsid w:val="00A34333"/>
    <w:rsid w:val="00A3433D"/>
    <w:rsid w:val="00A343CB"/>
    <w:rsid w:val="00A3443E"/>
    <w:rsid w:val="00A34455"/>
    <w:rsid w:val="00A344BA"/>
    <w:rsid w:val="00A344BF"/>
    <w:rsid w:val="00A3462D"/>
    <w:rsid w:val="00A3479A"/>
    <w:rsid w:val="00A3480A"/>
    <w:rsid w:val="00A34868"/>
    <w:rsid w:val="00A348C0"/>
    <w:rsid w:val="00A34AC6"/>
    <w:rsid w:val="00A34BCC"/>
    <w:rsid w:val="00A34BE3"/>
    <w:rsid w:val="00A34D4F"/>
    <w:rsid w:val="00A34E03"/>
    <w:rsid w:val="00A34E9E"/>
    <w:rsid w:val="00A34EA4"/>
    <w:rsid w:val="00A34EAD"/>
    <w:rsid w:val="00A35008"/>
    <w:rsid w:val="00A350BD"/>
    <w:rsid w:val="00A35167"/>
    <w:rsid w:val="00A3522C"/>
    <w:rsid w:val="00A35256"/>
    <w:rsid w:val="00A35319"/>
    <w:rsid w:val="00A3537E"/>
    <w:rsid w:val="00A35409"/>
    <w:rsid w:val="00A3541C"/>
    <w:rsid w:val="00A3542E"/>
    <w:rsid w:val="00A3550A"/>
    <w:rsid w:val="00A3550D"/>
    <w:rsid w:val="00A355E0"/>
    <w:rsid w:val="00A35800"/>
    <w:rsid w:val="00A35868"/>
    <w:rsid w:val="00A3588C"/>
    <w:rsid w:val="00A35930"/>
    <w:rsid w:val="00A35983"/>
    <w:rsid w:val="00A35ABA"/>
    <w:rsid w:val="00A35CB8"/>
    <w:rsid w:val="00A35E51"/>
    <w:rsid w:val="00A35EBD"/>
    <w:rsid w:val="00A35ED8"/>
    <w:rsid w:val="00A35F38"/>
    <w:rsid w:val="00A35F7B"/>
    <w:rsid w:val="00A35F90"/>
    <w:rsid w:val="00A35F91"/>
    <w:rsid w:val="00A360DE"/>
    <w:rsid w:val="00A360E7"/>
    <w:rsid w:val="00A36115"/>
    <w:rsid w:val="00A3611C"/>
    <w:rsid w:val="00A362BB"/>
    <w:rsid w:val="00A3637B"/>
    <w:rsid w:val="00A36475"/>
    <w:rsid w:val="00A364C9"/>
    <w:rsid w:val="00A36626"/>
    <w:rsid w:val="00A36708"/>
    <w:rsid w:val="00A36797"/>
    <w:rsid w:val="00A367F2"/>
    <w:rsid w:val="00A367F3"/>
    <w:rsid w:val="00A368C7"/>
    <w:rsid w:val="00A36906"/>
    <w:rsid w:val="00A36910"/>
    <w:rsid w:val="00A3695E"/>
    <w:rsid w:val="00A3697D"/>
    <w:rsid w:val="00A36A59"/>
    <w:rsid w:val="00A36AD3"/>
    <w:rsid w:val="00A36B3B"/>
    <w:rsid w:val="00A36BCD"/>
    <w:rsid w:val="00A36BED"/>
    <w:rsid w:val="00A36C0C"/>
    <w:rsid w:val="00A36CE5"/>
    <w:rsid w:val="00A36CF6"/>
    <w:rsid w:val="00A36D04"/>
    <w:rsid w:val="00A36D86"/>
    <w:rsid w:val="00A36E43"/>
    <w:rsid w:val="00A36E93"/>
    <w:rsid w:val="00A36F7A"/>
    <w:rsid w:val="00A37044"/>
    <w:rsid w:val="00A37125"/>
    <w:rsid w:val="00A37463"/>
    <w:rsid w:val="00A3756C"/>
    <w:rsid w:val="00A37579"/>
    <w:rsid w:val="00A37642"/>
    <w:rsid w:val="00A37772"/>
    <w:rsid w:val="00A377EF"/>
    <w:rsid w:val="00A377FE"/>
    <w:rsid w:val="00A37919"/>
    <w:rsid w:val="00A37A85"/>
    <w:rsid w:val="00A37BF5"/>
    <w:rsid w:val="00A37C3D"/>
    <w:rsid w:val="00A37CEC"/>
    <w:rsid w:val="00A37D15"/>
    <w:rsid w:val="00A37E67"/>
    <w:rsid w:val="00A400A8"/>
    <w:rsid w:val="00A400C7"/>
    <w:rsid w:val="00A401B4"/>
    <w:rsid w:val="00A401E6"/>
    <w:rsid w:val="00A4021E"/>
    <w:rsid w:val="00A40250"/>
    <w:rsid w:val="00A403A1"/>
    <w:rsid w:val="00A403B6"/>
    <w:rsid w:val="00A4047A"/>
    <w:rsid w:val="00A40486"/>
    <w:rsid w:val="00A4048B"/>
    <w:rsid w:val="00A404CE"/>
    <w:rsid w:val="00A4054A"/>
    <w:rsid w:val="00A4054D"/>
    <w:rsid w:val="00A407B2"/>
    <w:rsid w:val="00A4092C"/>
    <w:rsid w:val="00A4098A"/>
    <w:rsid w:val="00A40A2C"/>
    <w:rsid w:val="00A40ACD"/>
    <w:rsid w:val="00A40C09"/>
    <w:rsid w:val="00A40C39"/>
    <w:rsid w:val="00A40CCB"/>
    <w:rsid w:val="00A40DB9"/>
    <w:rsid w:val="00A40DF8"/>
    <w:rsid w:val="00A40E7A"/>
    <w:rsid w:val="00A40E7F"/>
    <w:rsid w:val="00A40EF0"/>
    <w:rsid w:val="00A40F7F"/>
    <w:rsid w:val="00A40FFB"/>
    <w:rsid w:val="00A41128"/>
    <w:rsid w:val="00A41136"/>
    <w:rsid w:val="00A4114E"/>
    <w:rsid w:val="00A411CE"/>
    <w:rsid w:val="00A41295"/>
    <w:rsid w:val="00A413A6"/>
    <w:rsid w:val="00A41529"/>
    <w:rsid w:val="00A41882"/>
    <w:rsid w:val="00A418B0"/>
    <w:rsid w:val="00A418CA"/>
    <w:rsid w:val="00A4192F"/>
    <w:rsid w:val="00A4196C"/>
    <w:rsid w:val="00A41971"/>
    <w:rsid w:val="00A4198C"/>
    <w:rsid w:val="00A419BC"/>
    <w:rsid w:val="00A41BAF"/>
    <w:rsid w:val="00A41C27"/>
    <w:rsid w:val="00A41C4E"/>
    <w:rsid w:val="00A41C62"/>
    <w:rsid w:val="00A41C82"/>
    <w:rsid w:val="00A41C96"/>
    <w:rsid w:val="00A41CD5"/>
    <w:rsid w:val="00A41D36"/>
    <w:rsid w:val="00A41D60"/>
    <w:rsid w:val="00A41DE8"/>
    <w:rsid w:val="00A41F02"/>
    <w:rsid w:val="00A41F80"/>
    <w:rsid w:val="00A41FD2"/>
    <w:rsid w:val="00A420D5"/>
    <w:rsid w:val="00A420D7"/>
    <w:rsid w:val="00A42175"/>
    <w:rsid w:val="00A421AE"/>
    <w:rsid w:val="00A421E1"/>
    <w:rsid w:val="00A42364"/>
    <w:rsid w:val="00A4242A"/>
    <w:rsid w:val="00A4246A"/>
    <w:rsid w:val="00A42480"/>
    <w:rsid w:val="00A424C0"/>
    <w:rsid w:val="00A425EB"/>
    <w:rsid w:val="00A4260C"/>
    <w:rsid w:val="00A426AC"/>
    <w:rsid w:val="00A42764"/>
    <w:rsid w:val="00A427B1"/>
    <w:rsid w:val="00A4286A"/>
    <w:rsid w:val="00A4294C"/>
    <w:rsid w:val="00A429DE"/>
    <w:rsid w:val="00A42A14"/>
    <w:rsid w:val="00A42A6A"/>
    <w:rsid w:val="00A42A80"/>
    <w:rsid w:val="00A42AA6"/>
    <w:rsid w:val="00A42AB1"/>
    <w:rsid w:val="00A42AB5"/>
    <w:rsid w:val="00A42B08"/>
    <w:rsid w:val="00A42B15"/>
    <w:rsid w:val="00A42B50"/>
    <w:rsid w:val="00A42B57"/>
    <w:rsid w:val="00A42B5B"/>
    <w:rsid w:val="00A42C93"/>
    <w:rsid w:val="00A42CB7"/>
    <w:rsid w:val="00A42D42"/>
    <w:rsid w:val="00A42D55"/>
    <w:rsid w:val="00A42F9E"/>
    <w:rsid w:val="00A43024"/>
    <w:rsid w:val="00A430B8"/>
    <w:rsid w:val="00A432D0"/>
    <w:rsid w:val="00A43457"/>
    <w:rsid w:val="00A434B0"/>
    <w:rsid w:val="00A436AC"/>
    <w:rsid w:val="00A438AA"/>
    <w:rsid w:val="00A438ED"/>
    <w:rsid w:val="00A43AFA"/>
    <w:rsid w:val="00A43C32"/>
    <w:rsid w:val="00A43CE9"/>
    <w:rsid w:val="00A43DAB"/>
    <w:rsid w:val="00A43DB4"/>
    <w:rsid w:val="00A43E4E"/>
    <w:rsid w:val="00A43EB8"/>
    <w:rsid w:val="00A43FDE"/>
    <w:rsid w:val="00A4410D"/>
    <w:rsid w:val="00A44166"/>
    <w:rsid w:val="00A4416D"/>
    <w:rsid w:val="00A44192"/>
    <w:rsid w:val="00A441F5"/>
    <w:rsid w:val="00A44245"/>
    <w:rsid w:val="00A44255"/>
    <w:rsid w:val="00A442C0"/>
    <w:rsid w:val="00A4431B"/>
    <w:rsid w:val="00A44435"/>
    <w:rsid w:val="00A4443E"/>
    <w:rsid w:val="00A4468C"/>
    <w:rsid w:val="00A44721"/>
    <w:rsid w:val="00A44765"/>
    <w:rsid w:val="00A447BD"/>
    <w:rsid w:val="00A447CC"/>
    <w:rsid w:val="00A44834"/>
    <w:rsid w:val="00A4493A"/>
    <w:rsid w:val="00A449BB"/>
    <w:rsid w:val="00A449E2"/>
    <w:rsid w:val="00A44BAB"/>
    <w:rsid w:val="00A44BAD"/>
    <w:rsid w:val="00A44C12"/>
    <w:rsid w:val="00A44C25"/>
    <w:rsid w:val="00A44C7A"/>
    <w:rsid w:val="00A44CFF"/>
    <w:rsid w:val="00A44DCB"/>
    <w:rsid w:val="00A44F4A"/>
    <w:rsid w:val="00A45094"/>
    <w:rsid w:val="00A45116"/>
    <w:rsid w:val="00A4514F"/>
    <w:rsid w:val="00A45161"/>
    <w:rsid w:val="00A4516D"/>
    <w:rsid w:val="00A451D0"/>
    <w:rsid w:val="00A45260"/>
    <w:rsid w:val="00A4527D"/>
    <w:rsid w:val="00A45339"/>
    <w:rsid w:val="00A453FA"/>
    <w:rsid w:val="00A45467"/>
    <w:rsid w:val="00A454DF"/>
    <w:rsid w:val="00A45555"/>
    <w:rsid w:val="00A45581"/>
    <w:rsid w:val="00A455BC"/>
    <w:rsid w:val="00A4563E"/>
    <w:rsid w:val="00A456E2"/>
    <w:rsid w:val="00A4573D"/>
    <w:rsid w:val="00A4581E"/>
    <w:rsid w:val="00A45968"/>
    <w:rsid w:val="00A459CF"/>
    <w:rsid w:val="00A459E1"/>
    <w:rsid w:val="00A459F5"/>
    <w:rsid w:val="00A45B70"/>
    <w:rsid w:val="00A45C51"/>
    <w:rsid w:val="00A45C7D"/>
    <w:rsid w:val="00A45D51"/>
    <w:rsid w:val="00A45D85"/>
    <w:rsid w:val="00A45DCF"/>
    <w:rsid w:val="00A45EC8"/>
    <w:rsid w:val="00A45EE8"/>
    <w:rsid w:val="00A45F5C"/>
    <w:rsid w:val="00A45F9A"/>
    <w:rsid w:val="00A45F9E"/>
    <w:rsid w:val="00A46054"/>
    <w:rsid w:val="00A4619C"/>
    <w:rsid w:val="00A461A2"/>
    <w:rsid w:val="00A46202"/>
    <w:rsid w:val="00A4624F"/>
    <w:rsid w:val="00A4627B"/>
    <w:rsid w:val="00A462A1"/>
    <w:rsid w:val="00A462CB"/>
    <w:rsid w:val="00A46332"/>
    <w:rsid w:val="00A463E5"/>
    <w:rsid w:val="00A464AB"/>
    <w:rsid w:val="00A466B9"/>
    <w:rsid w:val="00A46726"/>
    <w:rsid w:val="00A4680B"/>
    <w:rsid w:val="00A468A9"/>
    <w:rsid w:val="00A468D5"/>
    <w:rsid w:val="00A468DF"/>
    <w:rsid w:val="00A46923"/>
    <w:rsid w:val="00A46A4C"/>
    <w:rsid w:val="00A46D09"/>
    <w:rsid w:val="00A46E3F"/>
    <w:rsid w:val="00A4704A"/>
    <w:rsid w:val="00A47084"/>
    <w:rsid w:val="00A470FC"/>
    <w:rsid w:val="00A47178"/>
    <w:rsid w:val="00A4733A"/>
    <w:rsid w:val="00A47376"/>
    <w:rsid w:val="00A47465"/>
    <w:rsid w:val="00A474B2"/>
    <w:rsid w:val="00A47500"/>
    <w:rsid w:val="00A4751C"/>
    <w:rsid w:val="00A47603"/>
    <w:rsid w:val="00A47637"/>
    <w:rsid w:val="00A476CD"/>
    <w:rsid w:val="00A4771E"/>
    <w:rsid w:val="00A47845"/>
    <w:rsid w:val="00A478A2"/>
    <w:rsid w:val="00A478BA"/>
    <w:rsid w:val="00A47922"/>
    <w:rsid w:val="00A47978"/>
    <w:rsid w:val="00A479E5"/>
    <w:rsid w:val="00A47A17"/>
    <w:rsid w:val="00A47A43"/>
    <w:rsid w:val="00A47A83"/>
    <w:rsid w:val="00A47AF2"/>
    <w:rsid w:val="00A47B0B"/>
    <w:rsid w:val="00A47B6C"/>
    <w:rsid w:val="00A47B6E"/>
    <w:rsid w:val="00A47B94"/>
    <w:rsid w:val="00A50027"/>
    <w:rsid w:val="00A5006E"/>
    <w:rsid w:val="00A500E7"/>
    <w:rsid w:val="00A50111"/>
    <w:rsid w:val="00A5011E"/>
    <w:rsid w:val="00A5023F"/>
    <w:rsid w:val="00A5031E"/>
    <w:rsid w:val="00A5032E"/>
    <w:rsid w:val="00A50392"/>
    <w:rsid w:val="00A50475"/>
    <w:rsid w:val="00A504DD"/>
    <w:rsid w:val="00A505B6"/>
    <w:rsid w:val="00A50640"/>
    <w:rsid w:val="00A507D3"/>
    <w:rsid w:val="00A50814"/>
    <w:rsid w:val="00A508BD"/>
    <w:rsid w:val="00A509A5"/>
    <w:rsid w:val="00A50A25"/>
    <w:rsid w:val="00A50A34"/>
    <w:rsid w:val="00A50B4C"/>
    <w:rsid w:val="00A50BCE"/>
    <w:rsid w:val="00A50C07"/>
    <w:rsid w:val="00A50E13"/>
    <w:rsid w:val="00A50E3E"/>
    <w:rsid w:val="00A5100F"/>
    <w:rsid w:val="00A510BB"/>
    <w:rsid w:val="00A511B6"/>
    <w:rsid w:val="00A511C0"/>
    <w:rsid w:val="00A5124A"/>
    <w:rsid w:val="00A512EE"/>
    <w:rsid w:val="00A51439"/>
    <w:rsid w:val="00A5144E"/>
    <w:rsid w:val="00A514BC"/>
    <w:rsid w:val="00A51598"/>
    <w:rsid w:val="00A515C3"/>
    <w:rsid w:val="00A515FB"/>
    <w:rsid w:val="00A51645"/>
    <w:rsid w:val="00A51724"/>
    <w:rsid w:val="00A51763"/>
    <w:rsid w:val="00A51797"/>
    <w:rsid w:val="00A51900"/>
    <w:rsid w:val="00A51985"/>
    <w:rsid w:val="00A51A0E"/>
    <w:rsid w:val="00A51A46"/>
    <w:rsid w:val="00A51AB2"/>
    <w:rsid w:val="00A51E2B"/>
    <w:rsid w:val="00A51E47"/>
    <w:rsid w:val="00A51FDD"/>
    <w:rsid w:val="00A52055"/>
    <w:rsid w:val="00A521CC"/>
    <w:rsid w:val="00A52201"/>
    <w:rsid w:val="00A52204"/>
    <w:rsid w:val="00A5220F"/>
    <w:rsid w:val="00A522AA"/>
    <w:rsid w:val="00A522C5"/>
    <w:rsid w:val="00A5236F"/>
    <w:rsid w:val="00A52370"/>
    <w:rsid w:val="00A5242C"/>
    <w:rsid w:val="00A524A4"/>
    <w:rsid w:val="00A524AB"/>
    <w:rsid w:val="00A525EB"/>
    <w:rsid w:val="00A52603"/>
    <w:rsid w:val="00A52606"/>
    <w:rsid w:val="00A526E8"/>
    <w:rsid w:val="00A5271A"/>
    <w:rsid w:val="00A5274A"/>
    <w:rsid w:val="00A527C8"/>
    <w:rsid w:val="00A528D3"/>
    <w:rsid w:val="00A5296B"/>
    <w:rsid w:val="00A52A48"/>
    <w:rsid w:val="00A52A49"/>
    <w:rsid w:val="00A52B20"/>
    <w:rsid w:val="00A52B35"/>
    <w:rsid w:val="00A52BFE"/>
    <w:rsid w:val="00A52C31"/>
    <w:rsid w:val="00A52CD4"/>
    <w:rsid w:val="00A52E28"/>
    <w:rsid w:val="00A52EC3"/>
    <w:rsid w:val="00A52F2E"/>
    <w:rsid w:val="00A52F91"/>
    <w:rsid w:val="00A52FD2"/>
    <w:rsid w:val="00A5304C"/>
    <w:rsid w:val="00A530A4"/>
    <w:rsid w:val="00A5311B"/>
    <w:rsid w:val="00A5319C"/>
    <w:rsid w:val="00A53305"/>
    <w:rsid w:val="00A53317"/>
    <w:rsid w:val="00A5335B"/>
    <w:rsid w:val="00A53420"/>
    <w:rsid w:val="00A53486"/>
    <w:rsid w:val="00A5365F"/>
    <w:rsid w:val="00A537AA"/>
    <w:rsid w:val="00A5388F"/>
    <w:rsid w:val="00A539EE"/>
    <w:rsid w:val="00A539F5"/>
    <w:rsid w:val="00A53B2B"/>
    <w:rsid w:val="00A53C0E"/>
    <w:rsid w:val="00A53CD8"/>
    <w:rsid w:val="00A53CDD"/>
    <w:rsid w:val="00A53D00"/>
    <w:rsid w:val="00A53D0E"/>
    <w:rsid w:val="00A53EB1"/>
    <w:rsid w:val="00A53EC0"/>
    <w:rsid w:val="00A53F47"/>
    <w:rsid w:val="00A5405C"/>
    <w:rsid w:val="00A541C8"/>
    <w:rsid w:val="00A541E0"/>
    <w:rsid w:val="00A54206"/>
    <w:rsid w:val="00A5427A"/>
    <w:rsid w:val="00A543F7"/>
    <w:rsid w:val="00A54525"/>
    <w:rsid w:val="00A54590"/>
    <w:rsid w:val="00A545B7"/>
    <w:rsid w:val="00A547E8"/>
    <w:rsid w:val="00A54873"/>
    <w:rsid w:val="00A5489B"/>
    <w:rsid w:val="00A5496E"/>
    <w:rsid w:val="00A54A2F"/>
    <w:rsid w:val="00A54B08"/>
    <w:rsid w:val="00A54B8C"/>
    <w:rsid w:val="00A54C2E"/>
    <w:rsid w:val="00A54C5B"/>
    <w:rsid w:val="00A54CB5"/>
    <w:rsid w:val="00A54D2E"/>
    <w:rsid w:val="00A54D51"/>
    <w:rsid w:val="00A54D54"/>
    <w:rsid w:val="00A54D9E"/>
    <w:rsid w:val="00A54E25"/>
    <w:rsid w:val="00A54E96"/>
    <w:rsid w:val="00A54EB3"/>
    <w:rsid w:val="00A55065"/>
    <w:rsid w:val="00A550D1"/>
    <w:rsid w:val="00A550E3"/>
    <w:rsid w:val="00A552E9"/>
    <w:rsid w:val="00A55367"/>
    <w:rsid w:val="00A553AC"/>
    <w:rsid w:val="00A55439"/>
    <w:rsid w:val="00A5549D"/>
    <w:rsid w:val="00A554B0"/>
    <w:rsid w:val="00A555B5"/>
    <w:rsid w:val="00A5573F"/>
    <w:rsid w:val="00A55780"/>
    <w:rsid w:val="00A557B3"/>
    <w:rsid w:val="00A5582C"/>
    <w:rsid w:val="00A5583B"/>
    <w:rsid w:val="00A5589E"/>
    <w:rsid w:val="00A558A9"/>
    <w:rsid w:val="00A558D0"/>
    <w:rsid w:val="00A5590F"/>
    <w:rsid w:val="00A55950"/>
    <w:rsid w:val="00A559A6"/>
    <w:rsid w:val="00A559B3"/>
    <w:rsid w:val="00A55A49"/>
    <w:rsid w:val="00A55A53"/>
    <w:rsid w:val="00A55A7E"/>
    <w:rsid w:val="00A55CA7"/>
    <w:rsid w:val="00A55E03"/>
    <w:rsid w:val="00A55E23"/>
    <w:rsid w:val="00A55EB0"/>
    <w:rsid w:val="00A55ED3"/>
    <w:rsid w:val="00A55F1A"/>
    <w:rsid w:val="00A5609F"/>
    <w:rsid w:val="00A561BF"/>
    <w:rsid w:val="00A5625C"/>
    <w:rsid w:val="00A5638F"/>
    <w:rsid w:val="00A56422"/>
    <w:rsid w:val="00A56444"/>
    <w:rsid w:val="00A565FC"/>
    <w:rsid w:val="00A5665B"/>
    <w:rsid w:val="00A56688"/>
    <w:rsid w:val="00A5670F"/>
    <w:rsid w:val="00A56775"/>
    <w:rsid w:val="00A567A1"/>
    <w:rsid w:val="00A56A74"/>
    <w:rsid w:val="00A56ADC"/>
    <w:rsid w:val="00A56AF2"/>
    <w:rsid w:val="00A56B45"/>
    <w:rsid w:val="00A56BC3"/>
    <w:rsid w:val="00A56C55"/>
    <w:rsid w:val="00A56CCA"/>
    <w:rsid w:val="00A56D2E"/>
    <w:rsid w:val="00A56D71"/>
    <w:rsid w:val="00A56DEC"/>
    <w:rsid w:val="00A56F35"/>
    <w:rsid w:val="00A57033"/>
    <w:rsid w:val="00A570C4"/>
    <w:rsid w:val="00A570EA"/>
    <w:rsid w:val="00A5714D"/>
    <w:rsid w:val="00A572F6"/>
    <w:rsid w:val="00A574B5"/>
    <w:rsid w:val="00A574C4"/>
    <w:rsid w:val="00A5753A"/>
    <w:rsid w:val="00A57586"/>
    <w:rsid w:val="00A575D8"/>
    <w:rsid w:val="00A57717"/>
    <w:rsid w:val="00A57856"/>
    <w:rsid w:val="00A57947"/>
    <w:rsid w:val="00A57A72"/>
    <w:rsid w:val="00A57AF8"/>
    <w:rsid w:val="00A57C19"/>
    <w:rsid w:val="00A57C73"/>
    <w:rsid w:val="00A57D69"/>
    <w:rsid w:val="00A57E0F"/>
    <w:rsid w:val="00A57F47"/>
    <w:rsid w:val="00A57FC7"/>
    <w:rsid w:val="00A57FF7"/>
    <w:rsid w:val="00A60034"/>
    <w:rsid w:val="00A60073"/>
    <w:rsid w:val="00A60174"/>
    <w:rsid w:val="00A601A8"/>
    <w:rsid w:val="00A60268"/>
    <w:rsid w:val="00A602D4"/>
    <w:rsid w:val="00A60412"/>
    <w:rsid w:val="00A60463"/>
    <w:rsid w:val="00A60489"/>
    <w:rsid w:val="00A60581"/>
    <w:rsid w:val="00A60608"/>
    <w:rsid w:val="00A6068B"/>
    <w:rsid w:val="00A606C3"/>
    <w:rsid w:val="00A606C7"/>
    <w:rsid w:val="00A60777"/>
    <w:rsid w:val="00A60810"/>
    <w:rsid w:val="00A6081C"/>
    <w:rsid w:val="00A60985"/>
    <w:rsid w:val="00A60A67"/>
    <w:rsid w:val="00A60A8E"/>
    <w:rsid w:val="00A60B07"/>
    <w:rsid w:val="00A60B2E"/>
    <w:rsid w:val="00A60B88"/>
    <w:rsid w:val="00A60B8A"/>
    <w:rsid w:val="00A60BE9"/>
    <w:rsid w:val="00A60C96"/>
    <w:rsid w:val="00A60D94"/>
    <w:rsid w:val="00A60D98"/>
    <w:rsid w:val="00A60DAA"/>
    <w:rsid w:val="00A60E22"/>
    <w:rsid w:val="00A60E83"/>
    <w:rsid w:val="00A60EDB"/>
    <w:rsid w:val="00A60F22"/>
    <w:rsid w:val="00A60F48"/>
    <w:rsid w:val="00A61153"/>
    <w:rsid w:val="00A61169"/>
    <w:rsid w:val="00A6126A"/>
    <w:rsid w:val="00A61315"/>
    <w:rsid w:val="00A61394"/>
    <w:rsid w:val="00A614CD"/>
    <w:rsid w:val="00A6156E"/>
    <w:rsid w:val="00A61625"/>
    <w:rsid w:val="00A61628"/>
    <w:rsid w:val="00A61633"/>
    <w:rsid w:val="00A61694"/>
    <w:rsid w:val="00A616CE"/>
    <w:rsid w:val="00A61788"/>
    <w:rsid w:val="00A61862"/>
    <w:rsid w:val="00A61A43"/>
    <w:rsid w:val="00A61A56"/>
    <w:rsid w:val="00A61A86"/>
    <w:rsid w:val="00A61C05"/>
    <w:rsid w:val="00A61C72"/>
    <w:rsid w:val="00A61CC8"/>
    <w:rsid w:val="00A61CFE"/>
    <w:rsid w:val="00A61D08"/>
    <w:rsid w:val="00A61E32"/>
    <w:rsid w:val="00A61E72"/>
    <w:rsid w:val="00A61E78"/>
    <w:rsid w:val="00A61F52"/>
    <w:rsid w:val="00A61FF1"/>
    <w:rsid w:val="00A620D2"/>
    <w:rsid w:val="00A621D5"/>
    <w:rsid w:val="00A621F5"/>
    <w:rsid w:val="00A62245"/>
    <w:rsid w:val="00A6241D"/>
    <w:rsid w:val="00A6255C"/>
    <w:rsid w:val="00A62602"/>
    <w:rsid w:val="00A62A25"/>
    <w:rsid w:val="00A62AB7"/>
    <w:rsid w:val="00A62ACD"/>
    <w:rsid w:val="00A62B4A"/>
    <w:rsid w:val="00A62BFB"/>
    <w:rsid w:val="00A62D0C"/>
    <w:rsid w:val="00A62D3C"/>
    <w:rsid w:val="00A62D5C"/>
    <w:rsid w:val="00A62D62"/>
    <w:rsid w:val="00A62D75"/>
    <w:rsid w:val="00A62EEE"/>
    <w:rsid w:val="00A62F03"/>
    <w:rsid w:val="00A62F39"/>
    <w:rsid w:val="00A630F3"/>
    <w:rsid w:val="00A63184"/>
    <w:rsid w:val="00A63343"/>
    <w:rsid w:val="00A63474"/>
    <w:rsid w:val="00A63490"/>
    <w:rsid w:val="00A634B0"/>
    <w:rsid w:val="00A634E5"/>
    <w:rsid w:val="00A63667"/>
    <w:rsid w:val="00A63687"/>
    <w:rsid w:val="00A636FC"/>
    <w:rsid w:val="00A63714"/>
    <w:rsid w:val="00A6374C"/>
    <w:rsid w:val="00A637C6"/>
    <w:rsid w:val="00A63868"/>
    <w:rsid w:val="00A63877"/>
    <w:rsid w:val="00A6394B"/>
    <w:rsid w:val="00A6398F"/>
    <w:rsid w:val="00A639FD"/>
    <w:rsid w:val="00A63ADF"/>
    <w:rsid w:val="00A63AF8"/>
    <w:rsid w:val="00A63BB9"/>
    <w:rsid w:val="00A63BD9"/>
    <w:rsid w:val="00A63BE4"/>
    <w:rsid w:val="00A63CDC"/>
    <w:rsid w:val="00A63EA1"/>
    <w:rsid w:val="00A63F6C"/>
    <w:rsid w:val="00A64054"/>
    <w:rsid w:val="00A640DF"/>
    <w:rsid w:val="00A640F9"/>
    <w:rsid w:val="00A64156"/>
    <w:rsid w:val="00A641D0"/>
    <w:rsid w:val="00A64297"/>
    <w:rsid w:val="00A64421"/>
    <w:rsid w:val="00A64583"/>
    <w:rsid w:val="00A64792"/>
    <w:rsid w:val="00A647D4"/>
    <w:rsid w:val="00A64904"/>
    <w:rsid w:val="00A64976"/>
    <w:rsid w:val="00A649C9"/>
    <w:rsid w:val="00A64EB5"/>
    <w:rsid w:val="00A64ED9"/>
    <w:rsid w:val="00A64F86"/>
    <w:rsid w:val="00A650A2"/>
    <w:rsid w:val="00A650A8"/>
    <w:rsid w:val="00A65120"/>
    <w:rsid w:val="00A65214"/>
    <w:rsid w:val="00A6522A"/>
    <w:rsid w:val="00A6527E"/>
    <w:rsid w:val="00A6547D"/>
    <w:rsid w:val="00A65482"/>
    <w:rsid w:val="00A655D2"/>
    <w:rsid w:val="00A65635"/>
    <w:rsid w:val="00A656A5"/>
    <w:rsid w:val="00A6571E"/>
    <w:rsid w:val="00A657BF"/>
    <w:rsid w:val="00A657D9"/>
    <w:rsid w:val="00A659C5"/>
    <w:rsid w:val="00A65A11"/>
    <w:rsid w:val="00A65AB1"/>
    <w:rsid w:val="00A65C44"/>
    <w:rsid w:val="00A65C46"/>
    <w:rsid w:val="00A65C4E"/>
    <w:rsid w:val="00A65D21"/>
    <w:rsid w:val="00A65D29"/>
    <w:rsid w:val="00A65D4A"/>
    <w:rsid w:val="00A66000"/>
    <w:rsid w:val="00A660EE"/>
    <w:rsid w:val="00A661A8"/>
    <w:rsid w:val="00A66315"/>
    <w:rsid w:val="00A66379"/>
    <w:rsid w:val="00A66400"/>
    <w:rsid w:val="00A6648D"/>
    <w:rsid w:val="00A664F2"/>
    <w:rsid w:val="00A664F7"/>
    <w:rsid w:val="00A6650D"/>
    <w:rsid w:val="00A6656C"/>
    <w:rsid w:val="00A665A3"/>
    <w:rsid w:val="00A665F3"/>
    <w:rsid w:val="00A66645"/>
    <w:rsid w:val="00A66655"/>
    <w:rsid w:val="00A667E1"/>
    <w:rsid w:val="00A6696C"/>
    <w:rsid w:val="00A66978"/>
    <w:rsid w:val="00A669D7"/>
    <w:rsid w:val="00A66A46"/>
    <w:rsid w:val="00A66A8A"/>
    <w:rsid w:val="00A66C33"/>
    <w:rsid w:val="00A66CEA"/>
    <w:rsid w:val="00A66D42"/>
    <w:rsid w:val="00A66D54"/>
    <w:rsid w:val="00A66D60"/>
    <w:rsid w:val="00A66E0E"/>
    <w:rsid w:val="00A66EF6"/>
    <w:rsid w:val="00A66F75"/>
    <w:rsid w:val="00A66F81"/>
    <w:rsid w:val="00A670A0"/>
    <w:rsid w:val="00A670BC"/>
    <w:rsid w:val="00A67104"/>
    <w:rsid w:val="00A67127"/>
    <w:rsid w:val="00A6714D"/>
    <w:rsid w:val="00A672F4"/>
    <w:rsid w:val="00A673E5"/>
    <w:rsid w:val="00A67599"/>
    <w:rsid w:val="00A675BA"/>
    <w:rsid w:val="00A6766E"/>
    <w:rsid w:val="00A67670"/>
    <w:rsid w:val="00A676B2"/>
    <w:rsid w:val="00A67737"/>
    <w:rsid w:val="00A6782C"/>
    <w:rsid w:val="00A6788B"/>
    <w:rsid w:val="00A678E9"/>
    <w:rsid w:val="00A67947"/>
    <w:rsid w:val="00A67A0A"/>
    <w:rsid w:val="00A67AFC"/>
    <w:rsid w:val="00A67D34"/>
    <w:rsid w:val="00A67D61"/>
    <w:rsid w:val="00A67D64"/>
    <w:rsid w:val="00A67F37"/>
    <w:rsid w:val="00A67FCA"/>
    <w:rsid w:val="00A70115"/>
    <w:rsid w:val="00A70191"/>
    <w:rsid w:val="00A70200"/>
    <w:rsid w:val="00A7026E"/>
    <w:rsid w:val="00A702F8"/>
    <w:rsid w:val="00A703C8"/>
    <w:rsid w:val="00A70480"/>
    <w:rsid w:val="00A70529"/>
    <w:rsid w:val="00A70595"/>
    <w:rsid w:val="00A70597"/>
    <w:rsid w:val="00A70694"/>
    <w:rsid w:val="00A7075B"/>
    <w:rsid w:val="00A70769"/>
    <w:rsid w:val="00A70828"/>
    <w:rsid w:val="00A708D6"/>
    <w:rsid w:val="00A70924"/>
    <w:rsid w:val="00A709A4"/>
    <w:rsid w:val="00A70A8B"/>
    <w:rsid w:val="00A70B72"/>
    <w:rsid w:val="00A70C3C"/>
    <w:rsid w:val="00A70C3D"/>
    <w:rsid w:val="00A70C8B"/>
    <w:rsid w:val="00A70DE3"/>
    <w:rsid w:val="00A70DF4"/>
    <w:rsid w:val="00A70EB8"/>
    <w:rsid w:val="00A70ED9"/>
    <w:rsid w:val="00A711A1"/>
    <w:rsid w:val="00A7148B"/>
    <w:rsid w:val="00A715F1"/>
    <w:rsid w:val="00A7162B"/>
    <w:rsid w:val="00A716A3"/>
    <w:rsid w:val="00A71724"/>
    <w:rsid w:val="00A7173A"/>
    <w:rsid w:val="00A71757"/>
    <w:rsid w:val="00A71792"/>
    <w:rsid w:val="00A717CD"/>
    <w:rsid w:val="00A7180D"/>
    <w:rsid w:val="00A71868"/>
    <w:rsid w:val="00A718D3"/>
    <w:rsid w:val="00A7193A"/>
    <w:rsid w:val="00A7194B"/>
    <w:rsid w:val="00A7197C"/>
    <w:rsid w:val="00A71989"/>
    <w:rsid w:val="00A71AAD"/>
    <w:rsid w:val="00A71BE0"/>
    <w:rsid w:val="00A71D6E"/>
    <w:rsid w:val="00A71E0C"/>
    <w:rsid w:val="00A71E1D"/>
    <w:rsid w:val="00A71ECB"/>
    <w:rsid w:val="00A71FB0"/>
    <w:rsid w:val="00A71FBD"/>
    <w:rsid w:val="00A72075"/>
    <w:rsid w:val="00A72273"/>
    <w:rsid w:val="00A72312"/>
    <w:rsid w:val="00A7231D"/>
    <w:rsid w:val="00A72329"/>
    <w:rsid w:val="00A7256D"/>
    <w:rsid w:val="00A72778"/>
    <w:rsid w:val="00A7284B"/>
    <w:rsid w:val="00A72992"/>
    <w:rsid w:val="00A72C81"/>
    <w:rsid w:val="00A72F5E"/>
    <w:rsid w:val="00A72FBD"/>
    <w:rsid w:val="00A72FFB"/>
    <w:rsid w:val="00A7327A"/>
    <w:rsid w:val="00A732BB"/>
    <w:rsid w:val="00A73315"/>
    <w:rsid w:val="00A734CA"/>
    <w:rsid w:val="00A73519"/>
    <w:rsid w:val="00A7352C"/>
    <w:rsid w:val="00A735BA"/>
    <w:rsid w:val="00A735D1"/>
    <w:rsid w:val="00A73712"/>
    <w:rsid w:val="00A73752"/>
    <w:rsid w:val="00A737A2"/>
    <w:rsid w:val="00A73925"/>
    <w:rsid w:val="00A7393F"/>
    <w:rsid w:val="00A73973"/>
    <w:rsid w:val="00A73996"/>
    <w:rsid w:val="00A73A8C"/>
    <w:rsid w:val="00A73B14"/>
    <w:rsid w:val="00A73B4C"/>
    <w:rsid w:val="00A73CB3"/>
    <w:rsid w:val="00A73CD1"/>
    <w:rsid w:val="00A73D01"/>
    <w:rsid w:val="00A73D6B"/>
    <w:rsid w:val="00A73D96"/>
    <w:rsid w:val="00A73DDE"/>
    <w:rsid w:val="00A73DED"/>
    <w:rsid w:val="00A73E6D"/>
    <w:rsid w:val="00A73F2C"/>
    <w:rsid w:val="00A73FC2"/>
    <w:rsid w:val="00A74164"/>
    <w:rsid w:val="00A741C1"/>
    <w:rsid w:val="00A74249"/>
    <w:rsid w:val="00A7427F"/>
    <w:rsid w:val="00A7429D"/>
    <w:rsid w:val="00A74325"/>
    <w:rsid w:val="00A74366"/>
    <w:rsid w:val="00A743B1"/>
    <w:rsid w:val="00A74614"/>
    <w:rsid w:val="00A74805"/>
    <w:rsid w:val="00A74903"/>
    <w:rsid w:val="00A74985"/>
    <w:rsid w:val="00A74A12"/>
    <w:rsid w:val="00A74A28"/>
    <w:rsid w:val="00A74BAD"/>
    <w:rsid w:val="00A74BB0"/>
    <w:rsid w:val="00A74C2B"/>
    <w:rsid w:val="00A74C2E"/>
    <w:rsid w:val="00A74C77"/>
    <w:rsid w:val="00A74CBA"/>
    <w:rsid w:val="00A74D8E"/>
    <w:rsid w:val="00A74DBC"/>
    <w:rsid w:val="00A74DC3"/>
    <w:rsid w:val="00A74F19"/>
    <w:rsid w:val="00A74FA7"/>
    <w:rsid w:val="00A74FED"/>
    <w:rsid w:val="00A75007"/>
    <w:rsid w:val="00A750E7"/>
    <w:rsid w:val="00A750F5"/>
    <w:rsid w:val="00A75267"/>
    <w:rsid w:val="00A75297"/>
    <w:rsid w:val="00A752A1"/>
    <w:rsid w:val="00A7535B"/>
    <w:rsid w:val="00A753E5"/>
    <w:rsid w:val="00A7549F"/>
    <w:rsid w:val="00A75621"/>
    <w:rsid w:val="00A7565C"/>
    <w:rsid w:val="00A75724"/>
    <w:rsid w:val="00A75749"/>
    <w:rsid w:val="00A75A25"/>
    <w:rsid w:val="00A75B3C"/>
    <w:rsid w:val="00A75DA3"/>
    <w:rsid w:val="00A75DF8"/>
    <w:rsid w:val="00A75E0D"/>
    <w:rsid w:val="00A75F27"/>
    <w:rsid w:val="00A7601B"/>
    <w:rsid w:val="00A76060"/>
    <w:rsid w:val="00A760F7"/>
    <w:rsid w:val="00A76168"/>
    <w:rsid w:val="00A761E7"/>
    <w:rsid w:val="00A7628B"/>
    <w:rsid w:val="00A762A0"/>
    <w:rsid w:val="00A762D2"/>
    <w:rsid w:val="00A76337"/>
    <w:rsid w:val="00A7637E"/>
    <w:rsid w:val="00A763AB"/>
    <w:rsid w:val="00A7640B"/>
    <w:rsid w:val="00A76457"/>
    <w:rsid w:val="00A7655D"/>
    <w:rsid w:val="00A76839"/>
    <w:rsid w:val="00A76A45"/>
    <w:rsid w:val="00A76A48"/>
    <w:rsid w:val="00A76B28"/>
    <w:rsid w:val="00A76BC3"/>
    <w:rsid w:val="00A76BD5"/>
    <w:rsid w:val="00A76C21"/>
    <w:rsid w:val="00A76CBF"/>
    <w:rsid w:val="00A76D44"/>
    <w:rsid w:val="00A76E6D"/>
    <w:rsid w:val="00A76EE6"/>
    <w:rsid w:val="00A77073"/>
    <w:rsid w:val="00A772BB"/>
    <w:rsid w:val="00A7732F"/>
    <w:rsid w:val="00A77392"/>
    <w:rsid w:val="00A7745D"/>
    <w:rsid w:val="00A77508"/>
    <w:rsid w:val="00A77518"/>
    <w:rsid w:val="00A7767E"/>
    <w:rsid w:val="00A7770D"/>
    <w:rsid w:val="00A77734"/>
    <w:rsid w:val="00A77761"/>
    <w:rsid w:val="00A77795"/>
    <w:rsid w:val="00A777B2"/>
    <w:rsid w:val="00A777DE"/>
    <w:rsid w:val="00A77A68"/>
    <w:rsid w:val="00A77BAB"/>
    <w:rsid w:val="00A77BB9"/>
    <w:rsid w:val="00A77BCC"/>
    <w:rsid w:val="00A77CAE"/>
    <w:rsid w:val="00A77F2C"/>
    <w:rsid w:val="00A80217"/>
    <w:rsid w:val="00A80271"/>
    <w:rsid w:val="00A80476"/>
    <w:rsid w:val="00A80485"/>
    <w:rsid w:val="00A80600"/>
    <w:rsid w:val="00A80863"/>
    <w:rsid w:val="00A80AEF"/>
    <w:rsid w:val="00A80B50"/>
    <w:rsid w:val="00A80BB0"/>
    <w:rsid w:val="00A80D25"/>
    <w:rsid w:val="00A80D36"/>
    <w:rsid w:val="00A80D70"/>
    <w:rsid w:val="00A80E31"/>
    <w:rsid w:val="00A80F1D"/>
    <w:rsid w:val="00A80F2B"/>
    <w:rsid w:val="00A810EF"/>
    <w:rsid w:val="00A81109"/>
    <w:rsid w:val="00A811E0"/>
    <w:rsid w:val="00A81251"/>
    <w:rsid w:val="00A813AB"/>
    <w:rsid w:val="00A813EB"/>
    <w:rsid w:val="00A813F6"/>
    <w:rsid w:val="00A8152F"/>
    <w:rsid w:val="00A815E0"/>
    <w:rsid w:val="00A815E1"/>
    <w:rsid w:val="00A815FC"/>
    <w:rsid w:val="00A81695"/>
    <w:rsid w:val="00A817E8"/>
    <w:rsid w:val="00A8185D"/>
    <w:rsid w:val="00A818BD"/>
    <w:rsid w:val="00A819A3"/>
    <w:rsid w:val="00A81A05"/>
    <w:rsid w:val="00A81AD1"/>
    <w:rsid w:val="00A81B0B"/>
    <w:rsid w:val="00A81C98"/>
    <w:rsid w:val="00A81CD3"/>
    <w:rsid w:val="00A81D32"/>
    <w:rsid w:val="00A81D37"/>
    <w:rsid w:val="00A81E63"/>
    <w:rsid w:val="00A81E94"/>
    <w:rsid w:val="00A81F75"/>
    <w:rsid w:val="00A81FDB"/>
    <w:rsid w:val="00A82074"/>
    <w:rsid w:val="00A82077"/>
    <w:rsid w:val="00A820E5"/>
    <w:rsid w:val="00A82142"/>
    <w:rsid w:val="00A82213"/>
    <w:rsid w:val="00A8236C"/>
    <w:rsid w:val="00A823BA"/>
    <w:rsid w:val="00A82403"/>
    <w:rsid w:val="00A824ED"/>
    <w:rsid w:val="00A8258A"/>
    <w:rsid w:val="00A8259D"/>
    <w:rsid w:val="00A82730"/>
    <w:rsid w:val="00A82985"/>
    <w:rsid w:val="00A82A0B"/>
    <w:rsid w:val="00A82A4E"/>
    <w:rsid w:val="00A82ADF"/>
    <w:rsid w:val="00A82AFB"/>
    <w:rsid w:val="00A82B14"/>
    <w:rsid w:val="00A82B4B"/>
    <w:rsid w:val="00A82C99"/>
    <w:rsid w:val="00A82C9E"/>
    <w:rsid w:val="00A82CA0"/>
    <w:rsid w:val="00A82E43"/>
    <w:rsid w:val="00A82E5B"/>
    <w:rsid w:val="00A82ED3"/>
    <w:rsid w:val="00A82FB4"/>
    <w:rsid w:val="00A83023"/>
    <w:rsid w:val="00A831FC"/>
    <w:rsid w:val="00A832A1"/>
    <w:rsid w:val="00A832B6"/>
    <w:rsid w:val="00A83312"/>
    <w:rsid w:val="00A833D9"/>
    <w:rsid w:val="00A834DF"/>
    <w:rsid w:val="00A83507"/>
    <w:rsid w:val="00A83597"/>
    <w:rsid w:val="00A83634"/>
    <w:rsid w:val="00A8364E"/>
    <w:rsid w:val="00A83681"/>
    <w:rsid w:val="00A83761"/>
    <w:rsid w:val="00A8387C"/>
    <w:rsid w:val="00A838BC"/>
    <w:rsid w:val="00A838D8"/>
    <w:rsid w:val="00A839AA"/>
    <w:rsid w:val="00A83A11"/>
    <w:rsid w:val="00A83A5D"/>
    <w:rsid w:val="00A83AF3"/>
    <w:rsid w:val="00A83B08"/>
    <w:rsid w:val="00A83C3B"/>
    <w:rsid w:val="00A83C99"/>
    <w:rsid w:val="00A83E2C"/>
    <w:rsid w:val="00A83E87"/>
    <w:rsid w:val="00A83F66"/>
    <w:rsid w:val="00A84010"/>
    <w:rsid w:val="00A84063"/>
    <w:rsid w:val="00A840E4"/>
    <w:rsid w:val="00A8424C"/>
    <w:rsid w:val="00A842B1"/>
    <w:rsid w:val="00A84311"/>
    <w:rsid w:val="00A843FE"/>
    <w:rsid w:val="00A8450F"/>
    <w:rsid w:val="00A84568"/>
    <w:rsid w:val="00A846BF"/>
    <w:rsid w:val="00A846DC"/>
    <w:rsid w:val="00A84731"/>
    <w:rsid w:val="00A8478F"/>
    <w:rsid w:val="00A847D5"/>
    <w:rsid w:val="00A848C7"/>
    <w:rsid w:val="00A848D1"/>
    <w:rsid w:val="00A848DC"/>
    <w:rsid w:val="00A84901"/>
    <w:rsid w:val="00A8490D"/>
    <w:rsid w:val="00A84913"/>
    <w:rsid w:val="00A849F8"/>
    <w:rsid w:val="00A84A1C"/>
    <w:rsid w:val="00A84A4E"/>
    <w:rsid w:val="00A84B85"/>
    <w:rsid w:val="00A84C86"/>
    <w:rsid w:val="00A84F0F"/>
    <w:rsid w:val="00A850C0"/>
    <w:rsid w:val="00A850F6"/>
    <w:rsid w:val="00A8519F"/>
    <w:rsid w:val="00A8525A"/>
    <w:rsid w:val="00A85275"/>
    <w:rsid w:val="00A8535C"/>
    <w:rsid w:val="00A8537E"/>
    <w:rsid w:val="00A85424"/>
    <w:rsid w:val="00A85487"/>
    <w:rsid w:val="00A8548F"/>
    <w:rsid w:val="00A856ED"/>
    <w:rsid w:val="00A8572D"/>
    <w:rsid w:val="00A85767"/>
    <w:rsid w:val="00A857F9"/>
    <w:rsid w:val="00A85979"/>
    <w:rsid w:val="00A85A8F"/>
    <w:rsid w:val="00A85B49"/>
    <w:rsid w:val="00A85CDC"/>
    <w:rsid w:val="00A85D42"/>
    <w:rsid w:val="00A85EAA"/>
    <w:rsid w:val="00A85EDD"/>
    <w:rsid w:val="00A85F7C"/>
    <w:rsid w:val="00A85F94"/>
    <w:rsid w:val="00A86037"/>
    <w:rsid w:val="00A860BE"/>
    <w:rsid w:val="00A86142"/>
    <w:rsid w:val="00A86192"/>
    <w:rsid w:val="00A861A1"/>
    <w:rsid w:val="00A86212"/>
    <w:rsid w:val="00A862E1"/>
    <w:rsid w:val="00A862F4"/>
    <w:rsid w:val="00A86352"/>
    <w:rsid w:val="00A86414"/>
    <w:rsid w:val="00A86425"/>
    <w:rsid w:val="00A86528"/>
    <w:rsid w:val="00A86552"/>
    <w:rsid w:val="00A86572"/>
    <w:rsid w:val="00A8684A"/>
    <w:rsid w:val="00A868CA"/>
    <w:rsid w:val="00A869F7"/>
    <w:rsid w:val="00A86A5E"/>
    <w:rsid w:val="00A86B30"/>
    <w:rsid w:val="00A86C6B"/>
    <w:rsid w:val="00A86CAD"/>
    <w:rsid w:val="00A86D40"/>
    <w:rsid w:val="00A86E0C"/>
    <w:rsid w:val="00A86EF6"/>
    <w:rsid w:val="00A870C5"/>
    <w:rsid w:val="00A872AD"/>
    <w:rsid w:val="00A87336"/>
    <w:rsid w:val="00A873D9"/>
    <w:rsid w:val="00A87522"/>
    <w:rsid w:val="00A875A2"/>
    <w:rsid w:val="00A875F7"/>
    <w:rsid w:val="00A87613"/>
    <w:rsid w:val="00A87757"/>
    <w:rsid w:val="00A87774"/>
    <w:rsid w:val="00A87A6B"/>
    <w:rsid w:val="00A87A80"/>
    <w:rsid w:val="00A87AF5"/>
    <w:rsid w:val="00A87B58"/>
    <w:rsid w:val="00A87BB6"/>
    <w:rsid w:val="00A87C15"/>
    <w:rsid w:val="00A87C2C"/>
    <w:rsid w:val="00A87C3C"/>
    <w:rsid w:val="00A87DFB"/>
    <w:rsid w:val="00A87E08"/>
    <w:rsid w:val="00A87E1E"/>
    <w:rsid w:val="00A87E99"/>
    <w:rsid w:val="00A87FEE"/>
    <w:rsid w:val="00A90062"/>
    <w:rsid w:val="00A901A8"/>
    <w:rsid w:val="00A901ED"/>
    <w:rsid w:val="00A9020E"/>
    <w:rsid w:val="00A90399"/>
    <w:rsid w:val="00A9053F"/>
    <w:rsid w:val="00A90565"/>
    <w:rsid w:val="00A90619"/>
    <w:rsid w:val="00A90668"/>
    <w:rsid w:val="00A90782"/>
    <w:rsid w:val="00A908C9"/>
    <w:rsid w:val="00A90950"/>
    <w:rsid w:val="00A909E6"/>
    <w:rsid w:val="00A90B6B"/>
    <w:rsid w:val="00A90C3D"/>
    <w:rsid w:val="00A90CE1"/>
    <w:rsid w:val="00A90D29"/>
    <w:rsid w:val="00A90DAD"/>
    <w:rsid w:val="00A90E25"/>
    <w:rsid w:val="00A90E54"/>
    <w:rsid w:val="00A90EC1"/>
    <w:rsid w:val="00A91044"/>
    <w:rsid w:val="00A910BA"/>
    <w:rsid w:val="00A91103"/>
    <w:rsid w:val="00A9113B"/>
    <w:rsid w:val="00A91151"/>
    <w:rsid w:val="00A91178"/>
    <w:rsid w:val="00A9124C"/>
    <w:rsid w:val="00A9125E"/>
    <w:rsid w:val="00A91272"/>
    <w:rsid w:val="00A913FF"/>
    <w:rsid w:val="00A9143F"/>
    <w:rsid w:val="00A91464"/>
    <w:rsid w:val="00A914DD"/>
    <w:rsid w:val="00A916DA"/>
    <w:rsid w:val="00A91733"/>
    <w:rsid w:val="00A91897"/>
    <w:rsid w:val="00A918CC"/>
    <w:rsid w:val="00A918CE"/>
    <w:rsid w:val="00A9194F"/>
    <w:rsid w:val="00A9199B"/>
    <w:rsid w:val="00A91A17"/>
    <w:rsid w:val="00A91A7D"/>
    <w:rsid w:val="00A91B1A"/>
    <w:rsid w:val="00A91C7E"/>
    <w:rsid w:val="00A91D3A"/>
    <w:rsid w:val="00A91F4A"/>
    <w:rsid w:val="00A91FA1"/>
    <w:rsid w:val="00A91FD6"/>
    <w:rsid w:val="00A91FFD"/>
    <w:rsid w:val="00A92076"/>
    <w:rsid w:val="00A9218B"/>
    <w:rsid w:val="00A921C9"/>
    <w:rsid w:val="00A92302"/>
    <w:rsid w:val="00A92383"/>
    <w:rsid w:val="00A923D3"/>
    <w:rsid w:val="00A9248B"/>
    <w:rsid w:val="00A924FA"/>
    <w:rsid w:val="00A9255A"/>
    <w:rsid w:val="00A9263D"/>
    <w:rsid w:val="00A92667"/>
    <w:rsid w:val="00A926F7"/>
    <w:rsid w:val="00A92746"/>
    <w:rsid w:val="00A927E4"/>
    <w:rsid w:val="00A92942"/>
    <w:rsid w:val="00A92A0D"/>
    <w:rsid w:val="00A92AF0"/>
    <w:rsid w:val="00A92B12"/>
    <w:rsid w:val="00A92B56"/>
    <w:rsid w:val="00A92B59"/>
    <w:rsid w:val="00A92C23"/>
    <w:rsid w:val="00A92C27"/>
    <w:rsid w:val="00A92C8D"/>
    <w:rsid w:val="00A92CBF"/>
    <w:rsid w:val="00A92E42"/>
    <w:rsid w:val="00A92E4E"/>
    <w:rsid w:val="00A92F43"/>
    <w:rsid w:val="00A92F4E"/>
    <w:rsid w:val="00A92F54"/>
    <w:rsid w:val="00A92F9D"/>
    <w:rsid w:val="00A92FD2"/>
    <w:rsid w:val="00A92FDD"/>
    <w:rsid w:val="00A93078"/>
    <w:rsid w:val="00A9309D"/>
    <w:rsid w:val="00A93133"/>
    <w:rsid w:val="00A93151"/>
    <w:rsid w:val="00A9321B"/>
    <w:rsid w:val="00A932C2"/>
    <w:rsid w:val="00A933CF"/>
    <w:rsid w:val="00A933D8"/>
    <w:rsid w:val="00A93447"/>
    <w:rsid w:val="00A93485"/>
    <w:rsid w:val="00A934D2"/>
    <w:rsid w:val="00A934DD"/>
    <w:rsid w:val="00A93585"/>
    <w:rsid w:val="00A935E6"/>
    <w:rsid w:val="00A93618"/>
    <w:rsid w:val="00A9367C"/>
    <w:rsid w:val="00A936D9"/>
    <w:rsid w:val="00A937A4"/>
    <w:rsid w:val="00A939BF"/>
    <w:rsid w:val="00A93B50"/>
    <w:rsid w:val="00A93BF3"/>
    <w:rsid w:val="00A93CC8"/>
    <w:rsid w:val="00A93DC1"/>
    <w:rsid w:val="00A93E27"/>
    <w:rsid w:val="00A93F1E"/>
    <w:rsid w:val="00A93F84"/>
    <w:rsid w:val="00A940D0"/>
    <w:rsid w:val="00A940D2"/>
    <w:rsid w:val="00A94148"/>
    <w:rsid w:val="00A94170"/>
    <w:rsid w:val="00A942CF"/>
    <w:rsid w:val="00A9437D"/>
    <w:rsid w:val="00A94389"/>
    <w:rsid w:val="00A9441A"/>
    <w:rsid w:val="00A9445B"/>
    <w:rsid w:val="00A944AA"/>
    <w:rsid w:val="00A94552"/>
    <w:rsid w:val="00A94560"/>
    <w:rsid w:val="00A9463A"/>
    <w:rsid w:val="00A946FC"/>
    <w:rsid w:val="00A94721"/>
    <w:rsid w:val="00A947D7"/>
    <w:rsid w:val="00A948A2"/>
    <w:rsid w:val="00A94AF2"/>
    <w:rsid w:val="00A94B23"/>
    <w:rsid w:val="00A94B2D"/>
    <w:rsid w:val="00A94B35"/>
    <w:rsid w:val="00A94B78"/>
    <w:rsid w:val="00A94C1F"/>
    <w:rsid w:val="00A94C22"/>
    <w:rsid w:val="00A94C51"/>
    <w:rsid w:val="00A94CCE"/>
    <w:rsid w:val="00A94CD8"/>
    <w:rsid w:val="00A94D0F"/>
    <w:rsid w:val="00A94D63"/>
    <w:rsid w:val="00A94DD6"/>
    <w:rsid w:val="00A94E01"/>
    <w:rsid w:val="00A94F62"/>
    <w:rsid w:val="00A95021"/>
    <w:rsid w:val="00A950D9"/>
    <w:rsid w:val="00A9510B"/>
    <w:rsid w:val="00A95192"/>
    <w:rsid w:val="00A952DB"/>
    <w:rsid w:val="00A952E6"/>
    <w:rsid w:val="00A952EE"/>
    <w:rsid w:val="00A953C9"/>
    <w:rsid w:val="00A953CB"/>
    <w:rsid w:val="00A953E4"/>
    <w:rsid w:val="00A9546B"/>
    <w:rsid w:val="00A954CA"/>
    <w:rsid w:val="00A95682"/>
    <w:rsid w:val="00A9571F"/>
    <w:rsid w:val="00A95742"/>
    <w:rsid w:val="00A9585B"/>
    <w:rsid w:val="00A9590F"/>
    <w:rsid w:val="00A9594F"/>
    <w:rsid w:val="00A95A00"/>
    <w:rsid w:val="00A95A15"/>
    <w:rsid w:val="00A95A6D"/>
    <w:rsid w:val="00A95BAD"/>
    <w:rsid w:val="00A95BF0"/>
    <w:rsid w:val="00A95C65"/>
    <w:rsid w:val="00A95C9F"/>
    <w:rsid w:val="00A95F1B"/>
    <w:rsid w:val="00A95F96"/>
    <w:rsid w:val="00A96160"/>
    <w:rsid w:val="00A9622A"/>
    <w:rsid w:val="00A962E7"/>
    <w:rsid w:val="00A962EA"/>
    <w:rsid w:val="00A96378"/>
    <w:rsid w:val="00A96497"/>
    <w:rsid w:val="00A965C8"/>
    <w:rsid w:val="00A9677C"/>
    <w:rsid w:val="00A96926"/>
    <w:rsid w:val="00A96A82"/>
    <w:rsid w:val="00A96ADE"/>
    <w:rsid w:val="00A96AE9"/>
    <w:rsid w:val="00A96B30"/>
    <w:rsid w:val="00A96B97"/>
    <w:rsid w:val="00A96BED"/>
    <w:rsid w:val="00A96C58"/>
    <w:rsid w:val="00A96D16"/>
    <w:rsid w:val="00A96DB7"/>
    <w:rsid w:val="00A96E53"/>
    <w:rsid w:val="00A96ED6"/>
    <w:rsid w:val="00A96F67"/>
    <w:rsid w:val="00A96FE4"/>
    <w:rsid w:val="00A97243"/>
    <w:rsid w:val="00A972CE"/>
    <w:rsid w:val="00A973BD"/>
    <w:rsid w:val="00A973D5"/>
    <w:rsid w:val="00A973E9"/>
    <w:rsid w:val="00A9741B"/>
    <w:rsid w:val="00A97429"/>
    <w:rsid w:val="00A97452"/>
    <w:rsid w:val="00A97456"/>
    <w:rsid w:val="00A97478"/>
    <w:rsid w:val="00A9748D"/>
    <w:rsid w:val="00A974EB"/>
    <w:rsid w:val="00A9750E"/>
    <w:rsid w:val="00A97520"/>
    <w:rsid w:val="00A97583"/>
    <w:rsid w:val="00A97622"/>
    <w:rsid w:val="00A97625"/>
    <w:rsid w:val="00A97703"/>
    <w:rsid w:val="00A9781E"/>
    <w:rsid w:val="00A978FF"/>
    <w:rsid w:val="00A9797B"/>
    <w:rsid w:val="00A97B20"/>
    <w:rsid w:val="00A97C41"/>
    <w:rsid w:val="00A97CF7"/>
    <w:rsid w:val="00A97D1F"/>
    <w:rsid w:val="00A97F31"/>
    <w:rsid w:val="00A97F64"/>
    <w:rsid w:val="00A97FF5"/>
    <w:rsid w:val="00AA0105"/>
    <w:rsid w:val="00AA01FE"/>
    <w:rsid w:val="00AA0231"/>
    <w:rsid w:val="00AA02D1"/>
    <w:rsid w:val="00AA0340"/>
    <w:rsid w:val="00AA03EC"/>
    <w:rsid w:val="00AA03ED"/>
    <w:rsid w:val="00AA0434"/>
    <w:rsid w:val="00AA05D9"/>
    <w:rsid w:val="00AA07F2"/>
    <w:rsid w:val="00AA094C"/>
    <w:rsid w:val="00AA099D"/>
    <w:rsid w:val="00AA0A8E"/>
    <w:rsid w:val="00AA0B0B"/>
    <w:rsid w:val="00AA0B42"/>
    <w:rsid w:val="00AA0B51"/>
    <w:rsid w:val="00AA0E10"/>
    <w:rsid w:val="00AA0EC9"/>
    <w:rsid w:val="00AA0ED1"/>
    <w:rsid w:val="00AA0F57"/>
    <w:rsid w:val="00AA0FBE"/>
    <w:rsid w:val="00AA1054"/>
    <w:rsid w:val="00AA11AB"/>
    <w:rsid w:val="00AA11C4"/>
    <w:rsid w:val="00AA1407"/>
    <w:rsid w:val="00AA1440"/>
    <w:rsid w:val="00AA14D8"/>
    <w:rsid w:val="00AA158E"/>
    <w:rsid w:val="00AA15C1"/>
    <w:rsid w:val="00AA1609"/>
    <w:rsid w:val="00AA16F5"/>
    <w:rsid w:val="00AA1713"/>
    <w:rsid w:val="00AA174B"/>
    <w:rsid w:val="00AA1843"/>
    <w:rsid w:val="00AA19D2"/>
    <w:rsid w:val="00AA1B3A"/>
    <w:rsid w:val="00AA1B52"/>
    <w:rsid w:val="00AA1C64"/>
    <w:rsid w:val="00AA1D4F"/>
    <w:rsid w:val="00AA1DD7"/>
    <w:rsid w:val="00AA1DE0"/>
    <w:rsid w:val="00AA1E15"/>
    <w:rsid w:val="00AA1EDC"/>
    <w:rsid w:val="00AA1F22"/>
    <w:rsid w:val="00AA1F42"/>
    <w:rsid w:val="00AA1F4E"/>
    <w:rsid w:val="00AA1F57"/>
    <w:rsid w:val="00AA2002"/>
    <w:rsid w:val="00AA2065"/>
    <w:rsid w:val="00AA20AA"/>
    <w:rsid w:val="00AA213B"/>
    <w:rsid w:val="00AA2146"/>
    <w:rsid w:val="00AA2210"/>
    <w:rsid w:val="00AA2249"/>
    <w:rsid w:val="00AA2293"/>
    <w:rsid w:val="00AA23CC"/>
    <w:rsid w:val="00AA2537"/>
    <w:rsid w:val="00AA2544"/>
    <w:rsid w:val="00AA257C"/>
    <w:rsid w:val="00AA275C"/>
    <w:rsid w:val="00AA27A4"/>
    <w:rsid w:val="00AA2815"/>
    <w:rsid w:val="00AA28E2"/>
    <w:rsid w:val="00AA2A9E"/>
    <w:rsid w:val="00AA2BF3"/>
    <w:rsid w:val="00AA2D2C"/>
    <w:rsid w:val="00AA2F12"/>
    <w:rsid w:val="00AA2F65"/>
    <w:rsid w:val="00AA3356"/>
    <w:rsid w:val="00AA335A"/>
    <w:rsid w:val="00AA33F9"/>
    <w:rsid w:val="00AA353F"/>
    <w:rsid w:val="00AA360D"/>
    <w:rsid w:val="00AA3780"/>
    <w:rsid w:val="00AA3799"/>
    <w:rsid w:val="00AA379A"/>
    <w:rsid w:val="00AA3801"/>
    <w:rsid w:val="00AA3892"/>
    <w:rsid w:val="00AA38CB"/>
    <w:rsid w:val="00AA398A"/>
    <w:rsid w:val="00AA39F4"/>
    <w:rsid w:val="00AA3A5C"/>
    <w:rsid w:val="00AA3A5F"/>
    <w:rsid w:val="00AA3B09"/>
    <w:rsid w:val="00AA3B46"/>
    <w:rsid w:val="00AA3BC7"/>
    <w:rsid w:val="00AA3BCF"/>
    <w:rsid w:val="00AA3D35"/>
    <w:rsid w:val="00AA3ED8"/>
    <w:rsid w:val="00AA3EFB"/>
    <w:rsid w:val="00AA3FA4"/>
    <w:rsid w:val="00AA40BE"/>
    <w:rsid w:val="00AA4148"/>
    <w:rsid w:val="00AA4499"/>
    <w:rsid w:val="00AA449F"/>
    <w:rsid w:val="00AA451D"/>
    <w:rsid w:val="00AA452D"/>
    <w:rsid w:val="00AA4580"/>
    <w:rsid w:val="00AA46CC"/>
    <w:rsid w:val="00AA46DE"/>
    <w:rsid w:val="00AA4725"/>
    <w:rsid w:val="00AA47CD"/>
    <w:rsid w:val="00AA4837"/>
    <w:rsid w:val="00AA49DF"/>
    <w:rsid w:val="00AA4A0A"/>
    <w:rsid w:val="00AA4A77"/>
    <w:rsid w:val="00AA4AB4"/>
    <w:rsid w:val="00AA4B45"/>
    <w:rsid w:val="00AA4B52"/>
    <w:rsid w:val="00AA4B8F"/>
    <w:rsid w:val="00AA4D14"/>
    <w:rsid w:val="00AA5169"/>
    <w:rsid w:val="00AA5237"/>
    <w:rsid w:val="00AA526A"/>
    <w:rsid w:val="00AA537C"/>
    <w:rsid w:val="00AA53C9"/>
    <w:rsid w:val="00AA5432"/>
    <w:rsid w:val="00AA54B0"/>
    <w:rsid w:val="00AA54F5"/>
    <w:rsid w:val="00AA54FA"/>
    <w:rsid w:val="00AA5669"/>
    <w:rsid w:val="00AA5812"/>
    <w:rsid w:val="00AA584D"/>
    <w:rsid w:val="00AA592B"/>
    <w:rsid w:val="00AA59DE"/>
    <w:rsid w:val="00AA5AEE"/>
    <w:rsid w:val="00AA5B4E"/>
    <w:rsid w:val="00AA5BD0"/>
    <w:rsid w:val="00AA5C25"/>
    <w:rsid w:val="00AA5C2A"/>
    <w:rsid w:val="00AA5CEE"/>
    <w:rsid w:val="00AA5D28"/>
    <w:rsid w:val="00AA5FFF"/>
    <w:rsid w:val="00AA610B"/>
    <w:rsid w:val="00AA6340"/>
    <w:rsid w:val="00AA63FE"/>
    <w:rsid w:val="00AA64FE"/>
    <w:rsid w:val="00AA659F"/>
    <w:rsid w:val="00AA65D0"/>
    <w:rsid w:val="00AA6701"/>
    <w:rsid w:val="00AA67DF"/>
    <w:rsid w:val="00AA6987"/>
    <w:rsid w:val="00AA69C5"/>
    <w:rsid w:val="00AA69E1"/>
    <w:rsid w:val="00AA69E4"/>
    <w:rsid w:val="00AA6AA0"/>
    <w:rsid w:val="00AA6AB2"/>
    <w:rsid w:val="00AA6AB8"/>
    <w:rsid w:val="00AA6B9E"/>
    <w:rsid w:val="00AA6C30"/>
    <w:rsid w:val="00AA6C93"/>
    <w:rsid w:val="00AA6CA1"/>
    <w:rsid w:val="00AA6CA4"/>
    <w:rsid w:val="00AA6CD5"/>
    <w:rsid w:val="00AA6CEE"/>
    <w:rsid w:val="00AA6D60"/>
    <w:rsid w:val="00AA6D76"/>
    <w:rsid w:val="00AA6E49"/>
    <w:rsid w:val="00AA6E5B"/>
    <w:rsid w:val="00AA6EBE"/>
    <w:rsid w:val="00AA7081"/>
    <w:rsid w:val="00AA71BA"/>
    <w:rsid w:val="00AA71C0"/>
    <w:rsid w:val="00AA71D7"/>
    <w:rsid w:val="00AA71E0"/>
    <w:rsid w:val="00AA72F9"/>
    <w:rsid w:val="00AA73A6"/>
    <w:rsid w:val="00AA748D"/>
    <w:rsid w:val="00AA74E2"/>
    <w:rsid w:val="00AA752D"/>
    <w:rsid w:val="00AA75C0"/>
    <w:rsid w:val="00AA766A"/>
    <w:rsid w:val="00AA76B4"/>
    <w:rsid w:val="00AA79DD"/>
    <w:rsid w:val="00AA7A4B"/>
    <w:rsid w:val="00AA7BA0"/>
    <w:rsid w:val="00AA7BBB"/>
    <w:rsid w:val="00AA7BDF"/>
    <w:rsid w:val="00AA7E51"/>
    <w:rsid w:val="00AA7FFB"/>
    <w:rsid w:val="00AB0042"/>
    <w:rsid w:val="00AB00F6"/>
    <w:rsid w:val="00AB018C"/>
    <w:rsid w:val="00AB01DD"/>
    <w:rsid w:val="00AB01FD"/>
    <w:rsid w:val="00AB021E"/>
    <w:rsid w:val="00AB02CB"/>
    <w:rsid w:val="00AB0358"/>
    <w:rsid w:val="00AB0365"/>
    <w:rsid w:val="00AB03D6"/>
    <w:rsid w:val="00AB03EA"/>
    <w:rsid w:val="00AB0434"/>
    <w:rsid w:val="00AB04A2"/>
    <w:rsid w:val="00AB04C1"/>
    <w:rsid w:val="00AB0577"/>
    <w:rsid w:val="00AB05E2"/>
    <w:rsid w:val="00AB05E6"/>
    <w:rsid w:val="00AB05F5"/>
    <w:rsid w:val="00AB06FF"/>
    <w:rsid w:val="00AB08FC"/>
    <w:rsid w:val="00AB094E"/>
    <w:rsid w:val="00AB0981"/>
    <w:rsid w:val="00AB09D7"/>
    <w:rsid w:val="00AB0A18"/>
    <w:rsid w:val="00AB0A3B"/>
    <w:rsid w:val="00AB0A43"/>
    <w:rsid w:val="00AB0A92"/>
    <w:rsid w:val="00AB0C56"/>
    <w:rsid w:val="00AB0D99"/>
    <w:rsid w:val="00AB0F9A"/>
    <w:rsid w:val="00AB0FD2"/>
    <w:rsid w:val="00AB1040"/>
    <w:rsid w:val="00AB10F4"/>
    <w:rsid w:val="00AB1202"/>
    <w:rsid w:val="00AB125C"/>
    <w:rsid w:val="00AB12D9"/>
    <w:rsid w:val="00AB1313"/>
    <w:rsid w:val="00AB136C"/>
    <w:rsid w:val="00AB14B1"/>
    <w:rsid w:val="00AB14C8"/>
    <w:rsid w:val="00AB14FF"/>
    <w:rsid w:val="00AB1588"/>
    <w:rsid w:val="00AB15FC"/>
    <w:rsid w:val="00AB1668"/>
    <w:rsid w:val="00AB1684"/>
    <w:rsid w:val="00AB1773"/>
    <w:rsid w:val="00AB17EB"/>
    <w:rsid w:val="00AB180A"/>
    <w:rsid w:val="00AB1910"/>
    <w:rsid w:val="00AB1A64"/>
    <w:rsid w:val="00AB1ACB"/>
    <w:rsid w:val="00AB1B63"/>
    <w:rsid w:val="00AB1BE7"/>
    <w:rsid w:val="00AB1C0B"/>
    <w:rsid w:val="00AB1C68"/>
    <w:rsid w:val="00AB1C7B"/>
    <w:rsid w:val="00AB1D1A"/>
    <w:rsid w:val="00AB1DAE"/>
    <w:rsid w:val="00AB1DEE"/>
    <w:rsid w:val="00AB1EF8"/>
    <w:rsid w:val="00AB1FBF"/>
    <w:rsid w:val="00AB206B"/>
    <w:rsid w:val="00AB2199"/>
    <w:rsid w:val="00AB21DF"/>
    <w:rsid w:val="00AB2239"/>
    <w:rsid w:val="00AB224F"/>
    <w:rsid w:val="00AB22C8"/>
    <w:rsid w:val="00AB2382"/>
    <w:rsid w:val="00AB246B"/>
    <w:rsid w:val="00AB256D"/>
    <w:rsid w:val="00AB2580"/>
    <w:rsid w:val="00AB25C5"/>
    <w:rsid w:val="00AB25D3"/>
    <w:rsid w:val="00AB2602"/>
    <w:rsid w:val="00AB27A9"/>
    <w:rsid w:val="00AB28D6"/>
    <w:rsid w:val="00AB296E"/>
    <w:rsid w:val="00AB2ABD"/>
    <w:rsid w:val="00AB2B54"/>
    <w:rsid w:val="00AB2BC8"/>
    <w:rsid w:val="00AB2BCC"/>
    <w:rsid w:val="00AB2C23"/>
    <w:rsid w:val="00AB2C97"/>
    <w:rsid w:val="00AB2EB6"/>
    <w:rsid w:val="00AB2F9E"/>
    <w:rsid w:val="00AB2FF9"/>
    <w:rsid w:val="00AB3059"/>
    <w:rsid w:val="00AB305F"/>
    <w:rsid w:val="00AB30AF"/>
    <w:rsid w:val="00AB30EF"/>
    <w:rsid w:val="00AB3171"/>
    <w:rsid w:val="00AB330C"/>
    <w:rsid w:val="00AB3366"/>
    <w:rsid w:val="00AB33B4"/>
    <w:rsid w:val="00AB346A"/>
    <w:rsid w:val="00AB3493"/>
    <w:rsid w:val="00AB34A8"/>
    <w:rsid w:val="00AB34D3"/>
    <w:rsid w:val="00AB34E0"/>
    <w:rsid w:val="00AB3506"/>
    <w:rsid w:val="00AB3709"/>
    <w:rsid w:val="00AB3764"/>
    <w:rsid w:val="00AB37A8"/>
    <w:rsid w:val="00AB37BF"/>
    <w:rsid w:val="00AB37F0"/>
    <w:rsid w:val="00AB385D"/>
    <w:rsid w:val="00AB396F"/>
    <w:rsid w:val="00AB39C2"/>
    <w:rsid w:val="00AB3A30"/>
    <w:rsid w:val="00AB3AE5"/>
    <w:rsid w:val="00AB3BF5"/>
    <w:rsid w:val="00AB3C0B"/>
    <w:rsid w:val="00AB3D20"/>
    <w:rsid w:val="00AB3D3A"/>
    <w:rsid w:val="00AB3DB1"/>
    <w:rsid w:val="00AB3E8F"/>
    <w:rsid w:val="00AB3EC8"/>
    <w:rsid w:val="00AB3FAA"/>
    <w:rsid w:val="00AB3FE9"/>
    <w:rsid w:val="00AB4069"/>
    <w:rsid w:val="00AB4294"/>
    <w:rsid w:val="00AB429A"/>
    <w:rsid w:val="00AB4341"/>
    <w:rsid w:val="00AB4396"/>
    <w:rsid w:val="00AB43CA"/>
    <w:rsid w:val="00AB452B"/>
    <w:rsid w:val="00AB4590"/>
    <w:rsid w:val="00AB4698"/>
    <w:rsid w:val="00AB47DE"/>
    <w:rsid w:val="00AB480A"/>
    <w:rsid w:val="00AB480B"/>
    <w:rsid w:val="00AB4882"/>
    <w:rsid w:val="00AB4914"/>
    <w:rsid w:val="00AB4926"/>
    <w:rsid w:val="00AB4ABD"/>
    <w:rsid w:val="00AB4BC6"/>
    <w:rsid w:val="00AB4C0F"/>
    <w:rsid w:val="00AB4D12"/>
    <w:rsid w:val="00AB4F0B"/>
    <w:rsid w:val="00AB4F2F"/>
    <w:rsid w:val="00AB4FDB"/>
    <w:rsid w:val="00AB5007"/>
    <w:rsid w:val="00AB508C"/>
    <w:rsid w:val="00AB50CB"/>
    <w:rsid w:val="00AB51C7"/>
    <w:rsid w:val="00AB53FF"/>
    <w:rsid w:val="00AB5410"/>
    <w:rsid w:val="00AB5451"/>
    <w:rsid w:val="00AB563A"/>
    <w:rsid w:val="00AB5654"/>
    <w:rsid w:val="00AB5710"/>
    <w:rsid w:val="00AB572E"/>
    <w:rsid w:val="00AB57A2"/>
    <w:rsid w:val="00AB57B2"/>
    <w:rsid w:val="00AB584C"/>
    <w:rsid w:val="00AB588E"/>
    <w:rsid w:val="00AB591A"/>
    <w:rsid w:val="00AB59CB"/>
    <w:rsid w:val="00AB59F3"/>
    <w:rsid w:val="00AB5A63"/>
    <w:rsid w:val="00AB5ADF"/>
    <w:rsid w:val="00AB5AFE"/>
    <w:rsid w:val="00AB5B0D"/>
    <w:rsid w:val="00AB5B7E"/>
    <w:rsid w:val="00AB5BAB"/>
    <w:rsid w:val="00AB5BE7"/>
    <w:rsid w:val="00AB5BFE"/>
    <w:rsid w:val="00AB5D1E"/>
    <w:rsid w:val="00AB5D9E"/>
    <w:rsid w:val="00AB5E59"/>
    <w:rsid w:val="00AB5F22"/>
    <w:rsid w:val="00AB5FB1"/>
    <w:rsid w:val="00AB6090"/>
    <w:rsid w:val="00AB6186"/>
    <w:rsid w:val="00AB6221"/>
    <w:rsid w:val="00AB6389"/>
    <w:rsid w:val="00AB63CA"/>
    <w:rsid w:val="00AB63D2"/>
    <w:rsid w:val="00AB6608"/>
    <w:rsid w:val="00AB6790"/>
    <w:rsid w:val="00AB6810"/>
    <w:rsid w:val="00AB6811"/>
    <w:rsid w:val="00AB68D5"/>
    <w:rsid w:val="00AB6961"/>
    <w:rsid w:val="00AB69D7"/>
    <w:rsid w:val="00AB6A93"/>
    <w:rsid w:val="00AB6AD4"/>
    <w:rsid w:val="00AB6AF7"/>
    <w:rsid w:val="00AB6B44"/>
    <w:rsid w:val="00AB6D25"/>
    <w:rsid w:val="00AB6DB8"/>
    <w:rsid w:val="00AB6F35"/>
    <w:rsid w:val="00AB6FF4"/>
    <w:rsid w:val="00AB7037"/>
    <w:rsid w:val="00AB7103"/>
    <w:rsid w:val="00AB7339"/>
    <w:rsid w:val="00AB741B"/>
    <w:rsid w:val="00AB755D"/>
    <w:rsid w:val="00AB776B"/>
    <w:rsid w:val="00AB7889"/>
    <w:rsid w:val="00AB7ABF"/>
    <w:rsid w:val="00AB7BE2"/>
    <w:rsid w:val="00AB7C21"/>
    <w:rsid w:val="00AB7E30"/>
    <w:rsid w:val="00AB7EFC"/>
    <w:rsid w:val="00AB7F1E"/>
    <w:rsid w:val="00AB7FF5"/>
    <w:rsid w:val="00AC0030"/>
    <w:rsid w:val="00AC00B1"/>
    <w:rsid w:val="00AC0365"/>
    <w:rsid w:val="00AC0637"/>
    <w:rsid w:val="00AC064D"/>
    <w:rsid w:val="00AC06CD"/>
    <w:rsid w:val="00AC06D6"/>
    <w:rsid w:val="00AC0754"/>
    <w:rsid w:val="00AC09E6"/>
    <w:rsid w:val="00AC0CAD"/>
    <w:rsid w:val="00AC0CC7"/>
    <w:rsid w:val="00AC0DC9"/>
    <w:rsid w:val="00AC0DD2"/>
    <w:rsid w:val="00AC0E76"/>
    <w:rsid w:val="00AC0E94"/>
    <w:rsid w:val="00AC0F2F"/>
    <w:rsid w:val="00AC0F94"/>
    <w:rsid w:val="00AC0FBD"/>
    <w:rsid w:val="00AC1032"/>
    <w:rsid w:val="00AC1135"/>
    <w:rsid w:val="00AC121A"/>
    <w:rsid w:val="00AC1250"/>
    <w:rsid w:val="00AC13A2"/>
    <w:rsid w:val="00AC152A"/>
    <w:rsid w:val="00AC154D"/>
    <w:rsid w:val="00AC16A5"/>
    <w:rsid w:val="00AC16C0"/>
    <w:rsid w:val="00AC1793"/>
    <w:rsid w:val="00AC17E3"/>
    <w:rsid w:val="00AC1810"/>
    <w:rsid w:val="00AC182C"/>
    <w:rsid w:val="00AC18FD"/>
    <w:rsid w:val="00AC19FE"/>
    <w:rsid w:val="00AC1A60"/>
    <w:rsid w:val="00AC1ACD"/>
    <w:rsid w:val="00AC1AFE"/>
    <w:rsid w:val="00AC1B09"/>
    <w:rsid w:val="00AC1B42"/>
    <w:rsid w:val="00AC1B43"/>
    <w:rsid w:val="00AC1B50"/>
    <w:rsid w:val="00AC1B8D"/>
    <w:rsid w:val="00AC1C73"/>
    <w:rsid w:val="00AC1CFF"/>
    <w:rsid w:val="00AC1DE0"/>
    <w:rsid w:val="00AC1ED5"/>
    <w:rsid w:val="00AC2051"/>
    <w:rsid w:val="00AC20CE"/>
    <w:rsid w:val="00AC213F"/>
    <w:rsid w:val="00AC2211"/>
    <w:rsid w:val="00AC2216"/>
    <w:rsid w:val="00AC2350"/>
    <w:rsid w:val="00AC2373"/>
    <w:rsid w:val="00AC2512"/>
    <w:rsid w:val="00AC2658"/>
    <w:rsid w:val="00AC28AD"/>
    <w:rsid w:val="00AC292F"/>
    <w:rsid w:val="00AC2A3F"/>
    <w:rsid w:val="00AC2A43"/>
    <w:rsid w:val="00AC2B55"/>
    <w:rsid w:val="00AC2B84"/>
    <w:rsid w:val="00AC2C55"/>
    <w:rsid w:val="00AC2CEC"/>
    <w:rsid w:val="00AC2D15"/>
    <w:rsid w:val="00AC2D59"/>
    <w:rsid w:val="00AC2DDD"/>
    <w:rsid w:val="00AC2E06"/>
    <w:rsid w:val="00AC3003"/>
    <w:rsid w:val="00AC30AB"/>
    <w:rsid w:val="00AC30E1"/>
    <w:rsid w:val="00AC3187"/>
    <w:rsid w:val="00AC31B0"/>
    <w:rsid w:val="00AC3243"/>
    <w:rsid w:val="00AC3298"/>
    <w:rsid w:val="00AC3308"/>
    <w:rsid w:val="00AC3330"/>
    <w:rsid w:val="00AC337F"/>
    <w:rsid w:val="00AC33F7"/>
    <w:rsid w:val="00AC3424"/>
    <w:rsid w:val="00AC3716"/>
    <w:rsid w:val="00AC374F"/>
    <w:rsid w:val="00AC378A"/>
    <w:rsid w:val="00AC37BA"/>
    <w:rsid w:val="00AC3857"/>
    <w:rsid w:val="00AC38D6"/>
    <w:rsid w:val="00AC38FC"/>
    <w:rsid w:val="00AC3940"/>
    <w:rsid w:val="00AC399A"/>
    <w:rsid w:val="00AC39BD"/>
    <w:rsid w:val="00AC3A21"/>
    <w:rsid w:val="00AC3B00"/>
    <w:rsid w:val="00AC3B87"/>
    <w:rsid w:val="00AC3BB9"/>
    <w:rsid w:val="00AC3C6E"/>
    <w:rsid w:val="00AC3C92"/>
    <w:rsid w:val="00AC3ECA"/>
    <w:rsid w:val="00AC3F20"/>
    <w:rsid w:val="00AC3FD9"/>
    <w:rsid w:val="00AC4087"/>
    <w:rsid w:val="00AC40D0"/>
    <w:rsid w:val="00AC40FC"/>
    <w:rsid w:val="00AC411D"/>
    <w:rsid w:val="00AC419E"/>
    <w:rsid w:val="00AC41C2"/>
    <w:rsid w:val="00AC4206"/>
    <w:rsid w:val="00AC425E"/>
    <w:rsid w:val="00AC4315"/>
    <w:rsid w:val="00AC4331"/>
    <w:rsid w:val="00AC4373"/>
    <w:rsid w:val="00AC43E6"/>
    <w:rsid w:val="00AC443B"/>
    <w:rsid w:val="00AC44B5"/>
    <w:rsid w:val="00AC454E"/>
    <w:rsid w:val="00AC465C"/>
    <w:rsid w:val="00AC4690"/>
    <w:rsid w:val="00AC46CB"/>
    <w:rsid w:val="00AC4709"/>
    <w:rsid w:val="00AC4716"/>
    <w:rsid w:val="00AC47CC"/>
    <w:rsid w:val="00AC482A"/>
    <w:rsid w:val="00AC4886"/>
    <w:rsid w:val="00AC48CD"/>
    <w:rsid w:val="00AC496C"/>
    <w:rsid w:val="00AC4A7C"/>
    <w:rsid w:val="00AC4BB0"/>
    <w:rsid w:val="00AC4C5E"/>
    <w:rsid w:val="00AC4C78"/>
    <w:rsid w:val="00AC4E0B"/>
    <w:rsid w:val="00AC4F77"/>
    <w:rsid w:val="00AC4F83"/>
    <w:rsid w:val="00AC504E"/>
    <w:rsid w:val="00AC5220"/>
    <w:rsid w:val="00AC5223"/>
    <w:rsid w:val="00AC529C"/>
    <w:rsid w:val="00AC52D9"/>
    <w:rsid w:val="00AC5330"/>
    <w:rsid w:val="00AC53E0"/>
    <w:rsid w:val="00AC5408"/>
    <w:rsid w:val="00AC56C0"/>
    <w:rsid w:val="00AC56E7"/>
    <w:rsid w:val="00AC575A"/>
    <w:rsid w:val="00AC57C7"/>
    <w:rsid w:val="00AC580F"/>
    <w:rsid w:val="00AC58F2"/>
    <w:rsid w:val="00AC5BD1"/>
    <w:rsid w:val="00AC5C7F"/>
    <w:rsid w:val="00AC5CF7"/>
    <w:rsid w:val="00AC5D18"/>
    <w:rsid w:val="00AC5E0C"/>
    <w:rsid w:val="00AC5E49"/>
    <w:rsid w:val="00AC5F2B"/>
    <w:rsid w:val="00AC5FAA"/>
    <w:rsid w:val="00AC5FCA"/>
    <w:rsid w:val="00AC5FD4"/>
    <w:rsid w:val="00AC6007"/>
    <w:rsid w:val="00AC603E"/>
    <w:rsid w:val="00AC60BB"/>
    <w:rsid w:val="00AC612A"/>
    <w:rsid w:val="00AC619B"/>
    <w:rsid w:val="00AC61B0"/>
    <w:rsid w:val="00AC629B"/>
    <w:rsid w:val="00AC62AE"/>
    <w:rsid w:val="00AC62DD"/>
    <w:rsid w:val="00AC6362"/>
    <w:rsid w:val="00AC63A0"/>
    <w:rsid w:val="00AC63FC"/>
    <w:rsid w:val="00AC644F"/>
    <w:rsid w:val="00AC6511"/>
    <w:rsid w:val="00AC6558"/>
    <w:rsid w:val="00AC665D"/>
    <w:rsid w:val="00AC66B5"/>
    <w:rsid w:val="00AC66BE"/>
    <w:rsid w:val="00AC6726"/>
    <w:rsid w:val="00AC67FF"/>
    <w:rsid w:val="00AC6818"/>
    <w:rsid w:val="00AC6841"/>
    <w:rsid w:val="00AC68F8"/>
    <w:rsid w:val="00AC690F"/>
    <w:rsid w:val="00AC692D"/>
    <w:rsid w:val="00AC6B60"/>
    <w:rsid w:val="00AC6B97"/>
    <w:rsid w:val="00AC6C34"/>
    <w:rsid w:val="00AC6DE1"/>
    <w:rsid w:val="00AC6ECC"/>
    <w:rsid w:val="00AC6F64"/>
    <w:rsid w:val="00AC6F8B"/>
    <w:rsid w:val="00AC6FA5"/>
    <w:rsid w:val="00AC6FFF"/>
    <w:rsid w:val="00AC7052"/>
    <w:rsid w:val="00AC71E5"/>
    <w:rsid w:val="00AC7302"/>
    <w:rsid w:val="00AC730B"/>
    <w:rsid w:val="00AC743F"/>
    <w:rsid w:val="00AC7470"/>
    <w:rsid w:val="00AC7489"/>
    <w:rsid w:val="00AC75B8"/>
    <w:rsid w:val="00AC7612"/>
    <w:rsid w:val="00AC761C"/>
    <w:rsid w:val="00AC76A3"/>
    <w:rsid w:val="00AC76D9"/>
    <w:rsid w:val="00AC771C"/>
    <w:rsid w:val="00AC772B"/>
    <w:rsid w:val="00AC78BB"/>
    <w:rsid w:val="00AC79D9"/>
    <w:rsid w:val="00AC7A26"/>
    <w:rsid w:val="00AC7AA0"/>
    <w:rsid w:val="00AC7AA6"/>
    <w:rsid w:val="00AC7B85"/>
    <w:rsid w:val="00AC7CD3"/>
    <w:rsid w:val="00AC7D1B"/>
    <w:rsid w:val="00AC7D4C"/>
    <w:rsid w:val="00AC7E18"/>
    <w:rsid w:val="00AC7E5E"/>
    <w:rsid w:val="00AC7E7C"/>
    <w:rsid w:val="00AC7ED3"/>
    <w:rsid w:val="00AC7EDA"/>
    <w:rsid w:val="00AC7F08"/>
    <w:rsid w:val="00AC7F77"/>
    <w:rsid w:val="00AD00DE"/>
    <w:rsid w:val="00AD0107"/>
    <w:rsid w:val="00AD0284"/>
    <w:rsid w:val="00AD0506"/>
    <w:rsid w:val="00AD058E"/>
    <w:rsid w:val="00AD05BE"/>
    <w:rsid w:val="00AD0681"/>
    <w:rsid w:val="00AD06DD"/>
    <w:rsid w:val="00AD0757"/>
    <w:rsid w:val="00AD07E1"/>
    <w:rsid w:val="00AD08DE"/>
    <w:rsid w:val="00AD08F1"/>
    <w:rsid w:val="00AD0976"/>
    <w:rsid w:val="00AD0ABB"/>
    <w:rsid w:val="00AD0B6B"/>
    <w:rsid w:val="00AD0D41"/>
    <w:rsid w:val="00AD0DD1"/>
    <w:rsid w:val="00AD0E91"/>
    <w:rsid w:val="00AD0F8D"/>
    <w:rsid w:val="00AD1033"/>
    <w:rsid w:val="00AD1090"/>
    <w:rsid w:val="00AD1258"/>
    <w:rsid w:val="00AD12B2"/>
    <w:rsid w:val="00AD136F"/>
    <w:rsid w:val="00AD142F"/>
    <w:rsid w:val="00AD14D7"/>
    <w:rsid w:val="00AD14FE"/>
    <w:rsid w:val="00AD1612"/>
    <w:rsid w:val="00AD1836"/>
    <w:rsid w:val="00AD1852"/>
    <w:rsid w:val="00AD189E"/>
    <w:rsid w:val="00AD19DB"/>
    <w:rsid w:val="00AD19E9"/>
    <w:rsid w:val="00AD1AB7"/>
    <w:rsid w:val="00AD1B18"/>
    <w:rsid w:val="00AD1B49"/>
    <w:rsid w:val="00AD1B5E"/>
    <w:rsid w:val="00AD1D60"/>
    <w:rsid w:val="00AD1D9E"/>
    <w:rsid w:val="00AD1DDB"/>
    <w:rsid w:val="00AD1E25"/>
    <w:rsid w:val="00AD1E99"/>
    <w:rsid w:val="00AD1F90"/>
    <w:rsid w:val="00AD2124"/>
    <w:rsid w:val="00AD2136"/>
    <w:rsid w:val="00AD21F0"/>
    <w:rsid w:val="00AD225D"/>
    <w:rsid w:val="00AD227F"/>
    <w:rsid w:val="00AD2283"/>
    <w:rsid w:val="00AD22D2"/>
    <w:rsid w:val="00AD245A"/>
    <w:rsid w:val="00AD24DE"/>
    <w:rsid w:val="00AD264E"/>
    <w:rsid w:val="00AD2738"/>
    <w:rsid w:val="00AD2749"/>
    <w:rsid w:val="00AD275D"/>
    <w:rsid w:val="00AD278C"/>
    <w:rsid w:val="00AD27BC"/>
    <w:rsid w:val="00AD29C1"/>
    <w:rsid w:val="00AD2A12"/>
    <w:rsid w:val="00AD2E14"/>
    <w:rsid w:val="00AD2FF2"/>
    <w:rsid w:val="00AD30C9"/>
    <w:rsid w:val="00AD31D5"/>
    <w:rsid w:val="00AD33D8"/>
    <w:rsid w:val="00AD357E"/>
    <w:rsid w:val="00AD37F7"/>
    <w:rsid w:val="00AD39ED"/>
    <w:rsid w:val="00AD3BAB"/>
    <w:rsid w:val="00AD3BFA"/>
    <w:rsid w:val="00AD3C1C"/>
    <w:rsid w:val="00AD3D0C"/>
    <w:rsid w:val="00AD3E41"/>
    <w:rsid w:val="00AD3F28"/>
    <w:rsid w:val="00AD4043"/>
    <w:rsid w:val="00AD40BE"/>
    <w:rsid w:val="00AD4173"/>
    <w:rsid w:val="00AD419B"/>
    <w:rsid w:val="00AD41A3"/>
    <w:rsid w:val="00AD422A"/>
    <w:rsid w:val="00AD424B"/>
    <w:rsid w:val="00AD4293"/>
    <w:rsid w:val="00AD434E"/>
    <w:rsid w:val="00AD43D9"/>
    <w:rsid w:val="00AD4538"/>
    <w:rsid w:val="00AD458E"/>
    <w:rsid w:val="00AD46D0"/>
    <w:rsid w:val="00AD47AC"/>
    <w:rsid w:val="00AD47B4"/>
    <w:rsid w:val="00AD487E"/>
    <w:rsid w:val="00AD49F5"/>
    <w:rsid w:val="00AD4AE9"/>
    <w:rsid w:val="00AD4B3B"/>
    <w:rsid w:val="00AD4C1D"/>
    <w:rsid w:val="00AD4E76"/>
    <w:rsid w:val="00AD4F01"/>
    <w:rsid w:val="00AD4F63"/>
    <w:rsid w:val="00AD4F70"/>
    <w:rsid w:val="00AD4FB1"/>
    <w:rsid w:val="00AD5137"/>
    <w:rsid w:val="00AD5157"/>
    <w:rsid w:val="00AD5195"/>
    <w:rsid w:val="00AD51DE"/>
    <w:rsid w:val="00AD5249"/>
    <w:rsid w:val="00AD5407"/>
    <w:rsid w:val="00AD542E"/>
    <w:rsid w:val="00AD5475"/>
    <w:rsid w:val="00AD5485"/>
    <w:rsid w:val="00AD551A"/>
    <w:rsid w:val="00AD555C"/>
    <w:rsid w:val="00AD5593"/>
    <w:rsid w:val="00AD55FB"/>
    <w:rsid w:val="00AD5764"/>
    <w:rsid w:val="00AD57F6"/>
    <w:rsid w:val="00AD580C"/>
    <w:rsid w:val="00AD58AE"/>
    <w:rsid w:val="00AD58F0"/>
    <w:rsid w:val="00AD5924"/>
    <w:rsid w:val="00AD594F"/>
    <w:rsid w:val="00AD5A62"/>
    <w:rsid w:val="00AD5AB8"/>
    <w:rsid w:val="00AD5B58"/>
    <w:rsid w:val="00AD5C3E"/>
    <w:rsid w:val="00AD5D4A"/>
    <w:rsid w:val="00AD5E47"/>
    <w:rsid w:val="00AD5EE1"/>
    <w:rsid w:val="00AD5F0B"/>
    <w:rsid w:val="00AD5F30"/>
    <w:rsid w:val="00AD5F3E"/>
    <w:rsid w:val="00AD60C3"/>
    <w:rsid w:val="00AD60F1"/>
    <w:rsid w:val="00AD6101"/>
    <w:rsid w:val="00AD619F"/>
    <w:rsid w:val="00AD62E6"/>
    <w:rsid w:val="00AD62F0"/>
    <w:rsid w:val="00AD630C"/>
    <w:rsid w:val="00AD631C"/>
    <w:rsid w:val="00AD633C"/>
    <w:rsid w:val="00AD6351"/>
    <w:rsid w:val="00AD6590"/>
    <w:rsid w:val="00AD661B"/>
    <w:rsid w:val="00AD666A"/>
    <w:rsid w:val="00AD6702"/>
    <w:rsid w:val="00AD67E1"/>
    <w:rsid w:val="00AD68B4"/>
    <w:rsid w:val="00AD691E"/>
    <w:rsid w:val="00AD69DC"/>
    <w:rsid w:val="00AD6A3A"/>
    <w:rsid w:val="00AD6B4E"/>
    <w:rsid w:val="00AD6B57"/>
    <w:rsid w:val="00AD6C43"/>
    <w:rsid w:val="00AD6D1A"/>
    <w:rsid w:val="00AD6D57"/>
    <w:rsid w:val="00AD6DEE"/>
    <w:rsid w:val="00AD6E3A"/>
    <w:rsid w:val="00AD6E68"/>
    <w:rsid w:val="00AD6F9B"/>
    <w:rsid w:val="00AD7025"/>
    <w:rsid w:val="00AD7194"/>
    <w:rsid w:val="00AD71AA"/>
    <w:rsid w:val="00AD71FA"/>
    <w:rsid w:val="00AD726E"/>
    <w:rsid w:val="00AD72A1"/>
    <w:rsid w:val="00AD72B4"/>
    <w:rsid w:val="00AD7306"/>
    <w:rsid w:val="00AD7318"/>
    <w:rsid w:val="00AD7330"/>
    <w:rsid w:val="00AD7438"/>
    <w:rsid w:val="00AD7552"/>
    <w:rsid w:val="00AD756A"/>
    <w:rsid w:val="00AD75AB"/>
    <w:rsid w:val="00AD76D3"/>
    <w:rsid w:val="00AD77A9"/>
    <w:rsid w:val="00AD782B"/>
    <w:rsid w:val="00AD7835"/>
    <w:rsid w:val="00AD7A92"/>
    <w:rsid w:val="00AD7ADA"/>
    <w:rsid w:val="00AD7B03"/>
    <w:rsid w:val="00AD7B3C"/>
    <w:rsid w:val="00AD7B4C"/>
    <w:rsid w:val="00AD7BDE"/>
    <w:rsid w:val="00AD7D38"/>
    <w:rsid w:val="00AD7D46"/>
    <w:rsid w:val="00AD7DEC"/>
    <w:rsid w:val="00AD7E5D"/>
    <w:rsid w:val="00AD7F78"/>
    <w:rsid w:val="00AD7F96"/>
    <w:rsid w:val="00AE002D"/>
    <w:rsid w:val="00AE0064"/>
    <w:rsid w:val="00AE017A"/>
    <w:rsid w:val="00AE036B"/>
    <w:rsid w:val="00AE0397"/>
    <w:rsid w:val="00AE0486"/>
    <w:rsid w:val="00AE05F2"/>
    <w:rsid w:val="00AE0609"/>
    <w:rsid w:val="00AE065C"/>
    <w:rsid w:val="00AE06D1"/>
    <w:rsid w:val="00AE0792"/>
    <w:rsid w:val="00AE07A4"/>
    <w:rsid w:val="00AE07F9"/>
    <w:rsid w:val="00AE0823"/>
    <w:rsid w:val="00AE084E"/>
    <w:rsid w:val="00AE08C5"/>
    <w:rsid w:val="00AE0958"/>
    <w:rsid w:val="00AE0A98"/>
    <w:rsid w:val="00AE0DDB"/>
    <w:rsid w:val="00AE0F26"/>
    <w:rsid w:val="00AE0F42"/>
    <w:rsid w:val="00AE0F6F"/>
    <w:rsid w:val="00AE1083"/>
    <w:rsid w:val="00AE10D6"/>
    <w:rsid w:val="00AE111E"/>
    <w:rsid w:val="00AE117E"/>
    <w:rsid w:val="00AE1310"/>
    <w:rsid w:val="00AE1345"/>
    <w:rsid w:val="00AE1352"/>
    <w:rsid w:val="00AE15A7"/>
    <w:rsid w:val="00AE16B3"/>
    <w:rsid w:val="00AE1908"/>
    <w:rsid w:val="00AE19CC"/>
    <w:rsid w:val="00AE19EC"/>
    <w:rsid w:val="00AE1A33"/>
    <w:rsid w:val="00AE1A5F"/>
    <w:rsid w:val="00AE1A92"/>
    <w:rsid w:val="00AE1B42"/>
    <w:rsid w:val="00AE1D9E"/>
    <w:rsid w:val="00AE1DC2"/>
    <w:rsid w:val="00AE1E3E"/>
    <w:rsid w:val="00AE1E8E"/>
    <w:rsid w:val="00AE1F31"/>
    <w:rsid w:val="00AE1FF3"/>
    <w:rsid w:val="00AE2068"/>
    <w:rsid w:val="00AE2229"/>
    <w:rsid w:val="00AE2369"/>
    <w:rsid w:val="00AE23D4"/>
    <w:rsid w:val="00AE2464"/>
    <w:rsid w:val="00AE2538"/>
    <w:rsid w:val="00AE253E"/>
    <w:rsid w:val="00AE2721"/>
    <w:rsid w:val="00AE2743"/>
    <w:rsid w:val="00AE2795"/>
    <w:rsid w:val="00AE2862"/>
    <w:rsid w:val="00AE2878"/>
    <w:rsid w:val="00AE296C"/>
    <w:rsid w:val="00AE2994"/>
    <w:rsid w:val="00AE2A8A"/>
    <w:rsid w:val="00AE2AD6"/>
    <w:rsid w:val="00AE2AF4"/>
    <w:rsid w:val="00AE2BDA"/>
    <w:rsid w:val="00AE2EBC"/>
    <w:rsid w:val="00AE2F75"/>
    <w:rsid w:val="00AE3099"/>
    <w:rsid w:val="00AE30AC"/>
    <w:rsid w:val="00AE30C2"/>
    <w:rsid w:val="00AE30EA"/>
    <w:rsid w:val="00AE313B"/>
    <w:rsid w:val="00AE326D"/>
    <w:rsid w:val="00AE33AC"/>
    <w:rsid w:val="00AE33FE"/>
    <w:rsid w:val="00AE3410"/>
    <w:rsid w:val="00AE3465"/>
    <w:rsid w:val="00AE3654"/>
    <w:rsid w:val="00AE3696"/>
    <w:rsid w:val="00AE36AD"/>
    <w:rsid w:val="00AE36D3"/>
    <w:rsid w:val="00AE36EE"/>
    <w:rsid w:val="00AE376B"/>
    <w:rsid w:val="00AE3770"/>
    <w:rsid w:val="00AE37F0"/>
    <w:rsid w:val="00AE3875"/>
    <w:rsid w:val="00AE387C"/>
    <w:rsid w:val="00AE38BC"/>
    <w:rsid w:val="00AE38C8"/>
    <w:rsid w:val="00AE396C"/>
    <w:rsid w:val="00AE39D5"/>
    <w:rsid w:val="00AE3A8C"/>
    <w:rsid w:val="00AE3B5C"/>
    <w:rsid w:val="00AE3C57"/>
    <w:rsid w:val="00AE3D4D"/>
    <w:rsid w:val="00AE3E00"/>
    <w:rsid w:val="00AE3E20"/>
    <w:rsid w:val="00AE3E53"/>
    <w:rsid w:val="00AE3E7A"/>
    <w:rsid w:val="00AE3EED"/>
    <w:rsid w:val="00AE3FC1"/>
    <w:rsid w:val="00AE40A7"/>
    <w:rsid w:val="00AE40CF"/>
    <w:rsid w:val="00AE40D9"/>
    <w:rsid w:val="00AE414C"/>
    <w:rsid w:val="00AE42C6"/>
    <w:rsid w:val="00AE4333"/>
    <w:rsid w:val="00AE4548"/>
    <w:rsid w:val="00AE46EC"/>
    <w:rsid w:val="00AE4755"/>
    <w:rsid w:val="00AE4778"/>
    <w:rsid w:val="00AE4789"/>
    <w:rsid w:val="00AE47F5"/>
    <w:rsid w:val="00AE488B"/>
    <w:rsid w:val="00AE488F"/>
    <w:rsid w:val="00AE48D6"/>
    <w:rsid w:val="00AE4907"/>
    <w:rsid w:val="00AE492C"/>
    <w:rsid w:val="00AE4945"/>
    <w:rsid w:val="00AE49F0"/>
    <w:rsid w:val="00AE4A2F"/>
    <w:rsid w:val="00AE4AAF"/>
    <w:rsid w:val="00AE4B1D"/>
    <w:rsid w:val="00AE4CE7"/>
    <w:rsid w:val="00AE4D36"/>
    <w:rsid w:val="00AE4D69"/>
    <w:rsid w:val="00AE4DA8"/>
    <w:rsid w:val="00AE4DAF"/>
    <w:rsid w:val="00AE4DF6"/>
    <w:rsid w:val="00AE4E10"/>
    <w:rsid w:val="00AE4ED2"/>
    <w:rsid w:val="00AE4F63"/>
    <w:rsid w:val="00AE4F95"/>
    <w:rsid w:val="00AE5078"/>
    <w:rsid w:val="00AE5079"/>
    <w:rsid w:val="00AE5080"/>
    <w:rsid w:val="00AE517F"/>
    <w:rsid w:val="00AE5184"/>
    <w:rsid w:val="00AE51C2"/>
    <w:rsid w:val="00AE520A"/>
    <w:rsid w:val="00AE52F6"/>
    <w:rsid w:val="00AE52F7"/>
    <w:rsid w:val="00AE53CB"/>
    <w:rsid w:val="00AE545C"/>
    <w:rsid w:val="00AE548A"/>
    <w:rsid w:val="00AE560A"/>
    <w:rsid w:val="00AE5614"/>
    <w:rsid w:val="00AE56BB"/>
    <w:rsid w:val="00AE572E"/>
    <w:rsid w:val="00AE57DC"/>
    <w:rsid w:val="00AE59AE"/>
    <w:rsid w:val="00AE59DF"/>
    <w:rsid w:val="00AE5A2B"/>
    <w:rsid w:val="00AE5A65"/>
    <w:rsid w:val="00AE5A81"/>
    <w:rsid w:val="00AE5AFB"/>
    <w:rsid w:val="00AE5BD0"/>
    <w:rsid w:val="00AE5C06"/>
    <w:rsid w:val="00AE5C78"/>
    <w:rsid w:val="00AE5CC3"/>
    <w:rsid w:val="00AE5D3F"/>
    <w:rsid w:val="00AE5D80"/>
    <w:rsid w:val="00AE5DD3"/>
    <w:rsid w:val="00AE5DDA"/>
    <w:rsid w:val="00AE5E46"/>
    <w:rsid w:val="00AE5F13"/>
    <w:rsid w:val="00AE5FA3"/>
    <w:rsid w:val="00AE6022"/>
    <w:rsid w:val="00AE6062"/>
    <w:rsid w:val="00AE6113"/>
    <w:rsid w:val="00AE61DE"/>
    <w:rsid w:val="00AE62A9"/>
    <w:rsid w:val="00AE6325"/>
    <w:rsid w:val="00AE6360"/>
    <w:rsid w:val="00AE6447"/>
    <w:rsid w:val="00AE644B"/>
    <w:rsid w:val="00AE6459"/>
    <w:rsid w:val="00AE649C"/>
    <w:rsid w:val="00AE64B3"/>
    <w:rsid w:val="00AE6566"/>
    <w:rsid w:val="00AE663C"/>
    <w:rsid w:val="00AE6658"/>
    <w:rsid w:val="00AE689F"/>
    <w:rsid w:val="00AE69C4"/>
    <w:rsid w:val="00AE69D9"/>
    <w:rsid w:val="00AE6BCA"/>
    <w:rsid w:val="00AE6C01"/>
    <w:rsid w:val="00AE6CE7"/>
    <w:rsid w:val="00AE6D85"/>
    <w:rsid w:val="00AE6DFA"/>
    <w:rsid w:val="00AE6E2E"/>
    <w:rsid w:val="00AE6EF3"/>
    <w:rsid w:val="00AE6F7D"/>
    <w:rsid w:val="00AE7196"/>
    <w:rsid w:val="00AE7290"/>
    <w:rsid w:val="00AE732D"/>
    <w:rsid w:val="00AE7377"/>
    <w:rsid w:val="00AE73BE"/>
    <w:rsid w:val="00AE74BB"/>
    <w:rsid w:val="00AE7538"/>
    <w:rsid w:val="00AE76CC"/>
    <w:rsid w:val="00AE76D8"/>
    <w:rsid w:val="00AE7703"/>
    <w:rsid w:val="00AE7740"/>
    <w:rsid w:val="00AE77B2"/>
    <w:rsid w:val="00AE77EA"/>
    <w:rsid w:val="00AE7824"/>
    <w:rsid w:val="00AE7853"/>
    <w:rsid w:val="00AE786B"/>
    <w:rsid w:val="00AE788D"/>
    <w:rsid w:val="00AE7974"/>
    <w:rsid w:val="00AE7A11"/>
    <w:rsid w:val="00AE7AE0"/>
    <w:rsid w:val="00AE7B3D"/>
    <w:rsid w:val="00AE7B9A"/>
    <w:rsid w:val="00AE7DF6"/>
    <w:rsid w:val="00AE7E80"/>
    <w:rsid w:val="00AF0022"/>
    <w:rsid w:val="00AF002F"/>
    <w:rsid w:val="00AF008A"/>
    <w:rsid w:val="00AF009A"/>
    <w:rsid w:val="00AF00B0"/>
    <w:rsid w:val="00AF01E4"/>
    <w:rsid w:val="00AF029D"/>
    <w:rsid w:val="00AF02C4"/>
    <w:rsid w:val="00AF0302"/>
    <w:rsid w:val="00AF031E"/>
    <w:rsid w:val="00AF03CB"/>
    <w:rsid w:val="00AF04A7"/>
    <w:rsid w:val="00AF0518"/>
    <w:rsid w:val="00AF064C"/>
    <w:rsid w:val="00AF0802"/>
    <w:rsid w:val="00AF0A3B"/>
    <w:rsid w:val="00AF0A49"/>
    <w:rsid w:val="00AF0A8B"/>
    <w:rsid w:val="00AF0B33"/>
    <w:rsid w:val="00AF0B3E"/>
    <w:rsid w:val="00AF0BCC"/>
    <w:rsid w:val="00AF0BF5"/>
    <w:rsid w:val="00AF0CA0"/>
    <w:rsid w:val="00AF0D15"/>
    <w:rsid w:val="00AF0D64"/>
    <w:rsid w:val="00AF0DC0"/>
    <w:rsid w:val="00AF0EC4"/>
    <w:rsid w:val="00AF0F84"/>
    <w:rsid w:val="00AF0F85"/>
    <w:rsid w:val="00AF1006"/>
    <w:rsid w:val="00AF109E"/>
    <w:rsid w:val="00AF10C7"/>
    <w:rsid w:val="00AF10F7"/>
    <w:rsid w:val="00AF114F"/>
    <w:rsid w:val="00AF11FC"/>
    <w:rsid w:val="00AF1230"/>
    <w:rsid w:val="00AF1250"/>
    <w:rsid w:val="00AF1416"/>
    <w:rsid w:val="00AF142A"/>
    <w:rsid w:val="00AF144D"/>
    <w:rsid w:val="00AF150A"/>
    <w:rsid w:val="00AF1594"/>
    <w:rsid w:val="00AF17D7"/>
    <w:rsid w:val="00AF18D7"/>
    <w:rsid w:val="00AF1A74"/>
    <w:rsid w:val="00AF1AD2"/>
    <w:rsid w:val="00AF1B01"/>
    <w:rsid w:val="00AF1BB3"/>
    <w:rsid w:val="00AF1D0A"/>
    <w:rsid w:val="00AF1F30"/>
    <w:rsid w:val="00AF206C"/>
    <w:rsid w:val="00AF20F7"/>
    <w:rsid w:val="00AF21A9"/>
    <w:rsid w:val="00AF21B7"/>
    <w:rsid w:val="00AF21C0"/>
    <w:rsid w:val="00AF21F6"/>
    <w:rsid w:val="00AF221E"/>
    <w:rsid w:val="00AF24AA"/>
    <w:rsid w:val="00AF27BE"/>
    <w:rsid w:val="00AF2875"/>
    <w:rsid w:val="00AF2914"/>
    <w:rsid w:val="00AF29BB"/>
    <w:rsid w:val="00AF2A04"/>
    <w:rsid w:val="00AF2A4D"/>
    <w:rsid w:val="00AF2AB8"/>
    <w:rsid w:val="00AF2AED"/>
    <w:rsid w:val="00AF2B14"/>
    <w:rsid w:val="00AF2B46"/>
    <w:rsid w:val="00AF2C71"/>
    <w:rsid w:val="00AF2CF5"/>
    <w:rsid w:val="00AF2E78"/>
    <w:rsid w:val="00AF2E84"/>
    <w:rsid w:val="00AF2F36"/>
    <w:rsid w:val="00AF2F7A"/>
    <w:rsid w:val="00AF302C"/>
    <w:rsid w:val="00AF3030"/>
    <w:rsid w:val="00AF3057"/>
    <w:rsid w:val="00AF3072"/>
    <w:rsid w:val="00AF3088"/>
    <w:rsid w:val="00AF30F3"/>
    <w:rsid w:val="00AF30F9"/>
    <w:rsid w:val="00AF320A"/>
    <w:rsid w:val="00AF3246"/>
    <w:rsid w:val="00AF32F5"/>
    <w:rsid w:val="00AF3307"/>
    <w:rsid w:val="00AF33B6"/>
    <w:rsid w:val="00AF3424"/>
    <w:rsid w:val="00AF3432"/>
    <w:rsid w:val="00AF3485"/>
    <w:rsid w:val="00AF3498"/>
    <w:rsid w:val="00AF3636"/>
    <w:rsid w:val="00AF3669"/>
    <w:rsid w:val="00AF3820"/>
    <w:rsid w:val="00AF389B"/>
    <w:rsid w:val="00AF392D"/>
    <w:rsid w:val="00AF3935"/>
    <w:rsid w:val="00AF3943"/>
    <w:rsid w:val="00AF3A34"/>
    <w:rsid w:val="00AF3AE9"/>
    <w:rsid w:val="00AF3B63"/>
    <w:rsid w:val="00AF3C9D"/>
    <w:rsid w:val="00AF3D50"/>
    <w:rsid w:val="00AF3D9B"/>
    <w:rsid w:val="00AF3DE4"/>
    <w:rsid w:val="00AF3DFA"/>
    <w:rsid w:val="00AF3FDC"/>
    <w:rsid w:val="00AF4021"/>
    <w:rsid w:val="00AF4088"/>
    <w:rsid w:val="00AF40EF"/>
    <w:rsid w:val="00AF4102"/>
    <w:rsid w:val="00AF4341"/>
    <w:rsid w:val="00AF43F6"/>
    <w:rsid w:val="00AF444C"/>
    <w:rsid w:val="00AF44C2"/>
    <w:rsid w:val="00AF45A0"/>
    <w:rsid w:val="00AF45B9"/>
    <w:rsid w:val="00AF46A3"/>
    <w:rsid w:val="00AF46EA"/>
    <w:rsid w:val="00AF4701"/>
    <w:rsid w:val="00AF4748"/>
    <w:rsid w:val="00AF4828"/>
    <w:rsid w:val="00AF4944"/>
    <w:rsid w:val="00AF4948"/>
    <w:rsid w:val="00AF4AFB"/>
    <w:rsid w:val="00AF4C7A"/>
    <w:rsid w:val="00AF4D10"/>
    <w:rsid w:val="00AF4DE0"/>
    <w:rsid w:val="00AF4DFC"/>
    <w:rsid w:val="00AF4E83"/>
    <w:rsid w:val="00AF4ED7"/>
    <w:rsid w:val="00AF5034"/>
    <w:rsid w:val="00AF5141"/>
    <w:rsid w:val="00AF53D9"/>
    <w:rsid w:val="00AF5423"/>
    <w:rsid w:val="00AF543F"/>
    <w:rsid w:val="00AF5628"/>
    <w:rsid w:val="00AF5713"/>
    <w:rsid w:val="00AF57BB"/>
    <w:rsid w:val="00AF57C7"/>
    <w:rsid w:val="00AF57D3"/>
    <w:rsid w:val="00AF5815"/>
    <w:rsid w:val="00AF5834"/>
    <w:rsid w:val="00AF58C8"/>
    <w:rsid w:val="00AF58D2"/>
    <w:rsid w:val="00AF5A5B"/>
    <w:rsid w:val="00AF5B31"/>
    <w:rsid w:val="00AF5CB1"/>
    <w:rsid w:val="00AF5D7E"/>
    <w:rsid w:val="00AF5E1A"/>
    <w:rsid w:val="00AF5E76"/>
    <w:rsid w:val="00AF5EDD"/>
    <w:rsid w:val="00AF5FB3"/>
    <w:rsid w:val="00AF5FF5"/>
    <w:rsid w:val="00AF6128"/>
    <w:rsid w:val="00AF6333"/>
    <w:rsid w:val="00AF6428"/>
    <w:rsid w:val="00AF64BA"/>
    <w:rsid w:val="00AF6508"/>
    <w:rsid w:val="00AF65B3"/>
    <w:rsid w:val="00AF66F0"/>
    <w:rsid w:val="00AF6717"/>
    <w:rsid w:val="00AF696D"/>
    <w:rsid w:val="00AF6981"/>
    <w:rsid w:val="00AF6B01"/>
    <w:rsid w:val="00AF6B98"/>
    <w:rsid w:val="00AF6B9F"/>
    <w:rsid w:val="00AF6BA9"/>
    <w:rsid w:val="00AF6D65"/>
    <w:rsid w:val="00AF709D"/>
    <w:rsid w:val="00AF711A"/>
    <w:rsid w:val="00AF7386"/>
    <w:rsid w:val="00AF745F"/>
    <w:rsid w:val="00AF74A8"/>
    <w:rsid w:val="00AF7597"/>
    <w:rsid w:val="00AF75A6"/>
    <w:rsid w:val="00AF7609"/>
    <w:rsid w:val="00AF769D"/>
    <w:rsid w:val="00AF771D"/>
    <w:rsid w:val="00AF782B"/>
    <w:rsid w:val="00AF78B5"/>
    <w:rsid w:val="00AF78D0"/>
    <w:rsid w:val="00AF79AA"/>
    <w:rsid w:val="00AF79F5"/>
    <w:rsid w:val="00AF7A61"/>
    <w:rsid w:val="00AF7AFF"/>
    <w:rsid w:val="00AF7C80"/>
    <w:rsid w:val="00AF7D08"/>
    <w:rsid w:val="00AF7D41"/>
    <w:rsid w:val="00AF7EE7"/>
    <w:rsid w:val="00AF7FA7"/>
    <w:rsid w:val="00AF7FE9"/>
    <w:rsid w:val="00B0017A"/>
    <w:rsid w:val="00B0018F"/>
    <w:rsid w:val="00B002DC"/>
    <w:rsid w:val="00B003CC"/>
    <w:rsid w:val="00B00558"/>
    <w:rsid w:val="00B007DD"/>
    <w:rsid w:val="00B0091C"/>
    <w:rsid w:val="00B00930"/>
    <w:rsid w:val="00B009AB"/>
    <w:rsid w:val="00B009B0"/>
    <w:rsid w:val="00B00A5E"/>
    <w:rsid w:val="00B00A6F"/>
    <w:rsid w:val="00B00B00"/>
    <w:rsid w:val="00B00C43"/>
    <w:rsid w:val="00B00D21"/>
    <w:rsid w:val="00B00D6C"/>
    <w:rsid w:val="00B00F6C"/>
    <w:rsid w:val="00B01014"/>
    <w:rsid w:val="00B010FE"/>
    <w:rsid w:val="00B01203"/>
    <w:rsid w:val="00B01489"/>
    <w:rsid w:val="00B0151C"/>
    <w:rsid w:val="00B015A6"/>
    <w:rsid w:val="00B0169B"/>
    <w:rsid w:val="00B016B8"/>
    <w:rsid w:val="00B01718"/>
    <w:rsid w:val="00B01745"/>
    <w:rsid w:val="00B01766"/>
    <w:rsid w:val="00B017BC"/>
    <w:rsid w:val="00B017BF"/>
    <w:rsid w:val="00B01854"/>
    <w:rsid w:val="00B01905"/>
    <w:rsid w:val="00B0195B"/>
    <w:rsid w:val="00B01A47"/>
    <w:rsid w:val="00B01BA2"/>
    <w:rsid w:val="00B01C81"/>
    <w:rsid w:val="00B01CB6"/>
    <w:rsid w:val="00B01D40"/>
    <w:rsid w:val="00B01DEA"/>
    <w:rsid w:val="00B01E3A"/>
    <w:rsid w:val="00B01E9B"/>
    <w:rsid w:val="00B01ED0"/>
    <w:rsid w:val="00B01EE8"/>
    <w:rsid w:val="00B01EFE"/>
    <w:rsid w:val="00B01F0F"/>
    <w:rsid w:val="00B01F90"/>
    <w:rsid w:val="00B0217A"/>
    <w:rsid w:val="00B02183"/>
    <w:rsid w:val="00B02186"/>
    <w:rsid w:val="00B0218E"/>
    <w:rsid w:val="00B02544"/>
    <w:rsid w:val="00B0255C"/>
    <w:rsid w:val="00B026A0"/>
    <w:rsid w:val="00B026E1"/>
    <w:rsid w:val="00B026E2"/>
    <w:rsid w:val="00B02744"/>
    <w:rsid w:val="00B027DA"/>
    <w:rsid w:val="00B02902"/>
    <w:rsid w:val="00B029A6"/>
    <w:rsid w:val="00B02A54"/>
    <w:rsid w:val="00B02A67"/>
    <w:rsid w:val="00B02AC7"/>
    <w:rsid w:val="00B02AD7"/>
    <w:rsid w:val="00B02B03"/>
    <w:rsid w:val="00B02B63"/>
    <w:rsid w:val="00B02B77"/>
    <w:rsid w:val="00B02C20"/>
    <w:rsid w:val="00B02C41"/>
    <w:rsid w:val="00B02CF5"/>
    <w:rsid w:val="00B02DCC"/>
    <w:rsid w:val="00B02F57"/>
    <w:rsid w:val="00B0313F"/>
    <w:rsid w:val="00B03325"/>
    <w:rsid w:val="00B0332D"/>
    <w:rsid w:val="00B0339B"/>
    <w:rsid w:val="00B03419"/>
    <w:rsid w:val="00B03429"/>
    <w:rsid w:val="00B03434"/>
    <w:rsid w:val="00B03499"/>
    <w:rsid w:val="00B0349A"/>
    <w:rsid w:val="00B034B2"/>
    <w:rsid w:val="00B035C2"/>
    <w:rsid w:val="00B03657"/>
    <w:rsid w:val="00B0373D"/>
    <w:rsid w:val="00B03869"/>
    <w:rsid w:val="00B039E1"/>
    <w:rsid w:val="00B03A0C"/>
    <w:rsid w:val="00B03AE0"/>
    <w:rsid w:val="00B03BEF"/>
    <w:rsid w:val="00B03C61"/>
    <w:rsid w:val="00B03CAB"/>
    <w:rsid w:val="00B03F5B"/>
    <w:rsid w:val="00B04061"/>
    <w:rsid w:val="00B04099"/>
    <w:rsid w:val="00B04162"/>
    <w:rsid w:val="00B042C3"/>
    <w:rsid w:val="00B04449"/>
    <w:rsid w:val="00B044AC"/>
    <w:rsid w:val="00B04568"/>
    <w:rsid w:val="00B045DF"/>
    <w:rsid w:val="00B0462C"/>
    <w:rsid w:val="00B046B3"/>
    <w:rsid w:val="00B0474B"/>
    <w:rsid w:val="00B047C2"/>
    <w:rsid w:val="00B048ED"/>
    <w:rsid w:val="00B04B84"/>
    <w:rsid w:val="00B04CF7"/>
    <w:rsid w:val="00B04D71"/>
    <w:rsid w:val="00B04D77"/>
    <w:rsid w:val="00B04DFF"/>
    <w:rsid w:val="00B04E6A"/>
    <w:rsid w:val="00B04F1A"/>
    <w:rsid w:val="00B04F89"/>
    <w:rsid w:val="00B04FBA"/>
    <w:rsid w:val="00B05059"/>
    <w:rsid w:val="00B0506F"/>
    <w:rsid w:val="00B05131"/>
    <w:rsid w:val="00B05160"/>
    <w:rsid w:val="00B051A8"/>
    <w:rsid w:val="00B05231"/>
    <w:rsid w:val="00B0523C"/>
    <w:rsid w:val="00B05279"/>
    <w:rsid w:val="00B052F1"/>
    <w:rsid w:val="00B05393"/>
    <w:rsid w:val="00B053E8"/>
    <w:rsid w:val="00B054EA"/>
    <w:rsid w:val="00B0554A"/>
    <w:rsid w:val="00B056D5"/>
    <w:rsid w:val="00B0575C"/>
    <w:rsid w:val="00B05883"/>
    <w:rsid w:val="00B0589B"/>
    <w:rsid w:val="00B058AB"/>
    <w:rsid w:val="00B058BD"/>
    <w:rsid w:val="00B058EE"/>
    <w:rsid w:val="00B05954"/>
    <w:rsid w:val="00B05AA1"/>
    <w:rsid w:val="00B05BC2"/>
    <w:rsid w:val="00B05DC2"/>
    <w:rsid w:val="00B05EBA"/>
    <w:rsid w:val="00B05F30"/>
    <w:rsid w:val="00B05F38"/>
    <w:rsid w:val="00B05F51"/>
    <w:rsid w:val="00B060A0"/>
    <w:rsid w:val="00B061B8"/>
    <w:rsid w:val="00B06247"/>
    <w:rsid w:val="00B06249"/>
    <w:rsid w:val="00B062D0"/>
    <w:rsid w:val="00B064C3"/>
    <w:rsid w:val="00B064FF"/>
    <w:rsid w:val="00B0651F"/>
    <w:rsid w:val="00B06545"/>
    <w:rsid w:val="00B065CF"/>
    <w:rsid w:val="00B065F2"/>
    <w:rsid w:val="00B06659"/>
    <w:rsid w:val="00B06864"/>
    <w:rsid w:val="00B068C1"/>
    <w:rsid w:val="00B06946"/>
    <w:rsid w:val="00B06949"/>
    <w:rsid w:val="00B06999"/>
    <w:rsid w:val="00B06B52"/>
    <w:rsid w:val="00B06BED"/>
    <w:rsid w:val="00B06CD6"/>
    <w:rsid w:val="00B06D44"/>
    <w:rsid w:val="00B06EA9"/>
    <w:rsid w:val="00B0714B"/>
    <w:rsid w:val="00B071E6"/>
    <w:rsid w:val="00B072DB"/>
    <w:rsid w:val="00B07394"/>
    <w:rsid w:val="00B07481"/>
    <w:rsid w:val="00B075F3"/>
    <w:rsid w:val="00B07719"/>
    <w:rsid w:val="00B07876"/>
    <w:rsid w:val="00B07892"/>
    <w:rsid w:val="00B07BA8"/>
    <w:rsid w:val="00B07CB1"/>
    <w:rsid w:val="00B07E53"/>
    <w:rsid w:val="00B10039"/>
    <w:rsid w:val="00B101AD"/>
    <w:rsid w:val="00B1027F"/>
    <w:rsid w:val="00B1028A"/>
    <w:rsid w:val="00B1037A"/>
    <w:rsid w:val="00B1038E"/>
    <w:rsid w:val="00B103D2"/>
    <w:rsid w:val="00B10420"/>
    <w:rsid w:val="00B106C4"/>
    <w:rsid w:val="00B106D1"/>
    <w:rsid w:val="00B106E3"/>
    <w:rsid w:val="00B10997"/>
    <w:rsid w:val="00B109C2"/>
    <w:rsid w:val="00B109CE"/>
    <w:rsid w:val="00B10A1C"/>
    <w:rsid w:val="00B10A20"/>
    <w:rsid w:val="00B10B60"/>
    <w:rsid w:val="00B10C09"/>
    <w:rsid w:val="00B10C3C"/>
    <w:rsid w:val="00B10C66"/>
    <w:rsid w:val="00B10D2E"/>
    <w:rsid w:val="00B10D47"/>
    <w:rsid w:val="00B10EF3"/>
    <w:rsid w:val="00B10F24"/>
    <w:rsid w:val="00B11038"/>
    <w:rsid w:val="00B111DF"/>
    <w:rsid w:val="00B1123B"/>
    <w:rsid w:val="00B11335"/>
    <w:rsid w:val="00B11336"/>
    <w:rsid w:val="00B1135F"/>
    <w:rsid w:val="00B113BF"/>
    <w:rsid w:val="00B11540"/>
    <w:rsid w:val="00B11547"/>
    <w:rsid w:val="00B1157B"/>
    <w:rsid w:val="00B11593"/>
    <w:rsid w:val="00B1162F"/>
    <w:rsid w:val="00B11650"/>
    <w:rsid w:val="00B118AD"/>
    <w:rsid w:val="00B118C9"/>
    <w:rsid w:val="00B1190D"/>
    <w:rsid w:val="00B11926"/>
    <w:rsid w:val="00B1197D"/>
    <w:rsid w:val="00B119BD"/>
    <w:rsid w:val="00B119F8"/>
    <w:rsid w:val="00B11A52"/>
    <w:rsid w:val="00B11AD4"/>
    <w:rsid w:val="00B11AEE"/>
    <w:rsid w:val="00B11B57"/>
    <w:rsid w:val="00B11B76"/>
    <w:rsid w:val="00B11BFC"/>
    <w:rsid w:val="00B11BFD"/>
    <w:rsid w:val="00B11C8F"/>
    <w:rsid w:val="00B11D34"/>
    <w:rsid w:val="00B11DC3"/>
    <w:rsid w:val="00B11E12"/>
    <w:rsid w:val="00B11E63"/>
    <w:rsid w:val="00B11E65"/>
    <w:rsid w:val="00B11EC6"/>
    <w:rsid w:val="00B11ED2"/>
    <w:rsid w:val="00B11F1A"/>
    <w:rsid w:val="00B11F2D"/>
    <w:rsid w:val="00B1212C"/>
    <w:rsid w:val="00B1216D"/>
    <w:rsid w:val="00B1244A"/>
    <w:rsid w:val="00B125A4"/>
    <w:rsid w:val="00B1268C"/>
    <w:rsid w:val="00B1272B"/>
    <w:rsid w:val="00B12764"/>
    <w:rsid w:val="00B12787"/>
    <w:rsid w:val="00B127B9"/>
    <w:rsid w:val="00B128D1"/>
    <w:rsid w:val="00B129CD"/>
    <w:rsid w:val="00B12A92"/>
    <w:rsid w:val="00B12ABF"/>
    <w:rsid w:val="00B12B08"/>
    <w:rsid w:val="00B12BAF"/>
    <w:rsid w:val="00B12C06"/>
    <w:rsid w:val="00B12C76"/>
    <w:rsid w:val="00B12DDA"/>
    <w:rsid w:val="00B12E32"/>
    <w:rsid w:val="00B12F73"/>
    <w:rsid w:val="00B12FF4"/>
    <w:rsid w:val="00B13035"/>
    <w:rsid w:val="00B1321E"/>
    <w:rsid w:val="00B13277"/>
    <w:rsid w:val="00B132BA"/>
    <w:rsid w:val="00B13428"/>
    <w:rsid w:val="00B134AA"/>
    <w:rsid w:val="00B134B9"/>
    <w:rsid w:val="00B1363F"/>
    <w:rsid w:val="00B136AA"/>
    <w:rsid w:val="00B137FD"/>
    <w:rsid w:val="00B1381E"/>
    <w:rsid w:val="00B1391C"/>
    <w:rsid w:val="00B139AF"/>
    <w:rsid w:val="00B13A54"/>
    <w:rsid w:val="00B13B56"/>
    <w:rsid w:val="00B13C19"/>
    <w:rsid w:val="00B13C1F"/>
    <w:rsid w:val="00B13D30"/>
    <w:rsid w:val="00B13D32"/>
    <w:rsid w:val="00B13EB9"/>
    <w:rsid w:val="00B13EDA"/>
    <w:rsid w:val="00B13FD9"/>
    <w:rsid w:val="00B140F8"/>
    <w:rsid w:val="00B1412D"/>
    <w:rsid w:val="00B1425C"/>
    <w:rsid w:val="00B142FA"/>
    <w:rsid w:val="00B1435B"/>
    <w:rsid w:val="00B14464"/>
    <w:rsid w:val="00B14479"/>
    <w:rsid w:val="00B144D4"/>
    <w:rsid w:val="00B1453B"/>
    <w:rsid w:val="00B1457B"/>
    <w:rsid w:val="00B14589"/>
    <w:rsid w:val="00B145BA"/>
    <w:rsid w:val="00B145F3"/>
    <w:rsid w:val="00B1469E"/>
    <w:rsid w:val="00B14728"/>
    <w:rsid w:val="00B14751"/>
    <w:rsid w:val="00B147CA"/>
    <w:rsid w:val="00B1489B"/>
    <w:rsid w:val="00B148FA"/>
    <w:rsid w:val="00B1491F"/>
    <w:rsid w:val="00B149FC"/>
    <w:rsid w:val="00B14A0A"/>
    <w:rsid w:val="00B14BD1"/>
    <w:rsid w:val="00B14C52"/>
    <w:rsid w:val="00B14C5F"/>
    <w:rsid w:val="00B14CE6"/>
    <w:rsid w:val="00B14D72"/>
    <w:rsid w:val="00B14D89"/>
    <w:rsid w:val="00B14E14"/>
    <w:rsid w:val="00B14E9C"/>
    <w:rsid w:val="00B14EA9"/>
    <w:rsid w:val="00B14EEC"/>
    <w:rsid w:val="00B14F80"/>
    <w:rsid w:val="00B15014"/>
    <w:rsid w:val="00B15055"/>
    <w:rsid w:val="00B15065"/>
    <w:rsid w:val="00B1508C"/>
    <w:rsid w:val="00B15199"/>
    <w:rsid w:val="00B1522A"/>
    <w:rsid w:val="00B152C2"/>
    <w:rsid w:val="00B1547F"/>
    <w:rsid w:val="00B1549B"/>
    <w:rsid w:val="00B15506"/>
    <w:rsid w:val="00B1550C"/>
    <w:rsid w:val="00B1557C"/>
    <w:rsid w:val="00B15697"/>
    <w:rsid w:val="00B156BE"/>
    <w:rsid w:val="00B1582E"/>
    <w:rsid w:val="00B15845"/>
    <w:rsid w:val="00B15898"/>
    <w:rsid w:val="00B15933"/>
    <w:rsid w:val="00B159A7"/>
    <w:rsid w:val="00B159B8"/>
    <w:rsid w:val="00B159C5"/>
    <w:rsid w:val="00B15A1F"/>
    <w:rsid w:val="00B15CD5"/>
    <w:rsid w:val="00B15D0B"/>
    <w:rsid w:val="00B15D73"/>
    <w:rsid w:val="00B15D98"/>
    <w:rsid w:val="00B15F4F"/>
    <w:rsid w:val="00B15F7A"/>
    <w:rsid w:val="00B1624B"/>
    <w:rsid w:val="00B1625C"/>
    <w:rsid w:val="00B1625E"/>
    <w:rsid w:val="00B1629D"/>
    <w:rsid w:val="00B164D6"/>
    <w:rsid w:val="00B16524"/>
    <w:rsid w:val="00B1655E"/>
    <w:rsid w:val="00B165F5"/>
    <w:rsid w:val="00B1662A"/>
    <w:rsid w:val="00B16796"/>
    <w:rsid w:val="00B167EB"/>
    <w:rsid w:val="00B16902"/>
    <w:rsid w:val="00B16979"/>
    <w:rsid w:val="00B16987"/>
    <w:rsid w:val="00B16B06"/>
    <w:rsid w:val="00B16BD7"/>
    <w:rsid w:val="00B16C02"/>
    <w:rsid w:val="00B16D4E"/>
    <w:rsid w:val="00B16E81"/>
    <w:rsid w:val="00B16E91"/>
    <w:rsid w:val="00B17125"/>
    <w:rsid w:val="00B17199"/>
    <w:rsid w:val="00B17245"/>
    <w:rsid w:val="00B172BC"/>
    <w:rsid w:val="00B17324"/>
    <w:rsid w:val="00B17340"/>
    <w:rsid w:val="00B17375"/>
    <w:rsid w:val="00B17382"/>
    <w:rsid w:val="00B173C1"/>
    <w:rsid w:val="00B173E4"/>
    <w:rsid w:val="00B17509"/>
    <w:rsid w:val="00B1754B"/>
    <w:rsid w:val="00B1767F"/>
    <w:rsid w:val="00B17696"/>
    <w:rsid w:val="00B176D0"/>
    <w:rsid w:val="00B176D2"/>
    <w:rsid w:val="00B176FF"/>
    <w:rsid w:val="00B177F6"/>
    <w:rsid w:val="00B179A4"/>
    <w:rsid w:val="00B17A2A"/>
    <w:rsid w:val="00B17BA0"/>
    <w:rsid w:val="00B17C06"/>
    <w:rsid w:val="00B17C19"/>
    <w:rsid w:val="00B17D17"/>
    <w:rsid w:val="00B17D91"/>
    <w:rsid w:val="00B17E08"/>
    <w:rsid w:val="00B17F27"/>
    <w:rsid w:val="00B17F91"/>
    <w:rsid w:val="00B17FA5"/>
    <w:rsid w:val="00B17FF7"/>
    <w:rsid w:val="00B2005D"/>
    <w:rsid w:val="00B200AD"/>
    <w:rsid w:val="00B20180"/>
    <w:rsid w:val="00B2021E"/>
    <w:rsid w:val="00B2026E"/>
    <w:rsid w:val="00B20296"/>
    <w:rsid w:val="00B20298"/>
    <w:rsid w:val="00B20360"/>
    <w:rsid w:val="00B2048A"/>
    <w:rsid w:val="00B20542"/>
    <w:rsid w:val="00B20590"/>
    <w:rsid w:val="00B20603"/>
    <w:rsid w:val="00B20795"/>
    <w:rsid w:val="00B20864"/>
    <w:rsid w:val="00B20898"/>
    <w:rsid w:val="00B208CF"/>
    <w:rsid w:val="00B208D9"/>
    <w:rsid w:val="00B20A2C"/>
    <w:rsid w:val="00B20A47"/>
    <w:rsid w:val="00B20A68"/>
    <w:rsid w:val="00B20A6C"/>
    <w:rsid w:val="00B20AB8"/>
    <w:rsid w:val="00B20B46"/>
    <w:rsid w:val="00B20C44"/>
    <w:rsid w:val="00B20CFF"/>
    <w:rsid w:val="00B20D00"/>
    <w:rsid w:val="00B20ED6"/>
    <w:rsid w:val="00B20FB8"/>
    <w:rsid w:val="00B20FF7"/>
    <w:rsid w:val="00B210E7"/>
    <w:rsid w:val="00B211C2"/>
    <w:rsid w:val="00B212EF"/>
    <w:rsid w:val="00B21318"/>
    <w:rsid w:val="00B2133F"/>
    <w:rsid w:val="00B2134C"/>
    <w:rsid w:val="00B21357"/>
    <w:rsid w:val="00B2136D"/>
    <w:rsid w:val="00B213A7"/>
    <w:rsid w:val="00B213AF"/>
    <w:rsid w:val="00B213DB"/>
    <w:rsid w:val="00B213FF"/>
    <w:rsid w:val="00B21483"/>
    <w:rsid w:val="00B21751"/>
    <w:rsid w:val="00B21801"/>
    <w:rsid w:val="00B21818"/>
    <w:rsid w:val="00B21862"/>
    <w:rsid w:val="00B21868"/>
    <w:rsid w:val="00B218AD"/>
    <w:rsid w:val="00B21901"/>
    <w:rsid w:val="00B21968"/>
    <w:rsid w:val="00B21B7E"/>
    <w:rsid w:val="00B21BBA"/>
    <w:rsid w:val="00B21BED"/>
    <w:rsid w:val="00B21C3B"/>
    <w:rsid w:val="00B21E04"/>
    <w:rsid w:val="00B21ED0"/>
    <w:rsid w:val="00B21F32"/>
    <w:rsid w:val="00B22040"/>
    <w:rsid w:val="00B2206D"/>
    <w:rsid w:val="00B221EB"/>
    <w:rsid w:val="00B2222E"/>
    <w:rsid w:val="00B22311"/>
    <w:rsid w:val="00B22321"/>
    <w:rsid w:val="00B224F8"/>
    <w:rsid w:val="00B2250A"/>
    <w:rsid w:val="00B22534"/>
    <w:rsid w:val="00B22554"/>
    <w:rsid w:val="00B22693"/>
    <w:rsid w:val="00B22737"/>
    <w:rsid w:val="00B22760"/>
    <w:rsid w:val="00B22989"/>
    <w:rsid w:val="00B22A7A"/>
    <w:rsid w:val="00B22B7B"/>
    <w:rsid w:val="00B22C6D"/>
    <w:rsid w:val="00B22CF7"/>
    <w:rsid w:val="00B22D48"/>
    <w:rsid w:val="00B22DD7"/>
    <w:rsid w:val="00B22E0E"/>
    <w:rsid w:val="00B22E3A"/>
    <w:rsid w:val="00B22EFA"/>
    <w:rsid w:val="00B22F92"/>
    <w:rsid w:val="00B23068"/>
    <w:rsid w:val="00B2313B"/>
    <w:rsid w:val="00B231E0"/>
    <w:rsid w:val="00B23209"/>
    <w:rsid w:val="00B233CB"/>
    <w:rsid w:val="00B233E1"/>
    <w:rsid w:val="00B23406"/>
    <w:rsid w:val="00B2355A"/>
    <w:rsid w:val="00B23662"/>
    <w:rsid w:val="00B23872"/>
    <w:rsid w:val="00B238FA"/>
    <w:rsid w:val="00B23990"/>
    <w:rsid w:val="00B239ED"/>
    <w:rsid w:val="00B23A09"/>
    <w:rsid w:val="00B23A0F"/>
    <w:rsid w:val="00B23A94"/>
    <w:rsid w:val="00B23AF9"/>
    <w:rsid w:val="00B23D9A"/>
    <w:rsid w:val="00B23DE5"/>
    <w:rsid w:val="00B23E7B"/>
    <w:rsid w:val="00B23F6B"/>
    <w:rsid w:val="00B2405F"/>
    <w:rsid w:val="00B24186"/>
    <w:rsid w:val="00B24221"/>
    <w:rsid w:val="00B24248"/>
    <w:rsid w:val="00B242BA"/>
    <w:rsid w:val="00B242D8"/>
    <w:rsid w:val="00B2438F"/>
    <w:rsid w:val="00B244E8"/>
    <w:rsid w:val="00B24669"/>
    <w:rsid w:val="00B246AE"/>
    <w:rsid w:val="00B246D4"/>
    <w:rsid w:val="00B2478B"/>
    <w:rsid w:val="00B247CD"/>
    <w:rsid w:val="00B24843"/>
    <w:rsid w:val="00B24B98"/>
    <w:rsid w:val="00B24C75"/>
    <w:rsid w:val="00B24D37"/>
    <w:rsid w:val="00B24D86"/>
    <w:rsid w:val="00B24E9A"/>
    <w:rsid w:val="00B250D2"/>
    <w:rsid w:val="00B250D4"/>
    <w:rsid w:val="00B250E8"/>
    <w:rsid w:val="00B25241"/>
    <w:rsid w:val="00B25395"/>
    <w:rsid w:val="00B253FB"/>
    <w:rsid w:val="00B25400"/>
    <w:rsid w:val="00B254DC"/>
    <w:rsid w:val="00B25519"/>
    <w:rsid w:val="00B25776"/>
    <w:rsid w:val="00B257E0"/>
    <w:rsid w:val="00B25868"/>
    <w:rsid w:val="00B2588B"/>
    <w:rsid w:val="00B258CA"/>
    <w:rsid w:val="00B258F2"/>
    <w:rsid w:val="00B25962"/>
    <w:rsid w:val="00B25979"/>
    <w:rsid w:val="00B25A95"/>
    <w:rsid w:val="00B25B5F"/>
    <w:rsid w:val="00B25D44"/>
    <w:rsid w:val="00B25E12"/>
    <w:rsid w:val="00B25F33"/>
    <w:rsid w:val="00B26014"/>
    <w:rsid w:val="00B26039"/>
    <w:rsid w:val="00B26098"/>
    <w:rsid w:val="00B26142"/>
    <w:rsid w:val="00B261C7"/>
    <w:rsid w:val="00B262C8"/>
    <w:rsid w:val="00B262F7"/>
    <w:rsid w:val="00B263AD"/>
    <w:rsid w:val="00B264C1"/>
    <w:rsid w:val="00B2653F"/>
    <w:rsid w:val="00B2660B"/>
    <w:rsid w:val="00B26619"/>
    <w:rsid w:val="00B26735"/>
    <w:rsid w:val="00B268D1"/>
    <w:rsid w:val="00B26A40"/>
    <w:rsid w:val="00B26B4F"/>
    <w:rsid w:val="00B26B8D"/>
    <w:rsid w:val="00B26C1F"/>
    <w:rsid w:val="00B26CDC"/>
    <w:rsid w:val="00B26CF5"/>
    <w:rsid w:val="00B26D2A"/>
    <w:rsid w:val="00B26D94"/>
    <w:rsid w:val="00B26DA7"/>
    <w:rsid w:val="00B26EBB"/>
    <w:rsid w:val="00B26EC9"/>
    <w:rsid w:val="00B26EDE"/>
    <w:rsid w:val="00B26F96"/>
    <w:rsid w:val="00B26FC4"/>
    <w:rsid w:val="00B27049"/>
    <w:rsid w:val="00B271C4"/>
    <w:rsid w:val="00B272A2"/>
    <w:rsid w:val="00B273D5"/>
    <w:rsid w:val="00B273FC"/>
    <w:rsid w:val="00B274A5"/>
    <w:rsid w:val="00B274C1"/>
    <w:rsid w:val="00B27559"/>
    <w:rsid w:val="00B27665"/>
    <w:rsid w:val="00B278AE"/>
    <w:rsid w:val="00B279EA"/>
    <w:rsid w:val="00B27B53"/>
    <w:rsid w:val="00B27C4D"/>
    <w:rsid w:val="00B27D28"/>
    <w:rsid w:val="00B27E5B"/>
    <w:rsid w:val="00B27EE8"/>
    <w:rsid w:val="00B27F53"/>
    <w:rsid w:val="00B30058"/>
    <w:rsid w:val="00B30080"/>
    <w:rsid w:val="00B300E6"/>
    <w:rsid w:val="00B300F0"/>
    <w:rsid w:val="00B3014C"/>
    <w:rsid w:val="00B3017A"/>
    <w:rsid w:val="00B30243"/>
    <w:rsid w:val="00B3027B"/>
    <w:rsid w:val="00B3035A"/>
    <w:rsid w:val="00B3046C"/>
    <w:rsid w:val="00B30558"/>
    <w:rsid w:val="00B30589"/>
    <w:rsid w:val="00B305EC"/>
    <w:rsid w:val="00B305ED"/>
    <w:rsid w:val="00B306AF"/>
    <w:rsid w:val="00B30786"/>
    <w:rsid w:val="00B307EC"/>
    <w:rsid w:val="00B30886"/>
    <w:rsid w:val="00B30955"/>
    <w:rsid w:val="00B30A1F"/>
    <w:rsid w:val="00B30A3A"/>
    <w:rsid w:val="00B30B0C"/>
    <w:rsid w:val="00B30B5B"/>
    <w:rsid w:val="00B30BDE"/>
    <w:rsid w:val="00B30CC8"/>
    <w:rsid w:val="00B30D22"/>
    <w:rsid w:val="00B30DA5"/>
    <w:rsid w:val="00B30DDD"/>
    <w:rsid w:val="00B30EAF"/>
    <w:rsid w:val="00B30F57"/>
    <w:rsid w:val="00B3102C"/>
    <w:rsid w:val="00B3103F"/>
    <w:rsid w:val="00B310E7"/>
    <w:rsid w:val="00B31119"/>
    <w:rsid w:val="00B313E3"/>
    <w:rsid w:val="00B31618"/>
    <w:rsid w:val="00B31630"/>
    <w:rsid w:val="00B3173C"/>
    <w:rsid w:val="00B3175C"/>
    <w:rsid w:val="00B317F9"/>
    <w:rsid w:val="00B31839"/>
    <w:rsid w:val="00B318BD"/>
    <w:rsid w:val="00B318E7"/>
    <w:rsid w:val="00B319C9"/>
    <w:rsid w:val="00B31A19"/>
    <w:rsid w:val="00B31BC0"/>
    <w:rsid w:val="00B31BD2"/>
    <w:rsid w:val="00B31C8B"/>
    <w:rsid w:val="00B31CCD"/>
    <w:rsid w:val="00B31D3D"/>
    <w:rsid w:val="00B31E41"/>
    <w:rsid w:val="00B31ED7"/>
    <w:rsid w:val="00B31F99"/>
    <w:rsid w:val="00B32098"/>
    <w:rsid w:val="00B320F5"/>
    <w:rsid w:val="00B321C3"/>
    <w:rsid w:val="00B321F8"/>
    <w:rsid w:val="00B32260"/>
    <w:rsid w:val="00B32316"/>
    <w:rsid w:val="00B324B1"/>
    <w:rsid w:val="00B32579"/>
    <w:rsid w:val="00B325D8"/>
    <w:rsid w:val="00B32618"/>
    <w:rsid w:val="00B32652"/>
    <w:rsid w:val="00B326EF"/>
    <w:rsid w:val="00B32771"/>
    <w:rsid w:val="00B327ED"/>
    <w:rsid w:val="00B328B4"/>
    <w:rsid w:val="00B32A0A"/>
    <w:rsid w:val="00B32A16"/>
    <w:rsid w:val="00B32C23"/>
    <w:rsid w:val="00B32C41"/>
    <w:rsid w:val="00B32C61"/>
    <w:rsid w:val="00B32CA8"/>
    <w:rsid w:val="00B32CE6"/>
    <w:rsid w:val="00B32D4B"/>
    <w:rsid w:val="00B32DFA"/>
    <w:rsid w:val="00B32F48"/>
    <w:rsid w:val="00B32FB9"/>
    <w:rsid w:val="00B33072"/>
    <w:rsid w:val="00B3312D"/>
    <w:rsid w:val="00B33169"/>
    <w:rsid w:val="00B3318B"/>
    <w:rsid w:val="00B33191"/>
    <w:rsid w:val="00B331AD"/>
    <w:rsid w:val="00B3320D"/>
    <w:rsid w:val="00B332DD"/>
    <w:rsid w:val="00B332F0"/>
    <w:rsid w:val="00B33362"/>
    <w:rsid w:val="00B333B1"/>
    <w:rsid w:val="00B333B9"/>
    <w:rsid w:val="00B3345E"/>
    <w:rsid w:val="00B334FC"/>
    <w:rsid w:val="00B335FD"/>
    <w:rsid w:val="00B336FF"/>
    <w:rsid w:val="00B33781"/>
    <w:rsid w:val="00B3388A"/>
    <w:rsid w:val="00B3394F"/>
    <w:rsid w:val="00B3395E"/>
    <w:rsid w:val="00B33A30"/>
    <w:rsid w:val="00B33A38"/>
    <w:rsid w:val="00B33A94"/>
    <w:rsid w:val="00B33B1D"/>
    <w:rsid w:val="00B33B5C"/>
    <w:rsid w:val="00B33B81"/>
    <w:rsid w:val="00B33CFA"/>
    <w:rsid w:val="00B33F19"/>
    <w:rsid w:val="00B33FB8"/>
    <w:rsid w:val="00B34018"/>
    <w:rsid w:val="00B34022"/>
    <w:rsid w:val="00B3406A"/>
    <w:rsid w:val="00B3436B"/>
    <w:rsid w:val="00B34498"/>
    <w:rsid w:val="00B3458E"/>
    <w:rsid w:val="00B34595"/>
    <w:rsid w:val="00B34841"/>
    <w:rsid w:val="00B349B8"/>
    <w:rsid w:val="00B34A22"/>
    <w:rsid w:val="00B34AB0"/>
    <w:rsid w:val="00B34B07"/>
    <w:rsid w:val="00B34BB0"/>
    <w:rsid w:val="00B34C38"/>
    <w:rsid w:val="00B34D88"/>
    <w:rsid w:val="00B34D90"/>
    <w:rsid w:val="00B34DDB"/>
    <w:rsid w:val="00B34E4F"/>
    <w:rsid w:val="00B34E79"/>
    <w:rsid w:val="00B34E84"/>
    <w:rsid w:val="00B34E8E"/>
    <w:rsid w:val="00B34F24"/>
    <w:rsid w:val="00B34F98"/>
    <w:rsid w:val="00B35043"/>
    <w:rsid w:val="00B350D4"/>
    <w:rsid w:val="00B3512D"/>
    <w:rsid w:val="00B35175"/>
    <w:rsid w:val="00B351CE"/>
    <w:rsid w:val="00B351F2"/>
    <w:rsid w:val="00B3524F"/>
    <w:rsid w:val="00B35334"/>
    <w:rsid w:val="00B3534F"/>
    <w:rsid w:val="00B3539C"/>
    <w:rsid w:val="00B3543A"/>
    <w:rsid w:val="00B354CE"/>
    <w:rsid w:val="00B354D1"/>
    <w:rsid w:val="00B35789"/>
    <w:rsid w:val="00B35861"/>
    <w:rsid w:val="00B35877"/>
    <w:rsid w:val="00B3589C"/>
    <w:rsid w:val="00B35918"/>
    <w:rsid w:val="00B35931"/>
    <w:rsid w:val="00B359BC"/>
    <w:rsid w:val="00B359D1"/>
    <w:rsid w:val="00B35B53"/>
    <w:rsid w:val="00B35C69"/>
    <w:rsid w:val="00B35C7E"/>
    <w:rsid w:val="00B35CBC"/>
    <w:rsid w:val="00B35D07"/>
    <w:rsid w:val="00B35D4D"/>
    <w:rsid w:val="00B35E34"/>
    <w:rsid w:val="00B3605B"/>
    <w:rsid w:val="00B36109"/>
    <w:rsid w:val="00B3617B"/>
    <w:rsid w:val="00B3618A"/>
    <w:rsid w:val="00B362D1"/>
    <w:rsid w:val="00B363E8"/>
    <w:rsid w:val="00B363FE"/>
    <w:rsid w:val="00B36437"/>
    <w:rsid w:val="00B36443"/>
    <w:rsid w:val="00B364B3"/>
    <w:rsid w:val="00B36517"/>
    <w:rsid w:val="00B365F6"/>
    <w:rsid w:val="00B3666F"/>
    <w:rsid w:val="00B366A0"/>
    <w:rsid w:val="00B366A3"/>
    <w:rsid w:val="00B36727"/>
    <w:rsid w:val="00B367EE"/>
    <w:rsid w:val="00B369BD"/>
    <w:rsid w:val="00B369DA"/>
    <w:rsid w:val="00B369EC"/>
    <w:rsid w:val="00B36A20"/>
    <w:rsid w:val="00B36BC5"/>
    <w:rsid w:val="00B36D90"/>
    <w:rsid w:val="00B36DB6"/>
    <w:rsid w:val="00B36F0B"/>
    <w:rsid w:val="00B36FA7"/>
    <w:rsid w:val="00B36FB4"/>
    <w:rsid w:val="00B370D0"/>
    <w:rsid w:val="00B371BB"/>
    <w:rsid w:val="00B37265"/>
    <w:rsid w:val="00B372C5"/>
    <w:rsid w:val="00B372E3"/>
    <w:rsid w:val="00B372ED"/>
    <w:rsid w:val="00B373DB"/>
    <w:rsid w:val="00B375EF"/>
    <w:rsid w:val="00B37621"/>
    <w:rsid w:val="00B37643"/>
    <w:rsid w:val="00B376BA"/>
    <w:rsid w:val="00B376D6"/>
    <w:rsid w:val="00B377E1"/>
    <w:rsid w:val="00B378A7"/>
    <w:rsid w:val="00B378B9"/>
    <w:rsid w:val="00B378C6"/>
    <w:rsid w:val="00B379EF"/>
    <w:rsid w:val="00B37AB6"/>
    <w:rsid w:val="00B37ABF"/>
    <w:rsid w:val="00B37B96"/>
    <w:rsid w:val="00B37BE8"/>
    <w:rsid w:val="00B37D67"/>
    <w:rsid w:val="00B37D78"/>
    <w:rsid w:val="00B37E2E"/>
    <w:rsid w:val="00B37EB0"/>
    <w:rsid w:val="00B37F93"/>
    <w:rsid w:val="00B37FB7"/>
    <w:rsid w:val="00B40001"/>
    <w:rsid w:val="00B4006C"/>
    <w:rsid w:val="00B4008D"/>
    <w:rsid w:val="00B40096"/>
    <w:rsid w:val="00B400EE"/>
    <w:rsid w:val="00B40201"/>
    <w:rsid w:val="00B40207"/>
    <w:rsid w:val="00B403FB"/>
    <w:rsid w:val="00B404F3"/>
    <w:rsid w:val="00B404FC"/>
    <w:rsid w:val="00B4053A"/>
    <w:rsid w:val="00B40807"/>
    <w:rsid w:val="00B40835"/>
    <w:rsid w:val="00B40982"/>
    <w:rsid w:val="00B40B31"/>
    <w:rsid w:val="00B40B63"/>
    <w:rsid w:val="00B40B6A"/>
    <w:rsid w:val="00B40BF1"/>
    <w:rsid w:val="00B40C41"/>
    <w:rsid w:val="00B40D48"/>
    <w:rsid w:val="00B40E11"/>
    <w:rsid w:val="00B40EB7"/>
    <w:rsid w:val="00B40FC3"/>
    <w:rsid w:val="00B41057"/>
    <w:rsid w:val="00B41064"/>
    <w:rsid w:val="00B41080"/>
    <w:rsid w:val="00B410D5"/>
    <w:rsid w:val="00B4140C"/>
    <w:rsid w:val="00B4146F"/>
    <w:rsid w:val="00B41524"/>
    <w:rsid w:val="00B4171C"/>
    <w:rsid w:val="00B41753"/>
    <w:rsid w:val="00B4180B"/>
    <w:rsid w:val="00B41853"/>
    <w:rsid w:val="00B41A3F"/>
    <w:rsid w:val="00B41AA0"/>
    <w:rsid w:val="00B41B63"/>
    <w:rsid w:val="00B41D9A"/>
    <w:rsid w:val="00B41DEF"/>
    <w:rsid w:val="00B41DF1"/>
    <w:rsid w:val="00B41E19"/>
    <w:rsid w:val="00B41E61"/>
    <w:rsid w:val="00B41E97"/>
    <w:rsid w:val="00B41EC8"/>
    <w:rsid w:val="00B41F9A"/>
    <w:rsid w:val="00B4201F"/>
    <w:rsid w:val="00B42081"/>
    <w:rsid w:val="00B42098"/>
    <w:rsid w:val="00B421F7"/>
    <w:rsid w:val="00B42231"/>
    <w:rsid w:val="00B423C1"/>
    <w:rsid w:val="00B42457"/>
    <w:rsid w:val="00B424AC"/>
    <w:rsid w:val="00B424EF"/>
    <w:rsid w:val="00B426F6"/>
    <w:rsid w:val="00B42715"/>
    <w:rsid w:val="00B42794"/>
    <w:rsid w:val="00B4279F"/>
    <w:rsid w:val="00B427F4"/>
    <w:rsid w:val="00B4298A"/>
    <w:rsid w:val="00B42A8F"/>
    <w:rsid w:val="00B42A9E"/>
    <w:rsid w:val="00B42AB0"/>
    <w:rsid w:val="00B42BB4"/>
    <w:rsid w:val="00B42BD1"/>
    <w:rsid w:val="00B42C82"/>
    <w:rsid w:val="00B42C97"/>
    <w:rsid w:val="00B42CAE"/>
    <w:rsid w:val="00B42DEC"/>
    <w:rsid w:val="00B42E24"/>
    <w:rsid w:val="00B42E94"/>
    <w:rsid w:val="00B42EA3"/>
    <w:rsid w:val="00B42EE9"/>
    <w:rsid w:val="00B42F22"/>
    <w:rsid w:val="00B42F71"/>
    <w:rsid w:val="00B42F83"/>
    <w:rsid w:val="00B430ED"/>
    <w:rsid w:val="00B4312D"/>
    <w:rsid w:val="00B43271"/>
    <w:rsid w:val="00B43322"/>
    <w:rsid w:val="00B43348"/>
    <w:rsid w:val="00B433A7"/>
    <w:rsid w:val="00B4349F"/>
    <w:rsid w:val="00B434D1"/>
    <w:rsid w:val="00B43653"/>
    <w:rsid w:val="00B437B3"/>
    <w:rsid w:val="00B43994"/>
    <w:rsid w:val="00B43997"/>
    <w:rsid w:val="00B439E8"/>
    <w:rsid w:val="00B43ABF"/>
    <w:rsid w:val="00B43B0B"/>
    <w:rsid w:val="00B43C2B"/>
    <w:rsid w:val="00B43CDB"/>
    <w:rsid w:val="00B43D31"/>
    <w:rsid w:val="00B43F97"/>
    <w:rsid w:val="00B4411C"/>
    <w:rsid w:val="00B441BB"/>
    <w:rsid w:val="00B44336"/>
    <w:rsid w:val="00B44419"/>
    <w:rsid w:val="00B44470"/>
    <w:rsid w:val="00B44529"/>
    <w:rsid w:val="00B445CB"/>
    <w:rsid w:val="00B4462D"/>
    <w:rsid w:val="00B44715"/>
    <w:rsid w:val="00B4480C"/>
    <w:rsid w:val="00B44887"/>
    <w:rsid w:val="00B44898"/>
    <w:rsid w:val="00B448CB"/>
    <w:rsid w:val="00B449D8"/>
    <w:rsid w:val="00B44AAC"/>
    <w:rsid w:val="00B44B40"/>
    <w:rsid w:val="00B44BC4"/>
    <w:rsid w:val="00B44C88"/>
    <w:rsid w:val="00B44DA3"/>
    <w:rsid w:val="00B45076"/>
    <w:rsid w:val="00B45083"/>
    <w:rsid w:val="00B4519D"/>
    <w:rsid w:val="00B4525A"/>
    <w:rsid w:val="00B452D7"/>
    <w:rsid w:val="00B45321"/>
    <w:rsid w:val="00B45354"/>
    <w:rsid w:val="00B454B0"/>
    <w:rsid w:val="00B45550"/>
    <w:rsid w:val="00B45627"/>
    <w:rsid w:val="00B456A1"/>
    <w:rsid w:val="00B456F9"/>
    <w:rsid w:val="00B45720"/>
    <w:rsid w:val="00B457C1"/>
    <w:rsid w:val="00B458FB"/>
    <w:rsid w:val="00B4591E"/>
    <w:rsid w:val="00B4596E"/>
    <w:rsid w:val="00B45A92"/>
    <w:rsid w:val="00B45B60"/>
    <w:rsid w:val="00B45CED"/>
    <w:rsid w:val="00B45D51"/>
    <w:rsid w:val="00B45D68"/>
    <w:rsid w:val="00B45D77"/>
    <w:rsid w:val="00B45E0C"/>
    <w:rsid w:val="00B45E8A"/>
    <w:rsid w:val="00B45F9E"/>
    <w:rsid w:val="00B46199"/>
    <w:rsid w:val="00B462A0"/>
    <w:rsid w:val="00B462CD"/>
    <w:rsid w:val="00B46376"/>
    <w:rsid w:val="00B46430"/>
    <w:rsid w:val="00B46740"/>
    <w:rsid w:val="00B46757"/>
    <w:rsid w:val="00B467A9"/>
    <w:rsid w:val="00B468D1"/>
    <w:rsid w:val="00B46981"/>
    <w:rsid w:val="00B469DF"/>
    <w:rsid w:val="00B469F9"/>
    <w:rsid w:val="00B46A43"/>
    <w:rsid w:val="00B46AA2"/>
    <w:rsid w:val="00B46C14"/>
    <w:rsid w:val="00B46C39"/>
    <w:rsid w:val="00B46C5A"/>
    <w:rsid w:val="00B46C5C"/>
    <w:rsid w:val="00B46DD7"/>
    <w:rsid w:val="00B46EFB"/>
    <w:rsid w:val="00B46F4C"/>
    <w:rsid w:val="00B46F58"/>
    <w:rsid w:val="00B46F6F"/>
    <w:rsid w:val="00B46FE7"/>
    <w:rsid w:val="00B4707F"/>
    <w:rsid w:val="00B470C7"/>
    <w:rsid w:val="00B47139"/>
    <w:rsid w:val="00B47188"/>
    <w:rsid w:val="00B471E9"/>
    <w:rsid w:val="00B47263"/>
    <w:rsid w:val="00B47315"/>
    <w:rsid w:val="00B473F5"/>
    <w:rsid w:val="00B47432"/>
    <w:rsid w:val="00B47465"/>
    <w:rsid w:val="00B4747A"/>
    <w:rsid w:val="00B47550"/>
    <w:rsid w:val="00B47665"/>
    <w:rsid w:val="00B4775E"/>
    <w:rsid w:val="00B4779D"/>
    <w:rsid w:val="00B47926"/>
    <w:rsid w:val="00B47AE2"/>
    <w:rsid w:val="00B47B55"/>
    <w:rsid w:val="00B47BD1"/>
    <w:rsid w:val="00B47DC7"/>
    <w:rsid w:val="00B47E3C"/>
    <w:rsid w:val="00B47E9A"/>
    <w:rsid w:val="00B50011"/>
    <w:rsid w:val="00B50047"/>
    <w:rsid w:val="00B500BB"/>
    <w:rsid w:val="00B501AB"/>
    <w:rsid w:val="00B50396"/>
    <w:rsid w:val="00B503D9"/>
    <w:rsid w:val="00B50400"/>
    <w:rsid w:val="00B50479"/>
    <w:rsid w:val="00B50522"/>
    <w:rsid w:val="00B50577"/>
    <w:rsid w:val="00B50619"/>
    <w:rsid w:val="00B506FC"/>
    <w:rsid w:val="00B507DF"/>
    <w:rsid w:val="00B50857"/>
    <w:rsid w:val="00B50A2E"/>
    <w:rsid w:val="00B50A7F"/>
    <w:rsid w:val="00B50A9D"/>
    <w:rsid w:val="00B50B0E"/>
    <w:rsid w:val="00B50B11"/>
    <w:rsid w:val="00B50B94"/>
    <w:rsid w:val="00B50BCF"/>
    <w:rsid w:val="00B50C96"/>
    <w:rsid w:val="00B50CB5"/>
    <w:rsid w:val="00B50CD2"/>
    <w:rsid w:val="00B50D5F"/>
    <w:rsid w:val="00B50DBA"/>
    <w:rsid w:val="00B50E1C"/>
    <w:rsid w:val="00B50EDA"/>
    <w:rsid w:val="00B50FB8"/>
    <w:rsid w:val="00B5105C"/>
    <w:rsid w:val="00B51227"/>
    <w:rsid w:val="00B512F9"/>
    <w:rsid w:val="00B51305"/>
    <w:rsid w:val="00B51316"/>
    <w:rsid w:val="00B513BC"/>
    <w:rsid w:val="00B5154B"/>
    <w:rsid w:val="00B516E4"/>
    <w:rsid w:val="00B5185E"/>
    <w:rsid w:val="00B51A0D"/>
    <w:rsid w:val="00B51A1C"/>
    <w:rsid w:val="00B51C3B"/>
    <w:rsid w:val="00B51C43"/>
    <w:rsid w:val="00B51DBC"/>
    <w:rsid w:val="00B51F47"/>
    <w:rsid w:val="00B51F68"/>
    <w:rsid w:val="00B521CA"/>
    <w:rsid w:val="00B521DE"/>
    <w:rsid w:val="00B521EC"/>
    <w:rsid w:val="00B5220F"/>
    <w:rsid w:val="00B52220"/>
    <w:rsid w:val="00B52231"/>
    <w:rsid w:val="00B52264"/>
    <w:rsid w:val="00B5229D"/>
    <w:rsid w:val="00B522A2"/>
    <w:rsid w:val="00B5243A"/>
    <w:rsid w:val="00B52450"/>
    <w:rsid w:val="00B52474"/>
    <w:rsid w:val="00B524C5"/>
    <w:rsid w:val="00B52536"/>
    <w:rsid w:val="00B52644"/>
    <w:rsid w:val="00B5273C"/>
    <w:rsid w:val="00B527BE"/>
    <w:rsid w:val="00B527C4"/>
    <w:rsid w:val="00B52830"/>
    <w:rsid w:val="00B528D0"/>
    <w:rsid w:val="00B529F5"/>
    <w:rsid w:val="00B52BE0"/>
    <w:rsid w:val="00B52DCF"/>
    <w:rsid w:val="00B52E06"/>
    <w:rsid w:val="00B52EB3"/>
    <w:rsid w:val="00B52F0A"/>
    <w:rsid w:val="00B52F2E"/>
    <w:rsid w:val="00B52FF1"/>
    <w:rsid w:val="00B53136"/>
    <w:rsid w:val="00B53151"/>
    <w:rsid w:val="00B53475"/>
    <w:rsid w:val="00B534EA"/>
    <w:rsid w:val="00B53562"/>
    <w:rsid w:val="00B53575"/>
    <w:rsid w:val="00B53589"/>
    <w:rsid w:val="00B535E9"/>
    <w:rsid w:val="00B53600"/>
    <w:rsid w:val="00B53602"/>
    <w:rsid w:val="00B53752"/>
    <w:rsid w:val="00B5382B"/>
    <w:rsid w:val="00B538E8"/>
    <w:rsid w:val="00B5391E"/>
    <w:rsid w:val="00B53971"/>
    <w:rsid w:val="00B53989"/>
    <w:rsid w:val="00B539AB"/>
    <w:rsid w:val="00B539E9"/>
    <w:rsid w:val="00B53B0B"/>
    <w:rsid w:val="00B53B25"/>
    <w:rsid w:val="00B53BBD"/>
    <w:rsid w:val="00B53CBE"/>
    <w:rsid w:val="00B53DAF"/>
    <w:rsid w:val="00B53FDE"/>
    <w:rsid w:val="00B53FF5"/>
    <w:rsid w:val="00B540D0"/>
    <w:rsid w:val="00B540FA"/>
    <w:rsid w:val="00B54365"/>
    <w:rsid w:val="00B543BD"/>
    <w:rsid w:val="00B543E4"/>
    <w:rsid w:val="00B54517"/>
    <w:rsid w:val="00B54594"/>
    <w:rsid w:val="00B546D3"/>
    <w:rsid w:val="00B546EA"/>
    <w:rsid w:val="00B5476B"/>
    <w:rsid w:val="00B547AC"/>
    <w:rsid w:val="00B547E3"/>
    <w:rsid w:val="00B547F7"/>
    <w:rsid w:val="00B5487F"/>
    <w:rsid w:val="00B548C1"/>
    <w:rsid w:val="00B548C6"/>
    <w:rsid w:val="00B5492E"/>
    <w:rsid w:val="00B5495D"/>
    <w:rsid w:val="00B54BD8"/>
    <w:rsid w:val="00B54C03"/>
    <w:rsid w:val="00B54C9B"/>
    <w:rsid w:val="00B54CE3"/>
    <w:rsid w:val="00B54D51"/>
    <w:rsid w:val="00B54DB5"/>
    <w:rsid w:val="00B54DF0"/>
    <w:rsid w:val="00B54E05"/>
    <w:rsid w:val="00B54E55"/>
    <w:rsid w:val="00B54F01"/>
    <w:rsid w:val="00B5503B"/>
    <w:rsid w:val="00B55125"/>
    <w:rsid w:val="00B55137"/>
    <w:rsid w:val="00B551A7"/>
    <w:rsid w:val="00B55202"/>
    <w:rsid w:val="00B55227"/>
    <w:rsid w:val="00B5525F"/>
    <w:rsid w:val="00B5529B"/>
    <w:rsid w:val="00B55393"/>
    <w:rsid w:val="00B553B1"/>
    <w:rsid w:val="00B553CA"/>
    <w:rsid w:val="00B55403"/>
    <w:rsid w:val="00B55447"/>
    <w:rsid w:val="00B5544F"/>
    <w:rsid w:val="00B55619"/>
    <w:rsid w:val="00B556BD"/>
    <w:rsid w:val="00B55804"/>
    <w:rsid w:val="00B558E2"/>
    <w:rsid w:val="00B5594D"/>
    <w:rsid w:val="00B55A75"/>
    <w:rsid w:val="00B55ACC"/>
    <w:rsid w:val="00B55B52"/>
    <w:rsid w:val="00B55C5D"/>
    <w:rsid w:val="00B55C63"/>
    <w:rsid w:val="00B55C85"/>
    <w:rsid w:val="00B55CB1"/>
    <w:rsid w:val="00B55CD6"/>
    <w:rsid w:val="00B55F09"/>
    <w:rsid w:val="00B55FE7"/>
    <w:rsid w:val="00B56146"/>
    <w:rsid w:val="00B56202"/>
    <w:rsid w:val="00B5638A"/>
    <w:rsid w:val="00B56426"/>
    <w:rsid w:val="00B565E0"/>
    <w:rsid w:val="00B56632"/>
    <w:rsid w:val="00B566C7"/>
    <w:rsid w:val="00B5674C"/>
    <w:rsid w:val="00B56785"/>
    <w:rsid w:val="00B56871"/>
    <w:rsid w:val="00B568B0"/>
    <w:rsid w:val="00B569E7"/>
    <w:rsid w:val="00B56A6B"/>
    <w:rsid w:val="00B56A85"/>
    <w:rsid w:val="00B56A9F"/>
    <w:rsid w:val="00B56AAA"/>
    <w:rsid w:val="00B56BAC"/>
    <w:rsid w:val="00B56C37"/>
    <w:rsid w:val="00B56D36"/>
    <w:rsid w:val="00B56D63"/>
    <w:rsid w:val="00B570E5"/>
    <w:rsid w:val="00B572B4"/>
    <w:rsid w:val="00B57389"/>
    <w:rsid w:val="00B574D3"/>
    <w:rsid w:val="00B5755E"/>
    <w:rsid w:val="00B57581"/>
    <w:rsid w:val="00B575B3"/>
    <w:rsid w:val="00B57712"/>
    <w:rsid w:val="00B578C2"/>
    <w:rsid w:val="00B5794D"/>
    <w:rsid w:val="00B579A2"/>
    <w:rsid w:val="00B57AF1"/>
    <w:rsid w:val="00B57ECC"/>
    <w:rsid w:val="00B57EDB"/>
    <w:rsid w:val="00B60028"/>
    <w:rsid w:val="00B600F0"/>
    <w:rsid w:val="00B6014F"/>
    <w:rsid w:val="00B601EF"/>
    <w:rsid w:val="00B60207"/>
    <w:rsid w:val="00B602CC"/>
    <w:rsid w:val="00B602EA"/>
    <w:rsid w:val="00B6035D"/>
    <w:rsid w:val="00B6036B"/>
    <w:rsid w:val="00B604C8"/>
    <w:rsid w:val="00B604CD"/>
    <w:rsid w:val="00B6056C"/>
    <w:rsid w:val="00B60627"/>
    <w:rsid w:val="00B6074D"/>
    <w:rsid w:val="00B609D6"/>
    <w:rsid w:val="00B609E1"/>
    <w:rsid w:val="00B60A1D"/>
    <w:rsid w:val="00B60AB2"/>
    <w:rsid w:val="00B60B7F"/>
    <w:rsid w:val="00B60BDB"/>
    <w:rsid w:val="00B60C07"/>
    <w:rsid w:val="00B60CC1"/>
    <w:rsid w:val="00B60CDA"/>
    <w:rsid w:val="00B60DDA"/>
    <w:rsid w:val="00B60E1F"/>
    <w:rsid w:val="00B61105"/>
    <w:rsid w:val="00B61109"/>
    <w:rsid w:val="00B611A8"/>
    <w:rsid w:val="00B61258"/>
    <w:rsid w:val="00B61388"/>
    <w:rsid w:val="00B61395"/>
    <w:rsid w:val="00B613FD"/>
    <w:rsid w:val="00B615C6"/>
    <w:rsid w:val="00B615C9"/>
    <w:rsid w:val="00B616B4"/>
    <w:rsid w:val="00B616EC"/>
    <w:rsid w:val="00B61702"/>
    <w:rsid w:val="00B61767"/>
    <w:rsid w:val="00B617DF"/>
    <w:rsid w:val="00B619AF"/>
    <w:rsid w:val="00B619F9"/>
    <w:rsid w:val="00B619FD"/>
    <w:rsid w:val="00B61B10"/>
    <w:rsid w:val="00B61B35"/>
    <w:rsid w:val="00B61BEE"/>
    <w:rsid w:val="00B61C76"/>
    <w:rsid w:val="00B61D16"/>
    <w:rsid w:val="00B61D31"/>
    <w:rsid w:val="00B61F81"/>
    <w:rsid w:val="00B61F8C"/>
    <w:rsid w:val="00B61FAD"/>
    <w:rsid w:val="00B61FE9"/>
    <w:rsid w:val="00B61FFE"/>
    <w:rsid w:val="00B62160"/>
    <w:rsid w:val="00B622E5"/>
    <w:rsid w:val="00B62419"/>
    <w:rsid w:val="00B62484"/>
    <w:rsid w:val="00B6253D"/>
    <w:rsid w:val="00B62577"/>
    <w:rsid w:val="00B625E7"/>
    <w:rsid w:val="00B626D8"/>
    <w:rsid w:val="00B62808"/>
    <w:rsid w:val="00B6290D"/>
    <w:rsid w:val="00B6293B"/>
    <w:rsid w:val="00B629C9"/>
    <w:rsid w:val="00B62A12"/>
    <w:rsid w:val="00B62A81"/>
    <w:rsid w:val="00B62B36"/>
    <w:rsid w:val="00B62B46"/>
    <w:rsid w:val="00B62C8A"/>
    <w:rsid w:val="00B62C94"/>
    <w:rsid w:val="00B62CCE"/>
    <w:rsid w:val="00B62D65"/>
    <w:rsid w:val="00B62DC4"/>
    <w:rsid w:val="00B62EE0"/>
    <w:rsid w:val="00B62F7E"/>
    <w:rsid w:val="00B62F8C"/>
    <w:rsid w:val="00B63000"/>
    <w:rsid w:val="00B6300C"/>
    <w:rsid w:val="00B6301A"/>
    <w:rsid w:val="00B63088"/>
    <w:rsid w:val="00B630B1"/>
    <w:rsid w:val="00B631F4"/>
    <w:rsid w:val="00B63355"/>
    <w:rsid w:val="00B633CE"/>
    <w:rsid w:val="00B633DA"/>
    <w:rsid w:val="00B63413"/>
    <w:rsid w:val="00B63441"/>
    <w:rsid w:val="00B63484"/>
    <w:rsid w:val="00B63569"/>
    <w:rsid w:val="00B635BD"/>
    <w:rsid w:val="00B638DE"/>
    <w:rsid w:val="00B63A5D"/>
    <w:rsid w:val="00B63BC3"/>
    <w:rsid w:val="00B63D2F"/>
    <w:rsid w:val="00B63DD8"/>
    <w:rsid w:val="00B63F4D"/>
    <w:rsid w:val="00B63FC8"/>
    <w:rsid w:val="00B640D0"/>
    <w:rsid w:val="00B64303"/>
    <w:rsid w:val="00B6458F"/>
    <w:rsid w:val="00B647CF"/>
    <w:rsid w:val="00B6496E"/>
    <w:rsid w:val="00B649FF"/>
    <w:rsid w:val="00B64A3C"/>
    <w:rsid w:val="00B64A46"/>
    <w:rsid w:val="00B64A50"/>
    <w:rsid w:val="00B64BAC"/>
    <w:rsid w:val="00B64BFA"/>
    <w:rsid w:val="00B64C2B"/>
    <w:rsid w:val="00B64C3F"/>
    <w:rsid w:val="00B64CD5"/>
    <w:rsid w:val="00B64E58"/>
    <w:rsid w:val="00B64E84"/>
    <w:rsid w:val="00B64F0E"/>
    <w:rsid w:val="00B64F10"/>
    <w:rsid w:val="00B64FFD"/>
    <w:rsid w:val="00B650AE"/>
    <w:rsid w:val="00B650AF"/>
    <w:rsid w:val="00B650E3"/>
    <w:rsid w:val="00B65186"/>
    <w:rsid w:val="00B65222"/>
    <w:rsid w:val="00B65368"/>
    <w:rsid w:val="00B654B7"/>
    <w:rsid w:val="00B65800"/>
    <w:rsid w:val="00B658B0"/>
    <w:rsid w:val="00B658C8"/>
    <w:rsid w:val="00B658EC"/>
    <w:rsid w:val="00B659AB"/>
    <w:rsid w:val="00B659DD"/>
    <w:rsid w:val="00B659DE"/>
    <w:rsid w:val="00B65B20"/>
    <w:rsid w:val="00B65C5E"/>
    <w:rsid w:val="00B65D25"/>
    <w:rsid w:val="00B65D8A"/>
    <w:rsid w:val="00B65DDC"/>
    <w:rsid w:val="00B65F2C"/>
    <w:rsid w:val="00B65F4E"/>
    <w:rsid w:val="00B65FAA"/>
    <w:rsid w:val="00B65FAB"/>
    <w:rsid w:val="00B65FF6"/>
    <w:rsid w:val="00B66061"/>
    <w:rsid w:val="00B66075"/>
    <w:rsid w:val="00B660A6"/>
    <w:rsid w:val="00B66200"/>
    <w:rsid w:val="00B66351"/>
    <w:rsid w:val="00B66488"/>
    <w:rsid w:val="00B66491"/>
    <w:rsid w:val="00B664DE"/>
    <w:rsid w:val="00B66685"/>
    <w:rsid w:val="00B666AB"/>
    <w:rsid w:val="00B666D1"/>
    <w:rsid w:val="00B666DA"/>
    <w:rsid w:val="00B667E5"/>
    <w:rsid w:val="00B66844"/>
    <w:rsid w:val="00B668A7"/>
    <w:rsid w:val="00B668B8"/>
    <w:rsid w:val="00B66A3D"/>
    <w:rsid w:val="00B66A53"/>
    <w:rsid w:val="00B66B87"/>
    <w:rsid w:val="00B66B8C"/>
    <w:rsid w:val="00B66BBD"/>
    <w:rsid w:val="00B66D84"/>
    <w:rsid w:val="00B67066"/>
    <w:rsid w:val="00B67174"/>
    <w:rsid w:val="00B671B3"/>
    <w:rsid w:val="00B671D7"/>
    <w:rsid w:val="00B672C6"/>
    <w:rsid w:val="00B67457"/>
    <w:rsid w:val="00B6749A"/>
    <w:rsid w:val="00B67686"/>
    <w:rsid w:val="00B676A2"/>
    <w:rsid w:val="00B67707"/>
    <w:rsid w:val="00B67788"/>
    <w:rsid w:val="00B6793C"/>
    <w:rsid w:val="00B67A40"/>
    <w:rsid w:val="00B67A47"/>
    <w:rsid w:val="00B67A72"/>
    <w:rsid w:val="00B67AB8"/>
    <w:rsid w:val="00B67B60"/>
    <w:rsid w:val="00B67C40"/>
    <w:rsid w:val="00B67CDD"/>
    <w:rsid w:val="00B67D1A"/>
    <w:rsid w:val="00B67D61"/>
    <w:rsid w:val="00B67E5B"/>
    <w:rsid w:val="00B67E78"/>
    <w:rsid w:val="00B67EA1"/>
    <w:rsid w:val="00B67FA1"/>
    <w:rsid w:val="00B67FF8"/>
    <w:rsid w:val="00B70090"/>
    <w:rsid w:val="00B700C8"/>
    <w:rsid w:val="00B70189"/>
    <w:rsid w:val="00B70416"/>
    <w:rsid w:val="00B7046F"/>
    <w:rsid w:val="00B704AC"/>
    <w:rsid w:val="00B70626"/>
    <w:rsid w:val="00B70669"/>
    <w:rsid w:val="00B706C5"/>
    <w:rsid w:val="00B70785"/>
    <w:rsid w:val="00B70824"/>
    <w:rsid w:val="00B70A31"/>
    <w:rsid w:val="00B70D01"/>
    <w:rsid w:val="00B70F34"/>
    <w:rsid w:val="00B70F8F"/>
    <w:rsid w:val="00B70F92"/>
    <w:rsid w:val="00B70FC2"/>
    <w:rsid w:val="00B71017"/>
    <w:rsid w:val="00B71473"/>
    <w:rsid w:val="00B714C9"/>
    <w:rsid w:val="00B71503"/>
    <w:rsid w:val="00B716E3"/>
    <w:rsid w:val="00B71868"/>
    <w:rsid w:val="00B7188A"/>
    <w:rsid w:val="00B718B5"/>
    <w:rsid w:val="00B7190F"/>
    <w:rsid w:val="00B71B44"/>
    <w:rsid w:val="00B71B62"/>
    <w:rsid w:val="00B71BF1"/>
    <w:rsid w:val="00B71BF4"/>
    <w:rsid w:val="00B71CCC"/>
    <w:rsid w:val="00B71CE1"/>
    <w:rsid w:val="00B71D12"/>
    <w:rsid w:val="00B71D59"/>
    <w:rsid w:val="00B71DB3"/>
    <w:rsid w:val="00B71E8D"/>
    <w:rsid w:val="00B71EDF"/>
    <w:rsid w:val="00B72039"/>
    <w:rsid w:val="00B720C9"/>
    <w:rsid w:val="00B721E7"/>
    <w:rsid w:val="00B7221A"/>
    <w:rsid w:val="00B722E5"/>
    <w:rsid w:val="00B723DC"/>
    <w:rsid w:val="00B724AB"/>
    <w:rsid w:val="00B724C8"/>
    <w:rsid w:val="00B724E2"/>
    <w:rsid w:val="00B7256E"/>
    <w:rsid w:val="00B726C8"/>
    <w:rsid w:val="00B726D0"/>
    <w:rsid w:val="00B726FE"/>
    <w:rsid w:val="00B72763"/>
    <w:rsid w:val="00B727B8"/>
    <w:rsid w:val="00B72878"/>
    <w:rsid w:val="00B72A18"/>
    <w:rsid w:val="00B72A3D"/>
    <w:rsid w:val="00B72A7E"/>
    <w:rsid w:val="00B72B03"/>
    <w:rsid w:val="00B72BB9"/>
    <w:rsid w:val="00B72BFB"/>
    <w:rsid w:val="00B72CE0"/>
    <w:rsid w:val="00B72D08"/>
    <w:rsid w:val="00B72DB7"/>
    <w:rsid w:val="00B72EF8"/>
    <w:rsid w:val="00B72F76"/>
    <w:rsid w:val="00B72FA0"/>
    <w:rsid w:val="00B730DB"/>
    <w:rsid w:val="00B73106"/>
    <w:rsid w:val="00B73130"/>
    <w:rsid w:val="00B733D2"/>
    <w:rsid w:val="00B733F6"/>
    <w:rsid w:val="00B7346D"/>
    <w:rsid w:val="00B73478"/>
    <w:rsid w:val="00B734F1"/>
    <w:rsid w:val="00B736EA"/>
    <w:rsid w:val="00B736F2"/>
    <w:rsid w:val="00B7370D"/>
    <w:rsid w:val="00B73734"/>
    <w:rsid w:val="00B7382C"/>
    <w:rsid w:val="00B73894"/>
    <w:rsid w:val="00B7394B"/>
    <w:rsid w:val="00B73E1B"/>
    <w:rsid w:val="00B73F67"/>
    <w:rsid w:val="00B73FCE"/>
    <w:rsid w:val="00B74076"/>
    <w:rsid w:val="00B74127"/>
    <w:rsid w:val="00B7415B"/>
    <w:rsid w:val="00B74307"/>
    <w:rsid w:val="00B74349"/>
    <w:rsid w:val="00B743C7"/>
    <w:rsid w:val="00B743CB"/>
    <w:rsid w:val="00B74407"/>
    <w:rsid w:val="00B74457"/>
    <w:rsid w:val="00B745E6"/>
    <w:rsid w:val="00B7463A"/>
    <w:rsid w:val="00B74646"/>
    <w:rsid w:val="00B74799"/>
    <w:rsid w:val="00B74911"/>
    <w:rsid w:val="00B74932"/>
    <w:rsid w:val="00B74A3F"/>
    <w:rsid w:val="00B74C94"/>
    <w:rsid w:val="00B74D71"/>
    <w:rsid w:val="00B74F22"/>
    <w:rsid w:val="00B74F4F"/>
    <w:rsid w:val="00B74FCB"/>
    <w:rsid w:val="00B74FE0"/>
    <w:rsid w:val="00B74FEE"/>
    <w:rsid w:val="00B75000"/>
    <w:rsid w:val="00B75002"/>
    <w:rsid w:val="00B7504E"/>
    <w:rsid w:val="00B751E2"/>
    <w:rsid w:val="00B751E4"/>
    <w:rsid w:val="00B752A1"/>
    <w:rsid w:val="00B7536C"/>
    <w:rsid w:val="00B754A2"/>
    <w:rsid w:val="00B75523"/>
    <w:rsid w:val="00B756D0"/>
    <w:rsid w:val="00B7578D"/>
    <w:rsid w:val="00B757AE"/>
    <w:rsid w:val="00B757E3"/>
    <w:rsid w:val="00B75820"/>
    <w:rsid w:val="00B75826"/>
    <w:rsid w:val="00B75875"/>
    <w:rsid w:val="00B759AC"/>
    <w:rsid w:val="00B75A1B"/>
    <w:rsid w:val="00B75B69"/>
    <w:rsid w:val="00B75C6D"/>
    <w:rsid w:val="00B75C9C"/>
    <w:rsid w:val="00B75CBC"/>
    <w:rsid w:val="00B75CD2"/>
    <w:rsid w:val="00B75D45"/>
    <w:rsid w:val="00B75D61"/>
    <w:rsid w:val="00B75DE2"/>
    <w:rsid w:val="00B75E92"/>
    <w:rsid w:val="00B75EA1"/>
    <w:rsid w:val="00B75EC4"/>
    <w:rsid w:val="00B75F18"/>
    <w:rsid w:val="00B75F77"/>
    <w:rsid w:val="00B7602C"/>
    <w:rsid w:val="00B7607F"/>
    <w:rsid w:val="00B7611F"/>
    <w:rsid w:val="00B76166"/>
    <w:rsid w:val="00B7619A"/>
    <w:rsid w:val="00B761C9"/>
    <w:rsid w:val="00B761FC"/>
    <w:rsid w:val="00B762AB"/>
    <w:rsid w:val="00B7637F"/>
    <w:rsid w:val="00B7638C"/>
    <w:rsid w:val="00B76406"/>
    <w:rsid w:val="00B7662A"/>
    <w:rsid w:val="00B76644"/>
    <w:rsid w:val="00B76677"/>
    <w:rsid w:val="00B766D5"/>
    <w:rsid w:val="00B76836"/>
    <w:rsid w:val="00B76998"/>
    <w:rsid w:val="00B76A37"/>
    <w:rsid w:val="00B76B79"/>
    <w:rsid w:val="00B76C49"/>
    <w:rsid w:val="00B76CC8"/>
    <w:rsid w:val="00B76D4E"/>
    <w:rsid w:val="00B76E08"/>
    <w:rsid w:val="00B76E14"/>
    <w:rsid w:val="00B76E51"/>
    <w:rsid w:val="00B76EB3"/>
    <w:rsid w:val="00B76EC3"/>
    <w:rsid w:val="00B76EE2"/>
    <w:rsid w:val="00B76EF4"/>
    <w:rsid w:val="00B76F90"/>
    <w:rsid w:val="00B76F94"/>
    <w:rsid w:val="00B76FB5"/>
    <w:rsid w:val="00B770F6"/>
    <w:rsid w:val="00B77155"/>
    <w:rsid w:val="00B7718F"/>
    <w:rsid w:val="00B77190"/>
    <w:rsid w:val="00B77208"/>
    <w:rsid w:val="00B773BF"/>
    <w:rsid w:val="00B774C9"/>
    <w:rsid w:val="00B774DB"/>
    <w:rsid w:val="00B77758"/>
    <w:rsid w:val="00B777E1"/>
    <w:rsid w:val="00B77843"/>
    <w:rsid w:val="00B77896"/>
    <w:rsid w:val="00B778A3"/>
    <w:rsid w:val="00B77B45"/>
    <w:rsid w:val="00B77BD9"/>
    <w:rsid w:val="00B77D90"/>
    <w:rsid w:val="00B77DE1"/>
    <w:rsid w:val="00B77E50"/>
    <w:rsid w:val="00B77E5A"/>
    <w:rsid w:val="00B77EB1"/>
    <w:rsid w:val="00B77EE4"/>
    <w:rsid w:val="00B77FBD"/>
    <w:rsid w:val="00B80091"/>
    <w:rsid w:val="00B80209"/>
    <w:rsid w:val="00B802F1"/>
    <w:rsid w:val="00B80311"/>
    <w:rsid w:val="00B803A9"/>
    <w:rsid w:val="00B80447"/>
    <w:rsid w:val="00B8048B"/>
    <w:rsid w:val="00B80492"/>
    <w:rsid w:val="00B805C1"/>
    <w:rsid w:val="00B80642"/>
    <w:rsid w:val="00B80645"/>
    <w:rsid w:val="00B80698"/>
    <w:rsid w:val="00B80764"/>
    <w:rsid w:val="00B807CD"/>
    <w:rsid w:val="00B8080B"/>
    <w:rsid w:val="00B8086E"/>
    <w:rsid w:val="00B80969"/>
    <w:rsid w:val="00B809D1"/>
    <w:rsid w:val="00B80A4A"/>
    <w:rsid w:val="00B80A66"/>
    <w:rsid w:val="00B80B05"/>
    <w:rsid w:val="00B80B79"/>
    <w:rsid w:val="00B80BBD"/>
    <w:rsid w:val="00B80CB7"/>
    <w:rsid w:val="00B80D05"/>
    <w:rsid w:val="00B80D9E"/>
    <w:rsid w:val="00B80DE7"/>
    <w:rsid w:val="00B80F16"/>
    <w:rsid w:val="00B80FD1"/>
    <w:rsid w:val="00B810B2"/>
    <w:rsid w:val="00B8122A"/>
    <w:rsid w:val="00B81268"/>
    <w:rsid w:val="00B81365"/>
    <w:rsid w:val="00B813D4"/>
    <w:rsid w:val="00B81460"/>
    <w:rsid w:val="00B8146C"/>
    <w:rsid w:val="00B814BC"/>
    <w:rsid w:val="00B8159C"/>
    <w:rsid w:val="00B816A5"/>
    <w:rsid w:val="00B8187E"/>
    <w:rsid w:val="00B818EC"/>
    <w:rsid w:val="00B81A62"/>
    <w:rsid w:val="00B81A9C"/>
    <w:rsid w:val="00B81B13"/>
    <w:rsid w:val="00B81C56"/>
    <w:rsid w:val="00B81C95"/>
    <w:rsid w:val="00B81DDE"/>
    <w:rsid w:val="00B81EAE"/>
    <w:rsid w:val="00B81EC9"/>
    <w:rsid w:val="00B81F09"/>
    <w:rsid w:val="00B81FD4"/>
    <w:rsid w:val="00B8212B"/>
    <w:rsid w:val="00B82175"/>
    <w:rsid w:val="00B8220C"/>
    <w:rsid w:val="00B8222A"/>
    <w:rsid w:val="00B82310"/>
    <w:rsid w:val="00B82330"/>
    <w:rsid w:val="00B8268B"/>
    <w:rsid w:val="00B8271C"/>
    <w:rsid w:val="00B8274C"/>
    <w:rsid w:val="00B82785"/>
    <w:rsid w:val="00B828C2"/>
    <w:rsid w:val="00B82B15"/>
    <w:rsid w:val="00B82BAF"/>
    <w:rsid w:val="00B82D08"/>
    <w:rsid w:val="00B82EF6"/>
    <w:rsid w:val="00B82F0B"/>
    <w:rsid w:val="00B82F8C"/>
    <w:rsid w:val="00B82FBC"/>
    <w:rsid w:val="00B83050"/>
    <w:rsid w:val="00B8309D"/>
    <w:rsid w:val="00B830A8"/>
    <w:rsid w:val="00B830F2"/>
    <w:rsid w:val="00B8310B"/>
    <w:rsid w:val="00B831E8"/>
    <w:rsid w:val="00B831EF"/>
    <w:rsid w:val="00B83228"/>
    <w:rsid w:val="00B8324B"/>
    <w:rsid w:val="00B834F9"/>
    <w:rsid w:val="00B83696"/>
    <w:rsid w:val="00B83744"/>
    <w:rsid w:val="00B8375A"/>
    <w:rsid w:val="00B837A8"/>
    <w:rsid w:val="00B83837"/>
    <w:rsid w:val="00B838E8"/>
    <w:rsid w:val="00B83932"/>
    <w:rsid w:val="00B83950"/>
    <w:rsid w:val="00B839C1"/>
    <w:rsid w:val="00B83A2A"/>
    <w:rsid w:val="00B83B8C"/>
    <w:rsid w:val="00B83BC0"/>
    <w:rsid w:val="00B83BFB"/>
    <w:rsid w:val="00B83C6A"/>
    <w:rsid w:val="00B83D70"/>
    <w:rsid w:val="00B83D8B"/>
    <w:rsid w:val="00B83DC7"/>
    <w:rsid w:val="00B83E1D"/>
    <w:rsid w:val="00B83F6F"/>
    <w:rsid w:val="00B83F8D"/>
    <w:rsid w:val="00B840EB"/>
    <w:rsid w:val="00B840ED"/>
    <w:rsid w:val="00B84129"/>
    <w:rsid w:val="00B841E7"/>
    <w:rsid w:val="00B84240"/>
    <w:rsid w:val="00B84372"/>
    <w:rsid w:val="00B84398"/>
    <w:rsid w:val="00B84462"/>
    <w:rsid w:val="00B84572"/>
    <w:rsid w:val="00B8465D"/>
    <w:rsid w:val="00B84661"/>
    <w:rsid w:val="00B84760"/>
    <w:rsid w:val="00B847DD"/>
    <w:rsid w:val="00B847F2"/>
    <w:rsid w:val="00B84BC6"/>
    <w:rsid w:val="00B84C3B"/>
    <w:rsid w:val="00B84CDD"/>
    <w:rsid w:val="00B84DD9"/>
    <w:rsid w:val="00B84E29"/>
    <w:rsid w:val="00B84EF0"/>
    <w:rsid w:val="00B84F73"/>
    <w:rsid w:val="00B85093"/>
    <w:rsid w:val="00B85095"/>
    <w:rsid w:val="00B85183"/>
    <w:rsid w:val="00B851A4"/>
    <w:rsid w:val="00B85200"/>
    <w:rsid w:val="00B85260"/>
    <w:rsid w:val="00B852F7"/>
    <w:rsid w:val="00B85402"/>
    <w:rsid w:val="00B8543F"/>
    <w:rsid w:val="00B854E0"/>
    <w:rsid w:val="00B855E8"/>
    <w:rsid w:val="00B85668"/>
    <w:rsid w:val="00B8590C"/>
    <w:rsid w:val="00B85958"/>
    <w:rsid w:val="00B8597F"/>
    <w:rsid w:val="00B85AC7"/>
    <w:rsid w:val="00B85C4B"/>
    <w:rsid w:val="00B85CBE"/>
    <w:rsid w:val="00B85D1F"/>
    <w:rsid w:val="00B85D72"/>
    <w:rsid w:val="00B85DD2"/>
    <w:rsid w:val="00B85E0E"/>
    <w:rsid w:val="00B85F8C"/>
    <w:rsid w:val="00B8605D"/>
    <w:rsid w:val="00B86068"/>
    <w:rsid w:val="00B861A7"/>
    <w:rsid w:val="00B86363"/>
    <w:rsid w:val="00B86425"/>
    <w:rsid w:val="00B865AA"/>
    <w:rsid w:val="00B8667F"/>
    <w:rsid w:val="00B866A9"/>
    <w:rsid w:val="00B8673C"/>
    <w:rsid w:val="00B8673F"/>
    <w:rsid w:val="00B869A2"/>
    <w:rsid w:val="00B869FE"/>
    <w:rsid w:val="00B86ACC"/>
    <w:rsid w:val="00B86BA9"/>
    <w:rsid w:val="00B86DCC"/>
    <w:rsid w:val="00B86DD5"/>
    <w:rsid w:val="00B86E6C"/>
    <w:rsid w:val="00B87195"/>
    <w:rsid w:val="00B871D8"/>
    <w:rsid w:val="00B87215"/>
    <w:rsid w:val="00B872B8"/>
    <w:rsid w:val="00B87611"/>
    <w:rsid w:val="00B8761E"/>
    <w:rsid w:val="00B877FA"/>
    <w:rsid w:val="00B87803"/>
    <w:rsid w:val="00B87805"/>
    <w:rsid w:val="00B87831"/>
    <w:rsid w:val="00B87877"/>
    <w:rsid w:val="00B878FD"/>
    <w:rsid w:val="00B8791B"/>
    <w:rsid w:val="00B87929"/>
    <w:rsid w:val="00B87988"/>
    <w:rsid w:val="00B87A4C"/>
    <w:rsid w:val="00B87BAB"/>
    <w:rsid w:val="00B87C28"/>
    <w:rsid w:val="00B87C9C"/>
    <w:rsid w:val="00B87DB3"/>
    <w:rsid w:val="00B87E16"/>
    <w:rsid w:val="00B87FA4"/>
    <w:rsid w:val="00B90025"/>
    <w:rsid w:val="00B900BE"/>
    <w:rsid w:val="00B900EB"/>
    <w:rsid w:val="00B9013B"/>
    <w:rsid w:val="00B90197"/>
    <w:rsid w:val="00B90259"/>
    <w:rsid w:val="00B90264"/>
    <w:rsid w:val="00B90304"/>
    <w:rsid w:val="00B9039C"/>
    <w:rsid w:val="00B90470"/>
    <w:rsid w:val="00B90471"/>
    <w:rsid w:val="00B90516"/>
    <w:rsid w:val="00B9054F"/>
    <w:rsid w:val="00B905E5"/>
    <w:rsid w:val="00B90613"/>
    <w:rsid w:val="00B90749"/>
    <w:rsid w:val="00B9086A"/>
    <w:rsid w:val="00B90919"/>
    <w:rsid w:val="00B909C3"/>
    <w:rsid w:val="00B909F5"/>
    <w:rsid w:val="00B90A42"/>
    <w:rsid w:val="00B90B39"/>
    <w:rsid w:val="00B90B91"/>
    <w:rsid w:val="00B90BB8"/>
    <w:rsid w:val="00B90E46"/>
    <w:rsid w:val="00B90E84"/>
    <w:rsid w:val="00B90FCA"/>
    <w:rsid w:val="00B91010"/>
    <w:rsid w:val="00B91182"/>
    <w:rsid w:val="00B911A6"/>
    <w:rsid w:val="00B91210"/>
    <w:rsid w:val="00B91211"/>
    <w:rsid w:val="00B91262"/>
    <w:rsid w:val="00B9134D"/>
    <w:rsid w:val="00B91459"/>
    <w:rsid w:val="00B914A6"/>
    <w:rsid w:val="00B91515"/>
    <w:rsid w:val="00B91595"/>
    <w:rsid w:val="00B916C3"/>
    <w:rsid w:val="00B91702"/>
    <w:rsid w:val="00B9172C"/>
    <w:rsid w:val="00B917B9"/>
    <w:rsid w:val="00B917D7"/>
    <w:rsid w:val="00B91814"/>
    <w:rsid w:val="00B9192D"/>
    <w:rsid w:val="00B919F4"/>
    <w:rsid w:val="00B91A24"/>
    <w:rsid w:val="00B91A71"/>
    <w:rsid w:val="00B91C2B"/>
    <w:rsid w:val="00B91C40"/>
    <w:rsid w:val="00B91C98"/>
    <w:rsid w:val="00B91E4C"/>
    <w:rsid w:val="00B91E5F"/>
    <w:rsid w:val="00B91E60"/>
    <w:rsid w:val="00B91FCB"/>
    <w:rsid w:val="00B92035"/>
    <w:rsid w:val="00B920BD"/>
    <w:rsid w:val="00B9213C"/>
    <w:rsid w:val="00B92253"/>
    <w:rsid w:val="00B922DE"/>
    <w:rsid w:val="00B92313"/>
    <w:rsid w:val="00B9239A"/>
    <w:rsid w:val="00B924A0"/>
    <w:rsid w:val="00B925A9"/>
    <w:rsid w:val="00B925B1"/>
    <w:rsid w:val="00B925CB"/>
    <w:rsid w:val="00B925CC"/>
    <w:rsid w:val="00B9270A"/>
    <w:rsid w:val="00B9275D"/>
    <w:rsid w:val="00B92765"/>
    <w:rsid w:val="00B928EE"/>
    <w:rsid w:val="00B928F0"/>
    <w:rsid w:val="00B92918"/>
    <w:rsid w:val="00B92B6D"/>
    <w:rsid w:val="00B92BDE"/>
    <w:rsid w:val="00B92BF3"/>
    <w:rsid w:val="00B92C6B"/>
    <w:rsid w:val="00B92D17"/>
    <w:rsid w:val="00B92D31"/>
    <w:rsid w:val="00B92E5B"/>
    <w:rsid w:val="00B92F48"/>
    <w:rsid w:val="00B92F5B"/>
    <w:rsid w:val="00B92FC2"/>
    <w:rsid w:val="00B9303D"/>
    <w:rsid w:val="00B9310D"/>
    <w:rsid w:val="00B93135"/>
    <w:rsid w:val="00B9318A"/>
    <w:rsid w:val="00B9318B"/>
    <w:rsid w:val="00B931F2"/>
    <w:rsid w:val="00B932C0"/>
    <w:rsid w:val="00B932C7"/>
    <w:rsid w:val="00B93481"/>
    <w:rsid w:val="00B934F6"/>
    <w:rsid w:val="00B9361B"/>
    <w:rsid w:val="00B93748"/>
    <w:rsid w:val="00B9374E"/>
    <w:rsid w:val="00B93765"/>
    <w:rsid w:val="00B938A8"/>
    <w:rsid w:val="00B93924"/>
    <w:rsid w:val="00B93976"/>
    <w:rsid w:val="00B939AA"/>
    <w:rsid w:val="00B93A7A"/>
    <w:rsid w:val="00B93B31"/>
    <w:rsid w:val="00B93B5E"/>
    <w:rsid w:val="00B93C8A"/>
    <w:rsid w:val="00B93F55"/>
    <w:rsid w:val="00B93FDE"/>
    <w:rsid w:val="00B94021"/>
    <w:rsid w:val="00B940E3"/>
    <w:rsid w:val="00B94185"/>
    <w:rsid w:val="00B941C1"/>
    <w:rsid w:val="00B94212"/>
    <w:rsid w:val="00B9433F"/>
    <w:rsid w:val="00B9434D"/>
    <w:rsid w:val="00B94352"/>
    <w:rsid w:val="00B943A7"/>
    <w:rsid w:val="00B943D9"/>
    <w:rsid w:val="00B9457A"/>
    <w:rsid w:val="00B9458C"/>
    <w:rsid w:val="00B94603"/>
    <w:rsid w:val="00B94654"/>
    <w:rsid w:val="00B9466A"/>
    <w:rsid w:val="00B9467A"/>
    <w:rsid w:val="00B946AF"/>
    <w:rsid w:val="00B946E3"/>
    <w:rsid w:val="00B94755"/>
    <w:rsid w:val="00B9484F"/>
    <w:rsid w:val="00B94992"/>
    <w:rsid w:val="00B94A03"/>
    <w:rsid w:val="00B94ACD"/>
    <w:rsid w:val="00B94AEC"/>
    <w:rsid w:val="00B94B84"/>
    <w:rsid w:val="00B94BFA"/>
    <w:rsid w:val="00B94CA2"/>
    <w:rsid w:val="00B94D59"/>
    <w:rsid w:val="00B94D62"/>
    <w:rsid w:val="00B94E4B"/>
    <w:rsid w:val="00B94E95"/>
    <w:rsid w:val="00B94F66"/>
    <w:rsid w:val="00B94FD2"/>
    <w:rsid w:val="00B94FE6"/>
    <w:rsid w:val="00B94FEE"/>
    <w:rsid w:val="00B9500A"/>
    <w:rsid w:val="00B950D2"/>
    <w:rsid w:val="00B9510C"/>
    <w:rsid w:val="00B95234"/>
    <w:rsid w:val="00B95268"/>
    <w:rsid w:val="00B95276"/>
    <w:rsid w:val="00B95321"/>
    <w:rsid w:val="00B95403"/>
    <w:rsid w:val="00B9572C"/>
    <w:rsid w:val="00B958AD"/>
    <w:rsid w:val="00B958BD"/>
    <w:rsid w:val="00B958E4"/>
    <w:rsid w:val="00B95C14"/>
    <w:rsid w:val="00B95D0D"/>
    <w:rsid w:val="00B95E3F"/>
    <w:rsid w:val="00B95F29"/>
    <w:rsid w:val="00B95FD4"/>
    <w:rsid w:val="00B95FE3"/>
    <w:rsid w:val="00B96019"/>
    <w:rsid w:val="00B96101"/>
    <w:rsid w:val="00B961C2"/>
    <w:rsid w:val="00B961EC"/>
    <w:rsid w:val="00B96277"/>
    <w:rsid w:val="00B96356"/>
    <w:rsid w:val="00B965BC"/>
    <w:rsid w:val="00B965F1"/>
    <w:rsid w:val="00B9668F"/>
    <w:rsid w:val="00B96AB2"/>
    <w:rsid w:val="00B96B7F"/>
    <w:rsid w:val="00B96C72"/>
    <w:rsid w:val="00B96D3F"/>
    <w:rsid w:val="00B96E03"/>
    <w:rsid w:val="00B96E1F"/>
    <w:rsid w:val="00B96E40"/>
    <w:rsid w:val="00B96E9D"/>
    <w:rsid w:val="00B96EAB"/>
    <w:rsid w:val="00B96F9E"/>
    <w:rsid w:val="00B96FD9"/>
    <w:rsid w:val="00B96FDE"/>
    <w:rsid w:val="00B971C3"/>
    <w:rsid w:val="00B9725E"/>
    <w:rsid w:val="00B9727C"/>
    <w:rsid w:val="00B9730E"/>
    <w:rsid w:val="00B97378"/>
    <w:rsid w:val="00B973A6"/>
    <w:rsid w:val="00B974DA"/>
    <w:rsid w:val="00B97579"/>
    <w:rsid w:val="00B9757A"/>
    <w:rsid w:val="00B975DA"/>
    <w:rsid w:val="00B976ED"/>
    <w:rsid w:val="00B97811"/>
    <w:rsid w:val="00B978FB"/>
    <w:rsid w:val="00B97936"/>
    <w:rsid w:val="00B97B40"/>
    <w:rsid w:val="00B97B67"/>
    <w:rsid w:val="00B97D45"/>
    <w:rsid w:val="00B97EA0"/>
    <w:rsid w:val="00B97EDC"/>
    <w:rsid w:val="00BA0015"/>
    <w:rsid w:val="00BA0061"/>
    <w:rsid w:val="00BA008D"/>
    <w:rsid w:val="00BA01D4"/>
    <w:rsid w:val="00BA020F"/>
    <w:rsid w:val="00BA02BA"/>
    <w:rsid w:val="00BA02DE"/>
    <w:rsid w:val="00BA0336"/>
    <w:rsid w:val="00BA033E"/>
    <w:rsid w:val="00BA056E"/>
    <w:rsid w:val="00BA0676"/>
    <w:rsid w:val="00BA071C"/>
    <w:rsid w:val="00BA096F"/>
    <w:rsid w:val="00BA0992"/>
    <w:rsid w:val="00BA0B04"/>
    <w:rsid w:val="00BA0B87"/>
    <w:rsid w:val="00BA0C3B"/>
    <w:rsid w:val="00BA0E25"/>
    <w:rsid w:val="00BA0E30"/>
    <w:rsid w:val="00BA0E63"/>
    <w:rsid w:val="00BA0EC8"/>
    <w:rsid w:val="00BA0F99"/>
    <w:rsid w:val="00BA0FA2"/>
    <w:rsid w:val="00BA0FAA"/>
    <w:rsid w:val="00BA1030"/>
    <w:rsid w:val="00BA1035"/>
    <w:rsid w:val="00BA1038"/>
    <w:rsid w:val="00BA114C"/>
    <w:rsid w:val="00BA121D"/>
    <w:rsid w:val="00BA1273"/>
    <w:rsid w:val="00BA12D7"/>
    <w:rsid w:val="00BA144C"/>
    <w:rsid w:val="00BA1476"/>
    <w:rsid w:val="00BA1494"/>
    <w:rsid w:val="00BA14A6"/>
    <w:rsid w:val="00BA1527"/>
    <w:rsid w:val="00BA15F5"/>
    <w:rsid w:val="00BA1687"/>
    <w:rsid w:val="00BA16AA"/>
    <w:rsid w:val="00BA1761"/>
    <w:rsid w:val="00BA1769"/>
    <w:rsid w:val="00BA1783"/>
    <w:rsid w:val="00BA1864"/>
    <w:rsid w:val="00BA189C"/>
    <w:rsid w:val="00BA192F"/>
    <w:rsid w:val="00BA1A35"/>
    <w:rsid w:val="00BA1A3F"/>
    <w:rsid w:val="00BA1A46"/>
    <w:rsid w:val="00BA1AE5"/>
    <w:rsid w:val="00BA1B78"/>
    <w:rsid w:val="00BA1C2E"/>
    <w:rsid w:val="00BA1D22"/>
    <w:rsid w:val="00BA1D45"/>
    <w:rsid w:val="00BA1DCC"/>
    <w:rsid w:val="00BA1DE6"/>
    <w:rsid w:val="00BA1DED"/>
    <w:rsid w:val="00BA1E0A"/>
    <w:rsid w:val="00BA1F35"/>
    <w:rsid w:val="00BA1F45"/>
    <w:rsid w:val="00BA20B1"/>
    <w:rsid w:val="00BA21DC"/>
    <w:rsid w:val="00BA21FC"/>
    <w:rsid w:val="00BA2236"/>
    <w:rsid w:val="00BA22A8"/>
    <w:rsid w:val="00BA23A8"/>
    <w:rsid w:val="00BA2569"/>
    <w:rsid w:val="00BA27E6"/>
    <w:rsid w:val="00BA2862"/>
    <w:rsid w:val="00BA28EE"/>
    <w:rsid w:val="00BA29A2"/>
    <w:rsid w:val="00BA29D6"/>
    <w:rsid w:val="00BA2A1A"/>
    <w:rsid w:val="00BA2A6D"/>
    <w:rsid w:val="00BA2A88"/>
    <w:rsid w:val="00BA2B5D"/>
    <w:rsid w:val="00BA2C8A"/>
    <w:rsid w:val="00BA2EEB"/>
    <w:rsid w:val="00BA2F14"/>
    <w:rsid w:val="00BA2F73"/>
    <w:rsid w:val="00BA30F1"/>
    <w:rsid w:val="00BA30F4"/>
    <w:rsid w:val="00BA31EA"/>
    <w:rsid w:val="00BA3207"/>
    <w:rsid w:val="00BA3225"/>
    <w:rsid w:val="00BA3333"/>
    <w:rsid w:val="00BA3375"/>
    <w:rsid w:val="00BA33AD"/>
    <w:rsid w:val="00BA3415"/>
    <w:rsid w:val="00BA3709"/>
    <w:rsid w:val="00BA37BD"/>
    <w:rsid w:val="00BA38A4"/>
    <w:rsid w:val="00BA38A6"/>
    <w:rsid w:val="00BA3976"/>
    <w:rsid w:val="00BA3A0F"/>
    <w:rsid w:val="00BA3A5D"/>
    <w:rsid w:val="00BA3C1D"/>
    <w:rsid w:val="00BA3C78"/>
    <w:rsid w:val="00BA3CAC"/>
    <w:rsid w:val="00BA3DD8"/>
    <w:rsid w:val="00BA3FDD"/>
    <w:rsid w:val="00BA40E4"/>
    <w:rsid w:val="00BA4190"/>
    <w:rsid w:val="00BA41FC"/>
    <w:rsid w:val="00BA4375"/>
    <w:rsid w:val="00BA4392"/>
    <w:rsid w:val="00BA4495"/>
    <w:rsid w:val="00BA44E3"/>
    <w:rsid w:val="00BA4504"/>
    <w:rsid w:val="00BA466B"/>
    <w:rsid w:val="00BA477B"/>
    <w:rsid w:val="00BA47BD"/>
    <w:rsid w:val="00BA47ED"/>
    <w:rsid w:val="00BA484C"/>
    <w:rsid w:val="00BA492D"/>
    <w:rsid w:val="00BA496A"/>
    <w:rsid w:val="00BA496F"/>
    <w:rsid w:val="00BA49FF"/>
    <w:rsid w:val="00BA4AFD"/>
    <w:rsid w:val="00BA4B1E"/>
    <w:rsid w:val="00BA4CBF"/>
    <w:rsid w:val="00BA4DB2"/>
    <w:rsid w:val="00BA4DC7"/>
    <w:rsid w:val="00BA4E0D"/>
    <w:rsid w:val="00BA4EBD"/>
    <w:rsid w:val="00BA4F3F"/>
    <w:rsid w:val="00BA4F71"/>
    <w:rsid w:val="00BA4F74"/>
    <w:rsid w:val="00BA503D"/>
    <w:rsid w:val="00BA516E"/>
    <w:rsid w:val="00BA5245"/>
    <w:rsid w:val="00BA5290"/>
    <w:rsid w:val="00BA52AB"/>
    <w:rsid w:val="00BA52CF"/>
    <w:rsid w:val="00BA52D9"/>
    <w:rsid w:val="00BA54A9"/>
    <w:rsid w:val="00BA54B9"/>
    <w:rsid w:val="00BA55EB"/>
    <w:rsid w:val="00BA565B"/>
    <w:rsid w:val="00BA5664"/>
    <w:rsid w:val="00BA57CA"/>
    <w:rsid w:val="00BA58F1"/>
    <w:rsid w:val="00BA5AA5"/>
    <w:rsid w:val="00BA5AE0"/>
    <w:rsid w:val="00BA5B6F"/>
    <w:rsid w:val="00BA5C38"/>
    <w:rsid w:val="00BA5C5C"/>
    <w:rsid w:val="00BA5D2C"/>
    <w:rsid w:val="00BA5D2E"/>
    <w:rsid w:val="00BA5EAD"/>
    <w:rsid w:val="00BA5F9F"/>
    <w:rsid w:val="00BA605C"/>
    <w:rsid w:val="00BA60AA"/>
    <w:rsid w:val="00BA60E2"/>
    <w:rsid w:val="00BA615F"/>
    <w:rsid w:val="00BA61C8"/>
    <w:rsid w:val="00BA62D0"/>
    <w:rsid w:val="00BA62DD"/>
    <w:rsid w:val="00BA63B4"/>
    <w:rsid w:val="00BA6626"/>
    <w:rsid w:val="00BA662B"/>
    <w:rsid w:val="00BA6634"/>
    <w:rsid w:val="00BA690D"/>
    <w:rsid w:val="00BA69A9"/>
    <w:rsid w:val="00BA6AFE"/>
    <w:rsid w:val="00BA6BB6"/>
    <w:rsid w:val="00BA6BE2"/>
    <w:rsid w:val="00BA6CD6"/>
    <w:rsid w:val="00BA6DD4"/>
    <w:rsid w:val="00BA6E52"/>
    <w:rsid w:val="00BA6F0B"/>
    <w:rsid w:val="00BA6F79"/>
    <w:rsid w:val="00BA708F"/>
    <w:rsid w:val="00BA70E8"/>
    <w:rsid w:val="00BA71AC"/>
    <w:rsid w:val="00BA73AB"/>
    <w:rsid w:val="00BA74E7"/>
    <w:rsid w:val="00BA7587"/>
    <w:rsid w:val="00BA75EF"/>
    <w:rsid w:val="00BA7615"/>
    <w:rsid w:val="00BA762D"/>
    <w:rsid w:val="00BA7698"/>
    <w:rsid w:val="00BA7762"/>
    <w:rsid w:val="00BA77A6"/>
    <w:rsid w:val="00BA77AA"/>
    <w:rsid w:val="00BA7A40"/>
    <w:rsid w:val="00BA7C4C"/>
    <w:rsid w:val="00BA7D42"/>
    <w:rsid w:val="00BA7D73"/>
    <w:rsid w:val="00BA7D77"/>
    <w:rsid w:val="00BA7D80"/>
    <w:rsid w:val="00BA7DC3"/>
    <w:rsid w:val="00BA7DC6"/>
    <w:rsid w:val="00BA7EF8"/>
    <w:rsid w:val="00BA7F3C"/>
    <w:rsid w:val="00BB005C"/>
    <w:rsid w:val="00BB013E"/>
    <w:rsid w:val="00BB01FF"/>
    <w:rsid w:val="00BB0280"/>
    <w:rsid w:val="00BB0286"/>
    <w:rsid w:val="00BB02B8"/>
    <w:rsid w:val="00BB02DA"/>
    <w:rsid w:val="00BB032C"/>
    <w:rsid w:val="00BB03B4"/>
    <w:rsid w:val="00BB03B9"/>
    <w:rsid w:val="00BB03D0"/>
    <w:rsid w:val="00BB03E6"/>
    <w:rsid w:val="00BB03EF"/>
    <w:rsid w:val="00BB0415"/>
    <w:rsid w:val="00BB0422"/>
    <w:rsid w:val="00BB05B7"/>
    <w:rsid w:val="00BB0735"/>
    <w:rsid w:val="00BB07A2"/>
    <w:rsid w:val="00BB07B6"/>
    <w:rsid w:val="00BB0851"/>
    <w:rsid w:val="00BB0892"/>
    <w:rsid w:val="00BB0893"/>
    <w:rsid w:val="00BB08E4"/>
    <w:rsid w:val="00BB0AA0"/>
    <w:rsid w:val="00BB0AED"/>
    <w:rsid w:val="00BB0C4E"/>
    <w:rsid w:val="00BB0D1A"/>
    <w:rsid w:val="00BB0D92"/>
    <w:rsid w:val="00BB0F04"/>
    <w:rsid w:val="00BB0F1B"/>
    <w:rsid w:val="00BB0F36"/>
    <w:rsid w:val="00BB10C5"/>
    <w:rsid w:val="00BB11C5"/>
    <w:rsid w:val="00BB126A"/>
    <w:rsid w:val="00BB12A5"/>
    <w:rsid w:val="00BB130D"/>
    <w:rsid w:val="00BB1358"/>
    <w:rsid w:val="00BB14B7"/>
    <w:rsid w:val="00BB1706"/>
    <w:rsid w:val="00BB17E5"/>
    <w:rsid w:val="00BB1854"/>
    <w:rsid w:val="00BB18D7"/>
    <w:rsid w:val="00BB196B"/>
    <w:rsid w:val="00BB1A3D"/>
    <w:rsid w:val="00BB1AAC"/>
    <w:rsid w:val="00BB1B15"/>
    <w:rsid w:val="00BB1B9F"/>
    <w:rsid w:val="00BB1C1A"/>
    <w:rsid w:val="00BB1C6F"/>
    <w:rsid w:val="00BB1CB4"/>
    <w:rsid w:val="00BB1CEF"/>
    <w:rsid w:val="00BB1D60"/>
    <w:rsid w:val="00BB1F08"/>
    <w:rsid w:val="00BB1F74"/>
    <w:rsid w:val="00BB1F82"/>
    <w:rsid w:val="00BB2003"/>
    <w:rsid w:val="00BB2192"/>
    <w:rsid w:val="00BB22E6"/>
    <w:rsid w:val="00BB2302"/>
    <w:rsid w:val="00BB23AA"/>
    <w:rsid w:val="00BB23F0"/>
    <w:rsid w:val="00BB2533"/>
    <w:rsid w:val="00BB2665"/>
    <w:rsid w:val="00BB26CB"/>
    <w:rsid w:val="00BB26FD"/>
    <w:rsid w:val="00BB2728"/>
    <w:rsid w:val="00BB2780"/>
    <w:rsid w:val="00BB27C3"/>
    <w:rsid w:val="00BB27C7"/>
    <w:rsid w:val="00BB28E7"/>
    <w:rsid w:val="00BB2905"/>
    <w:rsid w:val="00BB2A3A"/>
    <w:rsid w:val="00BB2CA7"/>
    <w:rsid w:val="00BB2D9F"/>
    <w:rsid w:val="00BB2DC1"/>
    <w:rsid w:val="00BB2F99"/>
    <w:rsid w:val="00BB2F9D"/>
    <w:rsid w:val="00BB3017"/>
    <w:rsid w:val="00BB3025"/>
    <w:rsid w:val="00BB3034"/>
    <w:rsid w:val="00BB3049"/>
    <w:rsid w:val="00BB324A"/>
    <w:rsid w:val="00BB3460"/>
    <w:rsid w:val="00BB361C"/>
    <w:rsid w:val="00BB379B"/>
    <w:rsid w:val="00BB3904"/>
    <w:rsid w:val="00BB3944"/>
    <w:rsid w:val="00BB3ABC"/>
    <w:rsid w:val="00BB3AC5"/>
    <w:rsid w:val="00BB3B0C"/>
    <w:rsid w:val="00BB3B1A"/>
    <w:rsid w:val="00BB3B23"/>
    <w:rsid w:val="00BB3BB0"/>
    <w:rsid w:val="00BB3BBA"/>
    <w:rsid w:val="00BB3BFE"/>
    <w:rsid w:val="00BB3C05"/>
    <w:rsid w:val="00BB3C87"/>
    <w:rsid w:val="00BB3DA8"/>
    <w:rsid w:val="00BB3E2E"/>
    <w:rsid w:val="00BB3E71"/>
    <w:rsid w:val="00BB3EC3"/>
    <w:rsid w:val="00BB3FB8"/>
    <w:rsid w:val="00BB3FFD"/>
    <w:rsid w:val="00BB4012"/>
    <w:rsid w:val="00BB4037"/>
    <w:rsid w:val="00BB4095"/>
    <w:rsid w:val="00BB4156"/>
    <w:rsid w:val="00BB41AB"/>
    <w:rsid w:val="00BB41F9"/>
    <w:rsid w:val="00BB4218"/>
    <w:rsid w:val="00BB42C7"/>
    <w:rsid w:val="00BB439D"/>
    <w:rsid w:val="00BB43AC"/>
    <w:rsid w:val="00BB4428"/>
    <w:rsid w:val="00BB4443"/>
    <w:rsid w:val="00BB44D0"/>
    <w:rsid w:val="00BB45A5"/>
    <w:rsid w:val="00BB4635"/>
    <w:rsid w:val="00BB4644"/>
    <w:rsid w:val="00BB467B"/>
    <w:rsid w:val="00BB4850"/>
    <w:rsid w:val="00BB487E"/>
    <w:rsid w:val="00BB4923"/>
    <w:rsid w:val="00BB493F"/>
    <w:rsid w:val="00BB4970"/>
    <w:rsid w:val="00BB497F"/>
    <w:rsid w:val="00BB4BDC"/>
    <w:rsid w:val="00BB4C21"/>
    <w:rsid w:val="00BB4C3F"/>
    <w:rsid w:val="00BB4C84"/>
    <w:rsid w:val="00BB4DD7"/>
    <w:rsid w:val="00BB4DF8"/>
    <w:rsid w:val="00BB50A7"/>
    <w:rsid w:val="00BB50C3"/>
    <w:rsid w:val="00BB5147"/>
    <w:rsid w:val="00BB51CC"/>
    <w:rsid w:val="00BB52B5"/>
    <w:rsid w:val="00BB5352"/>
    <w:rsid w:val="00BB54BA"/>
    <w:rsid w:val="00BB552C"/>
    <w:rsid w:val="00BB556B"/>
    <w:rsid w:val="00BB55B2"/>
    <w:rsid w:val="00BB5666"/>
    <w:rsid w:val="00BB5945"/>
    <w:rsid w:val="00BB59E7"/>
    <w:rsid w:val="00BB5A92"/>
    <w:rsid w:val="00BB5C7E"/>
    <w:rsid w:val="00BB5D79"/>
    <w:rsid w:val="00BB5DDE"/>
    <w:rsid w:val="00BB5E22"/>
    <w:rsid w:val="00BB5FEE"/>
    <w:rsid w:val="00BB5FF6"/>
    <w:rsid w:val="00BB625E"/>
    <w:rsid w:val="00BB6310"/>
    <w:rsid w:val="00BB6329"/>
    <w:rsid w:val="00BB638E"/>
    <w:rsid w:val="00BB6434"/>
    <w:rsid w:val="00BB666A"/>
    <w:rsid w:val="00BB66A1"/>
    <w:rsid w:val="00BB67E3"/>
    <w:rsid w:val="00BB6816"/>
    <w:rsid w:val="00BB6A0C"/>
    <w:rsid w:val="00BB6A2A"/>
    <w:rsid w:val="00BB6B49"/>
    <w:rsid w:val="00BB6B98"/>
    <w:rsid w:val="00BB6C00"/>
    <w:rsid w:val="00BB6CBD"/>
    <w:rsid w:val="00BB6D32"/>
    <w:rsid w:val="00BB6F8C"/>
    <w:rsid w:val="00BB7097"/>
    <w:rsid w:val="00BB70FD"/>
    <w:rsid w:val="00BB7181"/>
    <w:rsid w:val="00BB719C"/>
    <w:rsid w:val="00BB72A3"/>
    <w:rsid w:val="00BB72E4"/>
    <w:rsid w:val="00BB7379"/>
    <w:rsid w:val="00BB7422"/>
    <w:rsid w:val="00BB7479"/>
    <w:rsid w:val="00BB75CE"/>
    <w:rsid w:val="00BB7688"/>
    <w:rsid w:val="00BB76CE"/>
    <w:rsid w:val="00BB776F"/>
    <w:rsid w:val="00BB77E0"/>
    <w:rsid w:val="00BB7868"/>
    <w:rsid w:val="00BB7A6D"/>
    <w:rsid w:val="00BB7C1E"/>
    <w:rsid w:val="00BB7C44"/>
    <w:rsid w:val="00BB7D1A"/>
    <w:rsid w:val="00BB7DF1"/>
    <w:rsid w:val="00BB7E90"/>
    <w:rsid w:val="00BB7F01"/>
    <w:rsid w:val="00BB7FB8"/>
    <w:rsid w:val="00BC017A"/>
    <w:rsid w:val="00BC0197"/>
    <w:rsid w:val="00BC0243"/>
    <w:rsid w:val="00BC02AE"/>
    <w:rsid w:val="00BC0331"/>
    <w:rsid w:val="00BC0417"/>
    <w:rsid w:val="00BC0452"/>
    <w:rsid w:val="00BC049F"/>
    <w:rsid w:val="00BC0552"/>
    <w:rsid w:val="00BC069B"/>
    <w:rsid w:val="00BC0733"/>
    <w:rsid w:val="00BC0901"/>
    <w:rsid w:val="00BC094C"/>
    <w:rsid w:val="00BC09E2"/>
    <w:rsid w:val="00BC0A1F"/>
    <w:rsid w:val="00BC0A23"/>
    <w:rsid w:val="00BC0A3B"/>
    <w:rsid w:val="00BC0A90"/>
    <w:rsid w:val="00BC0B36"/>
    <w:rsid w:val="00BC0C14"/>
    <w:rsid w:val="00BC0C23"/>
    <w:rsid w:val="00BC0C2B"/>
    <w:rsid w:val="00BC0C68"/>
    <w:rsid w:val="00BC0CD1"/>
    <w:rsid w:val="00BC0D30"/>
    <w:rsid w:val="00BC0DFD"/>
    <w:rsid w:val="00BC0EC1"/>
    <w:rsid w:val="00BC0F1B"/>
    <w:rsid w:val="00BC0F24"/>
    <w:rsid w:val="00BC107D"/>
    <w:rsid w:val="00BC10AA"/>
    <w:rsid w:val="00BC1149"/>
    <w:rsid w:val="00BC11B1"/>
    <w:rsid w:val="00BC11EE"/>
    <w:rsid w:val="00BC11EF"/>
    <w:rsid w:val="00BC127A"/>
    <w:rsid w:val="00BC1280"/>
    <w:rsid w:val="00BC135F"/>
    <w:rsid w:val="00BC13F9"/>
    <w:rsid w:val="00BC1411"/>
    <w:rsid w:val="00BC144E"/>
    <w:rsid w:val="00BC14AF"/>
    <w:rsid w:val="00BC152D"/>
    <w:rsid w:val="00BC15C0"/>
    <w:rsid w:val="00BC16F8"/>
    <w:rsid w:val="00BC17A1"/>
    <w:rsid w:val="00BC19C1"/>
    <w:rsid w:val="00BC1A17"/>
    <w:rsid w:val="00BC1A6B"/>
    <w:rsid w:val="00BC1AD8"/>
    <w:rsid w:val="00BC1B0D"/>
    <w:rsid w:val="00BC1B2B"/>
    <w:rsid w:val="00BC1B54"/>
    <w:rsid w:val="00BC1B9C"/>
    <w:rsid w:val="00BC1BC1"/>
    <w:rsid w:val="00BC1BE8"/>
    <w:rsid w:val="00BC1BFA"/>
    <w:rsid w:val="00BC1D08"/>
    <w:rsid w:val="00BC1DAD"/>
    <w:rsid w:val="00BC1F48"/>
    <w:rsid w:val="00BC1F6D"/>
    <w:rsid w:val="00BC204F"/>
    <w:rsid w:val="00BC212E"/>
    <w:rsid w:val="00BC223F"/>
    <w:rsid w:val="00BC227B"/>
    <w:rsid w:val="00BC2381"/>
    <w:rsid w:val="00BC23A7"/>
    <w:rsid w:val="00BC23C2"/>
    <w:rsid w:val="00BC23D5"/>
    <w:rsid w:val="00BC2515"/>
    <w:rsid w:val="00BC2527"/>
    <w:rsid w:val="00BC2580"/>
    <w:rsid w:val="00BC25D6"/>
    <w:rsid w:val="00BC2694"/>
    <w:rsid w:val="00BC269B"/>
    <w:rsid w:val="00BC26BF"/>
    <w:rsid w:val="00BC276E"/>
    <w:rsid w:val="00BC27C0"/>
    <w:rsid w:val="00BC28CD"/>
    <w:rsid w:val="00BC2939"/>
    <w:rsid w:val="00BC2973"/>
    <w:rsid w:val="00BC29B7"/>
    <w:rsid w:val="00BC29CF"/>
    <w:rsid w:val="00BC2A29"/>
    <w:rsid w:val="00BC2C7C"/>
    <w:rsid w:val="00BC2CAC"/>
    <w:rsid w:val="00BC2DBA"/>
    <w:rsid w:val="00BC2DD1"/>
    <w:rsid w:val="00BC2E39"/>
    <w:rsid w:val="00BC2E57"/>
    <w:rsid w:val="00BC2E86"/>
    <w:rsid w:val="00BC2FAE"/>
    <w:rsid w:val="00BC30F9"/>
    <w:rsid w:val="00BC316C"/>
    <w:rsid w:val="00BC3209"/>
    <w:rsid w:val="00BC33D4"/>
    <w:rsid w:val="00BC3512"/>
    <w:rsid w:val="00BC3558"/>
    <w:rsid w:val="00BC355C"/>
    <w:rsid w:val="00BC35D8"/>
    <w:rsid w:val="00BC3699"/>
    <w:rsid w:val="00BC37E4"/>
    <w:rsid w:val="00BC3813"/>
    <w:rsid w:val="00BC3882"/>
    <w:rsid w:val="00BC38E7"/>
    <w:rsid w:val="00BC38E9"/>
    <w:rsid w:val="00BC390D"/>
    <w:rsid w:val="00BC398A"/>
    <w:rsid w:val="00BC39BA"/>
    <w:rsid w:val="00BC3ACB"/>
    <w:rsid w:val="00BC3D0C"/>
    <w:rsid w:val="00BC3D6A"/>
    <w:rsid w:val="00BC3D75"/>
    <w:rsid w:val="00BC3E1B"/>
    <w:rsid w:val="00BC3EBD"/>
    <w:rsid w:val="00BC3F48"/>
    <w:rsid w:val="00BC4114"/>
    <w:rsid w:val="00BC41B4"/>
    <w:rsid w:val="00BC4204"/>
    <w:rsid w:val="00BC427A"/>
    <w:rsid w:val="00BC42C5"/>
    <w:rsid w:val="00BC43A9"/>
    <w:rsid w:val="00BC442E"/>
    <w:rsid w:val="00BC445E"/>
    <w:rsid w:val="00BC44D5"/>
    <w:rsid w:val="00BC4576"/>
    <w:rsid w:val="00BC45A8"/>
    <w:rsid w:val="00BC45D5"/>
    <w:rsid w:val="00BC465F"/>
    <w:rsid w:val="00BC4767"/>
    <w:rsid w:val="00BC47AC"/>
    <w:rsid w:val="00BC4813"/>
    <w:rsid w:val="00BC486B"/>
    <w:rsid w:val="00BC48AB"/>
    <w:rsid w:val="00BC49AC"/>
    <w:rsid w:val="00BC4B3F"/>
    <w:rsid w:val="00BC4DE0"/>
    <w:rsid w:val="00BC4DED"/>
    <w:rsid w:val="00BC4E9B"/>
    <w:rsid w:val="00BC4F2B"/>
    <w:rsid w:val="00BC4FF1"/>
    <w:rsid w:val="00BC5018"/>
    <w:rsid w:val="00BC5048"/>
    <w:rsid w:val="00BC509A"/>
    <w:rsid w:val="00BC50A2"/>
    <w:rsid w:val="00BC50D7"/>
    <w:rsid w:val="00BC522F"/>
    <w:rsid w:val="00BC5277"/>
    <w:rsid w:val="00BC53B2"/>
    <w:rsid w:val="00BC5454"/>
    <w:rsid w:val="00BC554F"/>
    <w:rsid w:val="00BC560E"/>
    <w:rsid w:val="00BC561F"/>
    <w:rsid w:val="00BC5734"/>
    <w:rsid w:val="00BC5869"/>
    <w:rsid w:val="00BC5928"/>
    <w:rsid w:val="00BC59B3"/>
    <w:rsid w:val="00BC59F5"/>
    <w:rsid w:val="00BC5A77"/>
    <w:rsid w:val="00BC5AE7"/>
    <w:rsid w:val="00BC5BA4"/>
    <w:rsid w:val="00BC5C10"/>
    <w:rsid w:val="00BC5C33"/>
    <w:rsid w:val="00BC5CDD"/>
    <w:rsid w:val="00BC5D59"/>
    <w:rsid w:val="00BC5EDE"/>
    <w:rsid w:val="00BC5EF3"/>
    <w:rsid w:val="00BC5F16"/>
    <w:rsid w:val="00BC605C"/>
    <w:rsid w:val="00BC60CA"/>
    <w:rsid w:val="00BC6291"/>
    <w:rsid w:val="00BC63B1"/>
    <w:rsid w:val="00BC63F9"/>
    <w:rsid w:val="00BC642C"/>
    <w:rsid w:val="00BC64AF"/>
    <w:rsid w:val="00BC651A"/>
    <w:rsid w:val="00BC6520"/>
    <w:rsid w:val="00BC6587"/>
    <w:rsid w:val="00BC65F4"/>
    <w:rsid w:val="00BC6864"/>
    <w:rsid w:val="00BC696E"/>
    <w:rsid w:val="00BC6985"/>
    <w:rsid w:val="00BC69D6"/>
    <w:rsid w:val="00BC69F3"/>
    <w:rsid w:val="00BC6A20"/>
    <w:rsid w:val="00BC6ABE"/>
    <w:rsid w:val="00BC6B56"/>
    <w:rsid w:val="00BC6B6F"/>
    <w:rsid w:val="00BC6CC2"/>
    <w:rsid w:val="00BC6D38"/>
    <w:rsid w:val="00BC6D57"/>
    <w:rsid w:val="00BC6D5A"/>
    <w:rsid w:val="00BC6DD4"/>
    <w:rsid w:val="00BC6E01"/>
    <w:rsid w:val="00BC6EB8"/>
    <w:rsid w:val="00BC6F72"/>
    <w:rsid w:val="00BC6F8D"/>
    <w:rsid w:val="00BC701B"/>
    <w:rsid w:val="00BC7054"/>
    <w:rsid w:val="00BC7091"/>
    <w:rsid w:val="00BC70EF"/>
    <w:rsid w:val="00BC71CB"/>
    <w:rsid w:val="00BC71E8"/>
    <w:rsid w:val="00BC72B9"/>
    <w:rsid w:val="00BC72C9"/>
    <w:rsid w:val="00BC731B"/>
    <w:rsid w:val="00BC73C4"/>
    <w:rsid w:val="00BC73F2"/>
    <w:rsid w:val="00BC7424"/>
    <w:rsid w:val="00BC748C"/>
    <w:rsid w:val="00BC75C3"/>
    <w:rsid w:val="00BC75CE"/>
    <w:rsid w:val="00BC75D3"/>
    <w:rsid w:val="00BC7636"/>
    <w:rsid w:val="00BC772A"/>
    <w:rsid w:val="00BC773E"/>
    <w:rsid w:val="00BC7768"/>
    <w:rsid w:val="00BC77BB"/>
    <w:rsid w:val="00BC77D2"/>
    <w:rsid w:val="00BC7817"/>
    <w:rsid w:val="00BC782C"/>
    <w:rsid w:val="00BC794A"/>
    <w:rsid w:val="00BC7982"/>
    <w:rsid w:val="00BC7ABA"/>
    <w:rsid w:val="00BC7B37"/>
    <w:rsid w:val="00BC7B98"/>
    <w:rsid w:val="00BC7D03"/>
    <w:rsid w:val="00BC7D2F"/>
    <w:rsid w:val="00BC7EBE"/>
    <w:rsid w:val="00BC7EE9"/>
    <w:rsid w:val="00BC7F42"/>
    <w:rsid w:val="00BC7F74"/>
    <w:rsid w:val="00BC7F7B"/>
    <w:rsid w:val="00BC7FC8"/>
    <w:rsid w:val="00BD003C"/>
    <w:rsid w:val="00BD0047"/>
    <w:rsid w:val="00BD00CB"/>
    <w:rsid w:val="00BD0137"/>
    <w:rsid w:val="00BD0216"/>
    <w:rsid w:val="00BD02A2"/>
    <w:rsid w:val="00BD04C3"/>
    <w:rsid w:val="00BD04E1"/>
    <w:rsid w:val="00BD06E5"/>
    <w:rsid w:val="00BD078E"/>
    <w:rsid w:val="00BD07D6"/>
    <w:rsid w:val="00BD08A0"/>
    <w:rsid w:val="00BD08FC"/>
    <w:rsid w:val="00BD0AF0"/>
    <w:rsid w:val="00BD0CC9"/>
    <w:rsid w:val="00BD0D2E"/>
    <w:rsid w:val="00BD0F6A"/>
    <w:rsid w:val="00BD0FBB"/>
    <w:rsid w:val="00BD0FE7"/>
    <w:rsid w:val="00BD1028"/>
    <w:rsid w:val="00BD1103"/>
    <w:rsid w:val="00BD11E5"/>
    <w:rsid w:val="00BD1255"/>
    <w:rsid w:val="00BD12D4"/>
    <w:rsid w:val="00BD13D3"/>
    <w:rsid w:val="00BD13FC"/>
    <w:rsid w:val="00BD1493"/>
    <w:rsid w:val="00BD14B7"/>
    <w:rsid w:val="00BD1586"/>
    <w:rsid w:val="00BD1780"/>
    <w:rsid w:val="00BD18C3"/>
    <w:rsid w:val="00BD1A32"/>
    <w:rsid w:val="00BD1A84"/>
    <w:rsid w:val="00BD1AA7"/>
    <w:rsid w:val="00BD1ABA"/>
    <w:rsid w:val="00BD1C01"/>
    <w:rsid w:val="00BD1C56"/>
    <w:rsid w:val="00BD1D0D"/>
    <w:rsid w:val="00BD1D22"/>
    <w:rsid w:val="00BD1D4C"/>
    <w:rsid w:val="00BD1D79"/>
    <w:rsid w:val="00BD1DB7"/>
    <w:rsid w:val="00BD1DF9"/>
    <w:rsid w:val="00BD1F6D"/>
    <w:rsid w:val="00BD2192"/>
    <w:rsid w:val="00BD21E2"/>
    <w:rsid w:val="00BD22CD"/>
    <w:rsid w:val="00BD23AE"/>
    <w:rsid w:val="00BD2576"/>
    <w:rsid w:val="00BD25A9"/>
    <w:rsid w:val="00BD25AA"/>
    <w:rsid w:val="00BD270A"/>
    <w:rsid w:val="00BD27D1"/>
    <w:rsid w:val="00BD27FC"/>
    <w:rsid w:val="00BD2B0C"/>
    <w:rsid w:val="00BD2B59"/>
    <w:rsid w:val="00BD2B5F"/>
    <w:rsid w:val="00BD2BA1"/>
    <w:rsid w:val="00BD2C7B"/>
    <w:rsid w:val="00BD2CAF"/>
    <w:rsid w:val="00BD2D50"/>
    <w:rsid w:val="00BD2D62"/>
    <w:rsid w:val="00BD2DE1"/>
    <w:rsid w:val="00BD2DF8"/>
    <w:rsid w:val="00BD3053"/>
    <w:rsid w:val="00BD3061"/>
    <w:rsid w:val="00BD3136"/>
    <w:rsid w:val="00BD318A"/>
    <w:rsid w:val="00BD3300"/>
    <w:rsid w:val="00BD333F"/>
    <w:rsid w:val="00BD3360"/>
    <w:rsid w:val="00BD34A3"/>
    <w:rsid w:val="00BD34F7"/>
    <w:rsid w:val="00BD3711"/>
    <w:rsid w:val="00BD374B"/>
    <w:rsid w:val="00BD37C5"/>
    <w:rsid w:val="00BD3865"/>
    <w:rsid w:val="00BD3870"/>
    <w:rsid w:val="00BD3ACF"/>
    <w:rsid w:val="00BD3B8C"/>
    <w:rsid w:val="00BD3C22"/>
    <w:rsid w:val="00BD3C28"/>
    <w:rsid w:val="00BD3CE5"/>
    <w:rsid w:val="00BD3CF6"/>
    <w:rsid w:val="00BD3D3F"/>
    <w:rsid w:val="00BD3D53"/>
    <w:rsid w:val="00BD3D57"/>
    <w:rsid w:val="00BD3E6F"/>
    <w:rsid w:val="00BD4065"/>
    <w:rsid w:val="00BD4069"/>
    <w:rsid w:val="00BD40C7"/>
    <w:rsid w:val="00BD40DC"/>
    <w:rsid w:val="00BD4216"/>
    <w:rsid w:val="00BD4438"/>
    <w:rsid w:val="00BD464B"/>
    <w:rsid w:val="00BD46D7"/>
    <w:rsid w:val="00BD48CA"/>
    <w:rsid w:val="00BD4A97"/>
    <w:rsid w:val="00BD4BFC"/>
    <w:rsid w:val="00BD4D99"/>
    <w:rsid w:val="00BD4E76"/>
    <w:rsid w:val="00BD4E88"/>
    <w:rsid w:val="00BD4FC5"/>
    <w:rsid w:val="00BD5006"/>
    <w:rsid w:val="00BD5189"/>
    <w:rsid w:val="00BD51B4"/>
    <w:rsid w:val="00BD5321"/>
    <w:rsid w:val="00BD55B0"/>
    <w:rsid w:val="00BD5604"/>
    <w:rsid w:val="00BD5707"/>
    <w:rsid w:val="00BD57D7"/>
    <w:rsid w:val="00BD57F3"/>
    <w:rsid w:val="00BD583D"/>
    <w:rsid w:val="00BD59D2"/>
    <w:rsid w:val="00BD5A40"/>
    <w:rsid w:val="00BD5A75"/>
    <w:rsid w:val="00BD5AA8"/>
    <w:rsid w:val="00BD5C84"/>
    <w:rsid w:val="00BD5CE3"/>
    <w:rsid w:val="00BD5DC4"/>
    <w:rsid w:val="00BD6104"/>
    <w:rsid w:val="00BD61FC"/>
    <w:rsid w:val="00BD62D2"/>
    <w:rsid w:val="00BD63F0"/>
    <w:rsid w:val="00BD6466"/>
    <w:rsid w:val="00BD651D"/>
    <w:rsid w:val="00BD65F6"/>
    <w:rsid w:val="00BD6603"/>
    <w:rsid w:val="00BD672A"/>
    <w:rsid w:val="00BD6993"/>
    <w:rsid w:val="00BD69BD"/>
    <w:rsid w:val="00BD6AD2"/>
    <w:rsid w:val="00BD6B02"/>
    <w:rsid w:val="00BD6C85"/>
    <w:rsid w:val="00BD6CB6"/>
    <w:rsid w:val="00BD6CBF"/>
    <w:rsid w:val="00BD6CE8"/>
    <w:rsid w:val="00BD6E1D"/>
    <w:rsid w:val="00BD6E25"/>
    <w:rsid w:val="00BD6F06"/>
    <w:rsid w:val="00BD6F79"/>
    <w:rsid w:val="00BD7503"/>
    <w:rsid w:val="00BD751A"/>
    <w:rsid w:val="00BD7572"/>
    <w:rsid w:val="00BD76F7"/>
    <w:rsid w:val="00BD7706"/>
    <w:rsid w:val="00BD7768"/>
    <w:rsid w:val="00BD7869"/>
    <w:rsid w:val="00BD7870"/>
    <w:rsid w:val="00BD79AD"/>
    <w:rsid w:val="00BD7AB5"/>
    <w:rsid w:val="00BD7B1F"/>
    <w:rsid w:val="00BD7D4D"/>
    <w:rsid w:val="00BD7D7C"/>
    <w:rsid w:val="00BD7D8D"/>
    <w:rsid w:val="00BD7F0B"/>
    <w:rsid w:val="00BD7FE6"/>
    <w:rsid w:val="00BE009E"/>
    <w:rsid w:val="00BE00CF"/>
    <w:rsid w:val="00BE01A4"/>
    <w:rsid w:val="00BE01B5"/>
    <w:rsid w:val="00BE01DA"/>
    <w:rsid w:val="00BE026B"/>
    <w:rsid w:val="00BE0404"/>
    <w:rsid w:val="00BE048C"/>
    <w:rsid w:val="00BE04FC"/>
    <w:rsid w:val="00BE0535"/>
    <w:rsid w:val="00BE0556"/>
    <w:rsid w:val="00BE08BC"/>
    <w:rsid w:val="00BE08C4"/>
    <w:rsid w:val="00BE0909"/>
    <w:rsid w:val="00BE09B1"/>
    <w:rsid w:val="00BE0B7B"/>
    <w:rsid w:val="00BE0C31"/>
    <w:rsid w:val="00BE0C34"/>
    <w:rsid w:val="00BE0D4D"/>
    <w:rsid w:val="00BE0D66"/>
    <w:rsid w:val="00BE0E0B"/>
    <w:rsid w:val="00BE0E10"/>
    <w:rsid w:val="00BE0E66"/>
    <w:rsid w:val="00BE0F32"/>
    <w:rsid w:val="00BE104E"/>
    <w:rsid w:val="00BE1109"/>
    <w:rsid w:val="00BE11A9"/>
    <w:rsid w:val="00BE124A"/>
    <w:rsid w:val="00BE14C6"/>
    <w:rsid w:val="00BE1562"/>
    <w:rsid w:val="00BE15BF"/>
    <w:rsid w:val="00BE1659"/>
    <w:rsid w:val="00BE167B"/>
    <w:rsid w:val="00BE1680"/>
    <w:rsid w:val="00BE1698"/>
    <w:rsid w:val="00BE18A6"/>
    <w:rsid w:val="00BE1972"/>
    <w:rsid w:val="00BE1997"/>
    <w:rsid w:val="00BE19CA"/>
    <w:rsid w:val="00BE19D0"/>
    <w:rsid w:val="00BE1A9D"/>
    <w:rsid w:val="00BE1B99"/>
    <w:rsid w:val="00BE1C6C"/>
    <w:rsid w:val="00BE1C81"/>
    <w:rsid w:val="00BE1C8C"/>
    <w:rsid w:val="00BE1CD3"/>
    <w:rsid w:val="00BE1D67"/>
    <w:rsid w:val="00BE1E13"/>
    <w:rsid w:val="00BE1E6A"/>
    <w:rsid w:val="00BE1F7D"/>
    <w:rsid w:val="00BE204E"/>
    <w:rsid w:val="00BE2063"/>
    <w:rsid w:val="00BE208D"/>
    <w:rsid w:val="00BE2271"/>
    <w:rsid w:val="00BE2284"/>
    <w:rsid w:val="00BE22A1"/>
    <w:rsid w:val="00BE24CA"/>
    <w:rsid w:val="00BE258E"/>
    <w:rsid w:val="00BE25DB"/>
    <w:rsid w:val="00BE2606"/>
    <w:rsid w:val="00BE268B"/>
    <w:rsid w:val="00BE2877"/>
    <w:rsid w:val="00BE290A"/>
    <w:rsid w:val="00BE298A"/>
    <w:rsid w:val="00BE2A85"/>
    <w:rsid w:val="00BE2AA3"/>
    <w:rsid w:val="00BE2BEA"/>
    <w:rsid w:val="00BE2C54"/>
    <w:rsid w:val="00BE2CB5"/>
    <w:rsid w:val="00BE2CDD"/>
    <w:rsid w:val="00BE2D31"/>
    <w:rsid w:val="00BE2D39"/>
    <w:rsid w:val="00BE2E2C"/>
    <w:rsid w:val="00BE2F0D"/>
    <w:rsid w:val="00BE2FDF"/>
    <w:rsid w:val="00BE3046"/>
    <w:rsid w:val="00BE30D3"/>
    <w:rsid w:val="00BE31A5"/>
    <w:rsid w:val="00BE32BA"/>
    <w:rsid w:val="00BE32EB"/>
    <w:rsid w:val="00BE339E"/>
    <w:rsid w:val="00BE33C8"/>
    <w:rsid w:val="00BE33DC"/>
    <w:rsid w:val="00BE33EF"/>
    <w:rsid w:val="00BE34F6"/>
    <w:rsid w:val="00BE35DD"/>
    <w:rsid w:val="00BE3600"/>
    <w:rsid w:val="00BE3684"/>
    <w:rsid w:val="00BE372A"/>
    <w:rsid w:val="00BE37E2"/>
    <w:rsid w:val="00BE37F3"/>
    <w:rsid w:val="00BE3853"/>
    <w:rsid w:val="00BE3916"/>
    <w:rsid w:val="00BE3949"/>
    <w:rsid w:val="00BE3957"/>
    <w:rsid w:val="00BE3A13"/>
    <w:rsid w:val="00BE3A87"/>
    <w:rsid w:val="00BE3ABD"/>
    <w:rsid w:val="00BE3B07"/>
    <w:rsid w:val="00BE3B4C"/>
    <w:rsid w:val="00BE3C61"/>
    <w:rsid w:val="00BE3CEE"/>
    <w:rsid w:val="00BE3D51"/>
    <w:rsid w:val="00BE3D9E"/>
    <w:rsid w:val="00BE3ED8"/>
    <w:rsid w:val="00BE40CB"/>
    <w:rsid w:val="00BE40D0"/>
    <w:rsid w:val="00BE416D"/>
    <w:rsid w:val="00BE41B7"/>
    <w:rsid w:val="00BE4201"/>
    <w:rsid w:val="00BE4239"/>
    <w:rsid w:val="00BE4386"/>
    <w:rsid w:val="00BE440D"/>
    <w:rsid w:val="00BE485B"/>
    <w:rsid w:val="00BE4B98"/>
    <w:rsid w:val="00BE4B9D"/>
    <w:rsid w:val="00BE4BB7"/>
    <w:rsid w:val="00BE4CE4"/>
    <w:rsid w:val="00BE4DBD"/>
    <w:rsid w:val="00BE4E79"/>
    <w:rsid w:val="00BE4E8A"/>
    <w:rsid w:val="00BE4EEF"/>
    <w:rsid w:val="00BE4F6F"/>
    <w:rsid w:val="00BE4F87"/>
    <w:rsid w:val="00BE5146"/>
    <w:rsid w:val="00BE51E2"/>
    <w:rsid w:val="00BE531E"/>
    <w:rsid w:val="00BE5405"/>
    <w:rsid w:val="00BE5422"/>
    <w:rsid w:val="00BE5445"/>
    <w:rsid w:val="00BE5495"/>
    <w:rsid w:val="00BE5497"/>
    <w:rsid w:val="00BE562A"/>
    <w:rsid w:val="00BE570E"/>
    <w:rsid w:val="00BE57A9"/>
    <w:rsid w:val="00BE5913"/>
    <w:rsid w:val="00BE5935"/>
    <w:rsid w:val="00BE5977"/>
    <w:rsid w:val="00BE5C21"/>
    <w:rsid w:val="00BE5D67"/>
    <w:rsid w:val="00BE5DE5"/>
    <w:rsid w:val="00BE5E29"/>
    <w:rsid w:val="00BE5E32"/>
    <w:rsid w:val="00BE5E6B"/>
    <w:rsid w:val="00BE5EC2"/>
    <w:rsid w:val="00BE6013"/>
    <w:rsid w:val="00BE60AC"/>
    <w:rsid w:val="00BE6308"/>
    <w:rsid w:val="00BE6346"/>
    <w:rsid w:val="00BE6370"/>
    <w:rsid w:val="00BE63B0"/>
    <w:rsid w:val="00BE63EE"/>
    <w:rsid w:val="00BE6406"/>
    <w:rsid w:val="00BE640A"/>
    <w:rsid w:val="00BE6423"/>
    <w:rsid w:val="00BE6448"/>
    <w:rsid w:val="00BE6474"/>
    <w:rsid w:val="00BE65DD"/>
    <w:rsid w:val="00BE666E"/>
    <w:rsid w:val="00BE66EE"/>
    <w:rsid w:val="00BE6805"/>
    <w:rsid w:val="00BE6821"/>
    <w:rsid w:val="00BE6850"/>
    <w:rsid w:val="00BE6898"/>
    <w:rsid w:val="00BE6943"/>
    <w:rsid w:val="00BE6965"/>
    <w:rsid w:val="00BE69E1"/>
    <w:rsid w:val="00BE6ADD"/>
    <w:rsid w:val="00BE6BF4"/>
    <w:rsid w:val="00BE6CBA"/>
    <w:rsid w:val="00BE6CC6"/>
    <w:rsid w:val="00BE6E7F"/>
    <w:rsid w:val="00BE7044"/>
    <w:rsid w:val="00BE709B"/>
    <w:rsid w:val="00BE718D"/>
    <w:rsid w:val="00BE7290"/>
    <w:rsid w:val="00BE7335"/>
    <w:rsid w:val="00BE736F"/>
    <w:rsid w:val="00BE7377"/>
    <w:rsid w:val="00BE7422"/>
    <w:rsid w:val="00BE75A9"/>
    <w:rsid w:val="00BE7651"/>
    <w:rsid w:val="00BE76B5"/>
    <w:rsid w:val="00BE76CC"/>
    <w:rsid w:val="00BE79EA"/>
    <w:rsid w:val="00BE7B23"/>
    <w:rsid w:val="00BE7C13"/>
    <w:rsid w:val="00BE7CA6"/>
    <w:rsid w:val="00BE7E69"/>
    <w:rsid w:val="00BE7EA2"/>
    <w:rsid w:val="00BE7EC2"/>
    <w:rsid w:val="00BE7F2B"/>
    <w:rsid w:val="00BE7F43"/>
    <w:rsid w:val="00BE7F48"/>
    <w:rsid w:val="00BE7FC3"/>
    <w:rsid w:val="00BF004F"/>
    <w:rsid w:val="00BF00B5"/>
    <w:rsid w:val="00BF0133"/>
    <w:rsid w:val="00BF0184"/>
    <w:rsid w:val="00BF018C"/>
    <w:rsid w:val="00BF01C0"/>
    <w:rsid w:val="00BF020E"/>
    <w:rsid w:val="00BF0211"/>
    <w:rsid w:val="00BF02EE"/>
    <w:rsid w:val="00BF0350"/>
    <w:rsid w:val="00BF0498"/>
    <w:rsid w:val="00BF06BE"/>
    <w:rsid w:val="00BF0752"/>
    <w:rsid w:val="00BF07F1"/>
    <w:rsid w:val="00BF08D1"/>
    <w:rsid w:val="00BF090F"/>
    <w:rsid w:val="00BF0B0C"/>
    <w:rsid w:val="00BF0B5C"/>
    <w:rsid w:val="00BF0BA4"/>
    <w:rsid w:val="00BF0C64"/>
    <w:rsid w:val="00BF0CEE"/>
    <w:rsid w:val="00BF0CF9"/>
    <w:rsid w:val="00BF0D64"/>
    <w:rsid w:val="00BF0DB0"/>
    <w:rsid w:val="00BF1027"/>
    <w:rsid w:val="00BF1109"/>
    <w:rsid w:val="00BF111A"/>
    <w:rsid w:val="00BF12CE"/>
    <w:rsid w:val="00BF1370"/>
    <w:rsid w:val="00BF1438"/>
    <w:rsid w:val="00BF14C0"/>
    <w:rsid w:val="00BF1528"/>
    <w:rsid w:val="00BF155E"/>
    <w:rsid w:val="00BF156D"/>
    <w:rsid w:val="00BF1627"/>
    <w:rsid w:val="00BF166E"/>
    <w:rsid w:val="00BF172F"/>
    <w:rsid w:val="00BF18A2"/>
    <w:rsid w:val="00BF18C9"/>
    <w:rsid w:val="00BF191C"/>
    <w:rsid w:val="00BF19E2"/>
    <w:rsid w:val="00BF1A3E"/>
    <w:rsid w:val="00BF1A73"/>
    <w:rsid w:val="00BF1C3F"/>
    <w:rsid w:val="00BF1CE4"/>
    <w:rsid w:val="00BF1DD9"/>
    <w:rsid w:val="00BF1E5E"/>
    <w:rsid w:val="00BF1E6C"/>
    <w:rsid w:val="00BF1F35"/>
    <w:rsid w:val="00BF1F71"/>
    <w:rsid w:val="00BF2048"/>
    <w:rsid w:val="00BF2099"/>
    <w:rsid w:val="00BF20C7"/>
    <w:rsid w:val="00BF20D7"/>
    <w:rsid w:val="00BF20F3"/>
    <w:rsid w:val="00BF214B"/>
    <w:rsid w:val="00BF219A"/>
    <w:rsid w:val="00BF21AE"/>
    <w:rsid w:val="00BF21B4"/>
    <w:rsid w:val="00BF21C2"/>
    <w:rsid w:val="00BF2208"/>
    <w:rsid w:val="00BF2264"/>
    <w:rsid w:val="00BF22AA"/>
    <w:rsid w:val="00BF23E5"/>
    <w:rsid w:val="00BF2552"/>
    <w:rsid w:val="00BF26CC"/>
    <w:rsid w:val="00BF2719"/>
    <w:rsid w:val="00BF27E7"/>
    <w:rsid w:val="00BF288E"/>
    <w:rsid w:val="00BF28D5"/>
    <w:rsid w:val="00BF28E4"/>
    <w:rsid w:val="00BF294D"/>
    <w:rsid w:val="00BF299C"/>
    <w:rsid w:val="00BF29A5"/>
    <w:rsid w:val="00BF2A78"/>
    <w:rsid w:val="00BF2AA5"/>
    <w:rsid w:val="00BF2B7A"/>
    <w:rsid w:val="00BF2BC7"/>
    <w:rsid w:val="00BF2BE0"/>
    <w:rsid w:val="00BF2D77"/>
    <w:rsid w:val="00BF2DC4"/>
    <w:rsid w:val="00BF2E65"/>
    <w:rsid w:val="00BF2EBD"/>
    <w:rsid w:val="00BF2EC9"/>
    <w:rsid w:val="00BF2EDD"/>
    <w:rsid w:val="00BF2EFE"/>
    <w:rsid w:val="00BF3002"/>
    <w:rsid w:val="00BF3111"/>
    <w:rsid w:val="00BF3168"/>
    <w:rsid w:val="00BF327D"/>
    <w:rsid w:val="00BF328A"/>
    <w:rsid w:val="00BF3346"/>
    <w:rsid w:val="00BF33D1"/>
    <w:rsid w:val="00BF33FB"/>
    <w:rsid w:val="00BF369B"/>
    <w:rsid w:val="00BF36AF"/>
    <w:rsid w:val="00BF375A"/>
    <w:rsid w:val="00BF3851"/>
    <w:rsid w:val="00BF38B6"/>
    <w:rsid w:val="00BF3923"/>
    <w:rsid w:val="00BF395E"/>
    <w:rsid w:val="00BF39FE"/>
    <w:rsid w:val="00BF3A6E"/>
    <w:rsid w:val="00BF3BEE"/>
    <w:rsid w:val="00BF3D28"/>
    <w:rsid w:val="00BF3D42"/>
    <w:rsid w:val="00BF3E5E"/>
    <w:rsid w:val="00BF3EB8"/>
    <w:rsid w:val="00BF3F9A"/>
    <w:rsid w:val="00BF3FB3"/>
    <w:rsid w:val="00BF4102"/>
    <w:rsid w:val="00BF4147"/>
    <w:rsid w:val="00BF414B"/>
    <w:rsid w:val="00BF41A0"/>
    <w:rsid w:val="00BF41A6"/>
    <w:rsid w:val="00BF4227"/>
    <w:rsid w:val="00BF44DC"/>
    <w:rsid w:val="00BF4511"/>
    <w:rsid w:val="00BF4525"/>
    <w:rsid w:val="00BF45E1"/>
    <w:rsid w:val="00BF46A0"/>
    <w:rsid w:val="00BF46C9"/>
    <w:rsid w:val="00BF471C"/>
    <w:rsid w:val="00BF47D2"/>
    <w:rsid w:val="00BF4860"/>
    <w:rsid w:val="00BF488B"/>
    <w:rsid w:val="00BF49B0"/>
    <w:rsid w:val="00BF49EB"/>
    <w:rsid w:val="00BF49FA"/>
    <w:rsid w:val="00BF49FE"/>
    <w:rsid w:val="00BF4A2E"/>
    <w:rsid w:val="00BF4AFC"/>
    <w:rsid w:val="00BF4B16"/>
    <w:rsid w:val="00BF4D9F"/>
    <w:rsid w:val="00BF4E6D"/>
    <w:rsid w:val="00BF4EE3"/>
    <w:rsid w:val="00BF4F7D"/>
    <w:rsid w:val="00BF4FBD"/>
    <w:rsid w:val="00BF505E"/>
    <w:rsid w:val="00BF50A8"/>
    <w:rsid w:val="00BF51D6"/>
    <w:rsid w:val="00BF534F"/>
    <w:rsid w:val="00BF53B7"/>
    <w:rsid w:val="00BF53F1"/>
    <w:rsid w:val="00BF54C6"/>
    <w:rsid w:val="00BF56BC"/>
    <w:rsid w:val="00BF57E5"/>
    <w:rsid w:val="00BF584F"/>
    <w:rsid w:val="00BF5868"/>
    <w:rsid w:val="00BF5880"/>
    <w:rsid w:val="00BF58CC"/>
    <w:rsid w:val="00BF58EF"/>
    <w:rsid w:val="00BF5995"/>
    <w:rsid w:val="00BF5A16"/>
    <w:rsid w:val="00BF5ABB"/>
    <w:rsid w:val="00BF5D2E"/>
    <w:rsid w:val="00BF5E78"/>
    <w:rsid w:val="00BF5EDF"/>
    <w:rsid w:val="00BF5FFB"/>
    <w:rsid w:val="00BF609B"/>
    <w:rsid w:val="00BF610F"/>
    <w:rsid w:val="00BF6170"/>
    <w:rsid w:val="00BF61FD"/>
    <w:rsid w:val="00BF62B9"/>
    <w:rsid w:val="00BF6333"/>
    <w:rsid w:val="00BF6350"/>
    <w:rsid w:val="00BF636F"/>
    <w:rsid w:val="00BF6486"/>
    <w:rsid w:val="00BF65A5"/>
    <w:rsid w:val="00BF6725"/>
    <w:rsid w:val="00BF6773"/>
    <w:rsid w:val="00BF677C"/>
    <w:rsid w:val="00BF6795"/>
    <w:rsid w:val="00BF684E"/>
    <w:rsid w:val="00BF686E"/>
    <w:rsid w:val="00BF6922"/>
    <w:rsid w:val="00BF695F"/>
    <w:rsid w:val="00BF696E"/>
    <w:rsid w:val="00BF6A1C"/>
    <w:rsid w:val="00BF6AE9"/>
    <w:rsid w:val="00BF6BFB"/>
    <w:rsid w:val="00BF6D47"/>
    <w:rsid w:val="00BF6D4F"/>
    <w:rsid w:val="00BF6E73"/>
    <w:rsid w:val="00BF6E80"/>
    <w:rsid w:val="00BF6EEF"/>
    <w:rsid w:val="00BF6F08"/>
    <w:rsid w:val="00BF6F19"/>
    <w:rsid w:val="00BF7013"/>
    <w:rsid w:val="00BF703C"/>
    <w:rsid w:val="00BF7050"/>
    <w:rsid w:val="00BF72A5"/>
    <w:rsid w:val="00BF73A7"/>
    <w:rsid w:val="00BF73DE"/>
    <w:rsid w:val="00BF7485"/>
    <w:rsid w:val="00BF74B7"/>
    <w:rsid w:val="00BF753E"/>
    <w:rsid w:val="00BF75BA"/>
    <w:rsid w:val="00BF75EC"/>
    <w:rsid w:val="00BF76B0"/>
    <w:rsid w:val="00BF77C6"/>
    <w:rsid w:val="00BF77FD"/>
    <w:rsid w:val="00BF7875"/>
    <w:rsid w:val="00BF79A3"/>
    <w:rsid w:val="00BF79FA"/>
    <w:rsid w:val="00BF7AB7"/>
    <w:rsid w:val="00BF7C6A"/>
    <w:rsid w:val="00BF7CBB"/>
    <w:rsid w:val="00BF7DDA"/>
    <w:rsid w:val="00BF7DDB"/>
    <w:rsid w:val="00BF7E76"/>
    <w:rsid w:val="00BF7F4E"/>
    <w:rsid w:val="00BF7FB9"/>
    <w:rsid w:val="00BF7FF1"/>
    <w:rsid w:val="00C00105"/>
    <w:rsid w:val="00C00153"/>
    <w:rsid w:val="00C004AB"/>
    <w:rsid w:val="00C004E9"/>
    <w:rsid w:val="00C00512"/>
    <w:rsid w:val="00C0057F"/>
    <w:rsid w:val="00C00594"/>
    <w:rsid w:val="00C00665"/>
    <w:rsid w:val="00C007C7"/>
    <w:rsid w:val="00C008D8"/>
    <w:rsid w:val="00C00961"/>
    <w:rsid w:val="00C00A74"/>
    <w:rsid w:val="00C00AB3"/>
    <w:rsid w:val="00C00C37"/>
    <w:rsid w:val="00C00C45"/>
    <w:rsid w:val="00C00CFD"/>
    <w:rsid w:val="00C00D1C"/>
    <w:rsid w:val="00C00D81"/>
    <w:rsid w:val="00C00E5A"/>
    <w:rsid w:val="00C00EFB"/>
    <w:rsid w:val="00C00F05"/>
    <w:rsid w:val="00C00F52"/>
    <w:rsid w:val="00C00F8C"/>
    <w:rsid w:val="00C011DA"/>
    <w:rsid w:val="00C012AB"/>
    <w:rsid w:val="00C01390"/>
    <w:rsid w:val="00C0139E"/>
    <w:rsid w:val="00C013E8"/>
    <w:rsid w:val="00C014EA"/>
    <w:rsid w:val="00C01561"/>
    <w:rsid w:val="00C01592"/>
    <w:rsid w:val="00C015EE"/>
    <w:rsid w:val="00C01691"/>
    <w:rsid w:val="00C0190E"/>
    <w:rsid w:val="00C019E3"/>
    <w:rsid w:val="00C01A97"/>
    <w:rsid w:val="00C01B09"/>
    <w:rsid w:val="00C01C1A"/>
    <w:rsid w:val="00C01DDB"/>
    <w:rsid w:val="00C01E78"/>
    <w:rsid w:val="00C01F46"/>
    <w:rsid w:val="00C01F4C"/>
    <w:rsid w:val="00C01F84"/>
    <w:rsid w:val="00C01FF0"/>
    <w:rsid w:val="00C02001"/>
    <w:rsid w:val="00C0213A"/>
    <w:rsid w:val="00C0239E"/>
    <w:rsid w:val="00C023A8"/>
    <w:rsid w:val="00C023F7"/>
    <w:rsid w:val="00C026A0"/>
    <w:rsid w:val="00C02781"/>
    <w:rsid w:val="00C0282C"/>
    <w:rsid w:val="00C02838"/>
    <w:rsid w:val="00C02964"/>
    <w:rsid w:val="00C029B1"/>
    <w:rsid w:val="00C02A88"/>
    <w:rsid w:val="00C02ADD"/>
    <w:rsid w:val="00C02C07"/>
    <w:rsid w:val="00C02C92"/>
    <w:rsid w:val="00C02C9E"/>
    <w:rsid w:val="00C02D08"/>
    <w:rsid w:val="00C02E10"/>
    <w:rsid w:val="00C02E19"/>
    <w:rsid w:val="00C02FDF"/>
    <w:rsid w:val="00C02FEB"/>
    <w:rsid w:val="00C03085"/>
    <w:rsid w:val="00C030DE"/>
    <w:rsid w:val="00C030E8"/>
    <w:rsid w:val="00C03171"/>
    <w:rsid w:val="00C032AC"/>
    <w:rsid w:val="00C032CC"/>
    <w:rsid w:val="00C032F0"/>
    <w:rsid w:val="00C03387"/>
    <w:rsid w:val="00C033C1"/>
    <w:rsid w:val="00C033C6"/>
    <w:rsid w:val="00C033CD"/>
    <w:rsid w:val="00C03579"/>
    <w:rsid w:val="00C035BF"/>
    <w:rsid w:val="00C03627"/>
    <w:rsid w:val="00C0368D"/>
    <w:rsid w:val="00C0370D"/>
    <w:rsid w:val="00C03754"/>
    <w:rsid w:val="00C03779"/>
    <w:rsid w:val="00C039AA"/>
    <w:rsid w:val="00C03AA6"/>
    <w:rsid w:val="00C03C37"/>
    <w:rsid w:val="00C03CAD"/>
    <w:rsid w:val="00C03D30"/>
    <w:rsid w:val="00C03D37"/>
    <w:rsid w:val="00C03D73"/>
    <w:rsid w:val="00C03E62"/>
    <w:rsid w:val="00C03FA1"/>
    <w:rsid w:val="00C03FE1"/>
    <w:rsid w:val="00C040F4"/>
    <w:rsid w:val="00C042FA"/>
    <w:rsid w:val="00C04419"/>
    <w:rsid w:val="00C0469B"/>
    <w:rsid w:val="00C046D9"/>
    <w:rsid w:val="00C0487C"/>
    <w:rsid w:val="00C04964"/>
    <w:rsid w:val="00C04CBE"/>
    <w:rsid w:val="00C04E46"/>
    <w:rsid w:val="00C04EEB"/>
    <w:rsid w:val="00C04F49"/>
    <w:rsid w:val="00C04F9D"/>
    <w:rsid w:val="00C05060"/>
    <w:rsid w:val="00C0507B"/>
    <w:rsid w:val="00C0509A"/>
    <w:rsid w:val="00C050EF"/>
    <w:rsid w:val="00C0529B"/>
    <w:rsid w:val="00C05394"/>
    <w:rsid w:val="00C053FA"/>
    <w:rsid w:val="00C056A1"/>
    <w:rsid w:val="00C0576D"/>
    <w:rsid w:val="00C057EC"/>
    <w:rsid w:val="00C05822"/>
    <w:rsid w:val="00C058DE"/>
    <w:rsid w:val="00C05958"/>
    <w:rsid w:val="00C05993"/>
    <w:rsid w:val="00C059BF"/>
    <w:rsid w:val="00C059EF"/>
    <w:rsid w:val="00C05A54"/>
    <w:rsid w:val="00C05B1F"/>
    <w:rsid w:val="00C05B38"/>
    <w:rsid w:val="00C05B93"/>
    <w:rsid w:val="00C05C69"/>
    <w:rsid w:val="00C05CDD"/>
    <w:rsid w:val="00C05D03"/>
    <w:rsid w:val="00C05D9E"/>
    <w:rsid w:val="00C05DB8"/>
    <w:rsid w:val="00C05DF3"/>
    <w:rsid w:val="00C05E38"/>
    <w:rsid w:val="00C05E87"/>
    <w:rsid w:val="00C05EC8"/>
    <w:rsid w:val="00C05EEE"/>
    <w:rsid w:val="00C05F09"/>
    <w:rsid w:val="00C05F90"/>
    <w:rsid w:val="00C06182"/>
    <w:rsid w:val="00C061F2"/>
    <w:rsid w:val="00C0620A"/>
    <w:rsid w:val="00C062DC"/>
    <w:rsid w:val="00C0638C"/>
    <w:rsid w:val="00C06449"/>
    <w:rsid w:val="00C064B5"/>
    <w:rsid w:val="00C064FC"/>
    <w:rsid w:val="00C065DB"/>
    <w:rsid w:val="00C06627"/>
    <w:rsid w:val="00C066B3"/>
    <w:rsid w:val="00C066DC"/>
    <w:rsid w:val="00C0678E"/>
    <w:rsid w:val="00C067BE"/>
    <w:rsid w:val="00C0689C"/>
    <w:rsid w:val="00C068B8"/>
    <w:rsid w:val="00C0692F"/>
    <w:rsid w:val="00C069B0"/>
    <w:rsid w:val="00C069CD"/>
    <w:rsid w:val="00C06A5E"/>
    <w:rsid w:val="00C06AF8"/>
    <w:rsid w:val="00C06B16"/>
    <w:rsid w:val="00C06D58"/>
    <w:rsid w:val="00C06EC4"/>
    <w:rsid w:val="00C0703B"/>
    <w:rsid w:val="00C07056"/>
    <w:rsid w:val="00C070E2"/>
    <w:rsid w:val="00C071F7"/>
    <w:rsid w:val="00C0739D"/>
    <w:rsid w:val="00C07418"/>
    <w:rsid w:val="00C07436"/>
    <w:rsid w:val="00C0746A"/>
    <w:rsid w:val="00C07548"/>
    <w:rsid w:val="00C0760A"/>
    <w:rsid w:val="00C076A8"/>
    <w:rsid w:val="00C077CA"/>
    <w:rsid w:val="00C0780B"/>
    <w:rsid w:val="00C0788D"/>
    <w:rsid w:val="00C079BB"/>
    <w:rsid w:val="00C07A26"/>
    <w:rsid w:val="00C07B5E"/>
    <w:rsid w:val="00C07C2C"/>
    <w:rsid w:val="00C07C3A"/>
    <w:rsid w:val="00C07C42"/>
    <w:rsid w:val="00C07CAA"/>
    <w:rsid w:val="00C07E0F"/>
    <w:rsid w:val="00C07E14"/>
    <w:rsid w:val="00C07E67"/>
    <w:rsid w:val="00C07ECF"/>
    <w:rsid w:val="00C07F07"/>
    <w:rsid w:val="00C07F3D"/>
    <w:rsid w:val="00C10113"/>
    <w:rsid w:val="00C10193"/>
    <w:rsid w:val="00C101A8"/>
    <w:rsid w:val="00C10319"/>
    <w:rsid w:val="00C103F5"/>
    <w:rsid w:val="00C1041A"/>
    <w:rsid w:val="00C10445"/>
    <w:rsid w:val="00C1048A"/>
    <w:rsid w:val="00C10490"/>
    <w:rsid w:val="00C10702"/>
    <w:rsid w:val="00C10889"/>
    <w:rsid w:val="00C108D8"/>
    <w:rsid w:val="00C10914"/>
    <w:rsid w:val="00C109C4"/>
    <w:rsid w:val="00C109E4"/>
    <w:rsid w:val="00C10A7C"/>
    <w:rsid w:val="00C10AE2"/>
    <w:rsid w:val="00C10B28"/>
    <w:rsid w:val="00C10B9D"/>
    <w:rsid w:val="00C10CC4"/>
    <w:rsid w:val="00C10CD8"/>
    <w:rsid w:val="00C10D6E"/>
    <w:rsid w:val="00C10DCA"/>
    <w:rsid w:val="00C10DE3"/>
    <w:rsid w:val="00C10E44"/>
    <w:rsid w:val="00C10EF5"/>
    <w:rsid w:val="00C10F65"/>
    <w:rsid w:val="00C10FF7"/>
    <w:rsid w:val="00C11055"/>
    <w:rsid w:val="00C11066"/>
    <w:rsid w:val="00C110AD"/>
    <w:rsid w:val="00C1120E"/>
    <w:rsid w:val="00C11230"/>
    <w:rsid w:val="00C1125F"/>
    <w:rsid w:val="00C112C3"/>
    <w:rsid w:val="00C1133C"/>
    <w:rsid w:val="00C113A2"/>
    <w:rsid w:val="00C1147B"/>
    <w:rsid w:val="00C11538"/>
    <w:rsid w:val="00C11750"/>
    <w:rsid w:val="00C117D8"/>
    <w:rsid w:val="00C1180F"/>
    <w:rsid w:val="00C11865"/>
    <w:rsid w:val="00C1190A"/>
    <w:rsid w:val="00C1197E"/>
    <w:rsid w:val="00C11A23"/>
    <w:rsid w:val="00C11A34"/>
    <w:rsid w:val="00C11A4A"/>
    <w:rsid w:val="00C11C48"/>
    <w:rsid w:val="00C11C6A"/>
    <w:rsid w:val="00C11E0F"/>
    <w:rsid w:val="00C11E33"/>
    <w:rsid w:val="00C11E50"/>
    <w:rsid w:val="00C11F36"/>
    <w:rsid w:val="00C11F54"/>
    <w:rsid w:val="00C11FDE"/>
    <w:rsid w:val="00C12023"/>
    <w:rsid w:val="00C120E5"/>
    <w:rsid w:val="00C1210C"/>
    <w:rsid w:val="00C12141"/>
    <w:rsid w:val="00C12172"/>
    <w:rsid w:val="00C121BC"/>
    <w:rsid w:val="00C1228C"/>
    <w:rsid w:val="00C12316"/>
    <w:rsid w:val="00C1233C"/>
    <w:rsid w:val="00C1234A"/>
    <w:rsid w:val="00C123D4"/>
    <w:rsid w:val="00C1241A"/>
    <w:rsid w:val="00C12497"/>
    <w:rsid w:val="00C124A9"/>
    <w:rsid w:val="00C124B0"/>
    <w:rsid w:val="00C124DD"/>
    <w:rsid w:val="00C12657"/>
    <w:rsid w:val="00C1267F"/>
    <w:rsid w:val="00C12795"/>
    <w:rsid w:val="00C128D1"/>
    <w:rsid w:val="00C128DE"/>
    <w:rsid w:val="00C12ADE"/>
    <w:rsid w:val="00C12BE7"/>
    <w:rsid w:val="00C12D6C"/>
    <w:rsid w:val="00C12D75"/>
    <w:rsid w:val="00C12DC6"/>
    <w:rsid w:val="00C12E98"/>
    <w:rsid w:val="00C12EE0"/>
    <w:rsid w:val="00C12F0B"/>
    <w:rsid w:val="00C12F25"/>
    <w:rsid w:val="00C12F2B"/>
    <w:rsid w:val="00C13009"/>
    <w:rsid w:val="00C13131"/>
    <w:rsid w:val="00C13195"/>
    <w:rsid w:val="00C1327C"/>
    <w:rsid w:val="00C132D8"/>
    <w:rsid w:val="00C13324"/>
    <w:rsid w:val="00C13331"/>
    <w:rsid w:val="00C133DC"/>
    <w:rsid w:val="00C13461"/>
    <w:rsid w:val="00C135FF"/>
    <w:rsid w:val="00C13642"/>
    <w:rsid w:val="00C13681"/>
    <w:rsid w:val="00C136D7"/>
    <w:rsid w:val="00C1370D"/>
    <w:rsid w:val="00C13752"/>
    <w:rsid w:val="00C13761"/>
    <w:rsid w:val="00C1386F"/>
    <w:rsid w:val="00C139B0"/>
    <w:rsid w:val="00C139B4"/>
    <w:rsid w:val="00C13AFD"/>
    <w:rsid w:val="00C13B2E"/>
    <w:rsid w:val="00C13C8D"/>
    <w:rsid w:val="00C13DED"/>
    <w:rsid w:val="00C13E03"/>
    <w:rsid w:val="00C13E6C"/>
    <w:rsid w:val="00C13F3A"/>
    <w:rsid w:val="00C13FEC"/>
    <w:rsid w:val="00C14006"/>
    <w:rsid w:val="00C141A0"/>
    <w:rsid w:val="00C141B8"/>
    <w:rsid w:val="00C1427F"/>
    <w:rsid w:val="00C142EA"/>
    <w:rsid w:val="00C14411"/>
    <w:rsid w:val="00C144A7"/>
    <w:rsid w:val="00C14502"/>
    <w:rsid w:val="00C145BB"/>
    <w:rsid w:val="00C1462E"/>
    <w:rsid w:val="00C14696"/>
    <w:rsid w:val="00C146C9"/>
    <w:rsid w:val="00C14722"/>
    <w:rsid w:val="00C14780"/>
    <w:rsid w:val="00C14808"/>
    <w:rsid w:val="00C14951"/>
    <w:rsid w:val="00C1498B"/>
    <w:rsid w:val="00C149C0"/>
    <w:rsid w:val="00C14A18"/>
    <w:rsid w:val="00C14AF6"/>
    <w:rsid w:val="00C14B1B"/>
    <w:rsid w:val="00C14BC9"/>
    <w:rsid w:val="00C14C94"/>
    <w:rsid w:val="00C14D4C"/>
    <w:rsid w:val="00C14EBC"/>
    <w:rsid w:val="00C14F1C"/>
    <w:rsid w:val="00C151A0"/>
    <w:rsid w:val="00C1523E"/>
    <w:rsid w:val="00C1538A"/>
    <w:rsid w:val="00C15438"/>
    <w:rsid w:val="00C1544D"/>
    <w:rsid w:val="00C15471"/>
    <w:rsid w:val="00C1569E"/>
    <w:rsid w:val="00C156E4"/>
    <w:rsid w:val="00C15747"/>
    <w:rsid w:val="00C15771"/>
    <w:rsid w:val="00C15839"/>
    <w:rsid w:val="00C15869"/>
    <w:rsid w:val="00C15881"/>
    <w:rsid w:val="00C159A0"/>
    <w:rsid w:val="00C15AEC"/>
    <w:rsid w:val="00C15B39"/>
    <w:rsid w:val="00C15C97"/>
    <w:rsid w:val="00C15CF4"/>
    <w:rsid w:val="00C15DD3"/>
    <w:rsid w:val="00C15ECE"/>
    <w:rsid w:val="00C15F87"/>
    <w:rsid w:val="00C15FA6"/>
    <w:rsid w:val="00C15FBF"/>
    <w:rsid w:val="00C160DD"/>
    <w:rsid w:val="00C16159"/>
    <w:rsid w:val="00C1619E"/>
    <w:rsid w:val="00C163B2"/>
    <w:rsid w:val="00C16460"/>
    <w:rsid w:val="00C164FB"/>
    <w:rsid w:val="00C165DC"/>
    <w:rsid w:val="00C1664F"/>
    <w:rsid w:val="00C167A4"/>
    <w:rsid w:val="00C16862"/>
    <w:rsid w:val="00C168EA"/>
    <w:rsid w:val="00C16979"/>
    <w:rsid w:val="00C16C25"/>
    <w:rsid w:val="00C16CC5"/>
    <w:rsid w:val="00C16D6F"/>
    <w:rsid w:val="00C16DE2"/>
    <w:rsid w:val="00C16E9C"/>
    <w:rsid w:val="00C16EAB"/>
    <w:rsid w:val="00C16F3F"/>
    <w:rsid w:val="00C16F61"/>
    <w:rsid w:val="00C16F89"/>
    <w:rsid w:val="00C16FB0"/>
    <w:rsid w:val="00C17025"/>
    <w:rsid w:val="00C17080"/>
    <w:rsid w:val="00C170DE"/>
    <w:rsid w:val="00C17123"/>
    <w:rsid w:val="00C1713F"/>
    <w:rsid w:val="00C17194"/>
    <w:rsid w:val="00C1731B"/>
    <w:rsid w:val="00C17345"/>
    <w:rsid w:val="00C173AD"/>
    <w:rsid w:val="00C173B0"/>
    <w:rsid w:val="00C17445"/>
    <w:rsid w:val="00C175D6"/>
    <w:rsid w:val="00C1761D"/>
    <w:rsid w:val="00C1762E"/>
    <w:rsid w:val="00C1764D"/>
    <w:rsid w:val="00C1767A"/>
    <w:rsid w:val="00C17682"/>
    <w:rsid w:val="00C1769C"/>
    <w:rsid w:val="00C176D7"/>
    <w:rsid w:val="00C1772F"/>
    <w:rsid w:val="00C179E9"/>
    <w:rsid w:val="00C17A96"/>
    <w:rsid w:val="00C17BF6"/>
    <w:rsid w:val="00C17C27"/>
    <w:rsid w:val="00C17C5C"/>
    <w:rsid w:val="00C17C7C"/>
    <w:rsid w:val="00C17CE2"/>
    <w:rsid w:val="00C17D14"/>
    <w:rsid w:val="00C17D42"/>
    <w:rsid w:val="00C17DD0"/>
    <w:rsid w:val="00C17E56"/>
    <w:rsid w:val="00C17EA3"/>
    <w:rsid w:val="00C17EFE"/>
    <w:rsid w:val="00C17F37"/>
    <w:rsid w:val="00C17F92"/>
    <w:rsid w:val="00C20046"/>
    <w:rsid w:val="00C20075"/>
    <w:rsid w:val="00C20167"/>
    <w:rsid w:val="00C20181"/>
    <w:rsid w:val="00C201BF"/>
    <w:rsid w:val="00C201F2"/>
    <w:rsid w:val="00C20259"/>
    <w:rsid w:val="00C203FC"/>
    <w:rsid w:val="00C20582"/>
    <w:rsid w:val="00C205D0"/>
    <w:rsid w:val="00C20615"/>
    <w:rsid w:val="00C20734"/>
    <w:rsid w:val="00C20774"/>
    <w:rsid w:val="00C207FC"/>
    <w:rsid w:val="00C20812"/>
    <w:rsid w:val="00C2081A"/>
    <w:rsid w:val="00C208F4"/>
    <w:rsid w:val="00C20A2B"/>
    <w:rsid w:val="00C20AB1"/>
    <w:rsid w:val="00C20BE4"/>
    <w:rsid w:val="00C20C4C"/>
    <w:rsid w:val="00C20DCE"/>
    <w:rsid w:val="00C20E92"/>
    <w:rsid w:val="00C20F8D"/>
    <w:rsid w:val="00C21187"/>
    <w:rsid w:val="00C212B1"/>
    <w:rsid w:val="00C213F3"/>
    <w:rsid w:val="00C21475"/>
    <w:rsid w:val="00C214E3"/>
    <w:rsid w:val="00C214F0"/>
    <w:rsid w:val="00C21529"/>
    <w:rsid w:val="00C2157C"/>
    <w:rsid w:val="00C215A8"/>
    <w:rsid w:val="00C21616"/>
    <w:rsid w:val="00C216A6"/>
    <w:rsid w:val="00C21755"/>
    <w:rsid w:val="00C2180B"/>
    <w:rsid w:val="00C2180D"/>
    <w:rsid w:val="00C21848"/>
    <w:rsid w:val="00C2184E"/>
    <w:rsid w:val="00C218A5"/>
    <w:rsid w:val="00C219FB"/>
    <w:rsid w:val="00C21A69"/>
    <w:rsid w:val="00C21AA9"/>
    <w:rsid w:val="00C21AEF"/>
    <w:rsid w:val="00C21B24"/>
    <w:rsid w:val="00C21BF3"/>
    <w:rsid w:val="00C21BF8"/>
    <w:rsid w:val="00C21C31"/>
    <w:rsid w:val="00C21C55"/>
    <w:rsid w:val="00C21CA0"/>
    <w:rsid w:val="00C21E7F"/>
    <w:rsid w:val="00C21E8F"/>
    <w:rsid w:val="00C21F0E"/>
    <w:rsid w:val="00C21F15"/>
    <w:rsid w:val="00C21FFF"/>
    <w:rsid w:val="00C220EA"/>
    <w:rsid w:val="00C22195"/>
    <w:rsid w:val="00C221F8"/>
    <w:rsid w:val="00C223FC"/>
    <w:rsid w:val="00C2240F"/>
    <w:rsid w:val="00C224DC"/>
    <w:rsid w:val="00C2251A"/>
    <w:rsid w:val="00C22524"/>
    <w:rsid w:val="00C226A6"/>
    <w:rsid w:val="00C227D4"/>
    <w:rsid w:val="00C227D5"/>
    <w:rsid w:val="00C227EA"/>
    <w:rsid w:val="00C22A79"/>
    <w:rsid w:val="00C22A94"/>
    <w:rsid w:val="00C22B2E"/>
    <w:rsid w:val="00C22C99"/>
    <w:rsid w:val="00C22EF8"/>
    <w:rsid w:val="00C22F33"/>
    <w:rsid w:val="00C22F62"/>
    <w:rsid w:val="00C2309B"/>
    <w:rsid w:val="00C230FE"/>
    <w:rsid w:val="00C231C0"/>
    <w:rsid w:val="00C231E0"/>
    <w:rsid w:val="00C23268"/>
    <w:rsid w:val="00C23301"/>
    <w:rsid w:val="00C233FD"/>
    <w:rsid w:val="00C23552"/>
    <w:rsid w:val="00C23597"/>
    <w:rsid w:val="00C236CC"/>
    <w:rsid w:val="00C23788"/>
    <w:rsid w:val="00C2384F"/>
    <w:rsid w:val="00C2387C"/>
    <w:rsid w:val="00C2388D"/>
    <w:rsid w:val="00C238FA"/>
    <w:rsid w:val="00C2391D"/>
    <w:rsid w:val="00C23942"/>
    <w:rsid w:val="00C2399E"/>
    <w:rsid w:val="00C23A0B"/>
    <w:rsid w:val="00C23AD7"/>
    <w:rsid w:val="00C23B4E"/>
    <w:rsid w:val="00C23BDC"/>
    <w:rsid w:val="00C23C41"/>
    <w:rsid w:val="00C23C53"/>
    <w:rsid w:val="00C23CFB"/>
    <w:rsid w:val="00C23CFC"/>
    <w:rsid w:val="00C23D9F"/>
    <w:rsid w:val="00C23DE6"/>
    <w:rsid w:val="00C23E55"/>
    <w:rsid w:val="00C23E7E"/>
    <w:rsid w:val="00C23ED8"/>
    <w:rsid w:val="00C242A1"/>
    <w:rsid w:val="00C242CE"/>
    <w:rsid w:val="00C242FE"/>
    <w:rsid w:val="00C24310"/>
    <w:rsid w:val="00C24357"/>
    <w:rsid w:val="00C24369"/>
    <w:rsid w:val="00C243C0"/>
    <w:rsid w:val="00C2458A"/>
    <w:rsid w:val="00C246AB"/>
    <w:rsid w:val="00C246DD"/>
    <w:rsid w:val="00C24754"/>
    <w:rsid w:val="00C24789"/>
    <w:rsid w:val="00C24969"/>
    <w:rsid w:val="00C24A67"/>
    <w:rsid w:val="00C24A99"/>
    <w:rsid w:val="00C24BDE"/>
    <w:rsid w:val="00C24BFD"/>
    <w:rsid w:val="00C24C91"/>
    <w:rsid w:val="00C24CA4"/>
    <w:rsid w:val="00C24D93"/>
    <w:rsid w:val="00C24E03"/>
    <w:rsid w:val="00C24E5E"/>
    <w:rsid w:val="00C24E6D"/>
    <w:rsid w:val="00C24F76"/>
    <w:rsid w:val="00C24F93"/>
    <w:rsid w:val="00C2512B"/>
    <w:rsid w:val="00C252CB"/>
    <w:rsid w:val="00C25326"/>
    <w:rsid w:val="00C25330"/>
    <w:rsid w:val="00C254FC"/>
    <w:rsid w:val="00C25517"/>
    <w:rsid w:val="00C25568"/>
    <w:rsid w:val="00C255C1"/>
    <w:rsid w:val="00C255D1"/>
    <w:rsid w:val="00C255E7"/>
    <w:rsid w:val="00C2562F"/>
    <w:rsid w:val="00C2571A"/>
    <w:rsid w:val="00C25764"/>
    <w:rsid w:val="00C25848"/>
    <w:rsid w:val="00C2587F"/>
    <w:rsid w:val="00C25883"/>
    <w:rsid w:val="00C25A04"/>
    <w:rsid w:val="00C25A65"/>
    <w:rsid w:val="00C25BBE"/>
    <w:rsid w:val="00C25C9D"/>
    <w:rsid w:val="00C25CED"/>
    <w:rsid w:val="00C25D19"/>
    <w:rsid w:val="00C25DFA"/>
    <w:rsid w:val="00C25E2D"/>
    <w:rsid w:val="00C25E9B"/>
    <w:rsid w:val="00C25EC8"/>
    <w:rsid w:val="00C25FD7"/>
    <w:rsid w:val="00C2606F"/>
    <w:rsid w:val="00C26230"/>
    <w:rsid w:val="00C26250"/>
    <w:rsid w:val="00C26288"/>
    <w:rsid w:val="00C2628C"/>
    <w:rsid w:val="00C2629F"/>
    <w:rsid w:val="00C26400"/>
    <w:rsid w:val="00C26464"/>
    <w:rsid w:val="00C264D3"/>
    <w:rsid w:val="00C26522"/>
    <w:rsid w:val="00C265F7"/>
    <w:rsid w:val="00C26625"/>
    <w:rsid w:val="00C26687"/>
    <w:rsid w:val="00C2668D"/>
    <w:rsid w:val="00C26768"/>
    <w:rsid w:val="00C268F4"/>
    <w:rsid w:val="00C2696D"/>
    <w:rsid w:val="00C2696E"/>
    <w:rsid w:val="00C26988"/>
    <w:rsid w:val="00C26AF1"/>
    <w:rsid w:val="00C26C73"/>
    <w:rsid w:val="00C26C98"/>
    <w:rsid w:val="00C26CD3"/>
    <w:rsid w:val="00C26E0B"/>
    <w:rsid w:val="00C26E9B"/>
    <w:rsid w:val="00C27032"/>
    <w:rsid w:val="00C27038"/>
    <w:rsid w:val="00C270AA"/>
    <w:rsid w:val="00C2711F"/>
    <w:rsid w:val="00C27168"/>
    <w:rsid w:val="00C27260"/>
    <w:rsid w:val="00C272CF"/>
    <w:rsid w:val="00C2749C"/>
    <w:rsid w:val="00C274A8"/>
    <w:rsid w:val="00C274BB"/>
    <w:rsid w:val="00C27571"/>
    <w:rsid w:val="00C2759C"/>
    <w:rsid w:val="00C275A2"/>
    <w:rsid w:val="00C27673"/>
    <w:rsid w:val="00C2767B"/>
    <w:rsid w:val="00C2770C"/>
    <w:rsid w:val="00C2774B"/>
    <w:rsid w:val="00C27785"/>
    <w:rsid w:val="00C277FE"/>
    <w:rsid w:val="00C27842"/>
    <w:rsid w:val="00C278AA"/>
    <w:rsid w:val="00C278E9"/>
    <w:rsid w:val="00C279DC"/>
    <w:rsid w:val="00C279E1"/>
    <w:rsid w:val="00C279FD"/>
    <w:rsid w:val="00C27A1B"/>
    <w:rsid w:val="00C27A79"/>
    <w:rsid w:val="00C27A86"/>
    <w:rsid w:val="00C27AC6"/>
    <w:rsid w:val="00C27ACC"/>
    <w:rsid w:val="00C27CC2"/>
    <w:rsid w:val="00C27DF8"/>
    <w:rsid w:val="00C27E06"/>
    <w:rsid w:val="00C27EFA"/>
    <w:rsid w:val="00C27F03"/>
    <w:rsid w:val="00C27F5A"/>
    <w:rsid w:val="00C27FFD"/>
    <w:rsid w:val="00C30233"/>
    <w:rsid w:val="00C302E2"/>
    <w:rsid w:val="00C30328"/>
    <w:rsid w:val="00C3036E"/>
    <w:rsid w:val="00C30488"/>
    <w:rsid w:val="00C304AE"/>
    <w:rsid w:val="00C30528"/>
    <w:rsid w:val="00C307F9"/>
    <w:rsid w:val="00C3086B"/>
    <w:rsid w:val="00C308CB"/>
    <w:rsid w:val="00C3096A"/>
    <w:rsid w:val="00C30990"/>
    <w:rsid w:val="00C309CE"/>
    <w:rsid w:val="00C30A8E"/>
    <w:rsid w:val="00C30AFA"/>
    <w:rsid w:val="00C30AFD"/>
    <w:rsid w:val="00C30BF0"/>
    <w:rsid w:val="00C30F05"/>
    <w:rsid w:val="00C30F5D"/>
    <w:rsid w:val="00C31201"/>
    <w:rsid w:val="00C312F9"/>
    <w:rsid w:val="00C3131F"/>
    <w:rsid w:val="00C31437"/>
    <w:rsid w:val="00C31451"/>
    <w:rsid w:val="00C314BD"/>
    <w:rsid w:val="00C314DD"/>
    <w:rsid w:val="00C314F6"/>
    <w:rsid w:val="00C3153C"/>
    <w:rsid w:val="00C31663"/>
    <w:rsid w:val="00C3170A"/>
    <w:rsid w:val="00C31748"/>
    <w:rsid w:val="00C317B7"/>
    <w:rsid w:val="00C317B9"/>
    <w:rsid w:val="00C31805"/>
    <w:rsid w:val="00C318C7"/>
    <w:rsid w:val="00C31980"/>
    <w:rsid w:val="00C31A49"/>
    <w:rsid w:val="00C31C13"/>
    <w:rsid w:val="00C31C30"/>
    <w:rsid w:val="00C31CD1"/>
    <w:rsid w:val="00C31D63"/>
    <w:rsid w:val="00C31DDE"/>
    <w:rsid w:val="00C31E59"/>
    <w:rsid w:val="00C31E8A"/>
    <w:rsid w:val="00C3205F"/>
    <w:rsid w:val="00C320E5"/>
    <w:rsid w:val="00C3211A"/>
    <w:rsid w:val="00C321E1"/>
    <w:rsid w:val="00C3224C"/>
    <w:rsid w:val="00C3238F"/>
    <w:rsid w:val="00C32492"/>
    <w:rsid w:val="00C324A7"/>
    <w:rsid w:val="00C325FE"/>
    <w:rsid w:val="00C32643"/>
    <w:rsid w:val="00C326D9"/>
    <w:rsid w:val="00C32855"/>
    <w:rsid w:val="00C328AA"/>
    <w:rsid w:val="00C32949"/>
    <w:rsid w:val="00C32972"/>
    <w:rsid w:val="00C3298F"/>
    <w:rsid w:val="00C329F0"/>
    <w:rsid w:val="00C32B30"/>
    <w:rsid w:val="00C32C9A"/>
    <w:rsid w:val="00C32CC6"/>
    <w:rsid w:val="00C32CED"/>
    <w:rsid w:val="00C32E60"/>
    <w:rsid w:val="00C32E61"/>
    <w:rsid w:val="00C32F65"/>
    <w:rsid w:val="00C32FFB"/>
    <w:rsid w:val="00C331D1"/>
    <w:rsid w:val="00C332CB"/>
    <w:rsid w:val="00C33395"/>
    <w:rsid w:val="00C33586"/>
    <w:rsid w:val="00C335AA"/>
    <w:rsid w:val="00C336E5"/>
    <w:rsid w:val="00C33768"/>
    <w:rsid w:val="00C337E4"/>
    <w:rsid w:val="00C3389B"/>
    <w:rsid w:val="00C33912"/>
    <w:rsid w:val="00C339F3"/>
    <w:rsid w:val="00C33ACD"/>
    <w:rsid w:val="00C33ADF"/>
    <w:rsid w:val="00C33B07"/>
    <w:rsid w:val="00C33BC8"/>
    <w:rsid w:val="00C33C69"/>
    <w:rsid w:val="00C33C90"/>
    <w:rsid w:val="00C33CF4"/>
    <w:rsid w:val="00C33CF8"/>
    <w:rsid w:val="00C33D00"/>
    <w:rsid w:val="00C33D46"/>
    <w:rsid w:val="00C33D4A"/>
    <w:rsid w:val="00C33D4D"/>
    <w:rsid w:val="00C33D6B"/>
    <w:rsid w:val="00C33DE1"/>
    <w:rsid w:val="00C33DF5"/>
    <w:rsid w:val="00C33FA7"/>
    <w:rsid w:val="00C33FBC"/>
    <w:rsid w:val="00C33FE3"/>
    <w:rsid w:val="00C34197"/>
    <w:rsid w:val="00C342AC"/>
    <w:rsid w:val="00C3430F"/>
    <w:rsid w:val="00C3431D"/>
    <w:rsid w:val="00C3438E"/>
    <w:rsid w:val="00C343F3"/>
    <w:rsid w:val="00C34486"/>
    <w:rsid w:val="00C34596"/>
    <w:rsid w:val="00C345EE"/>
    <w:rsid w:val="00C346C7"/>
    <w:rsid w:val="00C346E0"/>
    <w:rsid w:val="00C34804"/>
    <w:rsid w:val="00C348C7"/>
    <w:rsid w:val="00C3492B"/>
    <w:rsid w:val="00C34BB1"/>
    <w:rsid w:val="00C34BC7"/>
    <w:rsid w:val="00C34C17"/>
    <w:rsid w:val="00C34CD9"/>
    <w:rsid w:val="00C34CF0"/>
    <w:rsid w:val="00C34D1D"/>
    <w:rsid w:val="00C34E1C"/>
    <w:rsid w:val="00C34EAA"/>
    <w:rsid w:val="00C35073"/>
    <w:rsid w:val="00C35079"/>
    <w:rsid w:val="00C350F0"/>
    <w:rsid w:val="00C353E2"/>
    <w:rsid w:val="00C35497"/>
    <w:rsid w:val="00C3555C"/>
    <w:rsid w:val="00C3556C"/>
    <w:rsid w:val="00C355DE"/>
    <w:rsid w:val="00C355EE"/>
    <w:rsid w:val="00C35689"/>
    <w:rsid w:val="00C3568B"/>
    <w:rsid w:val="00C3568E"/>
    <w:rsid w:val="00C35713"/>
    <w:rsid w:val="00C3585E"/>
    <w:rsid w:val="00C3587B"/>
    <w:rsid w:val="00C35969"/>
    <w:rsid w:val="00C35977"/>
    <w:rsid w:val="00C35BB3"/>
    <w:rsid w:val="00C35C57"/>
    <w:rsid w:val="00C35CB0"/>
    <w:rsid w:val="00C35D40"/>
    <w:rsid w:val="00C35DC4"/>
    <w:rsid w:val="00C35E4D"/>
    <w:rsid w:val="00C35E93"/>
    <w:rsid w:val="00C35EA2"/>
    <w:rsid w:val="00C36182"/>
    <w:rsid w:val="00C3630B"/>
    <w:rsid w:val="00C363EB"/>
    <w:rsid w:val="00C363EF"/>
    <w:rsid w:val="00C36447"/>
    <w:rsid w:val="00C36498"/>
    <w:rsid w:val="00C366DD"/>
    <w:rsid w:val="00C366EC"/>
    <w:rsid w:val="00C3671D"/>
    <w:rsid w:val="00C36736"/>
    <w:rsid w:val="00C3677D"/>
    <w:rsid w:val="00C368CB"/>
    <w:rsid w:val="00C368FD"/>
    <w:rsid w:val="00C36AA2"/>
    <w:rsid w:val="00C36B89"/>
    <w:rsid w:val="00C36C65"/>
    <w:rsid w:val="00C36D8C"/>
    <w:rsid w:val="00C36E0C"/>
    <w:rsid w:val="00C36FA8"/>
    <w:rsid w:val="00C36FD9"/>
    <w:rsid w:val="00C37054"/>
    <w:rsid w:val="00C37065"/>
    <w:rsid w:val="00C370DA"/>
    <w:rsid w:val="00C370E8"/>
    <w:rsid w:val="00C3710E"/>
    <w:rsid w:val="00C3716B"/>
    <w:rsid w:val="00C37176"/>
    <w:rsid w:val="00C3719D"/>
    <w:rsid w:val="00C371BC"/>
    <w:rsid w:val="00C371C0"/>
    <w:rsid w:val="00C37543"/>
    <w:rsid w:val="00C3760A"/>
    <w:rsid w:val="00C3769D"/>
    <w:rsid w:val="00C37771"/>
    <w:rsid w:val="00C378AC"/>
    <w:rsid w:val="00C378E6"/>
    <w:rsid w:val="00C3792F"/>
    <w:rsid w:val="00C37932"/>
    <w:rsid w:val="00C37960"/>
    <w:rsid w:val="00C3798F"/>
    <w:rsid w:val="00C37B6C"/>
    <w:rsid w:val="00C37B8B"/>
    <w:rsid w:val="00C37CA1"/>
    <w:rsid w:val="00C37CDB"/>
    <w:rsid w:val="00C37D60"/>
    <w:rsid w:val="00C37D71"/>
    <w:rsid w:val="00C37E53"/>
    <w:rsid w:val="00C37E6B"/>
    <w:rsid w:val="00C37F2D"/>
    <w:rsid w:val="00C37F99"/>
    <w:rsid w:val="00C4001C"/>
    <w:rsid w:val="00C400DD"/>
    <w:rsid w:val="00C400FF"/>
    <w:rsid w:val="00C401A6"/>
    <w:rsid w:val="00C401BC"/>
    <w:rsid w:val="00C401FC"/>
    <w:rsid w:val="00C4022A"/>
    <w:rsid w:val="00C402C3"/>
    <w:rsid w:val="00C40314"/>
    <w:rsid w:val="00C40494"/>
    <w:rsid w:val="00C404B2"/>
    <w:rsid w:val="00C405B1"/>
    <w:rsid w:val="00C4061C"/>
    <w:rsid w:val="00C40630"/>
    <w:rsid w:val="00C40654"/>
    <w:rsid w:val="00C40689"/>
    <w:rsid w:val="00C40717"/>
    <w:rsid w:val="00C4071A"/>
    <w:rsid w:val="00C4076E"/>
    <w:rsid w:val="00C4086A"/>
    <w:rsid w:val="00C40893"/>
    <w:rsid w:val="00C408A5"/>
    <w:rsid w:val="00C4091D"/>
    <w:rsid w:val="00C40920"/>
    <w:rsid w:val="00C40947"/>
    <w:rsid w:val="00C409AC"/>
    <w:rsid w:val="00C40A19"/>
    <w:rsid w:val="00C40A69"/>
    <w:rsid w:val="00C40C2B"/>
    <w:rsid w:val="00C40CFC"/>
    <w:rsid w:val="00C40D80"/>
    <w:rsid w:val="00C40E2F"/>
    <w:rsid w:val="00C40E7E"/>
    <w:rsid w:val="00C40F5F"/>
    <w:rsid w:val="00C40FFA"/>
    <w:rsid w:val="00C41013"/>
    <w:rsid w:val="00C410CC"/>
    <w:rsid w:val="00C411FF"/>
    <w:rsid w:val="00C41210"/>
    <w:rsid w:val="00C4121F"/>
    <w:rsid w:val="00C41262"/>
    <w:rsid w:val="00C412C4"/>
    <w:rsid w:val="00C413F9"/>
    <w:rsid w:val="00C4150C"/>
    <w:rsid w:val="00C4151F"/>
    <w:rsid w:val="00C415B9"/>
    <w:rsid w:val="00C415BF"/>
    <w:rsid w:val="00C41654"/>
    <w:rsid w:val="00C41657"/>
    <w:rsid w:val="00C41749"/>
    <w:rsid w:val="00C4178D"/>
    <w:rsid w:val="00C417F9"/>
    <w:rsid w:val="00C41829"/>
    <w:rsid w:val="00C41A4B"/>
    <w:rsid w:val="00C41AA3"/>
    <w:rsid w:val="00C41B07"/>
    <w:rsid w:val="00C41C8D"/>
    <w:rsid w:val="00C41CE9"/>
    <w:rsid w:val="00C41D6D"/>
    <w:rsid w:val="00C41D98"/>
    <w:rsid w:val="00C41DFC"/>
    <w:rsid w:val="00C41E56"/>
    <w:rsid w:val="00C41ECA"/>
    <w:rsid w:val="00C41EFC"/>
    <w:rsid w:val="00C41F7F"/>
    <w:rsid w:val="00C41FF1"/>
    <w:rsid w:val="00C42036"/>
    <w:rsid w:val="00C42056"/>
    <w:rsid w:val="00C42090"/>
    <w:rsid w:val="00C42144"/>
    <w:rsid w:val="00C421E6"/>
    <w:rsid w:val="00C4220F"/>
    <w:rsid w:val="00C4236B"/>
    <w:rsid w:val="00C42401"/>
    <w:rsid w:val="00C425A5"/>
    <w:rsid w:val="00C42612"/>
    <w:rsid w:val="00C4279C"/>
    <w:rsid w:val="00C4287F"/>
    <w:rsid w:val="00C428BD"/>
    <w:rsid w:val="00C42B0E"/>
    <w:rsid w:val="00C42BC2"/>
    <w:rsid w:val="00C42D1C"/>
    <w:rsid w:val="00C42E46"/>
    <w:rsid w:val="00C42E5B"/>
    <w:rsid w:val="00C42EFD"/>
    <w:rsid w:val="00C42F2C"/>
    <w:rsid w:val="00C4300E"/>
    <w:rsid w:val="00C4304D"/>
    <w:rsid w:val="00C43283"/>
    <w:rsid w:val="00C43303"/>
    <w:rsid w:val="00C433D3"/>
    <w:rsid w:val="00C43407"/>
    <w:rsid w:val="00C43505"/>
    <w:rsid w:val="00C435B2"/>
    <w:rsid w:val="00C436BE"/>
    <w:rsid w:val="00C436C5"/>
    <w:rsid w:val="00C436C8"/>
    <w:rsid w:val="00C43772"/>
    <w:rsid w:val="00C43822"/>
    <w:rsid w:val="00C4384D"/>
    <w:rsid w:val="00C43852"/>
    <w:rsid w:val="00C4392A"/>
    <w:rsid w:val="00C43A7B"/>
    <w:rsid w:val="00C43B5D"/>
    <w:rsid w:val="00C43C1E"/>
    <w:rsid w:val="00C43CBB"/>
    <w:rsid w:val="00C43D21"/>
    <w:rsid w:val="00C43DC9"/>
    <w:rsid w:val="00C43DCD"/>
    <w:rsid w:val="00C43DF3"/>
    <w:rsid w:val="00C43DF8"/>
    <w:rsid w:val="00C43EF1"/>
    <w:rsid w:val="00C43F45"/>
    <w:rsid w:val="00C43FE7"/>
    <w:rsid w:val="00C43FEB"/>
    <w:rsid w:val="00C4400E"/>
    <w:rsid w:val="00C44039"/>
    <w:rsid w:val="00C4412C"/>
    <w:rsid w:val="00C4416C"/>
    <w:rsid w:val="00C441F2"/>
    <w:rsid w:val="00C44394"/>
    <w:rsid w:val="00C443A4"/>
    <w:rsid w:val="00C443F6"/>
    <w:rsid w:val="00C443FC"/>
    <w:rsid w:val="00C44406"/>
    <w:rsid w:val="00C44407"/>
    <w:rsid w:val="00C44451"/>
    <w:rsid w:val="00C44474"/>
    <w:rsid w:val="00C444A7"/>
    <w:rsid w:val="00C4469E"/>
    <w:rsid w:val="00C446C0"/>
    <w:rsid w:val="00C44761"/>
    <w:rsid w:val="00C4478C"/>
    <w:rsid w:val="00C447B7"/>
    <w:rsid w:val="00C44847"/>
    <w:rsid w:val="00C44906"/>
    <w:rsid w:val="00C44949"/>
    <w:rsid w:val="00C44B51"/>
    <w:rsid w:val="00C44C4E"/>
    <w:rsid w:val="00C44CE3"/>
    <w:rsid w:val="00C44D12"/>
    <w:rsid w:val="00C44D63"/>
    <w:rsid w:val="00C44E1A"/>
    <w:rsid w:val="00C4508C"/>
    <w:rsid w:val="00C45191"/>
    <w:rsid w:val="00C451F2"/>
    <w:rsid w:val="00C451F6"/>
    <w:rsid w:val="00C452BE"/>
    <w:rsid w:val="00C45373"/>
    <w:rsid w:val="00C4539B"/>
    <w:rsid w:val="00C4545F"/>
    <w:rsid w:val="00C4551F"/>
    <w:rsid w:val="00C45576"/>
    <w:rsid w:val="00C455C8"/>
    <w:rsid w:val="00C45613"/>
    <w:rsid w:val="00C4566A"/>
    <w:rsid w:val="00C45676"/>
    <w:rsid w:val="00C45768"/>
    <w:rsid w:val="00C457C9"/>
    <w:rsid w:val="00C45818"/>
    <w:rsid w:val="00C458AB"/>
    <w:rsid w:val="00C459A5"/>
    <w:rsid w:val="00C45A46"/>
    <w:rsid w:val="00C45AB9"/>
    <w:rsid w:val="00C45ACF"/>
    <w:rsid w:val="00C45AD2"/>
    <w:rsid w:val="00C45B46"/>
    <w:rsid w:val="00C45C4C"/>
    <w:rsid w:val="00C45E64"/>
    <w:rsid w:val="00C4603A"/>
    <w:rsid w:val="00C46114"/>
    <w:rsid w:val="00C461E9"/>
    <w:rsid w:val="00C46327"/>
    <w:rsid w:val="00C46392"/>
    <w:rsid w:val="00C463E0"/>
    <w:rsid w:val="00C46415"/>
    <w:rsid w:val="00C46443"/>
    <w:rsid w:val="00C464CE"/>
    <w:rsid w:val="00C464D1"/>
    <w:rsid w:val="00C46549"/>
    <w:rsid w:val="00C46662"/>
    <w:rsid w:val="00C467BD"/>
    <w:rsid w:val="00C467CF"/>
    <w:rsid w:val="00C4680A"/>
    <w:rsid w:val="00C46840"/>
    <w:rsid w:val="00C468A2"/>
    <w:rsid w:val="00C468A9"/>
    <w:rsid w:val="00C46940"/>
    <w:rsid w:val="00C46A20"/>
    <w:rsid w:val="00C46B34"/>
    <w:rsid w:val="00C46B54"/>
    <w:rsid w:val="00C46C62"/>
    <w:rsid w:val="00C46CE2"/>
    <w:rsid w:val="00C46D36"/>
    <w:rsid w:val="00C46E78"/>
    <w:rsid w:val="00C47010"/>
    <w:rsid w:val="00C4708A"/>
    <w:rsid w:val="00C4708B"/>
    <w:rsid w:val="00C4709E"/>
    <w:rsid w:val="00C471B5"/>
    <w:rsid w:val="00C471D3"/>
    <w:rsid w:val="00C4732B"/>
    <w:rsid w:val="00C47484"/>
    <w:rsid w:val="00C474B6"/>
    <w:rsid w:val="00C474EE"/>
    <w:rsid w:val="00C4755B"/>
    <w:rsid w:val="00C4764D"/>
    <w:rsid w:val="00C477E2"/>
    <w:rsid w:val="00C47872"/>
    <w:rsid w:val="00C47A74"/>
    <w:rsid w:val="00C47A86"/>
    <w:rsid w:val="00C47BD2"/>
    <w:rsid w:val="00C47C06"/>
    <w:rsid w:val="00C47C38"/>
    <w:rsid w:val="00C47C82"/>
    <w:rsid w:val="00C47D0E"/>
    <w:rsid w:val="00C47D74"/>
    <w:rsid w:val="00C47D7B"/>
    <w:rsid w:val="00C47D96"/>
    <w:rsid w:val="00C47DB6"/>
    <w:rsid w:val="00C47E10"/>
    <w:rsid w:val="00C47E27"/>
    <w:rsid w:val="00C47EA7"/>
    <w:rsid w:val="00C47EB8"/>
    <w:rsid w:val="00C47EE3"/>
    <w:rsid w:val="00C47F1E"/>
    <w:rsid w:val="00C47FEE"/>
    <w:rsid w:val="00C50102"/>
    <w:rsid w:val="00C5010F"/>
    <w:rsid w:val="00C50141"/>
    <w:rsid w:val="00C5014B"/>
    <w:rsid w:val="00C50194"/>
    <w:rsid w:val="00C5019D"/>
    <w:rsid w:val="00C50228"/>
    <w:rsid w:val="00C502C7"/>
    <w:rsid w:val="00C50330"/>
    <w:rsid w:val="00C50358"/>
    <w:rsid w:val="00C50359"/>
    <w:rsid w:val="00C50446"/>
    <w:rsid w:val="00C5069C"/>
    <w:rsid w:val="00C5069E"/>
    <w:rsid w:val="00C5090A"/>
    <w:rsid w:val="00C50B05"/>
    <w:rsid w:val="00C50C79"/>
    <w:rsid w:val="00C50CCA"/>
    <w:rsid w:val="00C50CD5"/>
    <w:rsid w:val="00C50D55"/>
    <w:rsid w:val="00C50F79"/>
    <w:rsid w:val="00C50F94"/>
    <w:rsid w:val="00C510A5"/>
    <w:rsid w:val="00C51186"/>
    <w:rsid w:val="00C5120C"/>
    <w:rsid w:val="00C5124C"/>
    <w:rsid w:val="00C51311"/>
    <w:rsid w:val="00C513A3"/>
    <w:rsid w:val="00C513BA"/>
    <w:rsid w:val="00C5144A"/>
    <w:rsid w:val="00C5145A"/>
    <w:rsid w:val="00C51531"/>
    <w:rsid w:val="00C5157B"/>
    <w:rsid w:val="00C5158B"/>
    <w:rsid w:val="00C51710"/>
    <w:rsid w:val="00C5183B"/>
    <w:rsid w:val="00C5188D"/>
    <w:rsid w:val="00C51979"/>
    <w:rsid w:val="00C5198C"/>
    <w:rsid w:val="00C51A34"/>
    <w:rsid w:val="00C51AA1"/>
    <w:rsid w:val="00C51B65"/>
    <w:rsid w:val="00C51BE5"/>
    <w:rsid w:val="00C51BE7"/>
    <w:rsid w:val="00C51C92"/>
    <w:rsid w:val="00C51D2C"/>
    <w:rsid w:val="00C51F35"/>
    <w:rsid w:val="00C52121"/>
    <w:rsid w:val="00C52207"/>
    <w:rsid w:val="00C52231"/>
    <w:rsid w:val="00C52250"/>
    <w:rsid w:val="00C52269"/>
    <w:rsid w:val="00C52325"/>
    <w:rsid w:val="00C5233C"/>
    <w:rsid w:val="00C523A1"/>
    <w:rsid w:val="00C523AA"/>
    <w:rsid w:val="00C523AE"/>
    <w:rsid w:val="00C5246B"/>
    <w:rsid w:val="00C524FA"/>
    <w:rsid w:val="00C525A3"/>
    <w:rsid w:val="00C52600"/>
    <w:rsid w:val="00C5260D"/>
    <w:rsid w:val="00C52688"/>
    <w:rsid w:val="00C526DC"/>
    <w:rsid w:val="00C526ED"/>
    <w:rsid w:val="00C527B3"/>
    <w:rsid w:val="00C52908"/>
    <w:rsid w:val="00C52982"/>
    <w:rsid w:val="00C52996"/>
    <w:rsid w:val="00C529AC"/>
    <w:rsid w:val="00C52A8C"/>
    <w:rsid w:val="00C52B95"/>
    <w:rsid w:val="00C52C64"/>
    <w:rsid w:val="00C52D16"/>
    <w:rsid w:val="00C52D80"/>
    <w:rsid w:val="00C52E93"/>
    <w:rsid w:val="00C52EBA"/>
    <w:rsid w:val="00C52F05"/>
    <w:rsid w:val="00C52F07"/>
    <w:rsid w:val="00C52F79"/>
    <w:rsid w:val="00C5309C"/>
    <w:rsid w:val="00C530BF"/>
    <w:rsid w:val="00C530F5"/>
    <w:rsid w:val="00C5312A"/>
    <w:rsid w:val="00C5319B"/>
    <w:rsid w:val="00C531E2"/>
    <w:rsid w:val="00C53301"/>
    <w:rsid w:val="00C53316"/>
    <w:rsid w:val="00C5337F"/>
    <w:rsid w:val="00C533CB"/>
    <w:rsid w:val="00C53400"/>
    <w:rsid w:val="00C53402"/>
    <w:rsid w:val="00C53586"/>
    <w:rsid w:val="00C5361A"/>
    <w:rsid w:val="00C53675"/>
    <w:rsid w:val="00C53676"/>
    <w:rsid w:val="00C536B5"/>
    <w:rsid w:val="00C53734"/>
    <w:rsid w:val="00C53827"/>
    <w:rsid w:val="00C539C5"/>
    <w:rsid w:val="00C53AB1"/>
    <w:rsid w:val="00C53B99"/>
    <w:rsid w:val="00C53BB1"/>
    <w:rsid w:val="00C53BF3"/>
    <w:rsid w:val="00C53C3E"/>
    <w:rsid w:val="00C53C62"/>
    <w:rsid w:val="00C53D6B"/>
    <w:rsid w:val="00C53D8C"/>
    <w:rsid w:val="00C53E38"/>
    <w:rsid w:val="00C53EA6"/>
    <w:rsid w:val="00C54131"/>
    <w:rsid w:val="00C54349"/>
    <w:rsid w:val="00C544A9"/>
    <w:rsid w:val="00C544FC"/>
    <w:rsid w:val="00C5469A"/>
    <w:rsid w:val="00C547A8"/>
    <w:rsid w:val="00C54892"/>
    <w:rsid w:val="00C549E9"/>
    <w:rsid w:val="00C54A2F"/>
    <w:rsid w:val="00C54B77"/>
    <w:rsid w:val="00C54BD5"/>
    <w:rsid w:val="00C54C55"/>
    <w:rsid w:val="00C54C72"/>
    <w:rsid w:val="00C54CF6"/>
    <w:rsid w:val="00C54DB9"/>
    <w:rsid w:val="00C54DE8"/>
    <w:rsid w:val="00C54F4E"/>
    <w:rsid w:val="00C54F92"/>
    <w:rsid w:val="00C55034"/>
    <w:rsid w:val="00C55049"/>
    <w:rsid w:val="00C5520E"/>
    <w:rsid w:val="00C552C6"/>
    <w:rsid w:val="00C55434"/>
    <w:rsid w:val="00C5543B"/>
    <w:rsid w:val="00C55440"/>
    <w:rsid w:val="00C55554"/>
    <w:rsid w:val="00C55586"/>
    <w:rsid w:val="00C55633"/>
    <w:rsid w:val="00C5573C"/>
    <w:rsid w:val="00C557FD"/>
    <w:rsid w:val="00C55801"/>
    <w:rsid w:val="00C5583B"/>
    <w:rsid w:val="00C55856"/>
    <w:rsid w:val="00C558BF"/>
    <w:rsid w:val="00C55904"/>
    <w:rsid w:val="00C55958"/>
    <w:rsid w:val="00C559AC"/>
    <w:rsid w:val="00C55B36"/>
    <w:rsid w:val="00C55C99"/>
    <w:rsid w:val="00C55D08"/>
    <w:rsid w:val="00C55DBE"/>
    <w:rsid w:val="00C55E25"/>
    <w:rsid w:val="00C55E44"/>
    <w:rsid w:val="00C55EB4"/>
    <w:rsid w:val="00C55EE8"/>
    <w:rsid w:val="00C55FF4"/>
    <w:rsid w:val="00C5603B"/>
    <w:rsid w:val="00C561FA"/>
    <w:rsid w:val="00C5621B"/>
    <w:rsid w:val="00C56365"/>
    <w:rsid w:val="00C564FE"/>
    <w:rsid w:val="00C56501"/>
    <w:rsid w:val="00C5657F"/>
    <w:rsid w:val="00C565EF"/>
    <w:rsid w:val="00C5660B"/>
    <w:rsid w:val="00C566F8"/>
    <w:rsid w:val="00C5670F"/>
    <w:rsid w:val="00C56725"/>
    <w:rsid w:val="00C5674C"/>
    <w:rsid w:val="00C5678D"/>
    <w:rsid w:val="00C569CB"/>
    <w:rsid w:val="00C56A0B"/>
    <w:rsid w:val="00C56A7C"/>
    <w:rsid w:val="00C56B43"/>
    <w:rsid w:val="00C56B5A"/>
    <w:rsid w:val="00C56B7E"/>
    <w:rsid w:val="00C56C1C"/>
    <w:rsid w:val="00C56D47"/>
    <w:rsid w:val="00C56D7F"/>
    <w:rsid w:val="00C56EB0"/>
    <w:rsid w:val="00C56F7D"/>
    <w:rsid w:val="00C56FBA"/>
    <w:rsid w:val="00C56FCD"/>
    <w:rsid w:val="00C56FD1"/>
    <w:rsid w:val="00C57218"/>
    <w:rsid w:val="00C57242"/>
    <w:rsid w:val="00C572F1"/>
    <w:rsid w:val="00C572FF"/>
    <w:rsid w:val="00C5735E"/>
    <w:rsid w:val="00C57385"/>
    <w:rsid w:val="00C57521"/>
    <w:rsid w:val="00C57526"/>
    <w:rsid w:val="00C57584"/>
    <w:rsid w:val="00C57704"/>
    <w:rsid w:val="00C57721"/>
    <w:rsid w:val="00C5776B"/>
    <w:rsid w:val="00C577E7"/>
    <w:rsid w:val="00C578BC"/>
    <w:rsid w:val="00C57930"/>
    <w:rsid w:val="00C57A1F"/>
    <w:rsid w:val="00C57A7C"/>
    <w:rsid w:val="00C57A83"/>
    <w:rsid w:val="00C57AFD"/>
    <w:rsid w:val="00C57C04"/>
    <w:rsid w:val="00C57DA8"/>
    <w:rsid w:val="00C57DF1"/>
    <w:rsid w:val="00C57E0A"/>
    <w:rsid w:val="00C57E4F"/>
    <w:rsid w:val="00C57F53"/>
    <w:rsid w:val="00C57FF0"/>
    <w:rsid w:val="00C600DA"/>
    <w:rsid w:val="00C6022B"/>
    <w:rsid w:val="00C6026C"/>
    <w:rsid w:val="00C602D0"/>
    <w:rsid w:val="00C60427"/>
    <w:rsid w:val="00C6076F"/>
    <w:rsid w:val="00C6079E"/>
    <w:rsid w:val="00C607AF"/>
    <w:rsid w:val="00C60848"/>
    <w:rsid w:val="00C60849"/>
    <w:rsid w:val="00C60A41"/>
    <w:rsid w:val="00C60B2D"/>
    <w:rsid w:val="00C60B74"/>
    <w:rsid w:val="00C60B78"/>
    <w:rsid w:val="00C60BD6"/>
    <w:rsid w:val="00C60D26"/>
    <w:rsid w:val="00C60DC1"/>
    <w:rsid w:val="00C60E4B"/>
    <w:rsid w:val="00C60E51"/>
    <w:rsid w:val="00C60E7B"/>
    <w:rsid w:val="00C60E81"/>
    <w:rsid w:val="00C60F19"/>
    <w:rsid w:val="00C60F96"/>
    <w:rsid w:val="00C60FDB"/>
    <w:rsid w:val="00C61031"/>
    <w:rsid w:val="00C61080"/>
    <w:rsid w:val="00C61097"/>
    <w:rsid w:val="00C610AD"/>
    <w:rsid w:val="00C61212"/>
    <w:rsid w:val="00C61255"/>
    <w:rsid w:val="00C612C3"/>
    <w:rsid w:val="00C61492"/>
    <w:rsid w:val="00C61561"/>
    <w:rsid w:val="00C6162A"/>
    <w:rsid w:val="00C61636"/>
    <w:rsid w:val="00C616B8"/>
    <w:rsid w:val="00C616E4"/>
    <w:rsid w:val="00C6170C"/>
    <w:rsid w:val="00C617F9"/>
    <w:rsid w:val="00C6185B"/>
    <w:rsid w:val="00C6194C"/>
    <w:rsid w:val="00C61B3B"/>
    <w:rsid w:val="00C61B55"/>
    <w:rsid w:val="00C61B9F"/>
    <w:rsid w:val="00C61CAE"/>
    <w:rsid w:val="00C61CE5"/>
    <w:rsid w:val="00C61D04"/>
    <w:rsid w:val="00C61D0C"/>
    <w:rsid w:val="00C61D15"/>
    <w:rsid w:val="00C61D20"/>
    <w:rsid w:val="00C61F40"/>
    <w:rsid w:val="00C620C9"/>
    <w:rsid w:val="00C62144"/>
    <w:rsid w:val="00C621B9"/>
    <w:rsid w:val="00C622D7"/>
    <w:rsid w:val="00C6233E"/>
    <w:rsid w:val="00C624E3"/>
    <w:rsid w:val="00C625CC"/>
    <w:rsid w:val="00C62767"/>
    <w:rsid w:val="00C629C9"/>
    <w:rsid w:val="00C62A18"/>
    <w:rsid w:val="00C62AAB"/>
    <w:rsid w:val="00C62B30"/>
    <w:rsid w:val="00C62BAC"/>
    <w:rsid w:val="00C62C2B"/>
    <w:rsid w:val="00C62C7E"/>
    <w:rsid w:val="00C62CE5"/>
    <w:rsid w:val="00C62D61"/>
    <w:rsid w:val="00C62DFC"/>
    <w:rsid w:val="00C62E07"/>
    <w:rsid w:val="00C62E43"/>
    <w:rsid w:val="00C62E8A"/>
    <w:rsid w:val="00C62FF3"/>
    <w:rsid w:val="00C6303B"/>
    <w:rsid w:val="00C63061"/>
    <w:rsid w:val="00C630BA"/>
    <w:rsid w:val="00C630FE"/>
    <w:rsid w:val="00C63375"/>
    <w:rsid w:val="00C6340E"/>
    <w:rsid w:val="00C63443"/>
    <w:rsid w:val="00C6351C"/>
    <w:rsid w:val="00C6355D"/>
    <w:rsid w:val="00C63565"/>
    <w:rsid w:val="00C63570"/>
    <w:rsid w:val="00C635CE"/>
    <w:rsid w:val="00C6377F"/>
    <w:rsid w:val="00C63886"/>
    <w:rsid w:val="00C63939"/>
    <w:rsid w:val="00C63A2E"/>
    <w:rsid w:val="00C63A82"/>
    <w:rsid w:val="00C63B2A"/>
    <w:rsid w:val="00C63BA1"/>
    <w:rsid w:val="00C63C76"/>
    <w:rsid w:val="00C63C8A"/>
    <w:rsid w:val="00C63C8F"/>
    <w:rsid w:val="00C63D03"/>
    <w:rsid w:val="00C63D64"/>
    <w:rsid w:val="00C63DC6"/>
    <w:rsid w:val="00C63E80"/>
    <w:rsid w:val="00C63F55"/>
    <w:rsid w:val="00C640D2"/>
    <w:rsid w:val="00C640EA"/>
    <w:rsid w:val="00C64128"/>
    <w:rsid w:val="00C64197"/>
    <w:rsid w:val="00C64308"/>
    <w:rsid w:val="00C64461"/>
    <w:rsid w:val="00C6449A"/>
    <w:rsid w:val="00C644C0"/>
    <w:rsid w:val="00C644EB"/>
    <w:rsid w:val="00C64749"/>
    <w:rsid w:val="00C647FA"/>
    <w:rsid w:val="00C64867"/>
    <w:rsid w:val="00C64942"/>
    <w:rsid w:val="00C649FE"/>
    <w:rsid w:val="00C64A3A"/>
    <w:rsid w:val="00C64A3C"/>
    <w:rsid w:val="00C64A68"/>
    <w:rsid w:val="00C64BA0"/>
    <w:rsid w:val="00C64C57"/>
    <w:rsid w:val="00C64CAE"/>
    <w:rsid w:val="00C64D06"/>
    <w:rsid w:val="00C64FDB"/>
    <w:rsid w:val="00C6512A"/>
    <w:rsid w:val="00C651B7"/>
    <w:rsid w:val="00C651E1"/>
    <w:rsid w:val="00C65257"/>
    <w:rsid w:val="00C653D7"/>
    <w:rsid w:val="00C65415"/>
    <w:rsid w:val="00C65569"/>
    <w:rsid w:val="00C655B1"/>
    <w:rsid w:val="00C655FF"/>
    <w:rsid w:val="00C656C2"/>
    <w:rsid w:val="00C65702"/>
    <w:rsid w:val="00C65789"/>
    <w:rsid w:val="00C657B4"/>
    <w:rsid w:val="00C658CA"/>
    <w:rsid w:val="00C658EF"/>
    <w:rsid w:val="00C65973"/>
    <w:rsid w:val="00C659CA"/>
    <w:rsid w:val="00C65A9B"/>
    <w:rsid w:val="00C65B15"/>
    <w:rsid w:val="00C65D17"/>
    <w:rsid w:val="00C65D32"/>
    <w:rsid w:val="00C65D8E"/>
    <w:rsid w:val="00C65E25"/>
    <w:rsid w:val="00C66054"/>
    <w:rsid w:val="00C66082"/>
    <w:rsid w:val="00C66099"/>
    <w:rsid w:val="00C660AE"/>
    <w:rsid w:val="00C660F5"/>
    <w:rsid w:val="00C661FB"/>
    <w:rsid w:val="00C6628B"/>
    <w:rsid w:val="00C66404"/>
    <w:rsid w:val="00C6640B"/>
    <w:rsid w:val="00C66426"/>
    <w:rsid w:val="00C66553"/>
    <w:rsid w:val="00C66570"/>
    <w:rsid w:val="00C66626"/>
    <w:rsid w:val="00C666E8"/>
    <w:rsid w:val="00C66738"/>
    <w:rsid w:val="00C66782"/>
    <w:rsid w:val="00C66788"/>
    <w:rsid w:val="00C6679C"/>
    <w:rsid w:val="00C66900"/>
    <w:rsid w:val="00C66919"/>
    <w:rsid w:val="00C66975"/>
    <w:rsid w:val="00C6699D"/>
    <w:rsid w:val="00C669B7"/>
    <w:rsid w:val="00C669BD"/>
    <w:rsid w:val="00C66A7E"/>
    <w:rsid w:val="00C66AAC"/>
    <w:rsid w:val="00C66B11"/>
    <w:rsid w:val="00C66E16"/>
    <w:rsid w:val="00C66F9B"/>
    <w:rsid w:val="00C67155"/>
    <w:rsid w:val="00C671DA"/>
    <w:rsid w:val="00C6720B"/>
    <w:rsid w:val="00C67246"/>
    <w:rsid w:val="00C67334"/>
    <w:rsid w:val="00C6738D"/>
    <w:rsid w:val="00C673EF"/>
    <w:rsid w:val="00C67456"/>
    <w:rsid w:val="00C674C9"/>
    <w:rsid w:val="00C67550"/>
    <w:rsid w:val="00C6762C"/>
    <w:rsid w:val="00C67639"/>
    <w:rsid w:val="00C6766B"/>
    <w:rsid w:val="00C676DA"/>
    <w:rsid w:val="00C677A8"/>
    <w:rsid w:val="00C67916"/>
    <w:rsid w:val="00C6796F"/>
    <w:rsid w:val="00C679F5"/>
    <w:rsid w:val="00C67A51"/>
    <w:rsid w:val="00C67A6F"/>
    <w:rsid w:val="00C67ABB"/>
    <w:rsid w:val="00C67C7E"/>
    <w:rsid w:val="00C67D24"/>
    <w:rsid w:val="00C67D78"/>
    <w:rsid w:val="00C67DBE"/>
    <w:rsid w:val="00C67DF9"/>
    <w:rsid w:val="00C67F04"/>
    <w:rsid w:val="00C67F8B"/>
    <w:rsid w:val="00C67F9D"/>
    <w:rsid w:val="00C700D0"/>
    <w:rsid w:val="00C701D5"/>
    <w:rsid w:val="00C702D4"/>
    <w:rsid w:val="00C70345"/>
    <w:rsid w:val="00C70493"/>
    <w:rsid w:val="00C704CE"/>
    <w:rsid w:val="00C7057A"/>
    <w:rsid w:val="00C70683"/>
    <w:rsid w:val="00C70699"/>
    <w:rsid w:val="00C70891"/>
    <w:rsid w:val="00C7097E"/>
    <w:rsid w:val="00C70992"/>
    <w:rsid w:val="00C70999"/>
    <w:rsid w:val="00C70A7A"/>
    <w:rsid w:val="00C70A8B"/>
    <w:rsid w:val="00C70D0B"/>
    <w:rsid w:val="00C70D25"/>
    <w:rsid w:val="00C70D43"/>
    <w:rsid w:val="00C70E62"/>
    <w:rsid w:val="00C70F9A"/>
    <w:rsid w:val="00C70FFB"/>
    <w:rsid w:val="00C711D4"/>
    <w:rsid w:val="00C71270"/>
    <w:rsid w:val="00C71328"/>
    <w:rsid w:val="00C71502"/>
    <w:rsid w:val="00C71525"/>
    <w:rsid w:val="00C717BE"/>
    <w:rsid w:val="00C71802"/>
    <w:rsid w:val="00C71895"/>
    <w:rsid w:val="00C719A9"/>
    <w:rsid w:val="00C71A29"/>
    <w:rsid w:val="00C71B05"/>
    <w:rsid w:val="00C71B3C"/>
    <w:rsid w:val="00C71C3F"/>
    <w:rsid w:val="00C71C48"/>
    <w:rsid w:val="00C71C54"/>
    <w:rsid w:val="00C71E20"/>
    <w:rsid w:val="00C71E5B"/>
    <w:rsid w:val="00C71F5A"/>
    <w:rsid w:val="00C71FAA"/>
    <w:rsid w:val="00C71FF4"/>
    <w:rsid w:val="00C72059"/>
    <w:rsid w:val="00C72065"/>
    <w:rsid w:val="00C720C5"/>
    <w:rsid w:val="00C721B9"/>
    <w:rsid w:val="00C721BD"/>
    <w:rsid w:val="00C721C2"/>
    <w:rsid w:val="00C721F8"/>
    <w:rsid w:val="00C722E2"/>
    <w:rsid w:val="00C722FC"/>
    <w:rsid w:val="00C7231E"/>
    <w:rsid w:val="00C72332"/>
    <w:rsid w:val="00C723B7"/>
    <w:rsid w:val="00C72490"/>
    <w:rsid w:val="00C724C3"/>
    <w:rsid w:val="00C72537"/>
    <w:rsid w:val="00C72608"/>
    <w:rsid w:val="00C72624"/>
    <w:rsid w:val="00C7275E"/>
    <w:rsid w:val="00C728AE"/>
    <w:rsid w:val="00C72933"/>
    <w:rsid w:val="00C729DC"/>
    <w:rsid w:val="00C72BE0"/>
    <w:rsid w:val="00C72D98"/>
    <w:rsid w:val="00C73026"/>
    <w:rsid w:val="00C7303C"/>
    <w:rsid w:val="00C73059"/>
    <w:rsid w:val="00C730F9"/>
    <w:rsid w:val="00C73182"/>
    <w:rsid w:val="00C73200"/>
    <w:rsid w:val="00C7322B"/>
    <w:rsid w:val="00C732AE"/>
    <w:rsid w:val="00C733AC"/>
    <w:rsid w:val="00C73609"/>
    <w:rsid w:val="00C73660"/>
    <w:rsid w:val="00C736EE"/>
    <w:rsid w:val="00C73802"/>
    <w:rsid w:val="00C7394C"/>
    <w:rsid w:val="00C73950"/>
    <w:rsid w:val="00C73975"/>
    <w:rsid w:val="00C73A5B"/>
    <w:rsid w:val="00C73C4E"/>
    <w:rsid w:val="00C73C66"/>
    <w:rsid w:val="00C73D25"/>
    <w:rsid w:val="00C73D30"/>
    <w:rsid w:val="00C73D8C"/>
    <w:rsid w:val="00C74037"/>
    <w:rsid w:val="00C741FB"/>
    <w:rsid w:val="00C741FE"/>
    <w:rsid w:val="00C7423B"/>
    <w:rsid w:val="00C74242"/>
    <w:rsid w:val="00C74343"/>
    <w:rsid w:val="00C7439A"/>
    <w:rsid w:val="00C74428"/>
    <w:rsid w:val="00C7446F"/>
    <w:rsid w:val="00C7447E"/>
    <w:rsid w:val="00C744F5"/>
    <w:rsid w:val="00C74576"/>
    <w:rsid w:val="00C745FE"/>
    <w:rsid w:val="00C7470F"/>
    <w:rsid w:val="00C74819"/>
    <w:rsid w:val="00C7490A"/>
    <w:rsid w:val="00C7492D"/>
    <w:rsid w:val="00C74AB0"/>
    <w:rsid w:val="00C74AF4"/>
    <w:rsid w:val="00C74B9A"/>
    <w:rsid w:val="00C74C43"/>
    <w:rsid w:val="00C74C84"/>
    <w:rsid w:val="00C74CAC"/>
    <w:rsid w:val="00C74CDD"/>
    <w:rsid w:val="00C74D29"/>
    <w:rsid w:val="00C74E1E"/>
    <w:rsid w:val="00C74F5C"/>
    <w:rsid w:val="00C74F71"/>
    <w:rsid w:val="00C74FDB"/>
    <w:rsid w:val="00C7508B"/>
    <w:rsid w:val="00C751D7"/>
    <w:rsid w:val="00C75210"/>
    <w:rsid w:val="00C75281"/>
    <w:rsid w:val="00C752BC"/>
    <w:rsid w:val="00C752D4"/>
    <w:rsid w:val="00C7530C"/>
    <w:rsid w:val="00C7532D"/>
    <w:rsid w:val="00C753D3"/>
    <w:rsid w:val="00C75473"/>
    <w:rsid w:val="00C7548D"/>
    <w:rsid w:val="00C754B2"/>
    <w:rsid w:val="00C755E4"/>
    <w:rsid w:val="00C75710"/>
    <w:rsid w:val="00C75766"/>
    <w:rsid w:val="00C7579F"/>
    <w:rsid w:val="00C7588F"/>
    <w:rsid w:val="00C7593C"/>
    <w:rsid w:val="00C75B31"/>
    <w:rsid w:val="00C75B5B"/>
    <w:rsid w:val="00C75CEF"/>
    <w:rsid w:val="00C75D35"/>
    <w:rsid w:val="00C75E6E"/>
    <w:rsid w:val="00C75E9E"/>
    <w:rsid w:val="00C75EAA"/>
    <w:rsid w:val="00C7603E"/>
    <w:rsid w:val="00C76087"/>
    <w:rsid w:val="00C760A0"/>
    <w:rsid w:val="00C760DF"/>
    <w:rsid w:val="00C7610F"/>
    <w:rsid w:val="00C7627D"/>
    <w:rsid w:val="00C762DB"/>
    <w:rsid w:val="00C7631B"/>
    <w:rsid w:val="00C76389"/>
    <w:rsid w:val="00C764E7"/>
    <w:rsid w:val="00C7654B"/>
    <w:rsid w:val="00C7655F"/>
    <w:rsid w:val="00C76560"/>
    <w:rsid w:val="00C76570"/>
    <w:rsid w:val="00C7659F"/>
    <w:rsid w:val="00C765E8"/>
    <w:rsid w:val="00C7660F"/>
    <w:rsid w:val="00C76728"/>
    <w:rsid w:val="00C7674A"/>
    <w:rsid w:val="00C76789"/>
    <w:rsid w:val="00C7678F"/>
    <w:rsid w:val="00C76790"/>
    <w:rsid w:val="00C767C4"/>
    <w:rsid w:val="00C7690C"/>
    <w:rsid w:val="00C769A0"/>
    <w:rsid w:val="00C76BD7"/>
    <w:rsid w:val="00C76BE9"/>
    <w:rsid w:val="00C76C16"/>
    <w:rsid w:val="00C76C73"/>
    <w:rsid w:val="00C76C75"/>
    <w:rsid w:val="00C76E0F"/>
    <w:rsid w:val="00C76EBD"/>
    <w:rsid w:val="00C76ED7"/>
    <w:rsid w:val="00C76FB5"/>
    <w:rsid w:val="00C76FC4"/>
    <w:rsid w:val="00C76FF1"/>
    <w:rsid w:val="00C7701C"/>
    <w:rsid w:val="00C77024"/>
    <w:rsid w:val="00C770C5"/>
    <w:rsid w:val="00C771B3"/>
    <w:rsid w:val="00C7722C"/>
    <w:rsid w:val="00C77409"/>
    <w:rsid w:val="00C77532"/>
    <w:rsid w:val="00C77541"/>
    <w:rsid w:val="00C7788B"/>
    <w:rsid w:val="00C77A3B"/>
    <w:rsid w:val="00C77A43"/>
    <w:rsid w:val="00C77A4B"/>
    <w:rsid w:val="00C77AF3"/>
    <w:rsid w:val="00C77B18"/>
    <w:rsid w:val="00C77B20"/>
    <w:rsid w:val="00C77BF5"/>
    <w:rsid w:val="00C77CF9"/>
    <w:rsid w:val="00C77D52"/>
    <w:rsid w:val="00C77E1E"/>
    <w:rsid w:val="00C77EEC"/>
    <w:rsid w:val="00C77FA1"/>
    <w:rsid w:val="00C800DF"/>
    <w:rsid w:val="00C80171"/>
    <w:rsid w:val="00C80206"/>
    <w:rsid w:val="00C80277"/>
    <w:rsid w:val="00C80288"/>
    <w:rsid w:val="00C8030A"/>
    <w:rsid w:val="00C80377"/>
    <w:rsid w:val="00C80508"/>
    <w:rsid w:val="00C80523"/>
    <w:rsid w:val="00C80596"/>
    <w:rsid w:val="00C80682"/>
    <w:rsid w:val="00C80734"/>
    <w:rsid w:val="00C8093C"/>
    <w:rsid w:val="00C80980"/>
    <w:rsid w:val="00C80A65"/>
    <w:rsid w:val="00C80AA6"/>
    <w:rsid w:val="00C80B13"/>
    <w:rsid w:val="00C80B7F"/>
    <w:rsid w:val="00C80CC4"/>
    <w:rsid w:val="00C80DAF"/>
    <w:rsid w:val="00C80F03"/>
    <w:rsid w:val="00C8102A"/>
    <w:rsid w:val="00C810E6"/>
    <w:rsid w:val="00C812A4"/>
    <w:rsid w:val="00C81682"/>
    <w:rsid w:val="00C816BF"/>
    <w:rsid w:val="00C8171E"/>
    <w:rsid w:val="00C8177D"/>
    <w:rsid w:val="00C817C3"/>
    <w:rsid w:val="00C8198E"/>
    <w:rsid w:val="00C81AB5"/>
    <w:rsid w:val="00C81AC8"/>
    <w:rsid w:val="00C81B4D"/>
    <w:rsid w:val="00C81B5B"/>
    <w:rsid w:val="00C81BB3"/>
    <w:rsid w:val="00C81D29"/>
    <w:rsid w:val="00C81E3C"/>
    <w:rsid w:val="00C81F97"/>
    <w:rsid w:val="00C81FA9"/>
    <w:rsid w:val="00C8204C"/>
    <w:rsid w:val="00C82117"/>
    <w:rsid w:val="00C82169"/>
    <w:rsid w:val="00C822D8"/>
    <w:rsid w:val="00C823F7"/>
    <w:rsid w:val="00C8241F"/>
    <w:rsid w:val="00C824DF"/>
    <w:rsid w:val="00C824F1"/>
    <w:rsid w:val="00C82510"/>
    <w:rsid w:val="00C827AA"/>
    <w:rsid w:val="00C827B9"/>
    <w:rsid w:val="00C827E7"/>
    <w:rsid w:val="00C828D4"/>
    <w:rsid w:val="00C8295C"/>
    <w:rsid w:val="00C82960"/>
    <w:rsid w:val="00C829BA"/>
    <w:rsid w:val="00C82A81"/>
    <w:rsid w:val="00C82C30"/>
    <w:rsid w:val="00C82D57"/>
    <w:rsid w:val="00C82DAD"/>
    <w:rsid w:val="00C82E01"/>
    <w:rsid w:val="00C82E60"/>
    <w:rsid w:val="00C82ED7"/>
    <w:rsid w:val="00C82F13"/>
    <w:rsid w:val="00C82F86"/>
    <w:rsid w:val="00C831E5"/>
    <w:rsid w:val="00C832B3"/>
    <w:rsid w:val="00C83318"/>
    <w:rsid w:val="00C833D8"/>
    <w:rsid w:val="00C83422"/>
    <w:rsid w:val="00C834C0"/>
    <w:rsid w:val="00C834C2"/>
    <w:rsid w:val="00C834D4"/>
    <w:rsid w:val="00C83544"/>
    <w:rsid w:val="00C835F9"/>
    <w:rsid w:val="00C83671"/>
    <w:rsid w:val="00C836A0"/>
    <w:rsid w:val="00C83831"/>
    <w:rsid w:val="00C8386E"/>
    <w:rsid w:val="00C838DB"/>
    <w:rsid w:val="00C839A5"/>
    <w:rsid w:val="00C839C8"/>
    <w:rsid w:val="00C839F3"/>
    <w:rsid w:val="00C83A69"/>
    <w:rsid w:val="00C83B96"/>
    <w:rsid w:val="00C83C80"/>
    <w:rsid w:val="00C83E78"/>
    <w:rsid w:val="00C83EEC"/>
    <w:rsid w:val="00C83FB6"/>
    <w:rsid w:val="00C8408E"/>
    <w:rsid w:val="00C840C1"/>
    <w:rsid w:val="00C840D9"/>
    <w:rsid w:val="00C8414C"/>
    <w:rsid w:val="00C84284"/>
    <w:rsid w:val="00C8438E"/>
    <w:rsid w:val="00C843FA"/>
    <w:rsid w:val="00C844B2"/>
    <w:rsid w:val="00C846C2"/>
    <w:rsid w:val="00C846D3"/>
    <w:rsid w:val="00C848B6"/>
    <w:rsid w:val="00C848DB"/>
    <w:rsid w:val="00C849E7"/>
    <w:rsid w:val="00C84B26"/>
    <w:rsid w:val="00C84BEA"/>
    <w:rsid w:val="00C84C7B"/>
    <w:rsid w:val="00C84D0C"/>
    <w:rsid w:val="00C84FF5"/>
    <w:rsid w:val="00C85019"/>
    <w:rsid w:val="00C85055"/>
    <w:rsid w:val="00C85127"/>
    <w:rsid w:val="00C851CB"/>
    <w:rsid w:val="00C85211"/>
    <w:rsid w:val="00C85221"/>
    <w:rsid w:val="00C85245"/>
    <w:rsid w:val="00C852CD"/>
    <w:rsid w:val="00C852EB"/>
    <w:rsid w:val="00C853B9"/>
    <w:rsid w:val="00C853FD"/>
    <w:rsid w:val="00C85417"/>
    <w:rsid w:val="00C8541E"/>
    <w:rsid w:val="00C854AD"/>
    <w:rsid w:val="00C854FE"/>
    <w:rsid w:val="00C856FC"/>
    <w:rsid w:val="00C85744"/>
    <w:rsid w:val="00C8577B"/>
    <w:rsid w:val="00C8586B"/>
    <w:rsid w:val="00C85881"/>
    <w:rsid w:val="00C85888"/>
    <w:rsid w:val="00C858C8"/>
    <w:rsid w:val="00C859FD"/>
    <w:rsid w:val="00C85B21"/>
    <w:rsid w:val="00C85BAC"/>
    <w:rsid w:val="00C85C4F"/>
    <w:rsid w:val="00C85CA2"/>
    <w:rsid w:val="00C85CD7"/>
    <w:rsid w:val="00C85F61"/>
    <w:rsid w:val="00C85F74"/>
    <w:rsid w:val="00C860C4"/>
    <w:rsid w:val="00C860E5"/>
    <w:rsid w:val="00C861B5"/>
    <w:rsid w:val="00C86265"/>
    <w:rsid w:val="00C8632B"/>
    <w:rsid w:val="00C86342"/>
    <w:rsid w:val="00C8637A"/>
    <w:rsid w:val="00C8656E"/>
    <w:rsid w:val="00C8658E"/>
    <w:rsid w:val="00C865C3"/>
    <w:rsid w:val="00C86654"/>
    <w:rsid w:val="00C86662"/>
    <w:rsid w:val="00C8666D"/>
    <w:rsid w:val="00C86675"/>
    <w:rsid w:val="00C866A5"/>
    <w:rsid w:val="00C8671C"/>
    <w:rsid w:val="00C8672B"/>
    <w:rsid w:val="00C8674D"/>
    <w:rsid w:val="00C86781"/>
    <w:rsid w:val="00C867F4"/>
    <w:rsid w:val="00C868A7"/>
    <w:rsid w:val="00C8693F"/>
    <w:rsid w:val="00C86A43"/>
    <w:rsid w:val="00C86A64"/>
    <w:rsid w:val="00C86BD9"/>
    <w:rsid w:val="00C86C4A"/>
    <w:rsid w:val="00C86C53"/>
    <w:rsid w:val="00C86CF8"/>
    <w:rsid w:val="00C86D53"/>
    <w:rsid w:val="00C86D76"/>
    <w:rsid w:val="00C86DB4"/>
    <w:rsid w:val="00C86DF9"/>
    <w:rsid w:val="00C86E14"/>
    <w:rsid w:val="00C86EB7"/>
    <w:rsid w:val="00C86EC7"/>
    <w:rsid w:val="00C86FCF"/>
    <w:rsid w:val="00C8708A"/>
    <w:rsid w:val="00C87169"/>
    <w:rsid w:val="00C871A3"/>
    <w:rsid w:val="00C871C7"/>
    <w:rsid w:val="00C872A0"/>
    <w:rsid w:val="00C87337"/>
    <w:rsid w:val="00C875AA"/>
    <w:rsid w:val="00C875C3"/>
    <w:rsid w:val="00C87705"/>
    <w:rsid w:val="00C87768"/>
    <w:rsid w:val="00C878CE"/>
    <w:rsid w:val="00C87924"/>
    <w:rsid w:val="00C879B7"/>
    <w:rsid w:val="00C87AA3"/>
    <w:rsid w:val="00C87B47"/>
    <w:rsid w:val="00C87C7A"/>
    <w:rsid w:val="00C87D1B"/>
    <w:rsid w:val="00C87E5F"/>
    <w:rsid w:val="00C87F53"/>
    <w:rsid w:val="00C90111"/>
    <w:rsid w:val="00C9011F"/>
    <w:rsid w:val="00C901DF"/>
    <w:rsid w:val="00C90278"/>
    <w:rsid w:val="00C90339"/>
    <w:rsid w:val="00C903CF"/>
    <w:rsid w:val="00C9050E"/>
    <w:rsid w:val="00C9051E"/>
    <w:rsid w:val="00C9068E"/>
    <w:rsid w:val="00C906C6"/>
    <w:rsid w:val="00C9083C"/>
    <w:rsid w:val="00C90846"/>
    <w:rsid w:val="00C90872"/>
    <w:rsid w:val="00C908BB"/>
    <w:rsid w:val="00C908C9"/>
    <w:rsid w:val="00C908CB"/>
    <w:rsid w:val="00C90A35"/>
    <w:rsid w:val="00C90BC0"/>
    <w:rsid w:val="00C90BDA"/>
    <w:rsid w:val="00C90C7B"/>
    <w:rsid w:val="00C90CD6"/>
    <w:rsid w:val="00C90D01"/>
    <w:rsid w:val="00C90DED"/>
    <w:rsid w:val="00C90E3A"/>
    <w:rsid w:val="00C90ECB"/>
    <w:rsid w:val="00C90F79"/>
    <w:rsid w:val="00C90FD6"/>
    <w:rsid w:val="00C90FD8"/>
    <w:rsid w:val="00C91007"/>
    <w:rsid w:val="00C91103"/>
    <w:rsid w:val="00C91147"/>
    <w:rsid w:val="00C91186"/>
    <w:rsid w:val="00C911CF"/>
    <w:rsid w:val="00C9122F"/>
    <w:rsid w:val="00C9123E"/>
    <w:rsid w:val="00C91464"/>
    <w:rsid w:val="00C914B6"/>
    <w:rsid w:val="00C914C8"/>
    <w:rsid w:val="00C91619"/>
    <w:rsid w:val="00C91651"/>
    <w:rsid w:val="00C9165D"/>
    <w:rsid w:val="00C91726"/>
    <w:rsid w:val="00C9178B"/>
    <w:rsid w:val="00C917B0"/>
    <w:rsid w:val="00C91830"/>
    <w:rsid w:val="00C918DA"/>
    <w:rsid w:val="00C918F7"/>
    <w:rsid w:val="00C91926"/>
    <w:rsid w:val="00C919CC"/>
    <w:rsid w:val="00C919D0"/>
    <w:rsid w:val="00C91B34"/>
    <w:rsid w:val="00C91B65"/>
    <w:rsid w:val="00C91CB9"/>
    <w:rsid w:val="00C91E3C"/>
    <w:rsid w:val="00C92093"/>
    <w:rsid w:val="00C92174"/>
    <w:rsid w:val="00C921B9"/>
    <w:rsid w:val="00C9233E"/>
    <w:rsid w:val="00C92386"/>
    <w:rsid w:val="00C923BF"/>
    <w:rsid w:val="00C924DD"/>
    <w:rsid w:val="00C92686"/>
    <w:rsid w:val="00C92698"/>
    <w:rsid w:val="00C9269F"/>
    <w:rsid w:val="00C928C9"/>
    <w:rsid w:val="00C928EF"/>
    <w:rsid w:val="00C92AEA"/>
    <w:rsid w:val="00C92B4D"/>
    <w:rsid w:val="00C92B6F"/>
    <w:rsid w:val="00C92B9E"/>
    <w:rsid w:val="00C92DA4"/>
    <w:rsid w:val="00C92E31"/>
    <w:rsid w:val="00C92E6C"/>
    <w:rsid w:val="00C93133"/>
    <w:rsid w:val="00C931E7"/>
    <w:rsid w:val="00C9321F"/>
    <w:rsid w:val="00C93303"/>
    <w:rsid w:val="00C93413"/>
    <w:rsid w:val="00C93444"/>
    <w:rsid w:val="00C93449"/>
    <w:rsid w:val="00C9352E"/>
    <w:rsid w:val="00C93678"/>
    <w:rsid w:val="00C93688"/>
    <w:rsid w:val="00C936DB"/>
    <w:rsid w:val="00C936E9"/>
    <w:rsid w:val="00C9371F"/>
    <w:rsid w:val="00C93726"/>
    <w:rsid w:val="00C93737"/>
    <w:rsid w:val="00C93765"/>
    <w:rsid w:val="00C937C0"/>
    <w:rsid w:val="00C937F2"/>
    <w:rsid w:val="00C937FF"/>
    <w:rsid w:val="00C938A6"/>
    <w:rsid w:val="00C939B3"/>
    <w:rsid w:val="00C93A07"/>
    <w:rsid w:val="00C93BFD"/>
    <w:rsid w:val="00C93CE3"/>
    <w:rsid w:val="00C93D1A"/>
    <w:rsid w:val="00C93D1D"/>
    <w:rsid w:val="00C93D22"/>
    <w:rsid w:val="00C93D2B"/>
    <w:rsid w:val="00C93D72"/>
    <w:rsid w:val="00C93E58"/>
    <w:rsid w:val="00C940D6"/>
    <w:rsid w:val="00C94101"/>
    <w:rsid w:val="00C9411E"/>
    <w:rsid w:val="00C941C8"/>
    <w:rsid w:val="00C942BB"/>
    <w:rsid w:val="00C94342"/>
    <w:rsid w:val="00C94347"/>
    <w:rsid w:val="00C943CF"/>
    <w:rsid w:val="00C945F0"/>
    <w:rsid w:val="00C94671"/>
    <w:rsid w:val="00C94784"/>
    <w:rsid w:val="00C9483C"/>
    <w:rsid w:val="00C9485A"/>
    <w:rsid w:val="00C94988"/>
    <w:rsid w:val="00C949AC"/>
    <w:rsid w:val="00C94A9F"/>
    <w:rsid w:val="00C94B0E"/>
    <w:rsid w:val="00C94B9B"/>
    <w:rsid w:val="00C94CA4"/>
    <w:rsid w:val="00C94CBF"/>
    <w:rsid w:val="00C94F0A"/>
    <w:rsid w:val="00C94FF0"/>
    <w:rsid w:val="00C9527C"/>
    <w:rsid w:val="00C952D2"/>
    <w:rsid w:val="00C953DB"/>
    <w:rsid w:val="00C95442"/>
    <w:rsid w:val="00C9545C"/>
    <w:rsid w:val="00C955B9"/>
    <w:rsid w:val="00C955BB"/>
    <w:rsid w:val="00C9570F"/>
    <w:rsid w:val="00C9596B"/>
    <w:rsid w:val="00C959D5"/>
    <w:rsid w:val="00C95A26"/>
    <w:rsid w:val="00C95A63"/>
    <w:rsid w:val="00C95BDF"/>
    <w:rsid w:val="00C95C0E"/>
    <w:rsid w:val="00C95C51"/>
    <w:rsid w:val="00C95CB2"/>
    <w:rsid w:val="00C95D55"/>
    <w:rsid w:val="00C960D4"/>
    <w:rsid w:val="00C96157"/>
    <w:rsid w:val="00C9616D"/>
    <w:rsid w:val="00C962F8"/>
    <w:rsid w:val="00C96304"/>
    <w:rsid w:val="00C96386"/>
    <w:rsid w:val="00C9638F"/>
    <w:rsid w:val="00C963FA"/>
    <w:rsid w:val="00C9641C"/>
    <w:rsid w:val="00C96565"/>
    <w:rsid w:val="00C96604"/>
    <w:rsid w:val="00C966B5"/>
    <w:rsid w:val="00C96728"/>
    <w:rsid w:val="00C9677F"/>
    <w:rsid w:val="00C967CE"/>
    <w:rsid w:val="00C9693C"/>
    <w:rsid w:val="00C96966"/>
    <w:rsid w:val="00C96997"/>
    <w:rsid w:val="00C96A03"/>
    <w:rsid w:val="00C96A49"/>
    <w:rsid w:val="00C96AB2"/>
    <w:rsid w:val="00C96CE7"/>
    <w:rsid w:val="00C96E9D"/>
    <w:rsid w:val="00C96ECD"/>
    <w:rsid w:val="00C97083"/>
    <w:rsid w:val="00C970B2"/>
    <w:rsid w:val="00C970BE"/>
    <w:rsid w:val="00C97335"/>
    <w:rsid w:val="00C97389"/>
    <w:rsid w:val="00C973C1"/>
    <w:rsid w:val="00C973C9"/>
    <w:rsid w:val="00C9742F"/>
    <w:rsid w:val="00C974BB"/>
    <w:rsid w:val="00C974D5"/>
    <w:rsid w:val="00C9751C"/>
    <w:rsid w:val="00C9764A"/>
    <w:rsid w:val="00C97749"/>
    <w:rsid w:val="00C9785E"/>
    <w:rsid w:val="00C978C0"/>
    <w:rsid w:val="00C979B1"/>
    <w:rsid w:val="00C97A2F"/>
    <w:rsid w:val="00C97A62"/>
    <w:rsid w:val="00C97B67"/>
    <w:rsid w:val="00C97C70"/>
    <w:rsid w:val="00C97D55"/>
    <w:rsid w:val="00C97E4C"/>
    <w:rsid w:val="00C97E5C"/>
    <w:rsid w:val="00CA0018"/>
    <w:rsid w:val="00CA0050"/>
    <w:rsid w:val="00CA014F"/>
    <w:rsid w:val="00CA0179"/>
    <w:rsid w:val="00CA01AE"/>
    <w:rsid w:val="00CA0268"/>
    <w:rsid w:val="00CA02B9"/>
    <w:rsid w:val="00CA0404"/>
    <w:rsid w:val="00CA04C3"/>
    <w:rsid w:val="00CA0527"/>
    <w:rsid w:val="00CA05EA"/>
    <w:rsid w:val="00CA06E8"/>
    <w:rsid w:val="00CA0734"/>
    <w:rsid w:val="00CA0759"/>
    <w:rsid w:val="00CA0798"/>
    <w:rsid w:val="00CA07AF"/>
    <w:rsid w:val="00CA07C8"/>
    <w:rsid w:val="00CA07D5"/>
    <w:rsid w:val="00CA07EB"/>
    <w:rsid w:val="00CA0885"/>
    <w:rsid w:val="00CA08B5"/>
    <w:rsid w:val="00CA096C"/>
    <w:rsid w:val="00CA0A21"/>
    <w:rsid w:val="00CA0A87"/>
    <w:rsid w:val="00CA0A9C"/>
    <w:rsid w:val="00CA0CF3"/>
    <w:rsid w:val="00CA0D7A"/>
    <w:rsid w:val="00CA0EE9"/>
    <w:rsid w:val="00CA0F13"/>
    <w:rsid w:val="00CA0FF4"/>
    <w:rsid w:val="00CA1032"/>
    <w:rsid w:val="00CA1079"/>
    <w:rsid w:val="00CA10D6"/>
    <w:rsid w:val="00CA1145"/>
    <w:rsid w:val="00CA1225"/>
    <w:rsid w:val="00CA1252"/>
    <w:rsid w:val="00CA1319"/>
    <w:rsid w:val="00CA1475"/>
    <w:rsid w:val="00CA1556"/>
    <w:rsid w:val="00CA15BB"/>
    <w:rsid w:val="00CA15F3"/>
    <w:rsid w:val="00CA1630"/>
    <w:rsid w:val="00CA16DE"/>
    <w:rsid w:val="00CA184F"/>
    <w:rsid w:val="00CA1957"/>
    <w:rsid w:val="00CA1AD7"/>
    <w:rsid w:val="00CA1B26"/>
    <w:rsid w:val="00CA1B27"/>
    <w:rsid w:val="00CA1BCA"/>
    <w:rsid w:val="00CA1BFA"/>
    <w:rsid w:val="00CA1C6A"/>
    <w:rsid w:val="00CA1CCE"/>
    <w:rsid w:val="00CA1D2A"/>
    <w:rsid w:val="00CA1E2D"/>
    <w:rsid w:val="00CA1ED8"/>
    <w:rsid w:val="00CA1FAE"/>
    <w:rsid w:val="00CA1FF6"/>
    <w:rsid w:val="00CA2396"/>
    <w:rsid w:val="00CA25C0"/>
    <w:rsid w:val="00CA2610"/>
    <w:rsid w:val="00CA268B"/>
    <w:rsid w:val="00CA281E"/>
    <w:rsid w:val="00CA28C4"/>
    <w:rsid w:val="00CA2A4B"/>
    <w:rsid w:val="00CA2A81"/>
    <w:rsid w:val="00CA2BA4"/>
    <w:rsid w:val="00CA2BC3"/>
    <w:rsid w:val="00CA2CA3"/>
    <w:rsid w:val="00CA2DC6"/>
    <w:rsid w:val="00CA2DC7"/>
    <w:rsid w:val="00CA2EC8"/>
    <w:rsid w:val="00CA2F93"/>
    <w:rsid w:val="00CA3036"/>
    <w:rsid w:val="00CA30FE"/>
    <w:rsid w:val="00CA31E1"/>
    <w:rsid w:val="00CA325C"/>
    <w:rsid w:val="00CA32D7"/>
    <w:rsid w:val="00CA3304"/>
    <w:rsid w:val="00CA33ED"/>
    <w:rsid w:val="00CA3479"/>
    <w:rsid w:val="00CA3566"/>
    <w:rsid w:val="00CA35C1"/>
    <w:rsid w:val="00CA3753"/>
    <w:rsid w:val="00CA3894"/>
    <w:rsid w:val="00CA395A"/>
    <w:rsid w:val="00CA3973"/>
    <w:rsid w:val="00CA39C4"/>
    <w:rsid w:val="00CA3A0A"/>
    <w:rsid w:val="00CA3A7A"/>
    <w:rsid w:val="00CA3AEF"/>
    <w:rsid w:val="00CA3AF7"/>
    <w:rsid w:val="00CA3AFA"/>
    <w:rsid w:val="00CA3B97"/>
    <w:rsid w:val="00CA3BE4"/>
    <w:rsid w:val="00CA3C26"/>
    <w:rsid w:val="00CA3C62"/>
    <w:rsid w:val="00CA3D80"/>
    <w:rsid w:val="00CA3DB5"/>
    <w:rsid w:val="00CA3DCE"/>
    <w:rsid w:val="00CA3E14"/>
    <w:rsid w:val="00CA3E5D"/>
    <w:rsid w:val="00CA3F7C"/>
    <w:rsid w:val="00CA4016"/>
    <w:rsid w:val="00CA4056"/>
    <w:rsid w:val="00CA406C"/>
    <w:rsid w:val="00CA419A"/>
    <w:rsid w:val="00CA41D8"/>
    <w:rsid w:val="00CA4276"/>
    <w:rsid w:val="00CA42CA"/>
    <w:rsid w:val="00CA42ED"/>
    <w:rsid w:val="00CA43F8"/>
    <w:rsid w:val="00CA4545"/>
    <w:rsid w:val="00CA480C"/>
    <w:rsid w:val="00CA48F5"/>
    <w:rsid w:val="00CA496B"/>
    <w:rsid w:val="00CA4BD0"/>
    <w:rsid w:val="00CA4DB5"/>
    <w:rsid w:val="00CA4E06"/>
    <w:rsid w:val="00CA4ECA"/>
    <w:rsid w:val="00CA4F15"/>
    <w:rsid w:val="00CA5034"/>
    <w:rsid w:val="00CA5148"/>
    <w:rsid w:val="00CA52E4"/>
    <w:rsid w:val="00CA5307"/>
    <w:rsid w:val="00CA53CE"/>
    <w:rsid w:val="00CA53F4"/>
    <w:rsid w:val="00CA5446"/>
    <w:rsid w:val="00CA5513"/>
    <w:rsid w:val="00CA5533"/>
    <w:rsid w:val="00CA5562"/>
    <w:rsid w:val="00CA562C"/>
    <w:rsid w:val="00CA5670"/>
    <w:rsid w:val="00CA56AB"/>
    <w:rsid w:val="00CA56F0"/>
    <w:rsid w:val="00CA5762"/>
    <w:rsid w:val="00CA57C1"/>
    <w:rsid w:val="00CA57CB"/>
    <w:rsid w:val="00CA57D6"/>
    <w:rsid w:val="00CA57EA"/>
    <w:rsid w:val="00CA5908"/>
    <w:rsid w:val="00CA5A64"/>
    <w:rsid w:val="00CA5AE7"/>
    <w:rsid w:val="00CA5B44"/>
    <w:rsid w:val="00CA5B68"/>
    <w:rsid w:val="00CA5C9E"/>
    <w:rsid w:val="00CA5D81"/>
    <w:rsid w:val="00CA5EE2"/>
    <w:rsid w:val="00CA5F7A"/>
    <w:rsid w:val="00CA5FDD"/>
    <w:rsid w:val="00CA6048"/>
    <w:rsid w:val="00CA6049"/>
    <w:rsid w:val="00CA60C8"/>
    <w:rsid w:val="00CA6165"/>
    <w:rsid w:val="00CA6208"/>
    <w:rsid w:val="00CA625F"/>
    <w:rsid w:val="00CA62B4"/>
    <w:rsid w:val="00CA62F9"/>
    <w:rsid w:val="00CA6321"/>
    <w:rsid w:val="00CA6399"/>
    <w:rsid w:val="00CA65D5"/>
    <w:rsid w:val="00CA65EC"/>
    <w:rsid w:val="00CA66B8"/>
    <w:rsid w:val="00CA66E1"/>
    <w:rsid w:val="00CA6723"/>
    <w:rsid w:val="00CA685F"/>
    <w:rsid w:val="00CA6877"/>
    <w:rsid w:val="00CA6933"/>
    <w:rsid w:val="00CA695B"/>
    <w:rsid w:val="00CA6988"/>
    <w:rsid w:val="00CA69CF"/>
    <w:rsid w:val="00CA69DF"/>
    <w:rsid w:val="00CA6A65"/>
    <w:rsid w:val="00CA6A8C"/>
    <w:rsid w:val="00CA6AAD"/>
    <w:rsid w:val="00CA6BB9"/>
    <w:rsid w:val="00CA6BC7"/>
    <w:rsid w:val="00CA6BF5"/>
    <w:rsid w:val="00CA6C15"/>
    <w:rsid w:val="00CA6C24"/>
    <w:rsid w:val="00CA6D3C"/>
    <w:rsid w:val="00CA6D60"/>
    <w:rsid w:val="00CA6E75"/>
    <w:rsid w:val="00CA6EF7"/>
    <w:rsid w:val="00CA6F33"/>
    <w:rsid w:val="00CA6F63"/>
    <w:rsid w:val="00CA6FA0"/>
    <w:rsid w:val="00CA70AF"/>
    <w:rsid w:val="00CA718B"/>
    <w:rsid w:val="00CA72F9"/>
    <w:rsid w:val="00CA7334"/>
    <w:rsid w:val="00CA7437"/>
    <w:rsid w:val="00CA747E"/>
    <w:rsid w:val="00CA74AB"/>
    <w:rsid w:val="00CA74C4"/>
    <w:rsid w:val="00CA74ED"/>
    <w:rsid w:val="00CA751F"/>
    <w:rsid w:val="00CA7532"/>
    <w:rsid w:val="00CA75C8"/>
    <w:rsid w:val="00CA763E"/>
    <w:rsid w:val="00CA768E"/>
    <w:rsid w:val="00CA76AF"/>
    <w:rsid w:val="00CA7718"/>
    <w:rsid w:val="00CA7754"/>
    <w:rsid w:val="00CA781C"/>
    <w:rsid w:val="00CA78C9"/>
    <w:rsid w:val="00CA79AB"/>
    <w:rsid w:val="00CA7A52"/>
    <w:rsid w:val="00CA7B75"/>
    <w:rsid w:val="00CA7C3D"/>
    <w:rsid w:val="00CA7C6B"/>
    <w:rsid w:val="00CA7D6C"/>
    <w:rsid w:val="00CA7D76"/>
    <w:rsid w:val="00CA7EB9"/>
    <w:rsid w:val="00CA7F78"/>
    <w:rsid w:val="00CA7F90"/>
    <w:rsid w:val="00CA7FAA"/>
    <w:rsid w:val="00CB0096"/>
    <w:rsid w:val="00CB00ED"/>
    <w:rsid w:val="00CB0145"/>
    <w:rsid w:val="00CB019D"/>
    <w:rsid w:val="00CB0499"/>
    <w:rsid w:val="00CB04FF"/>
    <w:rsid w:val="00CB050A"/>
    <w:rsid w:val="00CB0599"/>
    <w:rsid w:val="00CB05F5"/>
    <w:rsid w:val="00CB06E1"/>
    <w:rsid w:val="00CB0721"/>
    <w:rsid w:val="00CB0796"/>
    <w:rsid w:val="00CB07DE"/>
    <w:rsid w:val="00CB098B"/>
    <w:rsid w:val="00CB09FA"/>
    <w:rsid w:val="00CB0A81"/>
    <w:rsid w:val="00CB0B31"/>
    <w:rsid w:val="00CB0B49"/>
    <w:rsid w:val="00CB0C69"/>
    <w:rsid w:val="00CB0CA3"/>
    <w:rsid w:val="00CB0D14"/>
    <w:rsid w:val="00CB0D6F"/>
    <w:rsid w:val="00CB0DEE"/>
    <w:rsid w:val="00CB0FAB"/>
    <w:rsid w:val="00CB104F"/>
    <w:rsid w:val="00CB109A"/>
    <w:rsid w:val="00CB10CB"/>
    <w:rsid w:val="00CB124A"/>
    <w:rsid w:val="00CB12AA"/>
    <w:rsid w:val="00CB12D1"/>
    <w:rsid w:val="00CB1315"/>
    <w:rsid w:val="00CB1491"/>
    <w:rsid w:val="00CB14E1"/>
    <w:rsid w:val="00CB156F"/>
    <w:rsid w:val="00CB16BB"/>
    <w:rsid w:val="00CB1722"/>
    <w:rsid w:val="00CB1794"/>
    <w:rsid w:val="00CB1834"/>
    <w:rsid w:val="00CB1853"/>
    <w:rsid w:val="00CB189D"/>
    <w:rsid w:val="00CB18F5"/>
    <w:rsid w:val="00CB1979"/>
    <w:rsid w:val="00CB1A1A"/>
    <w:rsid w:val="00CB1AB2"/>
    <w:rsid w:val="00CB1B16"/>
    <w:rsid w:val="00CB1B1D"/>
    <w:rsid w:val="00CB1BB3"/>
    <w:rsid w:val="00CB1BF2"/>
    <w:rsid w:val="00CB1E90"/>
    <w:rsid w:val="00CB1ECF"/>
    <w:rsid w:val="00CB1EE0"/>
    <w:rsid w:val="00CB20E4"/>
    <w:rsid w:val="00CB213F"/>
    <w:rsid w:val="00CB2161"/>
    <w:rsid w:val="00CB224E"/>
    <w:rsid w:val="00CB24A5"/>
    <w:rsid w:val="00CB2720"/>
    <w:rsid w:val="00CB2728"/>
    <w:rsid w:val="00CB2730"/>
    <w:rsid w:val="00CB273A"/>
    <w:rsid w:val="00CB2753"/>
    <w:rsid w:val="00CB2757"/>
    <w:rsid w:val="00CB276B"/>
    <w:rsid w:val="00CB284B"/>
    <w:rsid w:val="00CB285B"/>
    <w:rsid w:val="00CB295A"/>
    <w:rsid w:val="00CB298E"/>
    <w:rsid w:val="00CB2A59"/>
    <w:rsid w:val="00CB2A9A"/>
    <w:rsid w:val="00CB2B14"/>
    <w:rsid w:val="00CB2C18"/>
    <w:rsid w:val="00CB2C6F"/>
    <w:rsid w:val="00CB2DC7"/>
    <w:rsid w:val="00CB2DD9"/>
    <w:rsid w:val="00CB2DED"/>
    <w:rsid w:val="00CB2E04"/>
    <w:rsid w:val="00CB2EF4"/>
    <w:rsid w:val="00CB2F7B"/>
    <w:rsid w:val="00CB3033"/>
    <w:rsid w:val="00CB313F"/>
    <w:rsid w:val="00CB3153"/>
    <w:rsid w:val="00CB31B8"/>
    <w:rsid w:val="00CB321B"/>
    <w:rsid w:val="00CB326E"/>
    <w:rsid w:val="00CB32AD"/>
    <w:rsid w:val="00CB347A"/>
    <w:rsid w:val="00CB36C0"/>
    <w:rsid w:val="00CB36E5"/>
    <w:rsid w:val="00CB3728"/>
    <w:rsid w:val="00CB37F3"/>
    <w:rsid w:val="00CB38F7"/>
    <w:rsid w:val="00CB38FD"/>
    <w:rsid w:val="00CB3994"/>
    <w:rsid w:val="00CB39C9"/>
    <w:rsid w:val="00CB3A3F"/>
    <w:rsid w:val="00CB3A90"/>
    <w:rsid w:val="00CB3AF9"/>
    <w:rsid w:val="00CB3BD7"/>
    <w:rsid w:val="00CB3C09"/>
    <w:rsid w:val="00CB3C27"/>
    <w:rsid w:val="00CB3C5F"/>
    <w:rsid w:val="00CB3C7A"/>
    <w:rsid w:val="00CB3C9C"/>
    <w:rsid w:val="00CB3CC1"/>
    <w:rsid w:val="00CB3CCD"/>
    <w:rsid w:val="00CB3D67"/>
    <w:rsid w:val="00CB3D77"/>
    <w:rsid w:val="00CB3E2C"/>
    <w:rsid w:val="00CB3EA9"/>
    <w:rsid w:val="00CB3F15"/>
    <w:rsid w:val="00CB3F51"/>
    <w:rsid w:val="00CB3FBB"/>
    <w:rsid w:val="00CB40F6"/>
    <w:rsid w:val="00CB4275"/>
    <w:rsid w:val="00CB427A"/>
    <w:rsid w:val="00CB42CC"/>
    <w:rsid w:val="00CB4327"/>
    <w:rsid w:val="00CB4381"/>
    <w:rsid w:val="00CB43CB"/>
    <w:rsid w:val="00CB442D"/>
    <w:rsid w:val="00CB4484"/>
    <w:rsid w:val="00CB44E3"/>
    <w:rsid w:val="00CB44FC"/>
    <w:rsid w:val="00CB4514"/>
    <w:rsid w:val="00CB4543"/>
    <w:rsid w:val="00CB45C1"/>
    <w:rsid w:val="00CB4668"/>
    <w:rsid w:val="00CB46A3"/>
    <w:rsid w:val="00CB4894"/>
    <w:rsid w:val="00CB4957"/>
    <w:rsid w:val="00CB4B12"/>
    <w:rsid w:val="00CB4C23"/>
    <w:rsid w:val="00CB4D1B"/>
    <w:rsid w:val="00CB4E60"/>
    <w:rsid w:val="00CB4F90"/>
    <w:rsid w:val="00CB5091"/>
    <w:rsid w:val="00CB512A"/>
    <w:rsid w:val="00CB5183"/>
    <w:rsid w:val="00CB5203"/>
    <w:rsid w:val="00CB5383"/>
    <w:rsid w:val="00CB5440"/>
    <w:rsid w:val="00CB5456"/>
    <w:rsid w:val="00CB5458"/>
    <w:rsid w:val="00CB5574"/>
    <w:rsid w:val="00CB56E5"/>
    <w:rsid w:val="00CB57B1"/>
    <w:rsid w:val="00CB584D"/>
    <w:rsid w:val="00CB5900"/>
    <w:rsid w:val="00CB5956"/>
    <w:rsid w:val="00CB5A20"/>
    <w:rsid w:val="00CB5A59"/>
    <w:rsid w:val="00CB5AA9"/>
    <w:rsid w:val="00CB5CE9"/>
    <w:rsid w:val="00CB5D69"/>
    <w:rsid w:val="00CB5DA0"/>
    <w:rsid w:val="00CB5F51"/>
    <w:rsid w:val="00CB5F5D"/>
    <w:rsid w:val="00CB5F69"/>
    <w:rsid w:val="00CB5FD4"/>
    <w:rsid w:val="00CB6114"/>
    <w:rsid w:val="00CB616B"/>
    <w:rsid w:val="00CB61EB"/>
    <w:rsid w:val="00CB61EC"/>
    <w:rsid w:val="00CB6413"/>
    <w:rsid w:val="00CB64BC"/>
    <w:rsid w:val="00CB659B"/>
    <w:rsid w:val="00CB66B6"/>
    <w:rsid w:val="00CB67E7"/>
    <w:rsid w:val="00CB67FA"/>
    <w:rsid w:val="00CB6873"/>
    <w:rsid w:val="00CB68C3"/>
    <w:rsid w:val="00CB69C2"/>
    <w:rsid w:val="00CB69D5"/>
    <w:rsid w:val="00CB6A1E"/>
    <w:rsid w:val="00CB6A88"/>
    <w:rsid w:val="00CB6DEF"/>
    <w:rsid w:val="00CB6E1B"/>
    <w:rsid w:val="00CB6E9F"/>
    <w:rsid w:val="00CB6F2F"/>
    <w:rsid w:val="00CB6F55"/>
    <w:rsid w:val="00CB700D"/>
    <w:rsid w:val="00CB7022"/>
    <w:rsid w:val="00CB7043"/>
    <w:rsid w:val="00CB70E2"/>
    <w:rsid w:val="00CB7126"/>
    <w:rsid w:val="00CB7136"/>
    <w:rsid w:val="00CB71A5"/>
    <w:rsid w:val="00CB72CD"/>
    <w:rsid w:val="00CB743D"/>
    <w:rsid w:val="00CB7466"/>
    <w:rsid w:val="00CB7610"/>
    <w:rsid w:val="00CB762D"/>
    <w:rsid w:val="00CB763A"/>
    <w:rsid w:val="00CB7669"/>
    <w:rsid w:val="00CB772A"/>
    <w:rsid w:val="00CB77AB"/>
    <w:rsid w:val="00CB7822"/>
    <w:rsid w:val="00CB78D1"/>
    <w:rsid w:val="00CB7904"/>
    <w:rsid w:val="00CB7922"/>
    <w:rsid w:val="00CB79F1"/>
    <w:rsid w:val="00CB7A29"/>
    <w:rsid w:val="00CB7A9D"/>
    <w:rsid w:val="00CB7ABE"/>
    <w:rsid w:val="00CB7B3D"/>
    <w:rsid w:val="00CB7BA3"/>
    <w:rsid w:val="00CB7BE4"/>
    <w:rsid w:val="00CB7CAC"/>
    <w:rsid w:val="00CC0014"/>
    <w:rsid w:val="00CC0083"/>
    <w:rsid w:val="00CC018A"/>
    <w:rsid w:val="00CC021C"/>
    <w:rsid w:val="00CC0239"/>
    <w:rsid w:val="00CC02E4"/>
    <w:rsid w:val="00CC034C"/>
    <w:rsid w:val="00CC03CE"/>
    <w:rsid w:val="00CC040E"/>
    <w:rsid w:val="00CC050C"/>
    <w:rsid w:val="00CC0608"/>
    <w:rsid w:val="00CC06C6"/>
    <w:rsid w:val="00CC0711"/>
    <w:rsid w:val="00CC078C"/>
    <w:rsid w:val="00CC07CB"/>
    <w:rsid w:val="00CC07E2"/>
    <w:rsid w:val="00CC07FB"/>
    <w:rsid w:val="00CC08A6"/>
    <w:rsid w:val="00CC08BC"/>
    <w:rsid w:val="00CC08F0"/>
    <w:rsid w:val="00CC0908"/>
    <w:rsid w:val="00CC0A30"/>
    <w:rsid w:val="00CC0A36"/>
    <w:rsid w:val="00CC0B7C"/>
    <w:rsid w:val="00CC0B9B"/>
    <w:rsid w:val="00CC0BB6"/>
    <w:rsid w:val="00CC0C3C"/>
    <w:rsid w:val="00CC0C4A"/>
    <w:rsid w:val="00CC0D8D"/>
    <w:rsid w:val="00CC0E5C"/>
    <w:rsid w:val="00CC0E83"/>
    <w:rsid w:val="00CC0F9B"/>
    <w:rsid w:val="00CC108B"/>
    <w:rsid w:val="00CC10AF"/>
    <w:rsid w:val="00CC114C"/>
    <w:rsid w:val="00CC1207"/>
    <w:rsid w:val="00CC130E"/>
    <w:rsid w:val="00CC1348"/>
    <w:rsid w:val="00CC13A1"/>
    <w:rsid w:val="00CC14EF"/>
    <w:rsid w:val="00CC1552"/>
    <w:rsid w:val="00CC1657"/>
    <w:rsid w:val="00CC1750"/>
    <w:rsid w:val="00CC1AAA"/>
    <w:rsid w:val="00CC1B00"/>
    <w:rsid w:val="00CC1B2B"/>
    <w:rsid w:val="00CC1B2F"/>
    <w:rsid w:val="00CC1BED"/>
    <w:rsid w:val="00CC1D9D"/>
    <w:rsid w:val="00CC1DA2"/>
    <w:rsid w:val="00CC1E36"/>
    <w:rsid w:val="00CC1FDC"/>
    <w:rsid w:val="00CC2073"/>
    <w:rsid w:val="00CC2244"/>
    <w:rsid w:val="00CC2277"/>
    <w:rsid w:val="00CC2396"/>
    <w:rsid w:val="00CC249B"/>
    <w:rsid w:val="00CC2607"/>
    <w:rsid w:val="00CC263C"/>
    <w:rsid w:val="00CC266C"/>
    <w:rsid w:val="00CC26A1"/>
    <w:rsid w:val="00CC271A"/>
    <w:rsid w:val="00CC28BD"/>
    <w:rsid w:val="00CC290A"/>
    <w:rsid w:val="00CC29C5"/>
    <w:rsid w:val="00CC2A70"/>
    <w:rsid w:val="00CC2ABD"/>
    <w:rsid w:val="00CC2B4F"/>
    <w:rsid w:val="00CC2B81"/>
    <w:rsid w:val="00CC2CAC"/>
    <w:rsid w:val="00CC3068"/>
    <w:rsid w:val="00CC315F"/>
    <w:rsid w:val="00CC317D"/>
    <w:rsid w:val="00CC32CC"/>
    <w:rsid w:val="00CC32DF"/>
    <w:rsid w:val="00CC3363"/>
    <w:rsid w:val="00CC33D1"/>
    <w:rsid w:val="00CC3477"/>
    <w:rsid w:val="00CC348D"/>
    <w:rsid w:val="00CC34CC"/>
    <w:rsid w:val="00CC3537"/>
    <w:rsid w:val="00CC364E"/>
    <w:rsid w:val="00CC3656"/>
    <w:rsid w:val="00CC37DD"/>
    <w:rsid w:val="00CC3814"/>
    <w:rsid w:val="00CC3922"/>
    <w:rsid w:val="00CC39FE"/>
    <w:rsid w:val="00CC3A4C"/>
    <w:rsid w:val="00CC3AB2"/>
    <w:rsid w:val="00CC3B63"/>
    <w:rsid w:val="00CC3D5B"/>
    <w:rsid w:val="00CC3DE7"/>
    <w:rsid w:val="00CC3E1A"/>
    <w:rsid w:val="00CC3E34"/>
    <w:rsid w:val="00CC3E50"/>
    <w:rsid w:val="00CC3F94"/>
    <w:rsid w:val="00CC3FB7"/>
    <w:rsid w:val="00CC401B"/>
    <w:rsid w:val="00CC4030"/>
    <w:rsid w:val="00CC41E8"/>
    <w:rsid w:val="00CC426B"/>
    <w:rsid w:val="00CC4374"/>
    <w:rsid w:val="00CC4413"/>
    <w:rsid w:val="00CC443D"/>
    <w:rsid w:val="00CC44A7"/>
    <w:rsid w:val="00CC44CC"/>
    <w:rsid w:val="00CC4508"/>
    <w:rsid w:val="00CC4515"/>
    <w:rsid w:val="00CC4534"/>
    <w:rsid w:val="00CC465A"/>
    <w:rsid w:val="00CC4821"/>
    <w:rsid w:val="00CC482C"/>
    <w:rsid w:val="00CC487D"/>
    <w:rsid w:val="00CC48A4"/>
    <w:rsid w:val="00CC4947"/>
    <w:rsid w:val="00CC4AAA"/>
    <w:rsid w:val="00CC4AED"/>
    <w:rsid w:val="00CC4B15"/>
    <w:rsid w:val="00CC4B92"/>
    <w:rsid w:val="00CC4C41"/>
    <w:rsid w:val="00CC4D53"/>
    <w:rsid w:val="00CC4E63"/>
    <w:rsid w:val="00CC4EDF"/>
    <w:rsid w:val="00CC4FF8"/>
    <w:rsid w:val="00CC4FFC"/>
    <w:rsid w:val="00CC500F"/>
    <w:rsid w:val="00CC5133"/>
    <w:rsid w:val="00CC5164"/>
    <w:rsid w:val="00CC51A9"/>
    <w:rsid w:val="00CC51B3"/>
    <w:rsid w:val="00CC51F9"/>
    <w:rsid w:val="00CC5221"/>
    <w:rsid w:val="00CC522C"/>
    <w:rsid w:val="00CC5385"/>
    <w:rsid w:val="00CC538A"/>
    <w:rsid w:val="00CC5439"/>
    <w:rsid w:val="00CC5486"/>
    <w:rsid w:val="00CC54F3"/>
    <w:rsid w:val="00CC569D"/>
    <w:rsid w:val="00CC56E3"/>
    <w:rsid w:val="00CC5810"/>
    <w:rsid w:val="00CC5834"/>
    <w:rsid w:val="00CC58A8"/>
    <w:rsid w:val="00CC58F8"/>
    <w:rsid w:val="00CC597C"/>
    <w:rsid w:val="00CC59E4"/>
    <w:rsid w:val="00CC5A06"/>
    <w:rsid w:val="00CC5A5C"/>
    <w:rsid w:val="00CC5A85"/>
    <w:rsid w:val="00CC5AFA"/>
    <w:rsid w:val="00CC5B45"/>
    <w:rsid w:val="00CC5B67"/>
    <w:rsid w:val="00CC5BCB"/>
    <w:rsid w:val="00CC5CB2"/>
    <w:rsid w:val="00CC5D2B"/>
    <w:rsid w:val="00CC5D4A"/>
    <w:rsid w:val="00CC5DA4"/>
    <w:rsid w:val="00CC5DB2"/>
    <w:rsid w:val="00CC5DF8"/>
    <w:rsid w:val="00CC5E36"/>
    <w:rsid w:val="00CC5EB4"/>
    <w:rsid w:val="00CC5F06"/>
    <w:rsid w:val="00CC5F34"/>
    <w:rsid w:val="00CC5FFA"/>
    <w:rsid w:val="00CC6149"/>
    <w:rsid w:val="00CC6278"/>
    <w:rsid w:val="00CC6335"/>
    <w:rsid w:val="00CC634A"/>
    <w:rsid w:val="00CC6420"/>
    <w:rsid w:val="00CC6421"/>
    <w:rsid w:val="00CC648A"/>
    <w:rsid w:val="00CC64C7"/>
    <w:rsid w:val="00CC64E9"/>
    <w:rsid w:val="00CC64FD"/>
    <w:rsid w:val="00CC6782"/>
    <w:rsid w:val="00CC6821"/>
    <w:rsid w:val="00CC68FE"/>
    <w:rsid w:val="00CC69AB"/>
    <w:rsid w:val="00CC69C6"/>
    <w:rsid w:val="00CC6A8E"/>
    <w:rsid w:val="00CC6AC0"/>
    <w:rsid w:val="00CC6BB6"/>
    <w:rsid w:val="00CC6E85"/>
    <w:rsid w:val="00CC6EA0"/>
    <w:rsid w:val="00CC6F13"/>
    <w:rsid w:val="00CC6FE8"/>
    <w:rsid w:val="00CC702D"/>
    <w:rsid w:val="00CC7096"/>
    <w:rsid w:val="00CC70FF"/>
    <w:rsid w:val="00CC7136"/>
    <w:rsid w:val="00CC7139"/>
    <w:rsid w:val="00CC713D"/>
    <w:rsid w:val="00CC7241"/>
    <w:rsid w:val="00CC7271"/>
    <w:rsid w:val="00CC733C"/>
    <w:rsid w:val="00CC7422"/>
    <w:rsid w:val="00CC7455"/>
    <w:rsid w:val="00CC745E"/>
    <w:rsid w:val="00CC74C3"/>
    <w:rsid w:val="00CC76AD"/>
    <w:rsid w:val="00CC7786"/>
    <w:rsid w:val="00CC7878"/>
    <w:rsid w:val="00CC789B"/>
    <w:rsid w:val="00CC790B"/>
    <w:rsid w:val="00CC791F"/>
    <w:rsid w:val="00CC7A5A"/>
    <w:rsid w:val="00CC7A87"/>
    <w:rsid w:val="00CC7ABE"/>
    <w:rsid w:val="00CC7B63"/>
    <w:rsid w:val="00CC7D20"/>
    <w:rsid w:val="00CC7E1C"/>
    <w:rsid w:val="00CC7F81"/>
    <w:rsid w:val="00CD006B"/>
    <w:rsid w:val="00CD0317"/>
    <w:rsid w:val="00CD031F"/>
    <w:rsid w:val="00CD036E"/>
    <w:rsid w:val="00CD0377"/>
    <w:rsid w:val="00CD03E0"/>
    <w:rsid w:val="00CD0455"/>
    <w:rsid w:val="00CD04B8"/>
    <w:rsid w:val="00CD0574"/>
    <w:rsid w:val="00CD0736"/>
    <w:rsid w:val="00CD073E"/>
    <w:rsid w:val="00CD0747"/>
    <w:rsid w:val="00CD0896"/>
    <w:rsid w:val="00CD08AF"/>
    <w:rsid w:val="00CD08BD"/>
    <w:rsid w:val="00CD092C"/>
    <w:rsid w:val="00CD0949"/>
    <w:rsid w:val="00CD09FB"/>
    <w:rsid w:val="00CD0BC1"/>
    <w:rsid w:val="00CD0C43"/>
    <w:rsid w:val="00CD0CDA"/>
    <w:rsid w:val="00CD1094"/>
    <w:rsid w:val="00CD10EB"/>
    <w:rsid w:val="00CD10F6"/>
    <w:rsid w:val="00CD1107"/>
    <w:rsid w:val="00CD1184"/>
    <w:rsid w:val="00CD1198"/>
    <w:rsid w:val="00CD11B3"/>
    <w:rsid w:val="00CD122A"/>
    <w:rsid w:val="00CD1285"/>
    <w:rsid w:val="00CD1503"/>
    <w:rsid w:val="00CD1562"/>
    <w:rsid w:val="00CD1602"/>
    <w:rsid w:val="00CD16B0"/>
    <w:rsid w:val="00CD170D"/>
    <w:rsid w:val="00CD175D"/>
    <w:rsid w:val="00CD187A"/>
    <w:rsid w:val="00CD1AFF"/>
    <w:rsid w:val="00CD1B0B"/>
    <w:rsid w:val="00CD1B9B"/>
    <w:rsid w:val="00CD1C55"/>
    <w:rsid w:val="00CD1D09"/>
    <w:rsid w:val="00CD1D7F"/>
    <w:rsid w:val="00CD1F23"/>
    <w:rsid w:val="00CD1F60"/>
    <w:rsid w:val="00CD1FC2"/>
    <w:rsid w:val="00CD2184"/>
    <w:rsid w:val="00CD21D0"/>
    <w:rsid w:val="00CD2201"/>
    <w:rsid w:val="00CD2223"/>
    <w:rsid w:val="00CD222E"/>
    <w:rsid w:val="00CD23EE"/>
    <w:rsid w:val="00CD240A"/>
    <w:rsid w:val="00CD2572"/>
    <w:rsid w:val="00CD2583"/>
    <w:rsid w:val="00CD25C4"/>
    <w:rsid w:val="00CD25FD"/>
    <w:rsid w:val="00CD27BF"/>
    <w:rsid w:val="00CD27C3"/>
    <w:rsid w:val="00CD2882"/>
    <w:rsid w:val="00CD29C0"/>
    <w:rsid w:val="00CD2A59"/>
    <w:rsid w:val="00CD2A61"/>
    <w:rsid w:val="00CD2A69"/>
    <w:rsid w:val="00CD2A77"/>
    <w:rsid w:val="00CD2A96"/>
    <w:rsid w:val="00CD2B97"/>
    <w:rsid w:val="00CD2BE2"/>
    <w:rsid w:val="00CD2C22"/>
    <w:rsid w:val="00CD2C52"/>
    <w:rsid w:val="00CD2CB6"/>
    <w:rsid w:val="00CD2D33"/>
    <w:rsid w:val="00CD2D4A"/>
    <w:rsid w:val="00CD2D70"/>
    <w:rsid w:val="00CD2DAB"/>
    <w:rsid w:val="00CD2E2F"/>
    <w:rsid w:val="00CD2E85"/>
    <w:rsid w:val="00CD3005"/>
    <w:rsid w:val="00CD30E0"/>
    <w:rsid w:val="00CD30E8"/>
    <w:rsid w:val="00CD332A"/>
    <w:rsid w:val="00CD3417"/>
    <w:rsid w:val="00CD34EB"/>
    <w:rsid w:val="00CD36E0"/>
    <w:rsid w:val="00CD371A"/>
    <w:rsid w:val="00CD3750"/>
    <w:rsid w:val="00CD3873"/>
    <w:rsid w:val="00CD38AB"/>
    <w:rsid w:val="00CD3915"/>
    <w:rsid w:val="00CD394F"/>
    <w:rsid w:val="00CD3A73"/>
    <w:rsid w:val="00CD3A82"/>
    <w:rsid w:val="00CD3A95"/>
    <w:rsid w:val="00CD3AA4"/>
    <w:rsid w:val="00CD3AF5"/>
    <w:rsid w:val="00CD3B22"/>
    <w:rsid w:val="00CD3BD0"/>
    <w:rsid w:val="00CD3BF4"/>
    <w:rsid w:val="00CD3CFC"/>
    <w:rsid w:val="00CD4027"/>
    <w:rsid w:val="00CD4039"/>
    <w:rsid w:val="00CD40CE"/>
    <w:rsid w:val="00CD40DA"/>
    <w:rsid w:val="00CD4118"/>
    <w:rsid w:val="00CD4188"/>
    <w:rsid w:val="00CD429A"/>
    <w:rsid w:val="00CD42D5"/>
    <w:rsid w:val="00CD4328"/>
    <w:rsid w:val="00CD4422"/>
    <w:rsid w:val="00CD4475"/>
    <w:rsid w:val="00CD44D6"/>
    <w:rsid w:val="00CD44F3"/>
    <w:rsid w:val="00CD459E"/>
    <w:rsid w:val="00CD45FA"/>
    <w:rsid w:val="00CD4649"/>
    <w:rsid w:val="00CD4655"/>
    <w:rsid w:val="00CD4673"/>
    <w:rsid w:val="00CD46FA"/>
    <w:rsid w:val="00CD4723"/>
    <w:rsid w:val="00CD4725"/>
    <w:rsid w:val="00CD478A"/>
    <w:rsid w:val="00CD479A"/>
    <w:rsid w:val="00CD4842"/>
    <w:rsid w:val="00CD48BE"/>
    <w:rsid w:val="00CD48DD"/>
    <w:rsid w:val="00CD4948"/>
    <w:rsid w:val="00CD4A18"/>
    <w:rsid w:val="00CD4A47"/>
    <w:rsid w:val="00CD4B72"/>
    <w:rsid w:val="00CD4B9D"/>
    <w:rsid w:val="00CD4C41"/>
    <w:rsid w:val="00CD4E28"/>
    <w:rsid w:val="00CD4E8D"/>
    <w:rsid w:val="00CD4F00"/>
    <w:rsid w:val="00CD4FCE"/>
    <w:rsid w:val="00CD4FDD"/>
    <w:rsid w:val="00CD5097"/>
    <w:rsid w:val="00CD51CF"/>
    <w:rsid w:val="00CD5238"/>
    <w:rsid w:val="00CD528D"/>
    <w:rsid w:val="00CD52BD"/>
    <w:rsid w:val="00CD52D1"/>
    <w:rsid w:val="00CD52D8"/>
    <w:rsid w:val="00CD5312"/>
    <w:rsid w:val="00CD543E"/>
    <w:rsid w:val="00CD54B4"/>
    <w:rsid w:val="00CD552E"/>
    <w:rsid w:val="00CD55A7"/>
    <w:rsid w:val="00CD571A"/>
    <w:rsid w:val="00CD57EE"/>
    <w:rsid w:val="00CD586E"/>
    <w:rsid w:val="00CD5910"/>
    <w:rsid w:val="00CD59D3"/>
    <w:rsid w:val="00CD5A01"/>
    <w:rsid w:val="00CD5A65"/>
    <w:rsid w:val="00CD5A9B"/>
    <w:rsid w:val="00CD5AE1"/>
    <w:rsid w:val="00CD5B0F"/>
    <w:rsid w:val="00CD5B17"/>
    <w:rsid w:val="00CD5CB5"/>
    <w:rsid w:val="00CD5DF9"/>
    <w:rsid w:val="00CD5F2D"/>
    <w:rsid w:val="00CD5F65"/>
    <w:rsid w:val="00CD61B4"/>
    <w:rsid w:val="00CD621C"/>
    <w:rsid w:val="00CD6253"/>
    <w:rsid w:val="00CD627C"/>
    <w:rsid w:val="00CD62BF"/>
    <w:rsid w:val="00CD62E3"/>
    <w:rsid w:val="00CD62E4"/>
    <w:rsid w:val="00CD6399"/>
    <w:rsid w:val="00CD63C7"/>
    <w:rsid w:val="00CD651A"/>
    <w:rsid w:val="00CD65FE"/>
    <w:rsid w:val="00CD6682"/>
    <w:rsid w:val="00CD6806"/>
    <w:rsid w:val="00CD6826"/>
    <w:rsid w:val="00CD6832"/>
    <w:rsid w:val="00CD68F0"/>
    <w:rsid w:val="00CD6918"/>
    <w:rsid w:val="00CD693B"/>
    <w:rsid w:val="00CD69E5"/>
    <w:rsid w:val="00CD6BC2"/>
    <w:rsid w:val="00CD6BC9"/>
    <w:rsid w:val="00CD6CB1"/>
    <w:rsid w:val="00CD6CE2"/>
    <w:rsid w:val="00CD6D50"/>
    <w:rsid w:val="00CD6E43"/>
    <w:rsid w:val="00CD6E73"/>
    <w:rsid w:val="00CD6ECB"/>
    <w:rsid w:val="00CD6F5D"/>
    <w:rsid w:val="00CD6F7F"/>
    <w:rsid w:val="00CD6FAE"/>
    <w:rsid w:val="00CD6FDE"/>
    <w:rsid w:val="00CD70D9"/>
    <w:rsid w:val="00CD7168"/>
    <w:rsid w:val="00CD72DD"/>
    <w:rsid w:val="00CD734C"/>
    <w:rsid w:val="00CD7374"/>
    <w:rsid w:val="00CD7493"/>
    <w:rsid w:val="00CD759C"/>
    <w:rsid w:val="00CD75BA"/>
    <w:rsid w:val="00CD767D"/>
    <w:rsid w:val="00CD76A6"/>
    <w:rsid w:val="00CD76A7"/>
    <w:rsid w:val="00CD76C2"/>
    <w:rsid w:val="00CD7701"/>
    <w:rsid w:val="00CD7725"/>
    <w:rsid w:val="00CD7753"/>
    <w:rsid w:val="00CD789D"/>
    <w:rsid w:val="00CD78B6"/>
    <w:rsid w:val="00CD793A"/>
    <w:rsid w:val="00CD7A4C"/>
    <w:rsid w:val="00CD7AC2"/>
    <w:rsid w:val="00CD7D20"/>
    <w:rsid w:val="00CD7D52"/>
    <w:rsid w:val="00CD7D89"/>
    <w:rsid w:val="00CD7DBB"/>
    <w:rsid w:val="00CD7F2C"/>
    <w:rsid w:val="00CD7F7F"/>
    <w:rsid w:val="00CD7FD0"/>
    <w:rsid w:val="00CE006C"/>
    <w:rsid w:val="00CE0246"/>
    <w:rsid w:val="00CE0383"/>
    <w:rsid w:val="00CE0426"/>
    <w:rsid w:val="00CE0505"/>
    <w:rsid w:val="00CE06AF"/>
    <w:rsid w:val="00CE0715"/>
    <w:rsid w:val="00CE077E"/>
    <w:rsid w:val="00CE07CA"/>
    <w:rsid w:val="00CE0803"/>
    <w:rsid w:val="00CE0A0E"/>
    <w:rsid w:val="00CE0AF0"/>
    <w:rsid w:val="00CE0BF6"/>
    <w:rsid w:val="00CE0C20"/>
    <w:rsid w:val="00CE0CDD"/>
    <w:rsid w:val="00CE0CFE"/>
    <w:rsid w:val="00CE0DAF"/>
    <w:rsid w:val="00CE0DFE"/>
    <w:rsid w:val="00CE1048"/>
    <w:rsid w:val="00CE1094"/>
    <w:rsid w:val="00CE1257"/>
    <w:rsid w:val="00CE1283"/>
    <w:rsid w:val="00CE138D"/>
    <w:rsid w:val="00CE1392"/>
    <w:rsid w:val="00CE13C7"/>
    <w:rsid w:val="00CE1427"/>
    <w:rsid w:val="00CE1493"/>
    <w:rsid w:val="00CE14F4"/>
    <w:rsid w:val="00CE1565"/>
    <w:rsid w:val="00CE1584"/>
    <w:rsid w:val="00CE15F1"/>
    <w:rsid w:val="00CE16D0"/>
    <w:rsid w:val="00CE16F5"/>
    <w:rsid w:val="00CE1727"/>
    <w:rsid w:val="00CE1756"/>
    <w:rsid w:val="00CE185A"/>
    <w:rsid w:val="00CE18C7"/>
    <w:rsid w:val="00CE1A32"/>
    <w:rsid w:val="00CE1BB4"/>
    <w:rsid w:val="00CE1C68"/>
    <w:rsid w:val="00CE1CB7"/>
    <w:rsid w:val="00CE1DF7"/>
    <w:rsid w:val="00CE1E52"/>
    <w:rsid w:val="00CE20BA"/>
    <w:rsid w:val="00CE21A0"/>
    <w:rsid w:val="00CE22C5"/>
    <w:rsid w:val="00CE239A"/>
    <w:rsid w:val="00CE24D2"/>
    <w:rsid w:val="00CE2544"/>
    <w:rsid w:val="00CE25D6"/>
    <w:rsid w:val="00CE2697"/>
    <w:rsid w:val="00CE2AD7"/>
    <w:rsid w:val="00CE2B4F"/>
    <w:rsid w:val="00CE2B58"/>
    <w:rsid w:val="00CE2BB5"/>
    <w:rsid w:val="00CE2C34"/>
    <w:rsid w:val="00CE2D50"/>
    <w:rsid w:val="00CE2DBB"/>
    <w:rsid w:val="00CE2E37"/>
    <w:rsid w:val="00CE2F63"/>
    <w:rsid w:val="00CE300C"/>
    <w:rsid w:val="00CE303E"/>
    <w:rsid w:val="00CE31D1"/>
    <w:rsid w:val="00CE3265"/>
    <w:rsid w:val="00CE3274"/>
    <w:rsid w:val="00CE33CA"/>
    <w:rsid w:val="00CE340F"/>
    <w:rsid w:val="00CE34E6"/>
    <w:rsid w:val="00CE352C"/>
    <w:rsid w:val="00CE3538"/>
    <w:rsid w:val="00CE3611"/>
    <w:rsid w:val="00CE3670"/>
    <w:rsid w:val="00CE372A"/>
    <w:rsid w:val="00CE37D4"/>
    <w:rsid w:val="00CE37D6"/>
    <w:rsid w:val="00CE380C"/>
    <w:rsid w:val="00CE3916"/>
    <w:rsid w:val="00CE3B2C"/>
    <w:rsid w:val="00CE3C45"/>
    <w:rsid w:val="00CE3CE4"/>
    <w:rsid w:val="00CE3D37"/>
    <w:rsid w:val="00CE3D4C"/>
    <w:rsid w:val="00CE3DF3"/>
    <w:rsid w:val="00CE3E4F"/>
    <w:rsid w:val="00CE3F2C"/>
    <w:rsid w:val="00CE3FD6"/>
    <w:rsid w:val="00CE4097"/>
    <w:rsid w:val="00CE4142"/>
    <w:rsid w:val="00CE419C"/>
    <w:rsid w:val="00CE427B"/>
    <w:rsid w:val="00CE4290"/>
    <w:rsid w:val="00CE42B8"/>
    <w:rsid w:val="00CE444F"/>
    <w:rsid w:val="00CE4504"/>
    <w:rsid w:val="00CE458E"/>
    <w:rsid w:val="00CE45AC"/>
    <w:rsid w:val="00CE46A4"/>
    <w:rsid w:val="00CE4719"/>
    <w:rsid w:val="00CE4725"/>
    <w:rsid w:val="00CE4807"/>
    <w:rsid w:val="00CE481A"/>
    <w:rsid w:val="00CE494B"/>
    <w:rsid w:val="00CE4A41"/>
    <w:rsid w:val="00CE4B40"/>
    <w:rsid w:val="00CE4B77"/>
    <w:rsid w:val="00CE4C7D"/>
    <w:rsid w:val="00CE4D08"/>
    <w:rsid w:val="00CE4D39"/>
    <w:rsid w:val="00CE4D54"/>
    <w:rsid w:val="00CE4E45"/>
    <w:rsid w:val="00CE4E68"/>
    <w:rsid w:val="00CE4E73"/>
    <w:rsid w:val="00CE4F6A"/>
    <w:rsid w:val="00CE4FA6"/>
    <w:rsid w:val="00CE4FAB"/>
    <w:rsid w:val="00CE4FB3"/>
    <w:rsid w:val="00CE4FF5"/>
    <w:rsid w:val="00CE5297"/>
    <w:rsid w:val="00CE52B8"/>
    <w:rsid w:val="00CE52EF"/>
    <w:rsid w:val="00CE5360"/>
    <w:rsid w:val="00CE54B9"/>
    <w:rsid w:val="00CE553A"/>
    <w:rsid w:val="00CE5540"/>
    <w:rsid w:val="00CE5566"/>
    <w:rsid w:val="00CE55B8"/>
    <w:rsid w:val="00CE55C6"/>
    <w:rsid w:val="00CE5608"/>
    <w:rsid w:val="00CE5619"/>
    <w:rsid w:val="00CE5651"/>
    <w:rsid w:val="00CE5896"/>
    <w:rsid w:val="00CE58E9"/>
    <w:rsid w:val="00CE5965"/>
    <w:rsid w:val="00CE5A0D"/>
    <w:rsid w:val="00CE5A32"/>
    <w:rsid w:val="00CE5B43"/>
    <w:rsid w:val="00CE5B80"/>
    <w:rsid w:val="00CE5CF3"/>
    <w:rsid w:val="00CE5D63"/>
    <w:rsid w:val="00CE5D7C"/>
    <w:rsid w:val="00CE5D96"/>
    <w:rsid w:val="00CE5DC0"/>
    <w:rsid w:val="00CE5DF2"/>
    <w:rsid w:val="00CE5E35"/>
    <w:rsid w:val="00CE5EE5"/>
    <w:rsid w:val="00CE6185"/>
    <w:rsid w:val="00CE61FC"/>
    <w:rsid w:val="00CE63EA"/>
    <w:rsid w:val="00CE6401"/>
    <w:rsid w:val="00CE6459"/>
    <w:rsid w:val="00CE64AD"/>
    <w:rsid w:val="00CE64BD"/>
    <w:rsid w:val="00CE6582"/>
    <w:rsid w:val="00CE660D"/>
    <w:rsid w:val="00CE6720"/>
    <w:rsid w:val="00CE6794"/>
    <w:rsid w:val="00CE67EE"/>
    <w:rsid w:val="00CE681C"/>
    <w:rsid w:val="00CE696B"/>
    <w:rsid w:val="00CE697E"/>
    <w:rsid w:val="00CE69FA"/>
    <w:rsid w:val="00CE6AB6"/>
    <w:rsid w:val="00CE6B78"/>
    <w:rsid w:val="00CE6B7E"/>
    <w:rsid w:val="00CE6C0E"/>
    <w:rsid w:val="00CE6EC0"/>
    <w:rsid w:val="00CE6F17"/>
    <w:rsid w:val="00CE71F1"/>
    <w:rsid w:val="00CE726E"/>
    <w:rsid w:val="00CE7335"/>
    <w:rsid w:val="00CE736C"/>
    <w:rsid w:val="00CE7418"/>
    <w:rsid w:val="00CE741A"/>
    <w:rsid w:val="00CE743C"/>
    <w:rsid w:val="00CE7453"/>
    <w:rsid w:val="00CE7584"/>
    <w:rsid w:val="00CE758D"/>
    <w:rsid w:val="00CE7603"/>
    <w:rsid w:val="00CE766A"/>
    <w:rsid w:val="00CE76FE"/>
    <w:rsid w:val="00CE7711"/>
    <w:rsid w:val="00CE7777"/>
    <w:rsid w:val="00CE77FD"/>
    <w:rsid w:val="00CE7944"/>
    <w:rsid w:val="00CE7ABD"/>
    <w:rsid w:val="00CE7B00"/>
    <w:rsid w:val="00CE7C28"/>
    <w:rsid w:val="00CE7C82"/>
    <w:rsid w:val="00CE7CB2"/>
    <w:rsid w:val="00CE7CE1"/>
    <w:rsid w:val="00CE7D73"/>
    <w:rsid w:val="00CF00EF"/>
    <w:rsid w:val="00CF02AF"/>
    <w:rsid w:val="00CF04A6"/>
    <w:rsid w:val="00CF04AA"/>
    <w:rsid w:val="00CF05F8"/>
    <w:rsid w:val="00CF064F"/>
    <w:rsid w:val="00CF07A2"/>
    <w:rsid w:val="00CF07A6"/>
    <w:rsid w:val="00CF081D"/>
    <w:rsid w:val="00CF08A9"/>
    <w:rsid w:val="00CF0951"/>
    <w:rsid w:val="00CF09E0"/>
    <w:rsid w:val="00CF0A08"/>
    <w:rsid w:val="00CF0AD1"/>
    <w:rsid w:val="00CF0AF5"/>
    <w:rsid w:val="00CF0BC1"/>
    <w:rsid w:val="00CF0C97"/>
    <w:rsid w:val="00CF0E62"/>
    <w:rsid w:val="00CF0E8E"/>
    <w:rsid w:val="00CF1047"/>
    <w:rsid w:val="00CF10AA"/>
    <w:rsid w:val="00CF10C3"/>
    <w:rsid w:val="00CF10CB"/>
    <w:rsid w:val="00CF117E"/>
    <w:rsid w:val="00CF12B4"/>
    <w:rsid w:val="00CF1362"/>
    <w:rsid w:val="00CF1409"/>
    <w:rsid w:val="00CF1508"/>
    <w:rsid w:val="00CF154E"/>
    <w:rsid w:val="00CF155B"/>
    <w:rsid w:val="00CF1586"/>
    <w:rsid w:val="00CF15A6"/>
    <w:rsid w:val="00CF15DB"/>
    <w:rsid w:val="00CF15ED"/>
    <w:rsid w:val="00CF16C8"/>
    <w:rsid w:val="00CF174C"/>
    <w:rsid w:val="00CF17DB"/>
    <w:rsid w:val="00CF1889"/>
    <w:rsid w:val="00CF18E3"/>
    <w:rsid w:val="00CF1A0B"/>
    <w:rsid w:val="00CF1A6A"/>
    <w:rsid w:val="00CF1A86"/>
    <w:rsid w:val="00CF1B36"/>
    <w:rsid w:val="00CF1C9B"/>
    <w:rsid w:val="00CF1D02"/>
    <w:rsid w:val="00CF1D31"/>
    <w:rsid w:val="00CF1D44"/>
    <w:rsid w:val="00CF1DC7"/>
    <w:rsid w:val="00CF1DF5"/>
    <w:rsid w:val="00CF1E36"/>
    <w:rsid w:val="00CF1E53"/>
    <w:rsid w:val="00CF1E76"/>
    <w:rsid w:val="00CF1EA6"/>
    <w:rsid w:val="00CF1F3C"/>
    <w:rsid w:val="00CF1F4B"/>
    <w:rsid w:val="00CF1FD7"/>
    <w:rsid w:val="00CF202B"/>
    <w:rsid w:val="00CF21F3"/>
    <w:rsid w:val="00CF2268"/>
    <w:rsid w:val="00CF2445"/>
    <w:rsid w:val="00CF25E0"/>
    <w:rsid w:val="00CF25FA"/>
    <w:rsid w:val="00CF26EC"/>
    <w:rsid w:val="00CF270D"/>
    <w:rsid w:val="00CF272A"/>
    <w:rsid w:val="00CF282E"/>
    <w:rsid w:val="00CF2AF9"/>
    <w:rsid w:val="00CF2C42"/>
    <w:rsid w:val="00CF2C79"/>
    <w:rsid w:val="00CF2E88"/>
    <w:rsid w:val="00CF2E9C"/>
    <w:rsid w:val="00CF2E9E"/>
    <w:rsid w:val="00CF30B4"/>
    <w:rsid w:val="00CF30F2"/>
    <w:rsid w:val="00CF318C"/>
    <w:rsid w:val="00CF318E"/>
    <w:rsid w:val="00CF31B5"/>
    <w:rsid w:val="00CF3364"/>
    <w:rsid w:val="00CF3498"/>
    <w:rsid w:val="00CF3556"/>
    <w:rsid w:val="00CF3565"/>
    <w:rsid w:val="00CF37B6"/>
    <w:rsid w:val="00CF37F0"/>
    <w:rsid w:val="00CF380F"/>
    <w:rsid w:val="00CF3941"/>
    <w:rsid w:val="00CF3A38"/>
    <w:rsid w:val="00CF3A46"/>
    <w:rsid w:val="00CF3A72"/>
    <w:rsid w:val="00CF3B7C"/>
    <w:rsid w:val="00CF3B80"/>
    <w:rsid w:val="00CF3C54"/>
    <w:rsid w:val="00CF3E01"/>
    <w:rsid w:val="00CF3E21"/>
    <w:rsid w:val="00CF3E9A"/>
    <w:rsid w:val="00CF3F25"/>
    <w:rsid w:val="00CF3F54"/>
    <w:rsid w:val="00CF3F57"/>
    <w:rsid w:val="00CF424D"/>
    <w:rsid w:val="00CF43E2"/>
    <w:rsid w:val="00CF44E0"/>
    <w:rsid w:val="00CF4516"/>
    <w:rsid w:val="00CF4534"/>
    <w:rsid w:val="00CF4604"/>
    <w:rsid w:val="00CF46C4"/>
    <w:rsid w:val="00CF4766"/>
    <w:rsid w:val="00CF47A2"/>
    <w:rsid w:val="00CF497E"/>
    <w:rsid w:val="00CF49B5"/>
    <w:rsid w:val="00CF49D4"/>
    <w:rsid w:val="00CF4A6F"/>
    <w:rsid w:val="00CF4B4A"/>
    <w:rsid w:val="00CF4CFC"/>
    <w:rsid w:val="00CF4D03"/>
    <w:rsid w:val="00CF5076"/>
    <w:rsid w:val="00CF5133"/>
    <w:rsid w:val="00CF51E9"/>
    <w:rsid w:val="00CF5322"/>
    <w:rsid w:val="00CF533B"/>
    <w:rsid w:val="00CF53D9"/>
    <w:rsid w:val="00CF5462"/>
    <w:rsid w:val="00CF546A"/>
    <w:rsid w:val="00CF5491"/>
    <w:rsid w:val="00CF561C"/>
    <w:rsid w:val="00CF561F"/>
    <w:rsid w:val="00CF5634"/>
    <w:rsid w:val="00CF5677"/>
    <w:rsid w:val="00CF56AC"/>
    <w:rsid w:val="00CF5715"/>
    <w:rsid w:val="00CF593E"/>
    <w:rsid w:val="00CF59B4"/>
    <w:rsid w:val="00CF5A65"/>
    <w:rsid w:val="00CF5A91"/>
    <w:rsid w:val="00CF5B7B"/>
    <w:rsid w:val="00CF5BA8"/>
    <w:rsid w:val="00CF5CAB"/>
    <w:rsid w:val="00CF5DA6"/>
    <w:rsid w:val="00CF5E0F"/>
    <w:rsid w:val="00CF5F7D"/>
    <w:rsid w:val="00CF5FE5"/>
    <w:rsid w:val="00CF60E0"/>
    <w:rsid w:val="00CF610A"/>
    <w:rsid w:val="00CF6179"/>
    <w:rsid w:val="00CF625A"/>
    <w:rsid w:val="00CF631F"/>
    <w:rsid w:val="00CF6381"/>
    <w:rsid w:val="00CF640A"/>
    <w:rsid w:val="00CF6429"/>
    <w:rsid w:val="00CF6526"/>
    <w:rsid w:val="00CF6531"/>
    <w:rsid w:val="00CF65E3"/>
    <w:rsid w:val="00CF65ED"/>
    <w:rsid w:val="00CF6628"/>
    <w:rsid w:val="00CF6653"/>
    <w:rsid w:val="00CF6832"/>
    <w:rsid w:val="00CF68A3"/>
    <w:rsid w:val="00CF6A3B"/>
    <w:rsid w:val="00CF6B2A"/>
    <w:rsid w:val="00CF6B56"/>
    <w:rsid w:val="00CF6BA1"/>
    <w:rsid w:val="00CF6D1E"/>
    <w:rsid w:val="00CF6D2E"/>
    <w:rsid w:val="00CF6EA2"/>
    <w:rsid w:val="00CF6F32"/>
    <w:rsid w:val="00CF704C"/>
    <w:rsid w:val="00CF7079"/>
    <w:rsid w:val="00CF7165"/>
    <w:rsid w:val="00CF72BB"/>
    <w:rsid w:val="00CF72DA"/>
    <w:rsid w:val="00CF73F3"/>
    <w:rsid w:val="00CF7459"/>
    <w:rsid w:val="00CF7460"/>
    <w:rsid w:val="00CF7599"/>
    <w:rsid w:val="00CF75E6"/>
    <w:rsid w:val="00CF761B"/>
    <w:rsid w:val="00CF7665"/>
    <w:rsid w:val="00CF7714"/>
    <w:rsid w:val="00CF77AC"/>
    <w:rsid w:val="00CF78F8"/>
    <w:rsid w:val="00CF790F"/>
    <w:rsid w:val="00CF7972"/>
    <w:rsid w:val="00CF7A19"/>
    <w:rsid w:val="00CF7A7D"/>
    <w:rsid w:val="00CF7AA6"/>
    <w:rsid w:val="00CF7C12"/>
    <w:rsid w:val="00CF7C3F"/>
    <w:rsid w:val="00CF7CF6"/>
    <w:rsid w:val="00CF7D87"/>
    <w:rsid w:val="00CF7DF6"/>
    <w:rsid w:val="00CF7F3F"/>
    <w:rsid w:val="00CF7FB5"/>
    <w:rsid w:val="00D0004A"/>
    <w:rsid w:val="00D00091"/>
    <w:rsid w:val="00D00203"/>
    <w:rsid w:val="00D00226"/>
    <w:rsid w:val="00D00272"/>
    <w:rsid w:val="00D00292"/>
    <w:rsid w:val="00D00293"/>
    <w:rsid w:val="00D002BD"/>
    <w:rsid w:val="00D002CD"/>
    <w:rsid w:val="00D00306"/>
    <w:rsid w:val="00D0037E"/>
    <w:rsid w:val="00D003A7"/>
    <w:rsid w:val="00D003BE"/>
    <w:rsid w:val="00D00439"/>
    <w:rsid w:val="00D00441"/>
    <w:rsid w:val="00D0044C"/>
    <w:rsid w:val="00D00515"/>
    <w:rsid w:val="00D005A6"/>
    <w:rsid w:val="00D0079B"/>
    <w:rsid w:val="00D0087B"/>
    <w:rsid w:val="00D00A3A"/>
    <w:rsid w:val="00D00A8E"/>
    <w:rsid w:val="00D00B6C"/>
    <w:rsid w:val="00D00C8B"/>
    <w:rsid w:val="00D00CAE"/>
    <w:rsid w:val="00D00DEB"/>
    <w:rsid w:val="00D00E68"/>
    <w:rsid w:val="00D00ECA"/>
    <w:rsid w:val="00D00EF5"/>
    <w:rsid w:val="00D00F46"/>
    <w:rsid w:val="00D00F5C"/>
    <w:rsid w:val="00D0102F"/>
    <w:rsid w:val="00D0129D"/>
    <w:rsid w:val="00D013C6"/>
    <w:rsid w:val="00D01453"/>
    <w:rsid w:val="00D01529"/>
    <w:rsid w:val="00D0179D"/>
    <w:rsid w:val="00D01875"/>
    <w:rsid w:val="00D018AC"/>
    <w:rsid w:val="00D018B2"/>
    <w:rsid w:val="00D018B5"/>
    <w:rsid w:val="00D01959"/>
    <w:rsid w:val="00D019BF"/>
    <w:rsid w:val="00D01A68"/>
    <w:rsid w:val="00D01C0C"/>
    <w:rsid w:val="00D01C57"/>
    <w:rsid w:val="00D01CF5"/>
    <w:rsid w:val="00D01DC7"/>
    <w:rsid w:val="00D01E50"/>
    <w:rsid w:val="00D01E78"/>
    <w:rsid w:val="00D01EB2"/>
    <w:rsid w:val="00D01F03"/>
    <w:rsid w:val="00D01F10"/>
    <w:rsid w:val="00D01F59"/>
    <w:rsid w:val="00D01FD5"/>
    <w:rsid w:val="00D0204B"/>
    <w:rsid w:val="00D0211C"/>
    <w:rsid w:val="00D02182"/>
    <w:rsid w:val="00D0238D"/>
    <w:rsid w:val="00D02479"/>
    <w:rsid w:val="00D02528"/>
    <w:rsid w:val="00D02547"/>
    <w:rsid w:val="00D02593"/>
    <w:rsid w:val="00D02601"/>
    <w:rsid w:val="00D02631"/>
    <w:rsid w:val="00D02686"/>
    <w:rsid w:val="00D0281F"/>
    <w:rsid w:val="00D0282A"/>
    <w:rsid w:val="00D02867"/>
    <w:rsid w:val="00D0293B"/>
    <w:rsid w:val="00D02971"/>
    <w:rsid w:val="00D02A5D"/>
    <w:rsid w:val="00D02BF1"/>
    <w:rsid w:val="00D02CB2"/>
    <w:rsid w:val="00D02D3D"/>
    <w:rsid w:val="00D02D8E"/>
    <w:rsid w:val="00D02DD7"/>
    <w:rsid w:val="00D02DEE"/>
    <w:rsid w:val="00D02E6C"/>
    <w:rsid w:val="00D02E9F"/>
    <w:rsid w:val="00D02EEB"/>
    <w:rsid w:val="00D02EFE"/>
    <w:rsid w:val="00D03036"/>
    <w:rsid w:val="00D03064"/>
    <w:rsid w:val="00D03298"/>
    <w:rsid w:val="00D032A7"/>
    <w:rsid w:val="00D03470"/>
    <w:rsid w:val="00D0353A"/>
    <w:rsid w:val="00D035D8"/>
    <w:rsid w:val="00D035E6"/>
    <w:rsid w:val="00D037FA"/>
    <w:rsid w:val="00D0395F"/>
    <w:rsid w:val="00D03A23"/>
    <w:rsid w:val="00D03B0F"/>
    <w:rsid w:val="00D03BD5"/>
    <w:rsid w:val="00D03DFA"/>
    <w:rsid w:val="00D03ED8"/>
    <w:rsid w:val="00D03EDE"/>
    <w:rsid w:val="00D03EF5"/>
    <w:rsid w:val="00D03F00"/>
    <w:rsid w:val="00D03FA2"/>
    <w:rsid w:val="00D03FC5"/>
    <w:rsid w:val="00D04029"/>
    <w:rsid w:val="00D04084"/>
    <w:rsid w:val="00D04135"/>
    <w:rsid w:val="00D0423B"/>
    <w:rsid w:val="00D04292"/>
    <w:rsid w:val="00D043FE"/>
    <w:rsid w:val="00D044F5"/>
    <w:rsid w:val="00D0451E"/>
    <w:rsid w:val="00D04528"/>
    <w:rsid w:val="00D04586"/>
    <w:rsid w:val="00D0459C"/>
    <w:rsid w:val="00D0460C"/>
    <w:rsid w:val="00D04629"/>
    <w:rsid w:val="00D0462A"/>
    <w:rsid w:val="00D046A6"/>
    <w:rsid w:val="00D0477A"/>
    <w:rsid w:val="00D047EF"/>
    <w:rsid w:val="00D04851"/>
    <w:rsid w:val="00D04950"/>
    <w:rsid w:val="00D0498E"/>
    <w:rsid w:val="00D049D1"/>
    <w:rsid w:val="00D04A25"/>
    <w:rsid w:val="00D04AD4"/>
    <w:rsid w:val="00D04B33"/>
    <w:rsid w:val="00D04C8F"/>
    <w:rsid w:val="00D04D65"/>
    <w:rsid w:val="00D04DA0"/>
    <w:rsid w:val="00D04DB7"/>
    <w:rsid w:val="00D04DB9"/>
    <w:rsid w:val="00D04F0E"/>
    <w:rsid w:val="00D04FDE"/>
    <w:rsid w:val="00D04FED"/>
    <w:rsid w:val="00D05002"/>
    <w:rsid w:val="00D05270"/>
    <w:rsid w:val="00D053B0"/>
    <w:rsid w:val="00D0541D"/>
    <w:rsid w:val="00D054B1"/>
    <w:rsid w:val="00D0559E"/>
    <w:rsid w:val="00D055C5"/>
    <w:rsid w:val="00D05614"/>
    <w:rsid w:val="00D05685"/>
    <w:rsid w:val="00D05738"/>
    <w:rsid w:val="00D05861"/>
    <w:rsid w:val="00D0588D"/>
    <w:rsid w:val="00D0593C"/>
    <w:rsid w:val="00D05983"/>
    <w:rsid w:val="00D05A27"/>
    <w:rsid w:val="00D05A2B"/>
    <w:rsid w:val="00D05AEA"/>
    <w:rsid w:val="00D05B20"/>
    <w:rsid w:val="00D05DEF"/>
    <w:rsid w:val="00D06056"/>
    <w:rsid w:val="00D061F8"/>
    <w:rsid w:val="00D062F5"/>
    <w:rsid w:val="00D0637A"/>
    <w:rsid w:val="00D06419"/>
    <w:rsid w:val="00D0642E"/>
    <w:rsid w:val="00D06492"/>
    <w:rsid w:val="00D065A9"/>
    <w:rsid w:val="00D066A2"/>
    <w:rsid w:val="00D06788"/>
    <w:rsid w:val="00D0679A"/>
    <w:rsid w:val="00D067FC"/>
    <w:rsid w:val="00D06A56"/>
    <w:rsid w:val="00D06C10"/>
    <w:rsid w:val="00D06C77"/>
    <w:rsid w:val="00D06C9A"/>
    <w:rsid w:val="00D06CC8"/>
    <w:rsid w:val="00D06D8E"/>
    <w:rsid w:val="00D06DF7"/>
    <w:rsid w:val="00D06E0B"/>
    <w:rsid w:val="00D06F13"/>
    <w:rsid w:val="00D06F36"/>
    <w:rsid w:val="00D06F8E"/>
    <w:rsid w:val="00D06FB5"/>
    <w:rsid w:val="00D07036"/>
    <w:rsid w:val="00D0705F"/>
    <w:rsid w:val="00D070EB"/>
    <w:rsid w:val="00D07162"/>
    <w:rsid w:val="00D0716E"/>
    <w:rsid w:val="00D071C5"/>
    <w:rsid w:val="00D07227"/>
    <w:rsid w:val="00D07293"/>
    <w:rsid w:val="00D072F8"/>
    <w:rsid w:val="00D07320"/>
    <w:rsid w:val="00D07386"/>
    <w:rsid w:val="00D073FD"/>
    <w:rsid w:val="00D074B4"/>
    <w:rsid w:val="00D074C2"/>
    <w:rsid w:val="00D074D1"/>
    <w:rsid w:val="00D0754E"/>
    <w:rsid w:val="00D07550"/>
    <w:rsid w:val="00D07555"/>
    <w:rsid w:val="00D0758D"/>
    <w:rsid w:val="00D07647"/>
    <w:rsid w:val="00D07805"/>
    <w:rsid w:val="00D07856"/>
    <w:rsid w:val="00D07893"/>
    <w:rsid w:val="00D0789E"/>
    <w:rsid w:val="00D07900"/>
    <w:rsid w:val="00D07AF6"/>
    <w:rsid w:val="00D07BC4"/>
    <w:rsid w:val="00D07BE7"/>
    <w:rsid w:val="00D07EB0"/>
    <w:rsid w:val="00D07F1C"/>
    <w:rsid w:val="00D07FD6"/>
    <w:rsid w:val="00D100AA"/>
    <w:rsid w:val="00D10103"/>
    <w:rsid w:val="00D102B1"/>
    <w:rsid w:val="00D102DA"/>
    <w:rsid w:val="00D102FC"/>
    <w:rsid w:val="00D1031B"/>
    <w:rsid w:val="00D103A8"/>
    <w:rsid w:val="00D103C0"/>
    <w:rsid w:val="00D104E6"/>
    <w:rsid w:val="00D106A1"/>
    <w:rsid w:val="00D106AF"/>
    <w:rsid w:val="00D10721"/>
    <w:rsid w:val="00D10723"/>
    <w:rsid w:val="00D10758"/>
    <w:rsid w:val="00D107AC"/>
    <w:rsid w:val="00D10893"/>
    <w:rsid w:val="00D108CA"/>
    <w:rsid w:val="00D10917"/>
    <w:rsid w:val="00D10A6C"/>
    <w:rsid w:val="00D10B19"/>
    <w:rsid w:val="00D10B7F"/>
    <w:rsid w:val="00D10CF9"/>
    <w:rsid w:val="00D10D8D"/>
    <w:rsid w:val="00D10DE4"/>
    <w:rsid w:val="00D10F23"/>
    <w:rsid w:val="00D10FC0"/>
    <w:rsid w:val="00D110E7"/>
    <w:rsid w:val="00D11268"/>
    <w:rsid w:val="00D1134D"/>
    <w:rsid w:val="00D115A1"/>
    <w:rsid w:val="00D115B1"/>
    <w:rsid w:val="00D1161D"/>
    <w:rsid w:val="00D11788"/>
    <w:rsid w:val="00D11794"/>
    <w:rsid w:val="00D117DF"/>
    <w:rsid w:val="00D11804"/>
    <w:rsid w:val="00D118B9"/>
    <w:rsid w:val="00D118F3"/>
    <w:rsid w:val="00D11953"/>
    <w:rsid w:val="00D119CD"/>
    <w:rsid w:val="00D11A0D"/>
    <w:rsid w:val="00D11A1B"/>
    <w:rsid w:val="00D11A43"/>
    <w:rsid w:val="00D11A9E"/>
    <w:rsid w:val="00D11AE7"/>
    <w:rsid w:val="00D11B1A"/>
    <w:rsid w:val="00D11B25"/>
    <w:rsid w:val="00D11C5C"/>
    <w:rsid w:val="00D11C79"/>
    <w:rsid w:val="00D11D5D"/>
    <w:rsid w:val="00D11E30"/>
    <w:rsid w:val="00D11E5F"/>
    <w:rsid w:val="00D11EB0"/>
    <w:rsid w:val="00D11F8F"/>
    <w:rsid w:val="00D1209F"/>
    <w:rsid w:val="00D120AD"/>
    <w:rsid w:val="00D120C0"/>
    <w:rsid w:val="00D1221A"/>
    <w:rsid w:val="00D122F2"/>
    <w:rsid w:val="00D1237F"/>
    <w:rsid w:val="00D12413"/>
    <w:rsid w:val="00D12530"/>
    <w:rsid w:val="00D12557"/>
    <w:rsid w:val="00D125A8"/>
    <w:rsid w:val="00D127DC"/>
    <w:rsid w:val="00D12A68"/>
    <w:rsid w:val="00D12BA8"/>
    <w:rsid w:val="00D12C3C"/>
    <w:rsid w:val="00D12C41"/>
    <w:rsid w:val="00D12C73"/>
    <w:rsid w:val="00D12D13"/>
    <w:rsid w:val="00D12D87"/>
    <w:rsid w:val="00D12E64"/>
    <w:rsid w:val="00D131D6"/>
    <w:rsid w:val="00D131F3"/>
    <w:rsid w:val="00D13203"/>
    <w:rsid w:val="00D1338C"/>
    <w:rsid w:val="00D13414"/>
    <w:rsid w:val="00D13467"/>
    <w:rsid w:val="00D13575"/>
    <w:rsid w:val="00D135E7"/>
    <w:rsid w:val="00D136AA"/>
    <w:rsid w:val="00D137C7"/>
    <w:rsid w:val="00D137DC"/>
    <w:rsid w:val="00D13AFA"/>
    <w:rsid w:val="00D13B23"/>
    <w:rsid w:val="00D13D61"/>
    <w:rsid w:val="00D13D63"/>
    <w:rsid w:val="00D13DCB"/>
    <w:rsid w:val="00D13E54"/>
    <w:rsid w:val="00D13E75"/>
    <w:rsid w:val="00D13EC9"/>
    <w:rsid w:val="00D13F3A"/>
    <w:rsid w:val="00D14031"/>
    <w:rsid w:val="00D14074"/>
    <w:rsid w:val="00D1407C"/>
    <w:rsid w:val="00D14092"/>
    <w:rsid w:val="00D140F0"/>
    <w:rsid w:val="00D141BC"/>
    <w:rsid w:val="00D142ED"/>
    <w:rsid w:val="00D14305"/>
    <w:rsid w:val="00D14344"/>
    <w:rsid w:val="00D1439D"/>
    <w:rsid w:val="00D143FD"/>
    <w:rsid w:val="00D1446D"/>
    <w:rsid w:val="00D14678"/>
    <w:rsid w:val="00D146F6"/>
    <w:rsid w:val="00D147A2"/>
    <w:rsid w:val="00D1484F"/>
    <w:rsid w:val="00D1486E"/>
    <w:rsid w:val="00D14875"/>
    <w:rsid w:val="00D14A81"/>
    <w:rsid w:val="00D14B41"/>
    <w:rsid w:val="00D14BB0"/>
    <w:rsid w:val="00D14C24"/>
    <w:rsid w:val="00D14C3E"/>
    <w:rsid w:val="00D14E1D"/>
    <w:rsid w:val="00D14F2C"/>
    <w:rsid w:val="00D14F41"/>
    <w:rsid w:val="00D14FC9"/>
    <w:rsid w:val="00D15006"/>
    <w:rsid w:val="00D1506B"/>
    <w:rsid w:val="00D1511E"/>
    <w:rsid w:val="00D15133"/>
    <w:rsid w:val="00D1520B"/>
    <w:rsid w:val="00D153D4"/>
    <w:rsid w:val="00D15450"/>
    <w:rsid w:val="00D1548B"/>
    <w:rsid w:val="00D1556C"/>
    <w:rsid w:val="00D1573C"/>
    <w:rsid w:val="00D15749"/>
    <w:rsid w:val="00D1575C"/>
    <w:rsid w:val="00D15779"/>
    <w:rsid w:val="00D157A6"/>
    <w:rsid w:val="00D15889"/>
    <w:rsid w:val="00D15900"/>
    <w:rsid w:val="00D15982"/>
    <w:rsid w:val="00D15B75"/>
    <w:rsid w:val="00D15B9B"/>
    <w:rsid w:val="00D15BE7"/>
    <w:rsid w:val="00D15BE9"/>
    <w:rsid w:val="00D15D3A"/>
    <w:rsid w:val="00D15EB6"/>
    <w:rsid w:val="00D15FF7"/>
    <w:rsid w:val="00D1607E"/>
    <w:rsid w:val="00D1615D"/>
    <w:rsid w:val="00D1637A"/>
    <w:rsid w:val="00D164BB"/>
    <w:rsid w:val="00D165E4"/>
    <w:rsid w:val="00D16626"/>
    <w:rsid w:val="00D16769"/>
    <w:rsid w:val="00D1683D"/>
    <w:rsid w:val="00D16853"/>
    <w:rsid w:val="00D1688D"/>
    <w:rsid w:val="00D16A02"/>
    <w:rsid w:val="00D16A77"/>
    <w:rsid w:val="00D16B62"/>
    <w:rsid w:val="00D16BCA"/>
    <w:rsid w:val="00D16EB3"/>
    <w:rsid w:val="00D16EC6"/>
    <w:rsid w:val="00D16F3C"/>
    <w:rsid w:val="00D16FA3"/>
    <w:rsid w:val="00D16FDD"/>
    <w:rsid w:val="00D17075"/>
    <w:rsid w:val="00D17178"/>
    <w:rsid w:val="00D17197"/>
    <w:rsid w:val="00D171C2"/>
    <w:rsid w:val="00D171F9"/>
    <w:rsid w:val="00D17251"/>
    <w:rsid w:val="00D172AC"/>
    <w:rsid w:val="00D17335"/>
    <w:rsid w:val="00D1733D"/>
    <w:rsid w:val="00D17362"/>
    <w:rsid w:val="00D1760B"/>
    <w:rsid w:val="00D17817"/>
    <w:rsid w:val="00D17839"/>
    <w:rsid w:val="00D17A25"/>
    <w:rsid w:val="00D17A7C"/>
    <w:rsid w:val="00D17AFD"/>
    <w:rsid w:val="00D17BF9"/>
    <w:rsid w:val="00D17C3E"/>
    <w:rsid w:val="00D17C70"/>
    <w:rsid w:val="00D17C73"/>
    <w:rsid w:val="00D17D1A"/>
    <w:rsid w:val="00D17D5A"/>
    <w:rsid w:val="00D17D85"/>
    <w:rsid w:val="00D17E30"/>
    <w:rsid w:val="00D17E49"/>
    <w:rsid w:val="00D17EBA"/>
    <w:rsid w:val="00D17EFF"/>
    <w:rsid w:val="00D17FB0"/>
    <w:rsid w:val="00D2005F"/>
    <w:rsid w:val="00D200A1"/>
    <w:rsid w:val="00D2013B"/>
    <w:rsid w:val="00D20185"/>
    <w:rsid w:val="00D20305"/>
    <w:rsid w:val="00D20335"/>
    <w:rsid w:val="00D20358"/>
    <w:rsid w:val="00D2039A"/>
    <w:rsid w:val="00D2048F"/>
    <w:rsid w:val="00D204B6"/>
    <w:rsid w:val="00D20583"/>
    <w:rsid w:val="00D205D2"/>
    <w:rsid w:val="00D20623"/>
    <w:rsid w:val="00D207A1"/>
    <w:rsid w:val="00D208A3"/>
    <w:rsid w:val="00D209C0"/>
    <w:rsid w:val="00D20AE5"/>
    <w:rsid w:val="00D20B64"/>
    <w:rsid w:val="00D20BD9"/>
    <w:rsid w:val="00D20BE3"/>
    <w:rsid w:val="00D20C06"/>
    <w:rsid w:val="00D20C26"/>
    <w:rsid w:val="00D20D18"/>
    <w:rsid w:val="00D20DCA"/>
    <w:rsid w:val="00D20DCE"/>
    <w:rsid w:val="00D20DE9"/>
    <w:rsid w:val="00D20E21"/>
    <w:rsid w:val="00D20EB6"/>
    <w:rsid w:val="00D20ECE"/>
    <w:rsid w:val="00D20F81"/>
    <w:rsid w:val="00D20FC9"/>
    <w:rsid w:val="00D2103B"/>
    <w:rsid w:val="00D21085"/>
    <w:rsid w:val="00D2114B"/>
    <w:rsid w:val="00D211A6"/>
    <w:rsid w:val="00D21260"/>
    <w:rsid w:val="00D212C5"/>
    <w:rsid w:val="00D2135D"/>
    <w:rsid w:val="00D213CF"/>
    <w:rsid w:val="00D213F1"/>
    <w:rsid w:val="00D21413"/>
    <w:rsid w:val="00D215E7"/>
    <w:rsid w:val="00D21642"/>
    <w:rsid w:val="00D217A5"/>
    <w:rsid w:val="00D217D9"/>
    <w:rsid w:val="00D218F2"/>
    <w:rsid w:val="00D21A0D"/>
    <w:rsid w:val="00D21AFE"/>
    <w:rsid w:val="00D21B6C"/>
    <w:rsid w:val="00D21BA0"/>
    <w:rsid w:val="00D21DDB"/>
    <w:rsid w:val="00D21EFC"/>
    <w:rsid w:val="00D21F27"/>
    <w:rsid w:val="00D21F66"/>
    <w:rsid w:val="00D22023"/>
    <w:rsid w:val="00D22030"/>
    <w:rsid w:val="00D222FA"/>
    <w:rsid w:val="00D2237F"/>
    <w:rsid w:val="00D22600"/>
    <w:rsid w:val="00D226EA"/>
    <w:rsid w:val="00D22760"/>
    <w:rsid w:val="00D22882"/>
    <w:rsid w:val="00D22892"/>
    <w:rsid w:val="00D2295F"/>
    <w:rsid w:val="00D229D9"/>
    <w:rsid w:val="00D22B87"/>
    <w:rsid w:val="00D22BE6"/>
    <w:rsid w:val="00D22CE0"/>
    <w:rsid w:val="00D22D84"/>
    <w:rsid w:val="00D22D9B"/>
    <w:rsid w:val="00D22DC6"/>
    <w:rsid w:val="00D22DF3"/>
    <w:rsid w:val="00D22E14"/>
    <w:rsid w:val="00D22E28"/>
    <w:rsid w:val="00D22E2C"/>
    <w:rsid w:val="00D22E9A"/>
    <w:rsid w:val="00D22F7A"/>
    <w:rsid w:val="00D2302E"/>
    <w:rsid w:val="00D23092"/>
    <w:rsid w:val="00D230B3"/>
    <w:rsid w:val="00D230EC"/>
    <w:rsid w:val="00D230F5"/>
    <w:rsid w:val="00D23264"/>
    <w:rsid w:val="00D232F0"/>
    <w:rsid w:val="00D232F4"/>
    <w:rsid w:val="00D2333E"/>
    <w:rsid w:val="00D233B9"/>
    <w:rsid w:val="00D233DC"/>
    <w:rsid w:val="00D23425"/>
    <w:rsid w:val="00D2345D"/>
    <w:rsid w:val="00D234C4"/>
    <w:rsid w:val="00D23552"/>
    <w:rsid w:val="00D23565"/>
    <w:rsid w:val="00D235B8"/>
    <w:rsid w:val="00D23713"/>
    <w:rsid w:val="00D23741"/>
    <w:rsid w:val="00D237B1"/>
    <w:rsid w:val="00D238AA"/>
    <w:rsid w:val="00D238C0"/>
    <w:rsid w:val="00D238F1"/>
    <w:rsid w:val="00D23A86"/>
    <w:rsid w:val="00D23CDD"/>
    <w:rsid w:val="00D23D1F"/>
    <w:rsid w:val="00D23D7E"/>
    <w:rsid w:val="00D23DF9"/>
    <w:rsid w:val="00D23F5C"/>
    <w:rsid w:val="00D23F72"/>
    <w:rsid w:val="00D240B6"/>
    <w:rsid w:val="00D24170"/>
    <w:rsid w:val="00D2417C"/>
    <w:rsid w:val="00D241E1"/>
    <w:rsid w:val="00D242C7"/>
    <w:rsid w:val="00D242CB"/>
    <w:rsid w:val="00D24313"/>
    <w:rsid w:val="00D243B4"/>
    <w:rsid w:val="00D243DB"/>
    <w:rsid w:val="00D243F7"/>
    <w:rsid w:val="00D24423"/>
    <w:rsid w:val="00D244CF"/>
    <w:rsid w:val="00D2459C"/>
    <w:rsid w:val="00D245B7"/>
    <w:rsid w:val="00D245DA"/>
    <w:rsid w:val="00D2466E"/>
    <w:rsid w:val="00D24689"/>
    <w:rsid w:val="00D246B0"/>
    <w:rsid w:val="00D246F5"/>
    <w:rsid w:val="00D247CA"/>
    <w:rsid w:val="00D249D0"/>
    <w:rsid w:val="00D24A1A"/>
    <w:rsid w:val="00D24C3F"/>
    <w:rsid w:val="00D24CA4"/>
    <w:rsid w:val="00D24E55"/>
    <w:rsid w:val="00D24F28"/>
    <w:rsid w:val="00D24FA7"/>
    <w:rsid w:val="00D2507B"/>
    <w:rsid w:val="00D2508C"/>
    <w:rsid w:val="00D25162"/>
    <w:rsid w:val="00D251B5"/>
    <w:rsid w:val="00D25271"/>
    <w:rsid w:val="00D252FD"/>
    <w:rsid w:val="00D25309"/>
    <w:rsid w:val="00D2530E"/>
    <w:rsid w:val="00D25387"/>
    <w:rsid w:val="00D253D3"/>
    <w:rsid w:val="00D25427"/>
    <w:rsid w:val="00D25477"/>
    <w:rsid w:val="00D254D2"/>
    <w:rsid w:val="00D2565C"/>
    <w:rsid w:val="00D256B2"/>
    <w:rsid w:val="00D256FC"/>
    <w:rsid w:val="00D25784"/>
    <w:rsid w:val="00D25832"/>
    <w:rsid w:val="00D258BE"/>
    <w:rsid w:val="00D258D3"/>
    <w:rsid w:val="00D258E3"/>
    <w:rsid w:val="00D25971"/>
    <w:rsid w:val="00D2598A"/>
    <w:rsid w:val="00D25C02"/>
    <w:rsid w:val="00D25C31"/>
    <w:rsid w:val="00D25CF9"/>
    <w:rsid w:val="00D25E41"/>
    <w:rsid w:val="00D25E67"/>
    <w:rsid w:val="00D261C4"/>
    <w:rsid w:val="00D261DC"/>
    <w:rsid w:val="00D26330"/>
    <w:rsid w:val="00D2634D"/>
    <w:rsid w:val="00D2635E"/>
    <w:rsid w:val="00D26388"/>
    <w:rsid w:val="00D263FF"/>
    <w:rsid w:val="00D26538"/>
    <w:rsid w:val="00D26595"/>
    <w:rsid w:val="00D26604"/>
    <w:rsid w:val="00D26745"/>
    <w:rsid w:val="00D2678F"/>
    <w:rsid w:val="00D267EF"/>
    <w:rsid w:val="00D268EA"/>
    <w:rsid w:val="00D26940"/>
    <w:rsid w:val="00D26A0F"/>
    <w:rsid w:val="00D26C2C"/>
    <w:rsid w:val="00D26C7C"/>
    <w:rsid w:val="00D26CD4"/>
    <w:rsid w:val="00D26D75"/>
    <w:rsid w:val="00D26E33"/>
    <w:rsid w:val="00D26E8F"/>
    <w:rsid w:val="00D26FFB"/>
    <w:rsid w:val="00D27039"/>
    <w:rsid w:val="00D2704D"/>
    <w:rsid w:val="00D27054"/>
    <w:rsid w:val="00D27057"/>
    <w:rsid w:val="00D27157"/>
    <w:rsid w:val="00D27256"/>
    <w:rsid w:val="00D2727B"/>
    <w:rsid w:val="00D272D0"/>
    <w:rsid w:val="00D272E2"/>
    <w:rsid w:val="00D2730D"/>
    <w:rsid w:val="00D273C0"/>
    <w:rsid w:val="00D2740C"/>
    <w:rsid w:val="00D27483"/>
    <w:rsid w:val="00D274A6"/>
    <w:rsid w:val="00D274C6"/>
    <w:rsid w:val="00D2762E"/>
    <w:rsid w:val="00D276A8"/>
    <w:rsid w:val="00D27750"/>
    <w:rsid w:val="00D2775B"/>
    <w:rsid w:val="00D27931"/>
    <w:rsid w:val="00D27A21"/>
    <w:rsid w:val="00D27AE8"/>
    <w:rsid w:val="00D27BAB"/>
    <w:rsid w:val="00D27C0E"/>
    <w:rsid w:val="00D27C30"/>
    <w:rsid w:val="00D27C76"/>
    <w:rsid w:val="00D27C97"/>
    <w:rsid w:val="00D27D4E"/>
    <w:rsid w:val="00D27DFC"/>
    <w:rsid w:val="00D27E11"/>
    <w:rsid w:val="00D27F3C"/>
    <w:rsid w:val="00D30015"/>
    <w:rsid w:val="00D30069"/>
    <w:rsid w:val="00D30081"/>
    <w:rsid w:val="00D30235"/>
    <w:rsid w:val="00D303A2"/>
    <w:rsid w:val="00D303B8"/>
    <w:rsid w:val="00D304DB"/>
    <w:rsid w:val="00D30546"/>
    <w:rsid w:val="00D30616"/>
    <w:rsid w:val="00D307BC"/>
    <w:rsid w:val="00D307FA"/>
    <w:rsid w:val="00D3080F"/>
    <w:rsid w:val="00D30815"/>
    <w:rsid w:val="00D3083A"/>
    <w:rsid w:val="00D30879"/>
    <w:rsid w:val="00D308DF"/>
    <w:rsid w:val="00D3096D"/>
    <w:rsid w:val="00D30A08"/>
    <w:rsid w:val="00D30B5E"/>
    <w:rsid w:val="00D30C72"/>
    <w:rsid w:val="00D30C9C"/>
    <w:rsid w:val="00D30D8F"/>
    <w:rsid w:val="00D30DCF"/>
    <w:rsid w:val="00D30EBB"/>
    <w:rsid w:val="00D310D6"/>
    <w:rsid w:val="00D3115A"/>
    <w:rsid w:val="00D312B7"/>
    <w:rsid w:val="00D313F3"/>
    <w:rsid w:val="00D314E2"/>
    <w:rsid w:val="00D3157A"/>
    <w:rsid w:val="00D3159F"/>
    <w:rsid w:val="00D31610"/>
    <w:rsid w:val="00D31627"/>
    <w:rsid w:val="00D31662"/>
    <w:rsid w:val="00D316A4"/>
    <w:rsid w:val="00D316A8"/>
    <w:rsid w:val="00D316F5"/>
    <w:rsid w:val="00D31904"/>
    <w:rsid w:val="00D31970"/>
    <w:rsid w:val="00D3199A"/>
    <w:rsid w:val="00D31AD3"/>
    <w:rsid w:val="00D31B0F"/>
    <w:rsid w:val="00D31B4E"/>
    <w:rsid w:val="00D31B7C"/>
    <w:rsid w:val="00D31C8C"/>
    <w:rsid w:val="00D31D72"/>
    <w:rsid w:val="00D31E62"/>
    <w:rsid w:val="00D31EFA"/>
    <w:rsid w:val="00D31FBB"/>
    <w:rsid w:val="00D32106"/>
    <w:rsid w:val="00D322B3"/>
    <w:rsid w:val="00D32342"/>
    <w:rsid w:val="00D32481"/>
    <w:rsid w:val="00D324BC"/>
    <w:rsid w:val="00D32563"/>
    <w:rsid w:val="00D325C1"/>
    <w:rsid w:val="00D32733"/>
    <w:rsid w:val="00D327AF"/>
    <w:rsid w:val="00D327B9"/>
    <w:rsid w:val="00D327D5"/>
    <w:rsid w:val="00D328CB"/>
    <w:rsid w:val="00D32957"/>
    <w:rsid w:val="00D32B48"/>
    <w:rsid w:val="00D32BBA"/>
    <w:rsid w:val="00D32CA9"/>
    <w:rsid w:val="00D32D2C"/>
    <w:rsid w:val="00D32D43"/>
    <w:rsid w:val="00D32D4D"/>
    <w:rsid w:val="00D32D85"/>
    <w:rsid w:val="00D32DE0"/>
    <w:rsid w:val="00D32FB5"/>
    <w:rsid w:val="00D32FDB"/>
    <w:rsid w:val="00D33030"/>
    <w:rsid w:val="00D3305C"/>
    <w:rsid w:val="00D33097"/>
    <w:rsid w:val="00D33104"/>
    <w:rsid w:val="00D3313B"/>
    <w:rsid w:val="00D331F6"/>
    <w:rsid w:val="00D33212"/>
    <w:rsid w:val="00D3323E"/>
    <w:rsid w:val="00D3342B"/>
    <w:rsid w:val="00D33465"/>
    <w:rsid w:val="00D334E0"/>
    <w:rsid w:val="00D33559"/>
    <w:rsid w:val="00D3369C"/>
    <w:rsid w:val="00D336AE"/>
    <w:rsid w:val="00D33755"/>
    <w:rsid w:val="00D337F3"/>
    <w:rsid w:val="00D33833"/>
    <w:rsid w:val="00D33918"/>
    <w:rsid w:val="00D33A6B"/>
    <w:rsid w:val="00D33ACD"/>
    <w:rsid w:val="00D33B83"/>
    <w:rsid w:val="00D33C76"/>
    <w:rsid w:val="00D33C7B"/>
    <w:rsid w:val="00D33CE3"/>
    <w:rsid w:val="00D33D30"/>
    <w:rsid w:val="00D33DA7"/>
    <w:rsid w:val="00D33DB3"/>
    <w:rsid w:val="00D33E39"/>
    <w:rsid w:val="00D33E3C"/>
    <w:rsid w:val="00D33EAD"/>
    <w:rsid w:val="00D33F53"/>
    <w:rsid w:val="00D33FA2"/>
    <w:rsid w:val="00D3406D"/>
    <w:rsid w:val="00D34081"/>
    <w:rsid w:val="00D340A7"/>
    <w:rsid w:val="00D340BB"/>
    <w:rsid w:val="00D34170"/>
    <w:rsid w:val="00D341FB"/>
    <w:rsid w:val="00D3423D"/>
    <w:rsid w:val="00D3431E"/>
    <w:rsid w:val="00D343AC"/>
    <w:rsid w:val="00D343ED"/>
    <w:rsid w:val="00D3457C"/>
    <w:rsid w:val="00D34857"/>
    <w:rsid w:val="00D348C0"/>
    <w:rsid w:val="00D348C2"/>
    <w:rsid w:val="00D3494A"/>
    <w:rsid w:val="00D349C1"/>
    <w:rsid w:val="00D34A2C"/>
    <w:rsid w:val="00D34BC9"/>
    <w:rsid w:val="00D34C2A"/>
    <w:rsid w:val="00D34CAE"/>
    <w:rsid w:val="00D34DDA"/>
    <w:rsid w:val="00D34DE6"/>
    <w:rsid w:val="00D34E85"/>
    <w:rsid w:val="00D34EAF"/>
    <w:rsid w:val="00D34EE5"/>
    <w:rsid w:val="00D34EEF"/>
    <w:rsid w:val="00D34F70"/>
    <w:rsid w:val="00D34FB9"/>
    <w:rsid w:val="00D34FDE"/>
    <w:rsid w:val="00D3514D"/>
    <w:rsid w:val="00D3537C"/>
    <w:rsid w:val="00D35435"/>
    <w:rsid w:val="00D35458"/>
    <w:rsid w:val="00D35485"/>
    <w:rsid w:val="00D35493"/>
    <w:rsid w:val="00D354D0"/>
    <w:rsid w:val="00D3557A"/>
    <w:rsid w:val="00D3561D"/>
    <w:rsid w:val="00D3570E"/>
    <w:rsid w:val="00D35737"/>
    <w:rsid w:val="00D35768"/>
    <w:rsid w:val="00D3578F"/>
    <w:rsid w:val="00D35837"/>
    <w:rsid w:val="00D35852"/>
    <w:rsid w:val="00D358CB"/>
    <w:rsid w:val="00D358D5"/>
    <w:rsid w:val="00D358E8"/>
    <w:rsid w:val="00D359DE"/>
    <w:rsid w:val="00D35A32"/>
    <w:rsid w:val="00D35A38"/>
    <w:rsid w:val="00D35AEF"/>
    <w:rsid w:val="00D35E4F"/>
    <w:rsid w:val="00D35EB8"/>
    <w:rsid w:val="00D3607B"/>
    <w:rsid w:val="00D360EA"/>
    <w:rsid w:val="00D36391"/>
    <w:rsid w:val="00D3646F"/>
    <w:rsid w:val="00D364D7"/>
    <w:rsid w:val="00D36527"/>
    <w:rsid w:val="00D36562"/>
    <w:rsid w:val="00D367F2"/>
    <w:rsid w:val="00D36837"/>
    <w:rsid w:val="00D368DD"/>
    <w:rsid w:val="00D36A1B"/>
    <w:rsid w:val="00D36AD2"/>
    <w:rsid w:val="00D36C27"/>
    <w:rsid w:val="00D36D02"/>
    <w:rsid w:val="00D36F0B"/>
    <w:rsid w:val="00D36FE0"/>
    <w:rsid w:val="00D370DB"/>
    <w:rsid w:val="00D370FD"/>
    <w:rsid w:val="00D37191"/>
    <w:rsid w:val="00D371BD"/>
    <w:rsid w:val="00D37247"/>
    <w:rsid w:val="00D373AE"/>
    <w:rsid w:val="00D3740D"/>
    <w:rsid w:val="00D3746B"/>
    <w:rsid w:val="00D374AA"/>
    <w:rsid w:val="00D374FA"/>
    <w:rsid w:val="00D3758A"/>
    <w:rsid w:val="00D375B0"/>
    <w:rsid w:val="00D375C1"/>
    <w:rsid w:val="00D37601"/>
    <w:rsid w:val="00D37651"/>
    <w:rsid w:val="00D376A0"/>
    <w:rsid w:val="00D376A8"/>
    <w:rsid w:val="00D3773D"/>
    <w:rsid w:val="00D3778F"/>
    <w:rsid w:val="00D377A0"/>
    <w:rsid w:val="00D37814"/>
    <w:rsid w:val="00D3783E"/>
    <w:rsid w:val="00D3796E"/>
    <w:rsid w:val="00D3798F"/>
    <w:rsid w:val="00D37B88"/>
    <w:rsid w:val="00D37BAE"/>
    <w:rsid w:val="00D37BDE"/>
    <w:rsid w:val="00D37CE9"/>
    <w:rsid w:val="00D37E3E"/>
    <w:rsid w:val="00D37E45"/>
    <w:rsid w:val="00D37EA0"/>
    <w:rsid w:val="00D37F30"/>
    <w:rsid w:val="00D37F85"/>
    <w:rsid w:val="00D40063"/>
    <w:rsid w:val="00D400E0"/>
    <w:rsid w:val="00D401CE"/>
    <w:rsid w:val="00D401EC"/>
    <w:rsid w:val="00D403C8"/>
    <w:rsid w:val="00D403E8"/>
    <w:rsid w:val="00D40444"/>
    <w:rsid w:val="00D404E0"/>
    <w:rsid w:val="00D40714"/>
    <w:rsid w:val="00D407B2"/>
    <w:rsid w:val="00D40917"/>
    <w:rsid w:val="00D40972"/>
    <w:rsid w:val="00D409D8"/>
    <w:rsid w:val="00D40B13"/>
    <w:rsid w:val="00D40BFD"/>
    <w:rsid w:val="00D40C29"/>
    <w:rsid w:val="00D40D0B"/>
    <w:rsid w:val="00D40D83"/>
    <w:rsid w:val="00D41022"/>
    <w:rsid w:val="00D41206"/>
    <w:rsid w:val="00D4133D"/>
    <w:rsid w:val="00D413B3"/>
    <w:rsid w:val="00D413BF"/>
    <w:rsid w:val="00D413FF"/>
    <w:rsid w:val="00D41478"/>
    <w:rsid w:val="00D4148E"/>
    <w:rsid w:val="00D41551"/>
    <w:rsid w:val="00D415A7"/>
    <w:rsid w:val="00D41816"/>
    <w:rsid w:val="00D41825"/>
    <w:rsid w:val="00D41868"/>
    <w:rsid w:val="00D41869"/>
    <w:rsid w:val="00D418EB"/>
    <w:rsid w:val="00D419BB"/>
    <w:rsid w:val="00D41A8A"/>
    <w:rsid w:val="00D41AB1"/>
    <w:rsid w:val="00D41AD4"/>
    <w:rsid w:val="00D41B78"/>
    <w:rsid w:val="00D41BE6"/>
    <w:rsid w:val="00D41CC7"/>
    <w:rsid w:val="00D41D06"/>
    <w:rsid w:val="00D41D5D"/>
    <w:rsid w:val="00D41DA6"/>
    <w:rsid w:val="00D41E84"/>
    <w:rsid w:val="00D41F06"/>
    <w:rsid w:val="00D42013"/>
    <w:rsid w:val="00D4214B"/>
    <w:rsid w:val="00D421CF"/>
    <w:rsid w:val="00D42222"/>
    <w:rsid w:val="00D42270"/>
    <w:rsid w:val="00D422D0"/>
    <w:rsid w:val="00D4236F"/>
    <w:rsid w:val="00D423A5"/>
    <w:rsid w:val="00D423AB"/>
    <w:rsid w:val="00D423D8"/>
    <w:rsid w:val="00D4240B"/>
    <w:rsid w:val="00D42427"/>
    <w:rsid w:val="00D42656"/>
    <w:rsid w:val="00D42705"/>
    <w:rsid w:val="00D4270A"/>
    <w:rsid w:val="00D42729"/>
    <w:rsid w:val="00D42737"/>
    <w:rsid w:val="00D4276D"/>
    <w:rsid w:val="00D427FF"/>
    <w:rsid w:val="00D429F0"/>
    <w:rsid w:val="00D42A63"/>
    <w:rsid w:val="00D42AF0"/>
    <w:rsid w:val="00D42B6B"/>
    <w:rsid w:val="00D42B89"/>
    <w:rsid w:val="00D42C63"/>
    <w:rsid w:val="00D42CF0"/>
    <w:rsid w:val="00D42D35"/>
    <w:rsid w:val="00D42D55"/>
    <w:rsid w:val="00D42E64"/>
    <w:rsid w:val="00D430C3"/>
    <w:rsid w:val="00D430F5"/>
    <w:rsid w:val="00D43195"/>
    <w:rsid w:val="00D43208"/>
    <w:rsid w:val="00D43235"/>
    <w:rsid w:val="00D432C9"/>
    <w:rsid w:val="00D43407"/>
    <w:rsid w:val="00D4342C"/>
    <w:rsid w:val="00D4349E"/>
    <w:rsid w:val="00D4356C"/>
    <w:rsid w:val="00D43677"/>
    <w:rsid w:val="00D436D7"/>
    <w:rsid w:val="00D436D8"/>
    <w:rsid w:val="00D4379C"/>
    <w:rsid w:val="00D437FF"/>
    <w:rsid w:val="00D43A47"/>
    <w:rsid w:val="00D43A4A"/>
    <w:rsid w:val="00D43AB8"/>
    <w:rsid w:val="00D43B56"/>
    <w:rsid w:val="00D43B9E"/>
    <w:rsid w:val="00D43BD0"/>
    <w:rsid w:val="00D43C87"/>
    <w:rsid w:val="00D43D5D"/>
    <w:rsid w:val="00D43D67"/>
    <w:rsid w:val="00D43DE8"/>
    <w:rsid w:val="00D43E35"/>
    <w:rsid w:val="00D43E77"/>
    <w:rsid w:val="00D43EDC"/>
    <w:rsid w:val="00D43EFE"/>
    <w:rsid w:val="00D43F6B"/>
    <w:rsid w:val="00D43F8A"/>
    <w:rsid w:val="00D43FC8"/>
    <w:rsid w:val="00D43FCF"/>
    <w:rsid w:val="00D4407C"/>
    <w:rsid w:val="00D44274"/>
    <w:rsid w:val="00D443D1"/>
    <w:rsid w:val="00D444D6"/>
    <w:rsid w:val="00D445C9"/>
    <w:rsid w:val="00D4461E"/>
    <w:rsid w:val="00D4463B"/>
    <w:rsid w:val="00D4465D"/>
    <w:rsid w:val="00D446D2"/>
    <w:rsid w:val="00D44713"/>
    <w:rsid w:val="00D4487D"/>
    <w:rsid w:val="00D448FD"/>
    <w:rsid w:val="00D44BE7"/>
    <w:rsid w:val="00D44CB0"/>
    <w:rsid w:val="00D44CC8"/>
    <w:rsid w:val="00D44E55"/>
    <w:rsid w:val="00D44F66"/>
    <w:rsid w:val="00D45189"/>
    <w:rsid w:val="00D452A3"/>
    <w:rsid w:val="00D45596"/>
    <w:rsid w:val="00D45620"/>
    <w:rsid w:val="00D45642"/>
    <w:rsid w:val="00D45667"/>
    <w:rsid w:val="00D456F9"/>
    <w:rsid w:val="00D45713"/>
    <w:rsid w:val="00D45721"/>
    <w:rsid w:val="00D45741"/>
    <w:rsid w:val="00D4581F"/>
    <w:rsid w:val="00D4583C"/>
    <w:rsid w:val="00D4584A"/>
    <w:rsid w:val="00D4589B"/>
    <w:rsid w:val="00D459B7"/>
    <w:rsid w:val="00D45A8D"/>
    <w:rsid w:val="00D45B4C"/>
    <w:rsid w:val="00D45B74"/>
    <w:rsid w:val="00D45B7A"/>
    <w:rsid w:val="00D45BBC"/>
    <w:rsid w:val="00D45BC5"/>
    <w:rsid w:val="00D45D7D"/>
    <w:rsid w:val="00D45DC8"/>
    <w:rsid w:val="00D45EA3"/>
    <w:rsid w:val="00D45EC5"/>
    <w:rsid w:val="00D45F07"/>
    <w:rsid w:val="00D45FD5"/>
    <w:rsid w:val="00D460ED"/>
    <w:rsid w:val="00D4611E"/>
    <w:rsid w:val="00D46236"/>
    <w:rsid w:val="00D464D0"/>
    <w:rsid w:val="00D46518"/>
    <w:rsid w:val="00D4657F"/>
    <w:rsid w:val="00D4659E"/>
    <w:rsid w:val="00D4674F"/>
    <w:rsid w:val="00D46762"/>
    <w:rsid w:val="00D4677E"/>
    <w:rsid w:val="00D467FB"/>
    <w:rsid w:val="00D46824"/>
    <w:rsid w:val="00D468BB"/>
    <w:rsid w:val="00D46902"/>
    <w:rsid w:val="00D46A23"/>
    <w:rsid w:val="00D46A94"/>
    <w:rsid w:val="00D46B17"/>
    <w:rsid w:val="00D46D81"/>
    <w:rsid w:val="00D46E57"/>
    <w:rsid w:val="00D46EA9"/>
    <w:rsid w:val="00D46ED8"/>
    <w:rsid w:val="00D46EE9"/>
    <w:rsid w:val="00D46FB8"/>
    <w:rsid w:val="00D4703F"/>
    <w:rsid w:val="00D4717F"/>
    <w:rsid w:val="00D47182"/>
    <w:rsid w:val="00D471DB"/>
    <w:rsid w:val="00D47354"/>
    <w:rsid w:val="00D4735F"/>
    <w:rsid w:val="00D47379"/>
    <w:rsid w:val="00D473B0"/>
    <w:rsid w:val="00D473B8"/>
    <w:rsid w:val="00D47471"/>
    <w:rsid w:val="00D47516"/>
    <w:rsid w:val="00D4760F"/>
    <w:rsid w:val="00D47616"/>
    <w:rsid w:val="00D47636"/>
    <w:rsid w:val="00D476F3"/>
    <w:rsid w:val="00D4770E"/>
    <w:rsid w:val="00D4787D"/>
    <w:rsid w:val="00D478B0"/>
    <w:rsid w:val="00D478F7"/>
    <w:rsid w:val="00D47A75"/>
    <w:rsid w:val="00D47B01"/>
    <w:rsid w:val="00D47B15"/>
    <w:rsid w:val="00D47B99"/>
    <w:rsid w:val="00D47B9B"/>
    <w:rsid w:val="00D47BF8"/>
    <w:rsid w:val="00D47C04"/>
    <w:rsid w:val="00D47C29"/>
    <w:rsid w:val="00D47C83"/>
    <w:rsid w:val="00D47CDD"/>
    <w:rsid w:val="00D47D83"/>
    <w:rsid w:val="00D47DD8"/>
    <w:rsid w:val="00D47DE2"/>
    <w:rsid w:val="00D47DE7"/>
    <w:rsid w:val="00D47E65"/>
    <w:rsid w:val="00D47E72"/>
    <w:rsid w:val="00D47EF2"/>
    <w:rsid w:val="00D47F04"/>
    <w:rsid w:val="00D50051"/>
    <w:rsid w:val="00D500CE"/>
    <w:rsid w:val="00D501D7"/>
    <w:rsid w:val="00D501F6"/>
    <w:rsid w:val="00D5026F"/>
    <w:rsid w:val="00D502D7"/>
    <w:rsid w:val="00D5047B"/>
    <w:rsid w:val="00D504FE"/>
    <w:rsid w:val="00D505A3"/>
    <w:rsid w:val="00D5060B"/>
    <w:rsid w:val="00D506EB"/>
    <w:rsid w:val="00D507FB"/>
    <w:rsid w:val="00D5097E"/>
    <w:rsid w:val="00D5099D"/>
    <w:rsid w:val="00D50AE2"/>
    <w:rsid w:val="00D50B48"/>
    <w:rsid w:val="00D50BA2"/>
    <w:rsid w:val="00D50BD2"/>
    <w:rsid w:val="00D50C48"/>
    <w:rsid w:val="00D50D26"/>
    <w:rsid w:val="00D50EE3"/>
    <w:rsid w:val="00D50EFA"/>
    <w:rsid w:val="00D50F08"/>
    <w:rsid w:val="00D50F6E"/>
    <w:rsid w:val="00D50F93"/>
    <w:rsid w:val="00D510BB"/>
    <w:rsid w:val="00D510ED"/>
    <w:rsid w:val="00D51156"/>
    <w:rsid w:val="00D51191"/>
    <w:rsid w:val="00D51249"/>
    <w:rsid w:val="00D51289"/>
    <w:rsid w:val="00D512C0"/>
    <w:rsid w:val="00D512D5"/>
    <w:rsid w:val="00D5134D"/>
    <w:rsid w:val="00D5143C"/>
    <w:rsid w:val="00D514C9"/>
    <w:rsid w:val="00D515DD"/>
    <w:rsid w:val="00D5168D"/>
    <w:rsid w:val="00D5169E"/>
    <w:rsid w:val="00D51748"/>
    <w:rsid w:val="00D51768"/>
    <w:rsid w:val="00D517B9"/>
    <w:rsid w:val="00D519A6"/>
    <w:rsid w:val="00D51AE1"/>
    <w:rsid w:val="00D51AE6"/>
    <w:rsid w:val="00D51E31"/>
    <w:rsid w:val="00D51EAB"/>
    <w:rsid w:val="00D51F16"/>
    <w:rsid w:val="00D51FE8"/>
    <w:rsid w:val="00D52004"/>
    <w:rsid w:val="00D52005"/>
    <w:rsid w:val="00D5202E"/>
    <w:rsid w:val="00D520E7"/>
    <w:rsid w:val="00D52161"/>
    <w:rsid w:val="00D5225D"/>
    <w:rsid w:val="00D522FB"/>
    <w:rsid w:val="00D522FE"/>
    <w:rsid w:val="00D52339"/>
    <w:rsid w:val="00D52371"/>
    <w:rsid w:val="00D523ED"/>
    <w:rsid w:val="00D52481"/>
    <w:rsid w:val="00D52496"/>
    <w:rsid w:val="00D524C2"/>
    <w:rsid w:val="00D5250C"/>
    <w:rsid w:val="00D52587"/>
    <w:rsid w:val="00D52606"/>
    <w:rsid w:val="00D52828"/>
    <w:rsid w:val="00D52867"/>
    <w:rsid w:val="00D528B0"/>
    <w:rsid w:val="00D52A13"/>
    <w:rsid w:val="00D52A77"/>
    <w:rsid w:val="00D52B19"/>
    <w:rsid w:val="00D52BD2"/>
    <w:rsid w:val="00D52D0E"/>
    <w:rsid w:val="00D52D12"/>
    <w:rsid w:val="00D52DA6"/>
    <w:rsid w:val="00D52E4A"/>
    <w:rsid w:val="00D52E75"/>
    <w:rsid w:val="00D5305B"/>
    <w:rsid w:val="00D5312E"/>
    <w:rsid w:val="00D5314E"/>
    <w:rsid w:val="00D53157"/>
    <w:rsid w:val="00D531F7"/>
    <w:rsid w:val="00D53206"/>
    <w:rsid w:val="00D5325B"/>
    <w:rsid w:val="00D53293"/>
    <w:rsid w:val="00D53376"/>
    <w:rsid w:val="00D533BE"/>
    <w:rsid w:val="00D5346D"/>
    <w:rsid w:val="00D5357C"/>
    <w:rsid w:val="00D535F0"/>
    <w:rsid w:val="00D53623"/>
    <w:rsid w:val="00D53656"/>
    <w:rsid w:val="00D536E5"/>
    <w:rsid w:val="00D537BE"/>
    <w:rsid w:val="00D53888"/>
    <w:rsid w:val="00D53998"/>
    <w:rsid w:val="00D53ADB"/>
    <w:rsid w:val="00D53B4E"/>
    <w:rsid w:val="00D53B9C"/>
    <w:rsid w:val="00D53CAD"/>
    <w:rsid w:val="00D53CC9"/>
    <w:rsid w:val="00D53D0F"/>
    <w:rsid w:val="00D53D2D"/>
    <w:rsid w:val="00D53D62"/>
    <w:rsid w:val="00D53D8C"/>
    <w:rsid w:val="00D53F2D"/>
    <w:rsid w:val="00D53F66"/>
    <w:rsid w:val="00D53F95"/>
    <w:rsid w:val="00D540B3"/>
    <w:rsid w:val="00D5427F"/>
    <w:rsid w:val="00D5429E"/>
    <w:rsid w:val="00D54366"/>
    <w:rsid w:val="00D5438F"/>
    <w:rsid w:val="00D54481"/>
    <w:rsid w:val="00D544DA"/>
    <w:rsid w:val="00D54587"/>
    <w:rsid w:val="00D54651"/>
    <w:rsid w:val="00D54666"/>
    <w:rsid w:val="00D5468B"/>
    <w:rsid w:val="00D546E6"/>
    <w:rsid w:val="00D547F7"/>
    <w:rsid w:val="00D548E4"/>
    <w:rsid w:val="00D5496F"/>
    <w:rsid w:val="00D54A97"/>
    <w:rsid w:val="00D54AD9"/>
    <w:rsid w:val="00D54B78"/>
    <w:rsid w:val="00D54D77"/>
    <w:rsid w:val="00D54DED"/>
    <w:rsid w:val="00D54F3A"/>
    <w:rsid w:val="00D5503C"/>
    <w:rsid w:val="00D5504E"/>
    <w:rsid w:val="00D550AD"/>
    <w:rsid w:val="00D5516A"/>
    <w:rsid w:val="00D551F8"/>
    <w:rsid w:val="00D55261"/>
    <w:rsid w:val="00D552FF"/>
    <w:rsid w:val="00D5530B"/>
    <w:rsid w:val="00D553DF"/>
    <w:rsid w:val="00D5542E"/>
    <w:rsid w:val="00D554D4"/>
    <w:rsid w:val="00D555BE"/>
    <w:rsid w:val="00D55726"/>
    <w:rsid w:val="00D55960"/>
    <w:rsid w:val="00D55A1E"/>
    <w:rsid w:val="00D55AC9"/>
    <w:rsid w:val="00D55B76"/>
    <w:rsid w:val="00D55BBD"/>
    <w:rsid w:val="00D55BC3"/>
    <w:rsid w:val="00D55BC8"/>
    <w:rsid w:val="00D55BCD"/>
    <w:rsid w:val="00D55C15"/>
    <w:rsid w:val="00D55CC9"/>
    <w:rsid w:val="00D55DE3"/>
    <w:rsid w:val="00D55E02"/>
    <w:rsid w:val="00D55F6B"/>
    <w:rsid w:val="00D55FAC"/>
    <w:rsid w:val="00D55FEA"/>
    <w:rsid w:val="00D56051"/>
    <w:rsid w:val="00D56108"/>
    <w:rsid w:val="00D56197"/>
    <w:rsid w:val="00D561B1"/>
    <w:rsid w:val="00D56204"/>
    <w:rsid w:val="00D5623D"/>
    <w:rsid w:val="00D56361"/>
    <w:rsid w:val="00D56391"/>
    <w:rsid w:val="00D563A2"/>
    <w:rsid w:val="00D5678D"/>
    <w:rsid w:val="00D5679D"/>
    <w:rsid w:val="00D567C5"/>
    <w:rsid w:val="00D567D5"/>
    <w:rsid w:val="00D5682D"/>
    <w:rsid w:val="00D56978"/>
    <w:rsid w:val="00D56BDF"/>
    <w:rsid w:val="00D56D09"/>
    <w:rsid w:val="00D56E09"/>
    <w:rsid w:val="00D56EAC"/>
    <w:rsid w:val="00D56F4E"/>
    <w:rsid w:val="00D56FC3"/>
    <w:rsid w:val="00D570EA"/>
    <w:rsid w:val="00D5717A"/>
    <w:rsid w:val="00D5718C"/>
    <w:rsid w:val="00D5718F"/>
    <w:rsid w:val="00D571AB"/>
    <w:rsid w:val="00D57246"/>
    <w:rsid w:val="00D5747D"/>
    <w:rsid w:val="00D5751C"/>
    <w:rsid w:val="00D5759F"/>
    <w:rsid w:val="00D575EF"/>
    <w:rsid w:val="00D5773F"/>
    <w:rsid w:val="00D5783A"/>
    <w:rsid w:val="00D578B2"/>
    <w:rsid w:val="00D578EC"/>
    <w:rsid w:val="00D579F5"/>
    <w:rsid w:val="00D57A76"/>
    <w:rsid w:val="00D57AD2"/>
    <w:rsid w:val="00D57B35"/>
    <w:rsid w:val="00D57B89"/>
    <w:rsid w:val="00D57BA1"/>
    <w:rsid w:val="00D57D61"/>
    <w:rsid w:val="00D57E38"/>
    <w:rsid w:val="00D60133"/>
    <w:rsid w:val="00D60219"/>
    <w:rsid w:val="00D6023F"/>
    <w:rsid w:val="00D6024C"/>
    <w:rsid w:val="00D6029D"/>
    <w:rsid w:val="00D603FA"/>
    <w:rsid w:val="00D60403"/>
    <w:rsid w:val="00D6048B"/>
    <w:rsid w:val="00D604F7"/>
    <w:rsid w:val="00D6050B"/>
    <w:rsid w:val="00D60581"/>
    <w:rsid w:val="00D605A5"/>
    <w:rsid w:val="00D605CC"/>
    <w:rsid w:val="00D6069D"/>
    <w:rsid w:val="00D6079C"/>
    <w:rsid w:val="00D60882"/>
    <w:rsid w:val="00D608D8"/>
    <w:rsid w:val="00D608E6"/>
    <w:rsid w:val="00D608E9"/>
    <w:rsid w:val="00D60A07"/>
    <w:rsid w:val="00D60A4B"/>
    <w:rsid w:val="00D60A76"/>
    <w:rsid w:val="00D60BCC"/>
    <w:rsid w:val="00D60D7D"/>
    <w:rsid w:val="00D61088"/>
    <w:rsid w:val="00D610AC"/>
    <w:rsid w:val="00D610F6"/>
    <w:rsid w:val="00D6117C"/>
    <w:rsid w:val="00D611C7"/>
    <w:rsid w:val="00D611EB"/>
    <w:rsid w:val="00D61204"/>
    <w:rsid w:val="00D61225"/>
    <w:rsid w:val="00D61242"/>
    <w:rsid w:val="00D61327"/>
    <w:rsid w:val="00D61399"/>
    <w:rsid w:val="00D614C4"/>
    <w:rsid w:val="00D615C1"/>
    <w:rsid w:val="00D617AA"/>
    <w:rsid w:val="00D617D2"/>
    <w:rsid w:val="00D61832"/>
    <w:rsid w:val="00D618B0"/>
    <w:rsid w:val="00D6190C"/>
    <w:rsid w:val="00D61A5D"/>
    <w:rsid w:val="00D61ABA"/>
    <w:rsid w:val="00D61C70"/>
    <w:rsid w:val="00D61D3D"/>
    <w:rsid w:val="00D61D61"/>
    <w:rsid w:val="00D61D75"/>
    <w:rsid w:val="00D61E68"/>
    <w:rsid w:val="00D61ED9"/>
    <w:rsid w:val="00D61F91"/>
    <w:rsid w:val="00D61FC7"/>
    <w:rsid w:val="00D61FE7"/>
    <w:rsid w:val="00D6206E"/>
    <w:rsid w:val="00D6227D"/>
    <w:rsid w:val="00D6235D"/>
    <w:rsid w:val="00D62390"/>
    <w:rsid w:val="00D623E1"/>
    <w:rsid w:val="00D623F4"/>
    <w:rsid w:val="00D6240A"/>
    <w:rsid w:val="00D62482"/>
    <w:rsid w:val="00D62651"/>
    <w:rsid w:val="00D6265D"/>
    <w:rsid w:val="00D626AD"/>
    <w:rsid w:val="00D626BB"/>
    <w:rsid w:val="00D626E3"/>
    <w:rsid w:val="00D6273B"/>
    <w:rsid w:val="00D627C2"/>
    <w:rsid w:val="00D627E0"/>
    <w:rsid w:val="00D62885"/>
    <w:rsid w:val="00D628C3"/>
    <w:rsid w:val="00D6290D"/>
    <w:rsid w:val="00D629AF"/>
    <w:rsid w:val="00D62C02"/>
    <w:rsid w:val="00D62C0C"/>
    <w:rsid w:val="00D62C69"/>
    <w:rsid w:val="00D630B6"/>
    <w:rsid w:val="00D630EB"/>
    <w:rsid w:val="00D63138"/>
    <w:rsid w:val="00D631B0"/>
    <w:rsid w:val="00D631F7"/>
    <w:rsid w:val="00D632FD"/>
    <w:rsid w:val="00D63360"/>
    <w:rsid w:val="00D63364"/>
    <w:rsid w:val="00D63429"/>
    <w:rsid w:val="00D63567"/>
    <w:rsid w:val="00D6366A"/>
    <w:rsid w:val="00D636B7"/>
    <w:rsid w:val="00D63711"/>
    <w:rsid w:val="00D637A7"/>
    <w:rsid w:val="00D637EF"/>
    <w:rsid w:val="00D63888"/>
    <w:rsid w:val="00D6388B"/>
    <w:rsid w:val="00D63928"/>
    <w:rsid w:val="00D63A92"/>
    <w:rsid w:val="00D63A95"/>
    <w:rsid w:val="00D63BCB"/>
    <w:rsid w:val="00D63D4C"/>
    <w:rsid w:val="00D63DCB"/>
    <w:rsid w:val="00D63EB9"/>
    <w:rsid w:val="00D63FA8"/>
    <w:rsid w:val="00D6405A"/>
    <w:rsid w:val="00D6405D"/>
    <w:rsid w:val="00D64098"/>
    <w:rsid w:val="00D640FD"/>
    <w:rsid w:val="00D64145"/>
    <w:rsid w:val="00D64263"/>
    <w:rsid w:val="00D642D0"/>
    <w:rsid w:val="00D64568"/>
    <w:rsid w:val="00D645D2"/>
    <w:rsid w:val="00D646D8"/>
    <w:rsid w:val="00D646FF"/>
    <w:rsid w:val="00D64787"/>
    <w:rsid w:val="00D648A0"/>
    <w:rsid w:val="00D648FC"/>
    <w:rsid w:val="00D649A8"/>
    <w:rsid w:val="00D64B36"/>
    <w:rsid w:val="00D64B59"/>
    <w:rsid w:val="00D64B6A"/>
    <w:rsid w:val="00D64BDF"/>
    <w:rsid w:val="00D64BF3"/>
    <w:rsid w:val="00D64C0E"/>
    <w:rsid w:val="00D64C1F"/>
    <w:rsid w:val="00D64D40"/>
    <w:rsid w:val="00D64DE0"/>
    <w:rsid w:val="00D64E5C"/>
    <w:rsid w:val="00D64F1A"/>
    <w:rsid w:val="00D64F73"/>
    <w:rsid w:val="00D6514A"/>
    <w:rsid w:val="00D651C2"/>
    <w:rsid w:val="00D651EF"/>
    <w:rsid w:val="00D651F9"/>
    <w:rsid w:val="00D65478"/>
    <w:rsid w:val="00D654F9"/>
    <w:rsid w:val="00D65542"/>
    <w:rsid w:val="00D65592"/>
    <w:rsid w:val="00D65621"/>
    <w:rsid w:val="00D6562E"/>
    <w:rsid w:val="00D65634"/>
    <w:rsid w:val="00D6568A"/>
    <w:rsid w:val="00D6569E"/>
    <w:rsid w:val="00D65762"/>
    <w:rsid w:val="00D6580A"/>
    <w:rsid w:val="00D6598C"/>
    <w:rsid w:val="00D659E6"/>
    <w:rsid w:val="00D65A8C"/>
    <w:rsid w:val="00D65ADE"/>
    <w:rsid w:val="00D65B05"/>
    <w:rsid w:val="00D65BD7"/>
    <w:rsid w:val="00D65D20"/>
    <w:rsid w:val="00D65D67"/>
    <w:rsid w:val="00D65D99"/>
    <w:rsid w:val="00D65F0E"/>
    <w:rsid w:val="00D6608A"/>
    <w:rsid w:val="00D660BC"/>
    <w:rsid w:val="00D660CB"/>
    <w:rsid w:val="00D660D8"/>
    <w:rsid w:val="00D661D6"/>
    <w:rsid w:val="00D662A9"/>
    <w:rsid w:val="00D6633A"/>
    <w:rsid w:val="00D663C7"/>
    <w:rsid w:val="00D66495"/>
    <w:rsid w:val="00D66500"/>
    <w:rsid w:val="00D66596"/>
    <w:rsid w:val="00D665A2"/>
    <w:rsid w:val="00D666F0"/>
    <w:rsid w:val="00D66712"/>
    <w:rsid w:val="00D66733"/>
    <w:rsid w:val="00D66860"/>
    <w:rsid w:val="00D669E3"/>
    <w:rsid w:val="00D66B13"/>
    <w:rsid w:val="00D66B1A"/>
    <w:rsid w:val="00D66B8C"/>
    <w:rsid w:val="00D66BEC"/>
    <w:rsid w:val="00D66C41"/>
    <w:rsid w:val="00D66D07"/>
    <w:rsid w:val="00D66D76"/>
    <w:rsid w:val="00D66E58"/>
    <w:rsid w:val="00D66FB2"/>
    <w:rsid w:val="00D67023"/>
    <w:rsid w:val="00D67085"/>
    <w:rsid w:val="00D670FB"/>
    <w:rsid w:val="00D67220"/>
    <w:rsid w:val="00D67293"/>
    <w:rsid w:val="00D674D4"/>
    <w:rsid w:val="00D67609"/>
    <w:rsid w:val="00D67723"/>
    <w:rsid w:val="00D678AB"/>
    <w:rsid w:val="00D67907"/>
    <w:rsid w:val="00D67994"/>
    <w:rsid w:val="00D679B7"/>
    <w:rsid w:val="00D679D6"/>
    <w:rsid w:val="00D67A16"/>
    <w:rsid w:val="00D67A9F"/>
    <w:rsid w:val="00D67B9B"/>
    <w:rsid w:val="00D67CC8"/>
    <w:rsid w:val="00D67D6C"/>
    <w:rsid w:val="00D67E69"/>
    <w:rsid w:val="00D67F00"/>
    <w:rsid w:val="00D67F31"/>
    <w:rsid w:val="00D7002F"/>
    <w:rsid w:val="00D701E9"/>
    <w:rsid w:val="00D70268"/>
    <w:rsid w:val="00D702C3"/>
    <w:rsid w:val="00D702C9"/>
    <w:rsid w:val="00D70300"/>
    <w:rsid w:val="00D7043D"/>
    <w:rsid w:val="00D70445"/>
    <w:rsid w:val="00D70463"/>
    <w:rsid w:val="00D7073D"/>
    <w:rsid w:val="00D70764"/>
    <w:rsid w:val="00D707CB"/>
    <w:rsid w:val="00D70801"/>
    <w:rsid w:val="00D708B2"/>
    <w:rsid w:val="00D708F3"/>
    <w:rsid w:val="00D7095B"/>
    <w:rsid w:val="00D7097F"/>
    <w:rsid w:val="00D709B6"/>
    <w:rsid w:val="00D709C2"/>
    <w:rsid w:val="00D70A6C"/>
    <w:rsid w:val="00D70A9F"/>
    <w:rsid w:val="00D70B61"/>
    <w:rsid w:val="00D70C98"/>
    <w:rsid w:val="00D70CB1"/>
    <w:rsid w:val="00D70CDD"/>
    <w:rsid w:val="00D70D57"/>
    <w:rsid w:val="00D70D8A"/>
    <w:rsid w:val="00D70E26"/>
    <w:rsid w:val="00D70E37"/>
    <w:rsid w:val="00D70EC3"/>
    <w:rsid w:val="00D70ECA"/>
    <w:rsid w:val="00D70FD0"/>
    <w:rsid w:val="00D71028"/>
    <w:rsid w:val="00D710FA"/>
    <w:rsid w:val="00D7114C"/>
    <w:rsid w:val="00D71201"/>
    <w:rsid w:val="00D7125C"/>
    <w:rsid w:val="00D7129E"/>
    <w:rsid w:val="00D712DE"/>
    <w:rsid w:val="00D71355"/>
    <w:rsid w:val="00D7143E"/>
    <w:rsid w:val="00D714B1"/>
    <w:rsid w:val="00D71528"/>
    <w:rsid w:val="00D71545"/>
    <w:rsid w:val="00D7154D"/>
    <w:rsid w:val="00D716A9"/>
    <w:rsid w:val="00D716AB"/>
    <w:rsid w:val="00D71702"/>
    <w:rsid w:val="00D71753"/>
    <w:rsid w:val="00D71803"/>
    <w:rsid w:val="00D71821"/>
    <w:rsid w:val="00D718F6"/>
    <w:rsid w:val="00D718FE"/>
    <w:rsid w:val="00D71A28"/>
    <w:rsid w:val="00D71A59"/>
    <w:rsid w:val="00D71A66"/>
    <w:rsid w:val="00D71B35"/>
    <w:rsid w:val="00D71C49"/>
    <w:rsid w:val="00D71CC1"/>
    <w:rsid w:val="00D71CFF"/>
    <w:rsid w:val="00D71DF3"/>
    <w:rsid w:val="00D71E7B"/>
    <w:rsid w:val="00D71F1F"/>
    <w:rsid w:val="00D71F4D"/>
    <w:rsid w:val="00D71F6C"/>
    <w:rsid w:val="00D71F9C"/>
    <w:rsid w:val="00D71FFA"/>
    <w:rsid w:val="00D72027"/>
    <w:rsid w:val="00D7207F"/>
    <w:rsid w:val="00D721A3"/>
    <w:rsid w:val="00D72250"/>
    <w:rsid w:val="00D72333"/>
    <w:rsid w:val="00D72392"/>
    <w:rsid w:val="00D723A1"/>
    <w:rsid w:val="00D723E6"/>
    <w:rsid w:val="00D7245D"/>
    <w:rsid w:val="00D7248F"/>
    <w:rsid w:val="00D72515"/>
    <w:rsid w:val="00D72519"/>
    <w:rsid w:val="00D726EB"/>
    <w:rsid w:val="00D72728"/>
    <w:rsid w:val="00D72737"/>
    <w:rsid w:val="00D7290F"/>
    <w:rsid w:val="00D72A4C"/>
    <w:rsid w:val="00D72AE7"/>
    <w:rsid w:val="00D72B1B"/>
    <w:rsid w:val="00D72B1F"/>
    <w:rsid w:val="00D72B66"/>
    <w:rsid w:val="00D72D73"/>
    <w:rsid w:val="00D72DC5"/>
    <w:rsid w:val="00D7303A"/>
    <w:rsid w:val="00D73084"/>
    <w:rsid w:val="00D73090"/>
    <w:rsid w:val="00D730AB"/>
    <w:rsid w:val="00D730DF"/>
    <w:rsid w:val="00D73138"/>
    <w:rsid w:val="00D731AA"/>
    <w:rsid w:val="00D731D7"/>
    <w:rsid w:val="00D7336C"/>
    <w:rsid w:val="00D733BC"/>
    <w:rsid w:val="00D733F8"/>
    <w:rsid w:val="00D73494"/>
    <w:rsid w:val="00D734BB"/>
    <w:rsid w:val="00D735CA"/>
    <w:rsid w:val="00D7362B"/>
    <w:rsid w:val="00D73659"/>
    <w:rsid w:val="00D73695"/>
    <w:rsid w:val="00D736D9"/>
    <w:rsid w:val="00D736DA"/>
    <w:rsid w:val="00D73710"/>
    <w:rsid w:val="00D7371B"/>
    <w:rsid w:val="00D73771"/>
    <w:rsid w:val="00D737E7"/>
    <w:rsid w:val="00D73820"/>
    <w:rsid w:val="00D7396D"/>
    <w:rsid w:val="00D73AC3"/>
    <w:rsid w:val="00D73ADF"/>
    <w:rsid w:val="00D73AF3"/>
    <w:rsid w:val="00D73BCF"/>
    <w:rsid w:val="00D73C09"/>
    <w:rsid w:val="00D73C88"/>
    <w:rsid w:val="00D73DB0"/>
    <w:rsid w:val="00D73DC4"/>
    <w:rsid w:val="00D73E23"/>
    <w:rsid w:val="00D73F1B"/>
    <w:rsid w:val="00D740C2"/>
    <w:rsid w:val="00D7419A"/>
    <w:rsid w:val="00D7419E"/>
    <w:rsid w:val="00D7427A"/>
    <w:rsid w:val="00D74330"/>
    <w:rsid w:val="00D74387"/>
    <w:rsid w:val="00D7442A"/>
    <w:rsid w:val="00D74652"/>
    <w:rsid w:val="00D747DD"/>
    <w:rsid w:val="00D7480B"/>
    <w:rsid w:val="00D7489A"/>
    <w:rsid w:val="00D748D3"/>
    <w:rsid w:val="00D74909"/>
    <w:rsid w:val="00D74A4B"/>
    <w:rsid w:val="00D74ACB"/>
    <w:rsid w:val="00D74AD4"/>
    <w:rsid w:val="00D74B22"/>
    <w:rsid w:val="00D74B81"/>
    <w:rsid w:val="00D74BD7"/>
    <w:rsid w:val="00D74C9C"/>
    <w:rsid w:val="00D74D47"/>
    <w:rsid w:val="00D74D68"/>
    <w:rsid w:val="00D74DE2"/>
    <w:rsid w:val="00D74EA9"/>
    <w:rsid w:val="00D74F36"/>
    <w:rsid w:val="00D75075"/>
    <w:rsid w:val="00D75099"/>
    <w:rsid w:val="00D75137"/>
    <w:rsid w:val="00D752B3"/>
    <w:rsid w:val="00D752F9"/>
    <w:rsid w:val="00D75438"/>
    <w:rsid w:val="00D754D1"/>
    <w:rsid w:val="00D75547"/>
    <w:rsid w:val="00D756ED"/>
    <w:rsid w:val="00D757DE"/>
    <w:rsid w:val="00D757FC"/>
    <w:rsid w:val="00D758D1"/>
    <w:rsid w:val="00D758DB"/>
    <w:rsid w:val="00D759D5"/>
    <w:rsid w:val="00D75A23"/>
    <w:rsid w:val="00D75B59"/>
    <w:rsid w:val="00D75B68"/>
    <w:rsid w:val="00D75B73"/>
    <w:rsid w:val="00D75BA4"/>
    <w:rsid w:val="00D75D06"/>
    <w:rsid w:val="00D75D4E"/>
    <w:rsid w:val="00D75D6B"/>
    <w:rsid w:val="00D75DFF"/>
    <w:rsid w:val="00D75F16"/>
    <w:rsid w:val="00D75F26"/>
    <w:rsid w:val="00D75F75"/>
    <w:rsid w:val="00D75F9A"/>
    <w:rsid w:val="00D75FA4"/>
    <w:rsid w:val="00D75FEC"/>
    <w:rsid w:val="00D760B2"/>
    <w:rsid w:val="00D761B9"/>
    <w:rsid w:val="00D7624F"/>
    <w:rsid w:val="00D76267"/>
    <w:rsid w:val="00D762AC"/>
    <w:rsid w:val="00D762B2"/>
    <w:rsid w:val="00D76344"/>
    <w:rsid w:val="00D76371"/>
    <w:rsid w:val="00D76396"/>
    <w:rsid w:val="00D76446"/>
    <w:rsid w:val="00D7648E"/>
    <w:rsid w:val="00D764DC"/>
    <w:rsid w:val="00D7658C"/>
    <w:rsid w:val="00D7660B"/>
    <w:rsid w:val="00D7669F"/>
    <w:rsid w:val="00D7677A"/>
    <w:rsid w:val="00D768F7"/>
    <w:rsid w:val="00D76AA4"/>
    <w:rsid w:val="00D76B12"/>
    <w:rsid w:val="00D76BEE"/>
    <w:rsid w:val="00D76BF3"/>
    <w:rsid w:val="00D76D47"/>
    <w:rsid w:val="00D76D75"/>
    <w:rsid w:val="00D76D80"/>
    <w:rsid w:val="00D76EE8"/>
    <w:rsid w:val="00D770E5"/>
    <w:rsid w:val="00D770F1"/>
    <w:rsid w:val="00D7718F"/>
    <w:rsid w:val="00D7721F"/>
    <w:rsid w:val="00D7729D"/>
    <w:rsid w:val="00D7745F"/>
    <w:rsid w:val="00D774AB"/>
    <w:rsid w:val="00D7762B"/>
    <w:rsid w:val="00D776E7"/>
    <w:rsid w:val="00D777DE"/>
    <w:rsid w:val="00D7780F"/>
    <w:rsid w:val="00D778F3"/>
    <w:rsid w:val="00D7795F"/>
    <w:rsid w:val="00D779A8"/>
    <w:rsid w:val="00D779D5"/>
    <w:rsid w:val="00D77B5C"/>
    <w:rsid w:val="00D77D59"/>
    <w:rsid w:val="00D77D96"/>
    <w:rsid w:val="00D77ED9"/>
    <w:rsid w:val="00D77F5F"/>
    <w:rsid w:val="00D77F72"/>
    <w:rsid w:val="00D80064"/>
    <w:rsid w:val="00D80146"/>
    <w:rsid w:val="00D80162"/>
    <w:rsid w:val="00D801C1"/>
    <w:rsid w:val="00D8022D"/>
    <w:rsid w:val="00D80246"/>
    <w:rsid w:val="00D80449"/>
    <w:rsid w:val="00D80470"/>
    <w:rsid w:val="00D804A8"/>
    <w:rsid w:val="00D804EB"/>
    <w:rsid w:val="00D80635"/>
    <w:rsid w:val="00D80770"/>
    <w:rsid w:val="00D80803"/>
    <w:rsid w:val="00D80806"/>
    <w:rsid w:val="00D808B1"/>
    <w:rsid w:val="00D80941"/>
    <w:rsid w:val="00D80B17"/>
    <w:rsid w:val="00D80B61"/>
    <w:rsid w:val="00D80BC5"/>
    <w:rsid w:val="00D80C86"/>
    <w:rsid w:val="00D80D27"/>
    <w:rsid w:val="00D80DCE"/>
    <w:rsid w:val="00D80E6D"/>
    <w:rsid w:val="00D80F01"/>
    <w:rsid w:val="00D80F47"/>
    <w:rsid w:val="00D80F6F"/>
    <w:rsid w:val="00D8108D"/>
    <w:rsid w:val="00D81293"/>
    <w:rsid w:val="00D813E2"/>
    <w:rsid w:val="00D814F4"/>
    <w:rsid w:val="00D8153D"/>
    <w:rsid w:val="00D815A8"/>
    <w:rsid w:val="00D815CC"/>
    <w:rsid w:val="00D81622"/>
    <w:rsid w:val="00D8162E"/>
    <w:rsid w:val="00D81649"/>
    <w:rsid w:val="00D81664"/>
    <w:rsid w:val="00D81685"/>
    <w:rsid w:val="00D816CF"/>
    <w:rsid w:val="00D816F6"/>
    <w:rsid w:val="00D8176C"/>
    <w:rsid w:val="00D8180C"/>
    <w:rsid w:val="00D8181E"/>
    <w:rsid w:val="00D81A96"/>
    <w:rsid w:val="00D81B1D"/>
    <w:rsid w:val="00D81C06"/>
    <w:rsid w:val="00D81C5C"/>
    <w:rsid w:val="00D81D87"/>
    <w:rsid w:val="00D81E7E"/>
    <w:rsid w:val="00D81F57"/>
    <w:rsid w:val="00D8203D"/>
    <w:rsid w:val="00D820C1"/>
    <w:rsid w:val="00D82179"/>
    <w:rsid w:val="00D821C4"/>
    <w:rsid w:val="00D821F6"/>
    <w:rsid w:val="00D82211"/>
    <w:rsid w:val="00D8228D"/>
    <w:rsid w:val="00D822EE"/>
    <w:rsid w:val="00D823DD"/>
    <w:rsid w:val="00D8247E"/>
    <w:rsid w:val="00D82554"/>
    <w:rsid w:val="00D82693"/>
    <w:rsid w:val="00D8277B"/>
    <w:rsid w:val="00D827BD"/>
    <w:rsid w:val="00D82913"/>
    <w:rsid w:val="00D829CC"/>
    <w:rsid w:val="00D829EE"/>
    <w:rsid w:val="00D82A0E"/>
    <w:rsid w:val="00D82A31"/>
    <w:rsid w:val="00D82ACE"/>
    <w:rsid w:val="00D82B2E"/>
    <w:rsid w:val="00D82E13"/>
    <w:rsid w:val="00D82EDF"/>
    <w:rsid w:val="00D82F00"/>
    <w:rsid w:val="00D831FC"/>
    <w:rsid w:val="00D8335F"/>
    <w:rsid w:val="00D83388"/>
    <w:rsid w:val="00D8340E"/>
    <w:rsid w:val="00D83445"/>
    <w:rsid w:val="00D834B5"/>
    <w:rsid w:val="00D83556"/>
    <w:rsid w:val="00D835BC"/>
    <w:rsid w:val="00D83697"/>
    <w:rsid w:val="00D83704"/>
    <w:rsid w:val="00D8388D"/>
    <w:rsid w:val="00D8393F"/>
    <w:rsid w:val="00D8394C"/>
    <w:rsid w:val="00D8394F"/>
    <w:rsid w:val="00D839CE"/>
    <w:rsid w:val="00D839D2"/>
    <w:rsid w:val="00D83A5B"/>
    <w:rsid w:val="00D83A9C"/>
    <w:rsid w:val="00D83BAF"/>
    <w:rsid w:val="00D83BBD"/>
    <w:rsid w:val="00D83BCD"/>
    <w:rsid w:val="00D83C0F"/>
    <w:rsid w:val="00D83D41"/>
    <w:rsid w:val="00D83E61"/>
    <w:rsid w:val="00D83F2E"/>
    <w:rsid w:val="00D8401E"/>
    <w:rsid w:val="00D84049"/>
    <w:rsid w:val="00D8404A"/>
    <w:rsid w:val="00D84072"/>
    <w:rsid w:val="00D840B9"/>
    <w:rsid w:val="00D84325"/>
    <w:rsid w:val="00D8433A"/>
    <w:rsid w:val="00D843D2"/>
    <w:rsid w:val="00D843E1"/>
    <w:rsid w:val="00D844C3"/>
    <w:rsid w:val="00D845A8"/>
    <w:rsid w:val="00D8469C"/>
    <w:rsid w:val="00D84742"/>
    <w:rsid w:val="00D84794"/>
    <w:rsid w:val="00D8488B"/>
    <w:rsid w:val="00D84932"/>
    <w:rsid w:val="00D84A3E"/>
    <w:rsid w:val="00D84AAB"/>
    <w:rsid w:val="00D84B2D"/>
    <w:rsid w:val="00D84B92"/>
    <w:rsid w:val="00D84BB7"/>
    <w:rsid w:val="00D84D19"/>
    <w:rsid w:val="00D84DED"/>
    <w:rsid w:val="00D84E2E"/>
    <w:rsid w:val="00D84E42"/>
    <w:rsid w:val="00D84EC0"/>
    <w:rsid w:val="00D84EF6"/>
    <w:rsid w:val="00D84F19"/>
    <w:rsid w:val="00D84F90"/>
    <w:rsid w:val="00D84FAF"/>
    <w:rsid w:val="00D84FF8"/>
    <w:rsid w:val="00D850C8"/>
    <w:rsid w:val="00D8510E"/>
    <w:rsid w:val="00D85171"/>
    <w:rsid w:val="00D85204"/>
    <w:rsid w:val="00D85312"/>
    <w:rsid w:val="00D85352"/>
    <w:rsid w:val="00D8548D"/>
    <w:rsid w:val="00D856FA"/>
    <w:rsid w:val="00D85721"/>
    <w:rsid w:val="00D85728"/>
    <w:rsid w:val="00D85746"/>
    <w:rsid w:val="00D8587E"/>
    <w:rsid w:val="00D85897"/>
    <w:rsid w:val="00D85B6C"/>
    <w:rsid w:val="00D85C9C"/>
    <w:rsid w:val="00D85D50"/>
    <w:rsid w:val="00D85DD7"/>
    <w:rsid w:val="00D85DFC"/>
    <w:rsid w:val="00D85E5A"/>
    <w:rsid w:val="00D85EC0"/>
    <w:rsid w:val="00D85EEE"/>
    <w:rsid w:val="00D85FB2"/>
    <w:rsid w:val="00D86030"/>
    <w:rsid w:val="00D8604E"/>
    <w:rsid w:val="00D86052"/>
    <w:rsid w:val="00D86084"/>
    <w:rsid w:val="00D8621A"/>
    <w:rsid w:val="00D8627B"/>
    <w:rsid w:val="00D8627F"/>
    <w:rsid w:val="00D86298"/>
    <w:rsid w:val="00D862A3"/>
    <w:rsid w:val="00D862B7"/>
    <w:rsid w:val="00D862D2"/>
    <w:rsid w:val="00D8630E"/>
    <w:rsid w:val="00D8634E"/>
    <w:rsid w:val="00D86423"/>
    <w:rsid w:val="00D86689"/>
    <w:rsid w:val="00D86702"/>
    <w:rsid w:val="00D86883"/>
    <w:rsid w:val="00D8698B"/>
    <w:rsid w:val="00D86A1A"/>
    <w:rsid w:val="00D86A21"/>
    <w:rsid w:val="00D86AC2"/>
    <w:rsid w:val="00D86B68"/>
    <w:rsid w:val="00D86B92"/>
    <w:rsid w:val="00D86D58"/>
    <w:rsid w:val="00D86FEA"/>
    <w:rsid w:val="00D8700B"/>
    <w:rsid w:val="00D8704C"/>
    <w:rsid w:val="00D870F8"/>
    <w:rsid w:val="00D87173"/>
    <w:rsid w:val="00D87261"/>
    <w:rsid w:val="00D873D4"/>
    <w:rsid w:val="00D873FC"/>
    <w:rsid w:val="00D87419"/>
    <w:rsid w:val="00D87651"/>
    <w:rsid w:val="00D8777B"/>
    <w:rsid w:val="00D87904"/>
    <w:rsid w:val="00D879BD"/>
    <w:rsid w:val="00D87CC0"/>
    <w:rsid w:val="00D87D1B"/>
    <w:rsid w:val="00D87D33"/>
    <w:rsid w:val="00D87D65"/>
    <w:rsid w:val="00D87EF8"/>
    <w:rsid w:val="00D90174"/>
    <w:rsid w:val="00D901B4"/>
    <w:rsid w:val="00D9031D"/>
    <w:rsid w:val="00D90351"/>
    <w:rsid w:val="00D90375"/>
    <w:rsid w:val="00D90503"/>
    <w:rsid w:val="00D90519"/>
    <w:rsid w:val="00D9055C"/>
    <w:rsid w:val="00D90567"/>
    <w:rsid w:val="00D905B1"/>
    <w:rsid w:val="00D905B2"/>
    <w:rsid w:val="00D90626"/>
    <w:rsid w:val="00D906A6"/>
    <w:rsid w:val="00D9070F"/>
    <w:rsid w:val="00D90722"/>
    <w:rsid w:val="00D90763"/>
    <w:rsid w:val="00D90B2D"/>
    <w:rsid w:val="00D90C1D"/>
    <w:rsid w:val="00D90C3B"/>
    <w:rsid w:val="00D90DB7"/>
    <w:rsid w:val="00D90E6B"/>
    <w:rsid w:val="00D90EE9"/>
    <w:rsid w:val="00D90F26"/>
    <w:rsid w:val="00D91205"/>
    <w:rsid w:val="00D91264"/>
    <w:rsid w:val="00D912CD"/>
    <w:rsid w:val="00D9139E"/>
    <w:rsid w:val="00D91411"/>
    <w:rsid w:val="00D91573"/>
    <w:rsid w:val="00D91705"/>
    <w:rsid w:val="00D9177C"/>
    <w:rsid w:val="00D917AD"/>
    <w:rsid w:val="00D917DF"/>
    <w:rsid w:val="00D917F9"/>
    <w:rsid w:val="00D91831"/>
    <w:rsid w:val="00D91868"/>
    <w:rsid w:val="00D91874"/>
    <w:rsid w:val="00D918AC"/>
    <w:rsid w:val="00D918F6"/>
    <w:rsid w:val="00D91959"/>
    <w:rsid w:val="00D919B4"/>
    <w:rsid w:val="00D919FC"/>
    <w:rsid w:val="00D919FF"/>
    <w:rsid w:val="00D91A69"/>
    <w:rsid w:val="00D91B68"/>
    <w:rsid w:val="00D91BD3"/>
    <w:rsid w:val="00D91E48"/>
    <w:rsid w:val="00D91EE9"/>
    <w:rsid w:val="00D91F39"/>
    <w:rsid w:val="00D91F6B"/>
    <w:rsid w:val="00D91FE9"/>
    <w:rsid w:val="00D9202F"/>
    <w:rsid w:val="00D920A3"/>
    <w:rsid w:val="00D92114"/>
    <w:rsid w:val="00D921DF"/>
    <w:rsid w:val="00D92253"/>
    <w:rsid w:val="00D922D8"/>
    <w:rsid w:val="00D92406"/>
    <w:rsid w:val="00D9242E"/>
    <w:rsid w:val="00D92491"/>
    <w:rsid w:val="00D9259C"/>
    <w:rsid w:val="00D925DB"/>
    <w:rsid w:val="00D9261A"/>
    <w:rsid w:val="00D9269A"/>
    <w:rsid w:val="00D926B0"/>
    <w:rsid w:val="00D92726"/>
    <w:rsid w:val="00D927D8"/>
    <w:rsid w:val="00D927D9"/>
    <w:rsid w:val="00D928DF"/>
    <w:rsid w:val="00D92930"/>
    <w:rsid w:val="00D9295E"/>
    <w:rsid w:val="00D929EE"/>
    <w:rsid w:val="00D929F6"/>
    <w:rsid w:val="00D92AAF"/>
    <w:rsid w:val="00D92D3A"/>
    <w:rsid w:val="00D92DA2"/>
    <w:rsid w:val="00D92E5E"/>
    <w:rsid w:val="00D92F23"/>
    <w:rsid w:val="00D93058"/>
    <w:rsid w:val="00D93062"/>
    <w:rsid w:val="00D93093"/>
    <w:rsid w:val="00D930E7"/>
    <w:rsid w:val="00D93170"/>
    <w:rsid w:val="00D93263"/>
    <w:rsid w:val="00D932CA"/>
    <w:rsid w:val="00D9340C"/>
    <w:rsid w:val="00D93560"/>
    <w:rsid w:val="00D9359E"/>
    <w:rsid w:val="00D936CC"/>
    <w:rsid w:val="00D936E6"/>
    <w:rsid w:val="00D93788"/>
    <w:rsid w:val="00D938CA"/>
    <w:rsid w:val="00D93AEF"/>
    <w:rsid w:val="00D93B42"/>
    <w:rsid w:val="00D93BF0"/>
    <w:rsid w:val="00D93BFE"/>
    <w:rsid w:val="00D93C21"/>
    <w:rsid w:val="00D93C75"/>
    <w:rsid w:val="00D93D8F"/>
    <w:rsid w:val="00D93DC6"/>
    <w:rsid w:val="00D93E21"/>
    <w:rsid w:val="00D93EF1"/>
    <w:rsid w:val="00D93F38"/>
    <w:rsid w:val="00D93F8F"/>
    <w:rsid w:val="00D93FB3"/>
    <w:rsid w:val="00D940AE"/>
    <w:rsid w:val="00D9412E"/>
    <w:rsid w:val="00D94165"/>
    <w:rsid w:val="00D9421F"/>
    <w:rsid w:val="00D9427A"/>
    <w:rsid w:val="00D942A9"/>
    <w:rsid w:val="00D94301"/>
    <w:rsid w:val="00D94319"/>
    <w:rsid w:val="00D943B1"/>
    <w:rsid w:val="00D94400"/>
    <w:rsid w:val="00D94429"/>
    <w:rsid w:val="00D9458D"/>
    <w:rsid w:val="00D945BF"/>
    <w:rsid w:val="00D947F5"/>
    <w:rsid w:val="00D948C6"/>
    <w:rsid w:val="00D94A91"/>
    <w:rsid w:val="00D94B20"/>
    <w:rsid w:val="00D94B5B"/>
    <w:rsid w:val="00D94C73"/>
    <w:rsid w:val="00D94D65"/>
    <w:rsid w:val="00D94E93"/>
    <w:rsid w:val="00D951B8"/>
    <w:rsid w:val="00D95283"/>
    <w:rsid w:val="00D95336"/>
    <w:rsid w:val="00D95389"/>
    <w:rsid w:val="00D953C7"/>
    <w:rsid w:val="00D95453"/>
    <w:rsid w:val="00D9545B"/>
    <w:rsid w:val="00D95512"/>
    <w:rsid w:val="00D9552C"/>
    <w:rsid w:val="00D9557B"/>
    <w:rsid w:val="00D95660"/>
    <w:rsid w:val="00D9575E"/>
    <w:rsid w:val="00D958BF"/>
    <w:rsid w:val="00D958F5"/>
    <w:rsid w:val="00D9594A"/>
    <w:rsid w:val="00D959BF"/>
    <w:rsid w:val="00D95AA2"/>
    <w:rsid w:val="00D95AEE"/>
    <w:rsid w:val="00D95C7F"/>
    <w:rsid w:val="00D95D6B"/>
    <w:rsid w:val="00D95E6F"/>
    <w:rsid w:val="00D95E83"/>
    <w:rsid w:val="00D96182"/>
    <w:rsid w:val="00D9618A"/>
    <w:rsid w:val="00D963D1"/>
    <w:rsid w:val="00D963EC"/>
    <w:rsid w:val="00D96453"/>
    <w:rsid w:val="00D96587"/>
    <w:rsid w:val="00D965F4"/>
    <w:rsid w:val="00D96752"/>
    <w:rsid w:val="00D9680E"/>
    <w:rsid w:val="00D9688B"/>
    <w:rsid w:val="00D968DB"/>
    <w:rsid w:val="00D96967"/>
    <w:rsid w:val="00D96992"/>
    <w:rsid w:val="00D96B1C"/>
    <w:rsid w:val="00D96B5A"/>
    <w:rsid w:val="00D96C2C"/>
    <w:rsid w:val="00D96C30"/>
    <w:rsid w:val="00D96D17"/>
    <w:rsid w:val="00D96D2D"/>
    <w:rsid w:val="00D96E2C"/>
    <w:rsid w:val="00D96E43"/>
    <w:rsid w:val="00D97037"/>
    <w:rsid w:val="00D97100"/>
    <w:rsid w:val="00D971F8"/>
    <w:rsid w:val="00D97221"/>
    <w:rsid w:val="00D97233"/>
    <w:rsid w:val="00D97267"/>
    <w:rsid w:val="00D972A8"/>
    <w:rsid w:val="00D9738C"/>
    <w:rsid w:val="00D97451"/>
    <w:rsid w:val="00D97452"/>
    <w:rsid w:val="00D974CB"/>
    <w:rsid w:val="00D97539"/>
    <w:rsid w:val="00D97604"/>
    <w:rsid w:val="00D976E7"/>
    <w:rsid w:val="00D9776E"/>
    <w:rsid w:val="00D978BD"/>
    <w:rsid w:val="00D978BE"/>
    <w:rsid w:val="00D97A34"/>
    <w:rsid w:val="00D97A74"/>
    <w:rsid w:val="00D97B9F"/>
    <w:rsid w:val="00D97BD8"/>
    <w:rsid w:val="00D97C19"/>
    <w:rsid w:val="00D97CAA"/>
    <w:rsid w:val="00D97E5F"/>
    <w:rsid w:val="00D97E86"/>
    <w:rsid w:val="00DA005A"/>
    <w:rsid w:val="00DA00EA"/>
    <w:rsid w:val="00DA035E"/>
    <w:rsid w:val="00DA0412"/>
    <w:rsid w:val="00DA06A2"/>
    <w:rsid w:val="00DA06D1"/>
    <w:rsid w:val="00DA07DC"/>
    <w:rsid w:val="00DA08C8"/>
    <w:rsid w:val="00DA0928"/>
    <w:rsid w:val="00DA092B"/>
    <w:rsid w:val="00DA0AA2"/>
    <w:rsid w:val="00DA0AF2"/>
    <w:rsid w:val="00DA0B04"/>
    <w:rsid w:val="00DA0B12"/>
    <w:rsid w:val="00DA0B77"/>
    <w:rsid w:val="00DA0C06"/>
    <w:rsid w:val="00DA0C71"/>
    <w:rsid w:val="00DA0D03"/>
    <w:rsid w:val="00DA0DB9"/>
    <w:rsid w:val="00DA0EC3"/>
    <w:rsid w:val="00DA0F83"/>
    <w:rsid w:val="00DA1016"/>
    <w:rsid w:val="00DA110C"/>
    <w:rsid w:val="00DA11C4"/>
    <w:rsid w:val="00DA12E7"/>
    <w:rsid w:val="00DA131A"/>
    <w:rsid w:val="00DA1365"/>
    <w:rsid w:val="00DA1492"/>
    <w:rsid w:val="00DA1495"/>
    <w:rsid w:val="00DA1504"/>
    <w:rsid w:val="00DA152B"/>
    <w:rsid w:val="00DA172D"/>
    <w:rsid w:val="00DA1945"/>
    <w:rsid w:val="00DA198E"/>
    <w:rsid w:val="00DA1BAE"/>
    <w:rsid w:val="00DA1BD5"/>
    <w:rsid w:val="00DA1BD8"/>
    <w:rsid w:val="00DA1BE5"/>
    <w:rsid w:val="00DA1C91"/>
    <w:rsid w:val="00DA1CF1"/>
    <w:rsid w:val="00DA1E2B"/>
    <w:rsid w:val="00DA1F68"/>
    <w:rsid w:val="00DA1F74"/>
    <w:rsid w:val="00DA1FE5"/>
    <w:rsid w:val="00DA20A4"/>
    <w:rsid w:val="00DA2189"/>
    <w:rsid w:val="00DA2219"/>
    <w:rsid w:val="00DA222D"/>
    <w:rsid w:val="00DA226D"/>
    <w:rsid w:val="00DA2272"/>
    <w:rsid w:val="00DA22A1"/>
    <w:rsid w:val="00DA22F3"/>
    <w:rsid w:val="00DA23FA"/>
    <w:rsid w:val="00DA2435"/>
    <w:rsid w:val="00DA25A1"/>
    <w:rsid w:val="00DA26B4"/>
    <w:rsid w:val="00DA26D2"/>
    <w:rsid w:val="00DA277F"/>
    <w:rsid w:val="00DA28BA"/>
    <w:rsid w:val="00DA28F6"/>
    <w:rsid w:val="00DA2933"/>
    <w:rsid w:val="00DA29D7"/>
    <w:rsid w:val="00DA2A48"/>
    <w:rsid w:val="00DA2BB7"/>
    <w:rsid w:val="00DA2CF6"/>
    <w:rsid w:val="00DA2D36"/>
    <w:rsid w:val="00DA2DD8"/>
    <w:rsid w:val="00DA2DFB"/>
    <w:rsid w:val="00DA2F71"/>
    <w:rsid w:val="00DA3053"/>
    <w:rsid w:val="00DA3246"/>
    <w:rsid w:val="00DA32B6"/>
    <w:rsid w:val="00DA3398"/>
    <w:rsid w:val="00DA339A"/>
    <w:rsid w:val="00DA3436"/>
    <w:rsid w:val="00DA3449"/>
    <w:rsid w:val="00DA346F"/>
    <w:rsid w:val="00DA355C"/>
    <w:rsid w:val="00DA361F"/>
    <w:rsid w:val="00DA36AC"/>
    <w:rsid w:val="00DA36E3"/>
    <w:rsid w:val="00DA37DA"/>
    <w:rsid w:val="00DA37DB"/>
    <w:rsid w:val="00DA37DD"/>
    <w:rsid w:val="00DA37E9"/>
    <w:rsid w:val="00DA38D5"/>
    <w:rsid w:val="00DA38DE"/>
    <w:rsid w:val="00DA3A26"/>
    <w:rsid w:val="00DA3A4D"/>
    <w:rsid w:val="00DA3AD5"/>
    <w:rsid w:val="00DA3B4A"/>
    <w:rsid w:val="00DA3C8E"/>
    <w:rsid w:val="00DA3CAE"/>
    <w:rsid w:val="00DA3CCF"/>
    <w:rsid w:val="00DA3D49"/>
    <w:rsid w:val="00DA3D5A"/>
    <w:rsid w:val="00DA3DAC"/>
    <w:rsid w:val="00DA3DB3"/>
    <w:rsid w:val="00DA3DF2"/>
    <w:rsid w:val="00DA3E83"/>
    <w:rsid w:val="00DA3E85"/>
    <w:rsid w:val="00DA3E86"/>
    <w:rsid w:val="00DA3EE5"/>
    <w:rsid w:val="00DA3F06"/>
    <w:rsid w:val="00DA3F44"/>
    <w:rsid w:val="00DA3F4D"/>
    <w:rsid w:val="00DA3F4F"/>
    <w:rsid w:val="00DA3FE7"/>
    <w:rsid w:val="00DA403A"/>
    <w:rsid w:val="00DA40BE"/>
    <w:rsid w:val="00DA4184"/>
    <w:rsid w:val="00DA41A4"/>
    <w:rsid w:val="00DA4363"/>
    <w:rsid w:val="00DA4377"/>
    <w:rsid w:val="00DA4428"/>
    <w:rsid w:val="00DA4510"/>
    <w:rsid w:val="00DA4592"/>
    <w:rsid w:val="00DA4918"/>
    <w:rsid w:val="00DA49A2"/>
    <w:rsid w:val="00DA49D2"/>
    <w:rsid w:val="00DA4AEE"/>
    <w:rsid w:val="00DA4BB2"/>
    <w:rsid w:val="00DA4C03"/>
    <w:rsid w:val="00DA4C2F"/>
    <w:rsid w:val="00DA4CD5"/>
    <w:rsid w:val="00DA4DF8"/>
    <w:rsid w:val="00DA4EB8"/>
    <w:rsid w:val="00DA4F99"/>
    <w:rsid w:val="00DA505F"/>
    <w:rsid w:val="00DA51BB"/>
    <w:rsid w:val="00DA5228"/>
    <w:rsid w:val="00DA52C3"/>
    <w:rsid w:val="00DA532F"/>
    <w:rsid w:val="00DA53F5"/>
    <w:rsid w:val="00DA5502"/>
    <w:rsid w:val="00DA5539"/>
    <w:rsid w:val="00DA5560"/>
    <w:rsid w:val="00DA5609"/>
    <w:rsid w:val="00DA561E"/>
    <w:rsid w:val="00DA5655"/>
    <w:rsid w:val="00DA5948"/>
    <w:rsid w:val="00DA5975"/>
    <w:rsid w:val="00DA5C49"/>
    <w:rsid w:val="00DA5DE0"/>
    <w:rsid w:val="00DA5E9E"/>
    <w:rsid w:val="00DA5EE4"/>
    <w:rsid w:val="00DA5FD8"/>
    <w:rsid w:val="00DA6020"/>
    <w:rsid w:val="00DA6083"/>
    <w:rsid w:val="00DA60A9"/>
    <w:rsid w:val="00DA6267"/>
    <w:rsid w:val="00DA6292"/>
    <w:rsid w:val="00DA62EF"/>
    <w:rsid w:val="00DA6340"/>
    <w:rsid w:val="00DA63A2"/>
    <w:rsid w:val="00DA659A"/>
    <w:rsid w:val="00DA65D8"/>
    <w:rsid w:val="00DA65E8"/>
    <w:rsid w:val="00DA6633"/>
    <w:rsid w:val="00DA66CD"/>
    <w:rsid w:val="00DA67FE"/>
    <w:rsid w:val="00DA6908"/>
    <w:rsid w:val="00DA6998"/>
    <w:rsid w:val="00DA6A1D"/>
    <w:rsid w:val="00DA6A88"/>
    <w:rsid w:val="00DA6A8C"/>
    <w:rsid w:val="00DA6BB3"/>
    <w:rsid w:val="00DA6BE0"/>
    <w:rsid w:val="00DA6C87"/>
    <w:rsid w:val="00DA6EF1"/>
    <w:rsid w:val="00DA6F07"/>
    <w:rsid w:val="00DA6F8A"/>
    <w:rsid w:val="00DA70FA"/>
    <w:rsid w:val="00DA7133"/>
    <w:rsid w:val="00DA71E3"/>
    <w:rsid w:val="00DA7200"/>
    <w:rsid w:val="00DA726F"/>
    <w:rsid w:val="00DA7364"/>
    <w:rsid w:val="00DA74BF"/>
    <w:rsid w:val="00DA7579"/>
    <w:rsid w:val="00DA75B6"/>
    <w:rsid w:val="00DA75EF"/>
    <w:rsid w:val="00DA7621"/>
    <w:rsid w:val="00DA7712"/>
    <w:rsid w:val="00DA772E"/>
    <w:rsid w:val="00DA7740"/>
    <w:rsid w:val="00DA77D4"/>
    <w:rsid w:val="00DA7875"/>
    <w:rsid w:val="00DA78B2"/>
    <w:rsid w:val="00DA7A0B"/>
    <w:rsid w:val="00DA7A42"/>
    <w:rsid w:val="00DA7A76"/>
    <w:rsid w:val="00DA7A8E"/>
    <w:rsid w:val="00DA7AA0"/>
    <w:rsid w:val="00DA7B7F"/>
    <w:rsid w:val="00DA7C08"/>
    <w:rsid w:val="00DA7C15"/>
    <w:rsid w:val="00DA7DB2"/>
    <w:rsid w:val="00DA7F4A"/>
    <w:rsid w:val="00DB0068"/>
    <w:rsid w:val="00DB0087"/>
    <w:rsid w:val="00DB00FF"/>
    <w:rsid w:val="00DB0108"/>
    <w:rsid w:val="00DB038A"/>
    <w:rsid w:val="00DB03DA"/>
    <w:rsid w:val="00DB0426"/>
    <w:rsid w:val="00DB0430"/>
    <w:rsid w:val="00DB05A3"/>
    <w:rsid w:val="00DB0666"/>
    <w:rsid w:val="00DB07D8"/>
    <w:rsid w:val="00DB07E6"/>
    <w:rsid w:val="00DB0869"/>
    <w:rsid w:val="00DB091A"/>
    <w:rsid w:val="00DB0954"/>
    <w:rsid w:val="00DB0A71"/>
    <w:rsid w:val="00DB0B97"/>
    <w:rsid w:val="00DB0BC2"/>
    <w:rsid w:val="00DB0C04"/>
    <w:rsid w:val="00DB0C0A"/>
    <w:rsid w:val="00DB0D9A"/>
    <w:rsid w:val="00DB0E40"/>
    <w:rsid w:val="00DB0EC3"/>
    <w:rsid w:val="00DB0ECF"/>
    <w:rsid w:val="00DB0ED2"/>
    <w:rsid w:val="00DB0EFA"/>
    <w:rsid w:val="00DB0F0F"/>
    <w:rsid w:val="00DB11B1"/>
    <w:rsid w:val="00DB11BC"/>
    <w:rsid w:val="00DB1244"/>
    <w:rsid w:val="00DB1245"/>
    <w:rsid w:val="00DB12C7"/>
    <w:rsid w:val="00DB1343"/>
    <w:rsid w:val="00DB13A6"/>
    <w:rsid w:val="00DB13B9"/>
    <w:rsid w:val="00DB1447"/>
    <w:rsid w:val="00DB1498"/>
    <w:rsid w:val="00DB1558"/>
    <w:rsid w:val="00DB15AC"/>
    <w:rsid w:val="00DB15DE"/>
    <w:rsid w:val="00DB15E9"/>
    <w:rsid w:val="00DB15FD"/>
    <w:rsid w:val="00DB1639"/>
    <w:rsid w:val="00DB181D"/>
    <w:rsid w:val="00DB1894"/>
    <w:rsid w:val="00DB18ED"/>
    <w:rsid w:val="00DB19D5"/>
    <w:rsid w:val="00DB1C85"/>
    <w:rsid w:val="00DB1D3B"/>
    <w:rsid w:val="00DB1EB9"/>
    <w:rsid w:val="00DB1FE3"/>
    <w:rsid w:val="00DB20CD"/>
    <w:rsid w:val="00DB215C"/>
    <w:rsid w:val="00DB217D"/>
    <w:rsid w:val="00DB2201"/>
    <w:rsid w:val="00DB2280"/>
    <w:rsid w:val="00DB2405"/>
    <w:rsid w:val="00DB2442"/>
    <w:rsid w:val="00DB2468"/>
    <w:rsid w:val="00DB2574"/>
    <w:rsid w:val="00DB25A1"/>
    <w:rsid w:val="00DB25B1"/>
    <w:rsid w:val="00DB264C"/>
    <w:rsid w:val="00DB2678"/>
    <w:rsid w:val="00DB2769"/>
    <w:rsid w:val="00DB282D"/>
    <w:rsid w:val="00DB2831"/>
    <w:rsid w:val="00DB285C"/>
    <w:rsid w:val="00DB28CD"/>
    <w:rsid w:val="00DB293C"/>
    <w:rsid w:val="00DB296F"/>
    <w:rsid w:val="00DB2A13"/>
    <w:rsid w:val="00DB2A17"/>
    <w:rsid w:val="00DB2A63"/>
    <w:rsid w:val="00DB2AA3"/>
    <w:rsid w:val="00DB2B40"/>
    <w:rsid w:val="00DB2BA4"/>
    <w:rsid w:val="00DB2BA8"/>
    <w:rsid w:val="00DB2BFD"/>
    <w:rsid w:val="00DB2C33"/>
    <w:rsid w:val="00DB2C4F"/>
    <w:rsid w:val="00DB2DC0"/>
    <w:rsid w:val="00DB2E00"/>
    <w:rsid w:val="00DB2F80"/>
    <w:rsid w:val="00DB2F96"/>
    <w:rsid w:val="00DB2FAD"/>
    <w:rsid w:val="00DB2FC1"/>
    <w:rsid w:val="00DB3039"/>
    <w:rsid w:val="00DB30CA"/>
    <w:rsid w:val="00DB3151"/>
    <w:rsid w:val="00DB317E"/>
    <w:rsid w:val="00DB3241"/>
    <w:rsid w:val="00DB3266"/>
    <w:rsid w:val="00DB32BF"/>
    <w:rsid w:val="00DB3342"/>
    <w:rsid w:val="00DB335D"/>
    <w:rsid w:val="00DB3437"/>
    <w:rsid w:val="00DB3498"/>
    <w:rsid w:val="00DB375A"/>
    <w:rsid w:val="00DB3771"/>
    <w:rsid w:val="00DB37A2"/>
    <w:rsid w:val="00DB37D4"/>
    <w:rsid w:val="00DB3822"/>
    <w:rsid w:val="00DB3989"/>
    <w:rsid w:val="00DB3AD7"/>
    <w:rsid w:val="00DB3AFF"/>
    <w:rsid w:val="00DB3B54"/>
    <w:rsid w:val="00DB3D19"/>
    <w:rsid w:val="00DB3D47"/>
    <w:rsid w:val="00DB3F3D"/>
    <w:rsid w:val="00DB3FA0"/>
    <w:rsid w:val="00DB402D"/>
    <w:rsid w:val="00DB404C"/>
    <w:rsid w:val="00DB40FD"/>
    <w:rsid w:val="00DB4242"/>
    <w:rsid w:val="00DB424C"/>
    <w:rsid w:val="00DB4426"/>
    <w:rsid w:val="00DB44F8"/>
    <w:rsid w:val="00DB45D1"/>
    <w:rsid w:val="00DB45D2"/>
    <w:rsid w:val="00DB4796"/>
    <w:rsid w:val="00DB479D"/>
    <w:rsid w:val="00DB47EB"/>
    <w:rsid w:val="00DB4832"/>
    <w:rsid w:val="00DB4944"/>
    <w:rsid w:val="00DB4A4D"/>
    <w:rsid w:val="00DB4BB0"/>
    <w:rsid w:val="00DB4C02"/>
    <w:rsid w:val="00DB4DA4"/>
    <w:rsid w:val="00DB4DD5"/>
    <w:rsid w:val="00DB5011"/>
    <w:rsid w:val="00DB5063"/>
    <w:rsid w:val="00DB5324"/>
    <w:rsid w:val="00DB5413"/>
    <w:rsid w:val="00DB5464"/>
    <w:rsid w:val="00DB5474"/>
    <w:rsid w:val="00DB54B2"/>
    <w:rsid w:val="00DB5556"/>
    <w:rsid w:val="00DB56C6"/>
    <w:rsid w:val="00DB571C"/>
    <w:rsid w:val="00DB589C"/>
    <w:rsid w:val="00DB58CB"/>
    <w:rsid w:val="00DB592C"/>
    <w:rsid w:val="00DB5A0C"/>
    <w:rsid w:val="00DB5A6B"/>
    <w:rsid w:val="00DB5A9F"/>
    <w:rsid w:val="00DB5B79"/>
    <w:rsid w:val="00DB5B96"/>
    <w:rsid w:val="00DB5BD2"/>
    <w:rsid w:val="00DB5D6B"/>
    <w:rsid w:val="00DB5DAA"/>
    <w:rsid w:val="00DB5E6F"/>
    <w:rsid w:val="00DB5EF3"/>
    <w:rsid w:val="00DB5F53"/>
    <w:rsid w:val="00DB623F"/>
    <w:rsid w:val="00DB639D"/>
    <w:rsid w:val="00DB6409"/>
    <w:rsid w:val="00DB64B0"/>
    <w:rsid w:val="00DB6584"/>
    <w:rsid w:val="00DB65EB"/>
    <w:rsid w:val="00DB66A9"/>
    <w:rsid w:val="00DB671D"/>
    <w:rsid w:val="00DB678E"/>
    <w:rsid w:val="00DB6848"/>
    <w:rsid w:val="00DB6873"/>
    <w:rsid w:val="00DB690D"/>
    <w:rsid w:val="00DB691B"/>
    <w:rsid w:val="00DB6948"/>
    <w:rsid w:val="00DB6952"/>
    <w:rsid w:val="00DB699E"/>
    <w:rsid w:val="00DB6A53"/>
    <w:rsid w:val="00DB6ABE"/>
    <w:rsid w:val="00DB6B28"/>
    <w:rsid w:val="00DB6B44"/>
    <w:rsid w:val="00DB6B7D"/>
    <w:rsid w:val="00DB6E0F"/>
    <w:rsid w:val="00DB6EDF"/>
    <w:rsid w:val="00DB700C"/>
    <w:rsid w:val="00DB712F"/>
    <w:rsid w:val="00DB7425"/>
    <w:rsid w:val="00DB7486"/>
    <w:rsid w:val="00DB74EE"/>
    <w:rsid w:val="00DB7526"/>
    <w:rsid w:val="00DB7587"/>
    <w:rsid w:val="00DB7601"/>
    <w:rsid w:val="00DB764A"/>
    <w:rsid w:val="00DB765E"/>
    <w:rsid w:val="00DB77D2"/>
    <w:rsid w:val="00DB7836"/>
    <w:rsid w:val="00DB7903"/>
    <w:rsid w:val="00DB7947"/>
    <w:rsid w:val="00DB7A0C"/>
    <w:rsid w:val="00DB7A5A"/>
    <w:rsid w:val="00DB7A81"/>
    <w:rsid w:val="00DB7D5A"/>
    <w:rsid w:val="00DB7E0D"/>
    <w:rsid w:val="00DB7E43"/>
    <w:rsid w:val="00DB7ED6"/>
    <w:rsid w:val="00DB7FAC"/>
    <w:rsid w:val="00DC003F"/>
    <w:rsid w:val="00DC00DB"/>
    <w:rsid w:val="00DC0123"/>
    <w:rsid w:val="00DC01D8"/>
    <w:rsid w:val="00DC02A4"/>
    <w:rsid w:val="00DC0390"/>
    <w:rsid w:val="00DC03CD"/>
    <w:rsid w:val="00DC0428"/>
    <w:rsid w:val="00DC042F"/>
    <w:rsid w:val="00DC045F"/>
    <w:rsid w:val="00DC0535"/>
    <w:rsid w:val="00DC0551"/>
    <w:rsid w:val="00DC0577"/>
    <w:rsid w:val="00DC0579"/>
    <w:rsid w:val="00DC05C4"/>
    <w:rsid w:val="00DC061D"/>
    <w:rsid w:val="00DC07C2"/>
    <w:rsid w:val="00DC0843"/>
    <w:rsid w:val="00DC08C7"/>
    <w:rsid w:val="00DC09A4"/>
    <w:rsid w:val="00DC0A98"/>
    <w:rsid w:val="00DC0B1A"/>
    <w:rsid w:val="00DC0B57"/>
    <w:rsid w:val="00DC0B8B"/>
    <w:rsid w:val="00DC0B9B"/>
    <w:rsid w:val="00DC0B9C"/>
    <w:rsid w:val="00DC0BA2"/>
    <w:rsid w:val="00DC0C3B"/>
    <w:rsid w:val="00DC0CEB"/>
    <w:rsid w:val="00DC0DB5"/>
    <w:rsid w:val="00DC0DF9"/>
    <w:rsid w:val="00DC0E84"/>
    <w:rsid w:val="00DC0F09"/>
    <w:rsid w:val="00DC0F9C"/>
    <w:rsid w:val="00DC0FCA"/>
    <w:rsid w:val="00DC0FE5"/>
    <w:rsid w:val="00DC10A0"/>
    <w:rsid w:val="00DC1123"/>
    <w:rsid w:val="00DC1170"/>
    <w:rsid w:val="00DC11F1"/>
    <w:rsid w:val="00DC1358"/>
    <w:rsid w:val="00DC144C"/>
    <w:rsid w:val="00DC1502"/>
    <w:rsid w:val="00DC1614"/>
    <w:rsid w:val="00DC1631"/>
    <w:rsid w:val="00DC1671"/>
    <w:rsid w:val="00DC1801"/>
    <w:rsid w:val="00DC190C"/>
    <w:rsid w:val="00DC1A0A"/>
    <w:rsid w:val="00DC1AE6"/>
    <w:rsid w:val="00DC1B70"/>
    <w:rsid w:val="00DC1C16"/>
    <w:rsid w:val="00DC1C9D"/>
    <w:rsid w:val="00DC1D0A"/>
    <w:rsid w:val="00DC1D53"/>
    <w:rsid w:val="00DC1D55"/>
    <w:rsid w:val="00DC1D73"/>
    <w:rsid w:val="00DC1DEC"/>
    <w:rsid w:val="00DC1E5E"/>
    <w:rsid w:val="00DC1F3F"/>
    <w:rsid w:val="00DC1F44"/>
    <w:rsid w:val="00DC202F"/>
    <w:rsid w:val="00DC2061"/>
    <w:rsid w:val="00DC20EB"/>
    <w:rsid w:val="00DC210A"/>
    <w:rsid w:val="00DC2131"/>
    <w:rsid w:val="00DC2289"/>
    <w:rsid w:val="00DC232F"/>
    <w:rsid w:val="00DC24A1"/>
    <w:rsid w:val="00DC2551"/>
    <w:rsid w:val="00DC25C9"/>
    <w:rsid w:val="00DC26C9"/>
    <w:rsid w:val="00DC2720"/>
    <w:rsid w:val="00DC2866"/>
    <w:rsid w:val="00DC28DF"/>
    <w:rsid w:val="00DC28FF"/>
    <w:rsid w:val="00DC2B0F"/>
    <w:rsid w:val="00DC2C66"/>
    <w:rsid w:val="00DC2D44"/>
    <w:rsid w:val="00DC2E38"/>
    <w:rsid w:val="00DC2E4E"/>
    <w:rsid w:val="00DC2F3D"/>
    <w:rsid w:val="00DC2F88"/>
    <w:rsid w:val="00DC301F"/>
    <w:rsid w:val="00DC30EA"/>
    <w:rsid w:val="00DC3108"/>
    <w:rsid w:val="00DC3150"/>
    <w:rsid w:val="00DC319E"/>
    <w:rsid w:val="00DC3262"/>
    <w:rsid w:val="00DC327E"/>
    <w:rsid w:val="00DC3371"/>
    <w:rsid w:val="00DC346D"/>
    <w:rsid w:val="00DC3474"/>
    <w:rsid w:val="00DC3550"/>
    <w:rsid w:val="00DC3580"/>
    <w:rsid w:val="00DC3665"/>
    <w:rsid w:val="00DC378F"/>
    <w:rsid w:val="00DC3833"/>
    <w:rsid w:val="00DC3854"/>
    <w:rsid w:val="00DC392D"/>
    <w:rsid w:val="00DC3A28"/>
    <w:rsid w:val="00DC3A9B"/>
    <w:rsid w:val="00DC3B69"/>
    <w:rsid w:val="00DC3BAA"/>
    <w:rsid w:val="00DC3C06"/>
    <w:rsid w:val="00DC3C16"/>
    <w:rsid w:val="00DC3E31"/>
    <w:rsid w:val="00DC3E9E"/>
    <w:rsid w:val="00DC3EF6"/>
    <w:rsid w:val="00DC3FBD"/>
    <w:rsid w:val="00DC3FC3"/>
    <w:rsid w:val="00DC400B"/>
    <w:rsid w:val="00DC40AE"/>
    <w:rsid w:val="00DC4155"/>
    <w:rsid w:val="00DC4201"/>
    <w:rsid w:val="00DC420A"/>
    <w:rsid w:val="00DC421D"/>
    <w:rsid w:val="00DC4227"/>
    <w:rsid w:val="00DC4271"/>
    <w:rsid w:val="00DC4374"/>
    <w:rsid w:val="00DC445E"/>
    <w:rsid w:val="00DC45B3"/>
    <w:rsid w:val="00DC4803"/>
    <w:rsid w:val="00DC484D"/>
    <w:rsid w:val="00DC4A6A"/>
    <w:rsid w:val="00DC4AA6"/>
    <w:rsid w:val="00DC4AD5"/>
    <w:rsid w:val="00DC4AE4"/>
    <w:rsid w:val="00DC4B41"/>
    <w:rsid w:val="00DC4BCF"/>
    <w:rsid w:val="00DC4CA5"/>
    <w:rsid w:val="00DC4D7E"/>
    <w:rsid w:val="00DC4EDA"/>
    <w:rsid w:val="00DC4F7C"/>
    <w:rsid w:val="00DC504A"/>
    <w:rsid w:val="00DC506C"/>
    <w:rsid w:val="00DC5076"/>
    <w:rsid w:val="00DC50E3"/>
    <w:rsid w:val="00DC512F"/>
    <w:rsid w:val="00DC515C"/>
    <w:rsid w:val="00DC515F"/>
    <w:rsid w:val="00DC5165"/>
    <w:rsid w:val="00DC523A"/>
    <w:rsid w:val="00DC53B1"/>
    <w:rsid w:val="00DC542E"/>
    <w:rsid w:val="00DC5559"/>
    <w:rsid w:val="00DC5606"/>
    <w:rsid w:val="00DC5610"/>
    <w:rsid w:val="00DC56DB"/>
    <w:rsid w:val="00DC5868"/>
    <w:rsid w:val="00DC589C"/>
    <w:rsid w:val="00DC597A"/>
    <w:rsid w:val="00DC59B0"/>
    <w:rsid w:val="00DC5B99"/>
    <w:rsid w:val="00DC5BE8"/>
    <w:rsid w:val="00DC5CB4"/>
    <w:rsid w:val="00DC5CF5"/>
    <w:rsid w:val="00DC5D38"/>
    <w:rsid w:val="00DC5DD0"/>
    <w:rsid w:val="00DC5EBD"/>
    <w:rsid w:val="00DC5FE1"/>
    <w:rsid w:val="00DC5FE7"/>
    <w:rsid w:val="00DC613C"/>
    <w:rsid w:val="00DC6444"/>
    <w:rsid w:val="00DC646D"/>
    <w:rsid w:val="00DC64A3"/>
    <w:rsid w:val="00DC64A5"/>
    <w:rsid w:val="00DC64E6"/>
    <w:rsid w:val="00DC6701"/>
    <w:rsid w:val="00DC6730"/>
    <w:rsid w:val="00DC676D"/>
    <w:rsid w:val="00DC6852"/>
    <w:rsid w:val="00DC6893"/>
    <w:rsid w:val="00DC68AA"/>
    <w:rsid w:val="00DC68D7"/>
    <w:rsid w:val="00DC68DD"/>
    <w:rsid w:val="00DC6970"/>
    <w:rsid w:val="00DC69F8"/>
    <w:rsid w:val="00DC6A18"/>
    <w:rsid w:val="00DC6A77"/>
    <w:rsid w:val="00DC6C3B"/>
    <w:rsid w:val="00DC6CB0"/>
    <w:rsid w:val="00DC6DC7"/>
    <w:rsid w:val="00DC6E9A"/>
    <w:rsid w:val="00DC7054"/>
    <w:rsid w:val="00DC70D6"/>
    <w:rsid w:val="00DC716F"/>
    <w:rsid w:val="00DC7199"/>
    <w:rsid w:val="00DC7244"/>
    <w:rsid w:val="00DC72F3"/>
    <w:rsid w:val="00DC7327"/>
    <w:rsid w:val="00DC73E1"/>
    <w:rsid w:val="00DC7406"/>
    <w:rsid w:val="00DC759C"/>
    <w:rsid w:val="00DC75E1"/>
    <w:rsid w:val="00DC765F"/>
    <w:rsid w:val="00DC7716"/>
    <w:rsid w:val="00DC77A3"/>
    <w:rsid w:val="00DC7854"/>
    <w:rsid w:val="00DC78DE"/>
    <w:rsid w:val="00DC792B"/>
    <w:rsid w:val="00DC7966"/>
    <w:rsid w:val="00DC79FF"/>
    <w:rsid w:val="00DC7B4A"/>
    <w:rsid w:val="00DC7B95"/>
    <w:rsid w:val="00DC7BDF"/>
    <w:rsid w:val="00DC7C29"/>
    <w:rsid w:val="00DC7DBB"/>
    <w:rsid w:val="00DC7DC4"/>
    <w:rsid w:val="00DC7DFB"/>
    <w:rsid w:val="00DC7ED3"/>
    <w:rsid w:val="00DC7FCE"/>
    <w:rsid w:val="00DD0049"/>
    <w:rsid w:val="00DD005D"/>
    <w:rsid w:val="00DD00EA"/>
    <w:rsid w:val="00DD011C"/>
    <w:rsid w:val="00DD0133"/>
    <w:rsid w:val="00DD0192"/>
    <w:rsid w:val="00DD01C4"/>
    <w:rsid w:val="00DD01F6"/>
    <w:rsid w:val="00DD02CF"/>
    <w:rsid w:val="00DD047D"/>
    <w:rsid w:val="00DD051A"/>
    <w:rsid w:val="00DD057A"/>
    <w:rsid w:val="00DD067B"/>
    <w:rsid w:val="00DD0759"/>
    <w:rsid w:val="00DD07E6"/>
    <w:rsid w:val="00DD086C"/>
    <w:rsid w:val="00DD0884"/>
    <w:rsid w:val="00DD0A26"/>
    <w:rsid w:val="00DD0A61"/>
    <w:rsid w:val="00DD0AD6"/>
    <w:rsid w:val="00DD0B52"/>
    <w:rsid w:val="00DD0BF9"/>
    <w:rsid w:val="00DD0C87"/>
    <w:rsid w:val="00DD0D1B"/>
    <w:rsid w:val="00DD0D2D"/>
    <w:rsid w:val="00DD0D47"/>
    <w:rsid w:val="00DD0D78"/>
    <w:rsid w:val="00DD0E13"/>
    <w:rsid w:val="00DD0E93"/>
    <w:rsid w:val="00DD0F89"/>
    <w:rsid w:val="00DD1007"/>
    <w:rsid w:val="00DD109B"/>
    <w:rsid w:val="00DD11AC"/>
    <w:rsid w:val="00DD128E"/>
    <w:rsid w:val="00DD12AE"/>
    <w:rsid w:val="00DD13DD"/>
    <w:rsid w:val="00DD140A"/>
    <w:rsid w:val="00DD142A"/>
    <w:rsid w:val="00DD14E6"/>
    <w:rsid w:val="00DD1743"/>
    <w:rsid w:val="00DD18C2"/>
    <w:rsid w:val="00DD18C7"/>
    <w:rsid w:val="00DD18CC"/>
    <w:rsid w:val="00DD19A1"/>
    <w:rsid w:val="00DD1A07"/>
    <w:rsid w:val="00DD1B15"/>
    <w:rsid w:val="00DD1B59"/>
    <w:rsid w:val="00DD1B89"/>
    <w:rsid w:val="00DD1BBA"/>
    <w:rsid w:val="00DD1C8A"/>
    <w:rsid w:val="00DD1CF5"/>
    <w:rsid w:val="00DD1D11"/>
    <w:rsid w:val="00DD1F2B"/>
    <w:rsid w:val="00DD1FA4"/>
    <w:rsid w:val="00DD1FAB"/>
    <w:rsid w:val="00DD221A"/>
    <w:rsid w:val="00DD223D"/>
    <w:rsid w:val="00DD226E"/>
    <w:rsid w:val="00DD229F"/>
    <w:rsid w:val="00DD2360"/>
    <w:rsid w:val="00DD23E2"/>
    <w:rsid w:val="00DD2402"/>
    <w:rsid w:val="00DD247F"/>
    <w:rsid w:val="00DD2715"/>
    <w:rsid w:val="00DD2741"/>
    <w:rsid w:val="00DD2748"/>
    <w:rsid w:val="00DD2755"/>
    <w:rsid w:val="00DD27BC"/>
    <w:rsid w:val="00DD28F4"/>
    <w:rsid w:val="00DD2989"/>
    <w:rsid w:val="00DD2A14"/>
    <w:rsid w:val="00DD2A4B"/>
    <w:rsid w:val="00DD2A5F"/>
    <w:rsid w:val="00DD2A7A"/>
    <w:rsid w:val="00DD2ABF"/>
    <w:rsid w:val="00DD2B20"/>
    <w:rsid w:val="00DD2B75"/>
    <w:rsid w:val="00DD2BF7"/>
    <w:rsid w:val="00DD2C83"/>
    <w:rsid w:val="00DD2CD0"/>
    <w:rsid w:val="00DD2DAB"/>
    <w:rsid w:val="00DD2E23"/>
    <w:rsid w:val="00DD2F58"/>
    <w:rsid w:val="00DD306F"/>
    <w:rsid w:val="00DD3076"/>
    <w:rsid w:val="00DD314C"/>
    <w:rsid w:val="00DD3152"/>
    <w:rsid w:val="00DD3200"/>
    <w:rsid w:val="00DD3231"/>
    <w:rsid w:val="00DD3238"/>
    <w:rsid w:val="00DD3275"/>
    <w:rsid w:val="00DD32CD"/>
    <w:rsid w:val="00DD33C3"/>
    <w:rsid w:val="00DD3428"/>
    <w:rsid w:val="00DD3451"/>
    <w:rsid w:val="00DD3481"/>
    <w:rsid w:val="00DD35AF"/>
    <w:rsid w:val="00DD36D2"/>
    <w:rsid w:val="00DD37A4"/>
    <w:rsid w:val="00DD3844"/>
    <w:rsid w:val="00DD38CE"/>
    <w:rsid w:val="00DD3901"/>
    <w:rsid w:val="00DD3945"/>
    <w:rsid w:val="00DD39EB"/>
    <w:rsid w:val="00DD3B9A"/>
    <w:rsid w:val="00DD3C70"/>
    <w:rsid w:val="00DD3D35"/>
    <w:rsid w:val="00DD3F0B"/>
    <w:rsid w:val="00DD3F4A"/>
    <w:rsid w:val="00DD4002"/>
    <w:rsid w:val="00DD41FC"/>
    <w:rsid w:val="00DD4384"/>
    <w:rsid w:val="00DD4412"/>
    <w:rsid w:val="00DD44B1"/>
    <w:rsid w:val="00DD4613"/>
    <w:rsid w:val="00DD4647"/>
    <w:rsid w:val="00DD46DD"/>
    <w:rsid w:val="00DD4760"/>
    <w:rsid w:val="00DD47B5"/>
    <w:rsid w:val="00DD4815"/>
    <w:rsid w:val="00DD485C"/>
    <w:rsid w:val="00DD48D7"/>
    <w:rsid w:val="00DD48FB"/>
    <w:rsid w:val="00DD4AB4"/>
    <w:rsid w:val="00DD4AC2"/>
    <w:rsid w:val="00DD4B41"/>
    <w:rsid w:val="00DD4D72"/>
    <w:rsid w:val="00DD4DBB"/>
    <w:rsid w:val="00DD4F1A"/>
    <w:rsid w:val="00DD4FDD"/>
    <w:rsid w:val="00DD506C"/>
    <w:rsid w:val="00DD50B8"/>
    <w:rsid w:val="00DD5152"/>
    <w:rsid w:val="00DD518B"/>
    <w:rsid w:val="00DD51DC"/>
    <w:rsid w:val="00DD524E"/>
    <w:rsid w:val="00DD52A4"/>
    <w:rsid w:val="00DD530B"/>
    <w:rsid w:val="00DD5396"/>
    <w:rsid w:val="00DD53FC"/>
    <w:rsid w:val="00DD5480"/>
    <w:rsid w:val="00DD54D2"/>
    <w:rsid w:val="00DD5500"/>
    <w:rsid w:val="00DD5583"/>
    <w:rsid w:val="00DD574F"/>
    <w:rsid w:val="00DD5752"/>
    <w:rsid w:val="00DD5832"/>
    <w:rsid w:val="00DD5882"/>
    <w:rsid w:val="00DD589A"/>
    <w:rsid w:val="00DD58F1"/>
    <w:rsid w:val="00DD59F4"/>
    <w:rsid w:val="00DD5B97"/>
    <w:rsid w:val="00DD5C69"/>
    <w:rsid w:val="00DD5CA5"/>
    <w:rsid w:val="00DD5D06"/>
    <w:rsid w:val="00DD5D46"/>
    <w:rsid w:val="00DD5E9A"/>
    <w:rsid w:val="00DD5F68"/>
    <w:rsid w:val="00DD6069"/>
    <w:rsid w:val="00DD60F9"/>
    <w:rsid w:val="00DD616E"/>
    <w:rsid w:val="00DD624D"/>
    <w:rsid w:val="00DD6302"/>
    <w:rsid w:val="00DD6314"/>
    <w:rsid w:val="00DD6432"/>
    <w:rsid w:val="00DD64F9"/>
    <w:rsid w:val="00DD65ED"/>
    <w:rsid w:val="00DD6614"/>
    <w:rsid w:val="00DD6704"/>
    <w:rsid w:val="00DD681F"/>
    <w:rsid w:val="00DD6918"/>
    <w:rsid w:val="00DD6A66"/>
    <w:rsid w:val="00DD6AD6"/>
    <w:rsid w:val="00DD6B43"/>
    <w:rsid w:val="00DD6B72"/>
    <w:rsid w:val="00DD6B82"/>
    <w:rsid w:val="00DD6BAF"/>
    <w:rsid w:val="00DD6C3C"/>
    <w:rsid w:val="00DD6C49"/>
    <w:rsid w:val="00DD6C69"/>
    <w:rsid w:val="00DD6D8E"/>
    <w:rsid w:val="00DD6E2B"/>
    <w:rsid w:val="00DD6E47"/>
    <w:rsid w:val="00DD6E4E"/>
    <w:rsid w:val="00DD6E62"/>
    <w:rsid w:val="00DD6E9F"/>
    <w:rsid w:val="00DD6ED7"/>
    <w:rsid w:val="00DD6F25"/>
    <w:rsid w:val="00DD6FCE"/>
    <w:rsid w:val="00DD7033"/>
    <w:rsid w:val="00DD713B"/>
    <w:rsid w:val="00DD7144"/>
    <w:rsid w:val="00DD72BB"/>
    <w:rsid w:val="00DD7333"/>
    <w:rsid w:val="00DD7391"/>
    <w:rsid w:val="00DD73B3"/>
    <w:rsid w:val="00DD750E"/>
    <w:rsid w:val="00DD7529"/>
    <w:rsid w:val="00DD752B"/>
    <w:rsid w:val="00DD7610"/>
    <w:rsid w:val="00DD7674"/>
    <w:rsid w:val="00DD7717"/>
    <w:rsid w:val="00DD77E4"/>
    <w:rsid w:val="00DD78E2"/>
    <w:rsid w:val="00DD7A09"/>
    <w:rsid w:val="00DD7A5C"/>
    <w:rsid w:val="00DD7BEA"/>
    <w:rsid w:val="00DD7C4E"/>
    <w:rsid w:val="00DD7CCD"/>
    <w:rsid w:val="00DD7D30"/>
    <w:rsid w:val="00DD7D3B"/>
    <w:rsid w:val="00DD7D97"/>
    <w:rsid w:val="00DD7E51"/>
    <w:rsid w:val="00DD7E74"/>
    <w:rsid w:val="00DE0252"/>
    <w:rsid w:val="00DE0262"/>
    <w:rsid w:val="00DE056B"/>
    <w:rsid w:val="00DE0577"/>
    <w:rsid w:val="00DE0593"/>
    <w:rsid w:val="00DE069C"/>
    <w:rsid w:val="00DE0744"/>
    <w:rsid w:val="00DE0812"/>
    <w:rsid w:val="00DE0887"/>
    <w:rsid w:val="00DE0969"/>
    <w:rsid w:val="00DE0AA1"/>
    <w:rsid w:val="00DE0BC6"/>
    <w:rsid w:val="00DE0C74"/>
    <w:rsid w:val="00DE0C9E"/>
    <w:rsid w:val="00DE0CF5"/>
    <w:rsid w:val="00DE0D3A"/>
    <w:rsid w:val="00DE0D3E"/>
    <w:rsid w:val="00DE0DAB"/>
    <w:rsid w:val="00DE0DEB"/>
    <w:rsid w:val="00DE0DF6"/>
    <w:rsid w:val="00DE0E18"/>
    <w:rsid w:val="00DE0E3A"/>
    <w:rsid w:val="00DE0E70"/>
    <w:rsid w:val="00DE0F38"/>
    <w:rsid w:val="00DE0F50"/>
    <w:rsid w:val="00DE0FD2"/>
    <w:rsid w:val="00DE0FF2"/>
    <w:rsid w:val="00DE1006"/>
    <w:rsid w:val="00DE1017"/>
    <w:rsid w:val="00DE118C"/>
    <w:rsid w:val="00DE1192"/>
    <w:rsid w:val="00DE12AE"/>
    <w:rsid w:val="00DE1303"/>
    <w:rsid w:val="00DE137D"/>
    <w:rsid w:val="00DE1430"/>
    <w:rsid w:val="00DE1454"/>
    <w:rsid w:val="00DE16B0"/>
    <w:rsid w:val="00DE16FB"/>
    <w:rsid w:val="00DE171B"/>
    <w:rsid w:val="00DE1736"/>
    <w:rsid w:val="00DE17C4"/>
    <w:rsid w:val="00DE17CE"/>
    <w:rsid w:val="00DE17E7"/>
    <w:rsid w:val="00DE187F"/>
    <w:rsid w:val="00DE18EA"/>
    <w:rsid w:val="00DE1940"/>
    <w:rsid w:val="00DE1985"/>
    <w:rsid w:val="00DE1AAF"/>
    <w:rsid w:val="00DE1B41"/>
    <w:rsid w:val="00DE1BEF"/>
    <w:rsid w:val="00DE1CF6"/>
    <w:rsid w:val="00DE1D3F"/>
    <w:rsid w:val="00DE1D51"/>
    <w:rsid w:val="00DE1D84"/>
    <w:rsid w:val="00DE1E29"/>
    <w:rsid w:val="00DE1EAA"/>
    <w:rsid w:val="00DE1ED1"/>
    <w:rsid w:val="00DE1FAC"/>
    <w:rsid w:val="00DE20CB"/>
    <w:rsid w:val="00DE21AC"/>
    <w:rsid w:val="00DE21EB"/>
    <w:rsid w:val="00DE223A"/>
    <w:rsid w:val="00DE2368"/>
    <w:rsid w:val="00DE2382"/>
    <w:rsid w:val="00DE249A"/>
    <w:rsid w:val="00DE25B6"/>
    <w:rsid w:val="00DE26B2"/>
    <w:rsid w:val="00DE26E6"/>
    <w:rsid w:val="00DE27A5"/>
    <w:rsid w:val="00DE283A"/>
    <w:rsid w:val="00DE28EE"/>
    <w:rsid w:val="00DE28F7"/>
    <w:rsid w:val="00DE29D1"/>
    <w:rsid w:val="00DE2AFA"/>
    <w:rsid w:val="00DE2B59"/>
    <w:rsid w:val="00DE2BE7"/>
    <w:rsid w:val="00DE2CF0"/>
    <w:rsid w:val="00DE2DD0"/>
    <w:rsid w:val="00DE2DF9"/>
    <w:rsid w:val="00DE2EA3"/>
    <w:rsid w:val="00DE2ED6"/>
    <w:rsid w:val="00DE2F2A"/>
    <w:rsid w:val="00DE2F53"/>
    <w:rsid w:val="00DE3081"/>
    <w:rsid w:val="00DE30DF"/>
    <w:rsid w:val="00DE3104"/>
    <w:rsid w:val="00DE3220"/>
    <w:rsid w:val="00DE327B"/>
    <w:rsid w:val="00DE32BD"/>
    <w:rsid w:val="00DE32BE"/>
    <w:rsid w:val="00DE3382"/>
    <w:rsid w:val="00DE33B8"/>
    <w:rsid w:val="00DE33D5"/>
    <w:rsid w:val="00DE3429"/>
    <w:rsid w:val="00DE35D2"/>
    <w:rsid w:val="00DE364C"/>
    <w:rsid w:val="00DE367B"/>
    <w:rsid w:val="00DE36BB"/>
    <w:rsid w:val="00DE379C"/>
    <w:rsid w:val="00DE3826"/>
    <w:rsid w:val="00DE3909"/>
    <w:rsid w:val="00DE3920"/>
    <w:rsid w:val="00DE39BA"/>
    <w:rsid w:val="00DE3A68"/>
    <w:rsid w:val="00DE3B25"/>
    <w:rsid w:val="00DE3BE0"/>
    <w:rsid w:val="00DE3BE1"/>
    <w:rsid w:val="00DE3C60"/>
    <w:rsid w:val="00DE3C8D"/>
    <w:rsid w:val="00DE3D06"/>
    <w:rsid w:val="00DE3D2C"/>
    <w:rsid w:val="00DE3D61"/>
    <w:rsid w:val="00DE3F0F"/>
    <w:rsid w:val="00DE3FF3"/>
    <w:rsid w:val="00DE4080"/>
    <w:rsid w:val="00DE4086"/>
    <w:rsid w:val="00DE41E9"/>
    <w:rsid w:val="00DE42EC"/>
    <w:rsid w:val="00DE4327"/>
    <w:rsid w:val="00DE435A"/>
    <w:rsid w:val="00DE4591"/>
    <w:rsid w:val="00DE45B8"/>
    <w:rsid w:val="00DE45CC"/>
    <w:rsid w:val="00DE45F7"/>
    <w:rsid w:val="00DE4656"/>
    <w:rsid w:val="00DE483E"/>
    <w:rsid w:val="00DE48AA"/>
    <w:rsid w:val="00DE492C"/>
    <w:rsid w:val="00DE4948"/>
    <w:rsid w:val="00DE4997"/>
    <w:rsid w:val="00DE4A3D"/>
    <w:rsid w:val="00DE4ACA"/>
    <w:rsid w:val="00DE4AFB"/>
    <w:rsid w:val="00DE4B54"/>
    <w:rsid w:val="00DE4B96"/>
    <w:rsid w:val="00DE4C20"/>
    <w:rsid w:val="00DE4C23"/>
    <w:rsid w:val="00DE4C40"/>
    <w:rsid w:val="00DE4D47"/>
    <w:rsid w:val="00DE4DE2"/>
    <w:rsid w:val="00DE4E0B"/>
    <w:rsid w:val="00DE4F13"/>
    <w:rsid w:val="00DE4F66"/>
    <w:rsid w:val="00DE4F81"/>
    <w:rsid w:val="00DE4F9E"/>
    <w:rsid w:val="00DE4FFE"/>
    <w:rsid w:val="00DE50B3"/>
    <w:rsid w:val="00DE50E7"/>
    <w:rsid w:val="00DE5133"/>
    <w:rsid w:val="00DE51E9"/>
    <w:rsid w:val="00DE53E6"/>
    <w:rsid w:val="00DE54B4"/>
    <w:rsid w:val="00DE5642"/>
    <w:rsid w:val="00DE5735"/>
    <w:rsid w:val="00DE57AB"/>
    <w:rsid w:val="00DE57C1"/>
    <w:rsid w:val="00DE57CB"/>
    <w:rsid w:val="00DE5872"/>
    <w:rsid w:val="00DE59F0"/>
    <w:rsid w:val="00DE5AE5"/>
    <w:rsid w:val="00DE5B29"/>
    <w:rsid w:val="00DE5D65"/>
    <w:rsid w:val="00DE5E99"/>
    <w:rsid w:val="00DE6034"/>
    <w:rsid w:val="00DE6228"/>
    <w:rsid w:val="00DE64EB"/>
    <w:rsid w:val="00DE662F"/>
    <w:rsid w:val="00DE6630"/>
    <w:rsid w:val="00DE666F"/>
    <w:rsid w:val="00DE669F"/>
    <w:rsid w:val="00DE672A"/>
    <w:rsid w:val="00DE6865"/>
    <w:rsid w:val="00DE686E"/>
    <w:rsid w:val="00DE68D9"/>
    <w:rsid w:val="00DE6905"/>
    <w:rsid w:val="00DE6A47"/>
    <w:rsid w:val="00DE6AE6"/>
    <w:rsid w:val="00DE6C9C"/>
    <w:rsid w:val="00DE6F55"/>
    <w:rsid w:val="00DE6FB5"/>
    <w:rsid w:val="00DE70EC"/>
    <w:rsid w:val="00DE720F"/>
    <w:rsid w:val="00DE7250"/>
    <w:rsid w:val="00DE72F7"/>
    <w:rsid w:val="00DE731D"/>
    <w:rsid w:val="00DE733D"/>
    <w:rsid w:val="00DE73FD"/>
    <w:rsid w:val="00DE7492"/>
    <w:rsid w:val="00DE74B8"/>
    <w:rsid w:val="00DE751A"/>
    <w:rsid w:val="00DE7555"/>
    <w:rsid w:val="00DE7678"/>
    <w:rsid w:val="00DE768B"/>
    <w:rsid w:val="00DE777E"/>
    <w:rsid w:val="00DE778E"/>
    <w:rsid w:val="00DE77D4"/>
    <w:rsid w:val="00DE789F"/>
    <w:rsid w:val="00DE7A91"/>
    <w:rsid w:val="00DE7AA3"/>
    <w:rsid w:val="00DE7B19"/>
    <w:rsid w:val="00DE7D91"/>
    <w:rsid w:val="00DE7E25"/>
    <w:rsid w:val="00DE7E86"/>
    <w:rsid w:val="00DE7EDB"/>
    <w:rsid w:val="00DE7F1B"/>
    <w:rsid w:val="00DE7F82"/>
    <w:rsid w:val="00DF0099"/>
    <w:rsid w:val="00DF00A3"/>
    <w:rsid w:val="00DF00BA"/>
    <w:rsid w:val="00DF012D"/>
    <w:rsid w:val="00DF018B"/>
    <w:rsid w:val="00DF0244"/>
    <w:rsid w:val="00DF03C8"/>
    <w:rsid w:val="00DF049D"/>
    <w:rsid w:val="00DF052F"/>
    <w:rsid w:val="00DF06A9"/>
    <w:rsid w:val="00DF0756"/>
    <w:rsid w:val="00DF0849"/>
    <w:rsid w:val="00DF08A2"/>
    <w:rsid w:val="00DF0940"/>
    <w:rsid w:val="00DF0AB5"/>
    <w:rsid w:val="00DF0ACA"/>
    <w:rsid w:val="00DF0B24"/>
    <w:rsid w:val="00DF0C19"/>
    <w:rsid w:val="00DF0C2A"/>
    <w:rsid w:val="00DF0CCA"/>
    <w:rsid w:val="00DF0FF4"/>
    <w:rsid w:val="00DF10B9"/>
    <w:rsid w:val="00DF10F6"/>
    <w:rsid w:val="00DF111F"/>
    <w:rsid w:val="00DF1392"/>
    <w:rsid w:val="00DF13D7"/>
    <w:rsid w:val="00DF1443"/>
    <w:rsid w:val="00DF144D"/>
    <w:rsid w:val="00DF15DA"/>
    <w:rsid w:val="00DF1663"/>
    <w:rsid w:val="00DF1667"/>
    <w:rsid w:val="00DF169D"/>
    <w:rsid w:val="00DF16B9"/>
    <w:rsid w:val="00DF17DC"/>
    <w:rsid w:val="00DF1831"/>
    <w:rsid w:val="00DF184E"/>
    <w:rsid w:val="00DF189D"/>
    <w:rsid w:val="00DF18EE"/>
    <w:rsid w:val="00DF1A71"/>
    <w:rsid w:val="00DF1A91"/>
    <w:rsid w:val="00DF1A93"/>
    <w:rsid w:val="00DF1AC3"/>
    <w:rsid w:val="00DF1B5F"/>
    <w:rsid w:val="00DF1B9C"/>
    <w:rsid w:val="00DF1BB6"/>
    <w:rsid w:val="00DF1CAC"/>
    <w:rsid w:val="00DF1CB7"/>
    <w:rsid w:val="00DF1D0D"/>
    <w:rsid w:val="00DF1D3C"/>
    <w:rsid w:val="00DF1DAA"/>
    <w:rsid w:val="00DF1E04"/>
    <w:rsid w:val="00DF1E18"/>
    <w:rsid w:val="00DF1E59"/>
    <w:rsid w:val="00DF1E94"/>
    <w:rsid w:val="00DF1EF2"/>
    <w:rsid w:val="00DF2035"/>
    <w:rsid w:val="00DF21E9"/>
    <w:rsid w:val="00DF2203"/>
    <w:rsid w:val="00DF23E0"/>
    <w:rsid w:val="00DF2439"/>
    <w:rsid w:val="00DF2472"/>
    <w:rsid w:val="00DF24ED"/>
    <w:rsid w:val="00DF2512"/>
    <w:rsid w:val="00DF263A"/>
    <w:rsid w:val="00DF26E3"/>
    <w:rsid w:val="00DF277A"/>
    <w:rsid w:val="00DF2880"/>
    <w:rsid w:val="00DF28A9"/>
    <w:rsid w:val="00DF28C8"/>
    <w:rsid w:val="00DF29E7"/>
    <w:rsid w:val="00DF2AFE"/>
    <w:rsid w:val="00DF2B26"/>
    <w:rsid w:val="00DF2B43"/>
    <w:rsid w:val="00DF2B5F"/>
    <w:rsid w:val="00DF2BC4"/>
    <w:rsid w:val="00DF2CB5"/>
    <w:rsid w:val="00DF2E67"/>
    <w:rsid w:val="00DF2EB4"/>
    <w:rsid w:val="00DF3102"/>
    <w:rsid w:val="00DF32B9"/>
    <w:rsid w:val="00DF3333"/>
    <w:rsid w:val="00DF33AC"/>
    <w:rsid w:val="00DF3403"/>
    <w:rsid w:val="00DF349B"/>
    <w:rsid w:val="00DF34C7"/>
    <w:rsid w:val="00DF3533"/>
    <w:rsid w:val="00DF3538"/>
    <w:rsid w:val="00DF363F"/>
    <w:rsid w:val="00DF375C"/>
    <w:rsid w:val="00DF37A6"/>
    <w:rsid w:val="00DF37BB"/>
    <w:rsid w:val="00DF37EA"/>
    <w:rsid w:val="00DF37F2"/>
    <w:rsid w:val="00DF38F2"/>
    <w:rsid w:val="00DF394F"/>
    <w:rsid w:val="00DF3967"/>
    <w:rsid w:val="00DF39E0"/>
    <w:rsid w:val="00DF3AAE"/>
    <w:rsid w:val="00DF3AFF"/>
    <w:rsid w:val="00DF3B2C"/>
    <w:rsid w:val="00DF3B9A"/>
    <w:rsid w:val="00DF3C13"/>
    <w:rsid w:val="00DF3C47"/>
    <w:rsid w:val="00DF3C6F"/>
    <w:rsid w:val="00DF3DDB"/>
    <w:rsid w:val="00DF3DE7"/>
    <w:rsid w:val="00DF3E3E"/>
    <w:rsid w:val="00DF3F15"/>
    <w:rsid w:val="00DF401F"/>
    <w:rsid w:val="00DF4029"/>
    <w:rsid w:val="00DF41D1"/>
    <w:rsid w:val="00DF433D"/>
    <w:rsid w:val="00DF4411"/>
    <w:rsid w:val="00DF446B"/>
    <w:rsid w:val="00DF4495"/>
    <w:rsid w:val="00DF468F"/>
    <w:rsid w:val="00DF469B"/>
    <w:rsid w:val="00DF476F"/>
    <w:rsid w:val="00DF479B"/>
    <w:rsid w:val="00DF4916"/>
    <w:rsid w:val="00DF49C0"/>
    <w:rsid w:val="00DF4A09"/>
    <w:rsid w:val="00DF4A69"/>
    <w:rsid w:val="00DF4ABE"/>
    <w:rsid w:val="00DF4CE9"/>
    <w:rsid w:val="00DF4DA6"/>
    <w:rsid w:val="00DF4F53"/>
    <w:rsid w:val="00DF4FF1"/>
    <w:rsid w:val="00DF5167"/>
    <w:rsid w:val="00DF5177"/>
    <w:rsid w:val="00DF51E6"/>
    <w:rsid w:val="00DF52B4"/>
    <w:rsid w:val="00DF52B8"/>
    <w:rsid w:val="00DF5315"/>
    <w:rsid w:val="00DF5388"/>
    <w:rsid w:val="00DF53EC"/>
    <w:rsid w:val="00DF5515"/>
    <w:rsid w:val="00DF5538"/>
    <w:rsid w:val="00DF553B"/>
    <w:rsid w:val="00DF553E"/>
    <w:rsid w:val="00DF55F8"/>
    <w:rsid w:val="00DF564E"/>
    <w:rsid w:val="00DF5675"/>
    <w:rsid w:val="00DF573C"/>
    <w:rsid w:val="00DF577D"/>
    <w:rsid w:val="00DF57E3"/>
    <w:rsid w:val="00DF592B"/>
    <w:rsid w:val="00DF5975"/>
    <w:rsid w:val="00DF5A0D"/>
    <w:rsid w:val="00DF5A2F"/>
    <w:rsid w:val="00DF5C8E"/>
    <w:rsid w:val="00DF5CFA"/>
    <w:rsid w:val="00DF5D2D"/>
    <w:rsid w:val="00DF5D3B"/>
    <w:rsid w:val="00DF5D7E"/>
    <w:rsid w:val="00DF5D83"/>
    <w:rsid w:val="00DF5E01"/>
    <w:rsid w:val="00DF5E94"/>
    <w:rsid w:val="00DF5EDA"/>
    <w:rsid w:val="00DF5F80"/>
    <w:rsid w:val="00DF5FAE"/>
    <w:rsid w:val="00DF60DD"/>
    <w:rsid w:val="00DF60F6"/>
    <w:rsid w:val="00DF6286"/>
    <w:rsid w:val="00DF648D"/>
    <w:rsid w:val="00DF65E2"/>
    <w:rsid w:val="00DF6600"/>
    <w:rsid w:val="00DF660C"/>
    <w:rsid w:val="00DF67AD"/>
    <w:rsid w:val="00DF6861"/>
    <w:rsid w:val="00DF6899"/>
    <w:rsid w:val="00DF693D"/>
    <w:rsid w:val="00DF69A1"/>
    <w:rsid w:val="00DF6A17"/>
    <w:rsid w:val="00DF6B03"/>
    <w:rsid w:val="00DF6B92"/>
    <w:rsid w:val="00DF6C54"/>
    <w:rsid w:val="00DF6D16"/>
    <w:rsid w:val="00DF6E43"/>
    <w:rsid w:val="00DF6EC2"/>
    <w:rsid w:val="00DF6ECB"/>
    <w:rsid w:val="00DF6FBB"/>
    <w:rsid w:val="00DF7025"/>
    <w:rsid w:val="00DF70C5"/>
    <w:rsid w:val="00DF710D"/>
    <w:rsid w:val="00DF71BD"/>
    <w:rsid w:val="00DF729B"/>
    <w:rsid w:val="00DF738A"/>
    <w:rsid w:val="00DF739A"/>
    <w:rsid w:val="00DF73EC"/>
    <w:rsid w:val="00DF7460"/>
    <w:rsid w:val="00DF7489"/>
    <w:rsid w:val="00DF7577"/>
    <w:rsid w:val="00DF7656"/>
    <w:rsid w:val="00DF7787"/>
    <w:rsid w:val="00DF77D0"/>
    <w:rsid w:val="00DF77F2"/>
    <w:rsid w:val="00DF77F9"/>
    <w:rsid w:val="00DF78FD"/>
    <w:rsid w:val="00DF7A69"/>
    <w:rsid w:val="00DF7C1C"/>
    <w:rsid w:val="00DF7C41"/>
    <w:rsid w:val="00DF7C5E"/>
    <w:rsid w:val="00DF7C69"/>
    <w:rsid w:val="00DF7C6E"/>
    <w:rsid w:val="00DF7CBA"/>
    <w:rsid w:val="00DF7E01"/>
    <w:rsid w:val="00DF7E5F"/>
    <w:rsid w:val="00DF7F93"/>
    <w:rsid w:val="00DF7FA5"/>
    <w:rsid w:val="00E0000C"/>
    <w:rsid w:val="00E0005A"/>
    <w:rsid w:val="00E000DC"/>
    <w:rsid w:val="00E002B2"/>
    <w:rsid w:val="00E002D8"/>
    <w:rsid w:val="00E002EB"/>
    <w:rsid w:val="00E0038D"/>
    <w:rsid w:val="00E0048D"/>
    <w:rsid w:val="00E007BE"/>
    <w:rsid w:val="00E007CD"/>
    <w:rsid w:val="00E008F0"/>
    <w:rsid w:val="00E0092B"/>
    <w:rsid w:val="00E00948"/>
    <w:rsid w:val="00E00978"/>
    <w:rsid w:val="00E00A4F"/>
    <w:rsid w:val="00E00A86"/>
    <w:rsid w:val="00E00A9C"/>
    <w:rsid w:val="00E00AC9"/>
    <w:rsid w:val="00E00AE9"/>
    <w:rsid w:val="00E00B05"/>
    <w:rsid w:val="00E00B1B"/>
    <w:rsid w:val="00E00C40"/>
    <w:rsid w:val="00E00C56"/>
    <w:rsid w:val="00E00CC2"/>
    <w:rsid w:val="00E00D61"/>
    <w:rsid w:val="00E00E10"/>
    <w:rsid w:val="00E00F7F"/>
    <w:rsid w:val="00E00FA4"/>
    <w:rsid w:val="00E010FC"/>
    <w:rsid w:val="00E01117"/>
    <w:rsid w:val="00E014E7"/>
    <w:rsid w:val="00E015EA"/>
    <w:rsid w:val="00E01619"/>
    <w:rsid w:val="00E0167D"/>
    <w:rsid w:val="00E016F6"/>
    <w:rsid w:val="00E017B3"/>
    <w:rsid w:val="00E017B6"/>
    <w:rsid w:val="00E01899"/>
    <w:rsid w:val="00E018B5"/>
    <w:rsid w:val="00E01916"/>
    <w:rsid w:val="00E0199A"/>
    <w:rsid w:val="00E01AB8"/>
    <w:rsid w:val="00E01AEB"/>
    <w:rsid w:val="00E01AFC"/>
    <w:rsid w:val="00E01C5B"/>
    <w:rsid w:val="00E01CBB"/>
    <w:rsid w:val="00E01D5B"/>
    <w:rsid w:val="00E01EF7"/>
    <w:rsid w:val="00E01F26"/>
    <w:rsid w:val="00E0202B"/>
    <w:rsid w:val="00E02066"/>
    <w:rsid w:val="00E0206E"/>
    <w:rsid w:val="00E02086"/>
    <w:rsid w:val="00E020B6"/>
    <w:rsid w:val="00E02117"/>
    <w:rsid w:val="00E02141"/>
    <w:rsid w:val="00E02170"/>
    <w:rsid w:val="00E0221F"/>
    <w:rsid w:val="00E022FB"/>
    <w:rsid w:val="00E0236D"/>
    <w:rsid w:val="00E024AD"/>
    <w:rsid w:val="00E0252F"/>
    <w:rsid w:val="00E025A5"/>
    <w:rsid w:val="00E0265D"/>
    <w:rsid w:val="00E02672"/>
    <w:rsid w:val="00E026B8"/>
    <w:rsid w:val="00E0280D"/>
    <w:rsid w:val="00E0287B"/>
    <w:rsid w:val="00E02902"/>
    <w:rsid w:val="00E029B8"/>
    <w:rsid w:val="00E029C6"/>
    <w:rsid w:val="00E029C9"/>
    <w:rsid w:val="00E02A7F"/>
    <w:rsid w:val="00E02A80"/>
    <w:rsid w:val="00E02A85"/>
    <w:rsid w:val="00E02B98"/>
    <w:rsid w:val="00E02C2C"/>
    <w:rsid w:val="00E02D80"/>
    <w:rsid w:val="00E02F2B"/>
    <w:rsid w:val="00E02F38"/>
    <w:rsid w:val="00E02FB8"/>
    <w:rsid w:val="00E030C2"/>
    <w:rsid w:val="00E0319B"/>
    <w:rsid w:val="00E03215"/>
    <w:rsid w:val="00E0335D"/>
    <w:rsid w:val="00E03368"/>
    <w:rsid w:val="00E033F4"/>
    <w:rsid w:val="00E0342A"/>
    <w:rsid w:val="00E034CB"/>
    <w:rsid w:val="00E03516"/>
    <w:rsid w:val="00E0362B"/>
    <w:rsid w:val="00E0362F"/>
    <w:rsid w:val="00E036A2"/>
    <w:rsid w:val="00E036CB"/>
    <w:rsid w:val="00E03710"/>
    <w:rsid w:val="00E03763"/>
    <w:rsid w:val="00E0384A"/>
    <w:rsid w:val="00E03A65"/>
    <w:rsid w:val="00E03AA6"/>
    <w:rsid w:val="00E03CDC"/>
    <w:rsid w:val="00E03D13"/>
    <w:rsid w:val="00E03D1C"/>
    <w:rsid w:val="00E03D90"/>
    <w:rsid w:val="00E03E3D"/>
    <w:rsid w:val="00E03EE0"/>
    <w:rsid w:val="00E0409A"/>
    <w:rsid w:val="00E0429A"/>
    <w:rsid w:val="00E04408"/>
    <w:rsid w:val="00E0444E"/>
    <w:rsid w:val="00E0445C"/>
    <w:rsid w:val="00E044A8"/>
    <w:rsid w:val="00E04623"/>
    <w:rsid w:val="00E04630"/>
    <w:rsid w:val="00E04664"/>
    <w:rsid w:val="00E04738"/>
    <w:rsid w:val="00E04785"/>
    <w:rsid w:val="00E047BB"/>
    <w:rsid w:val="00E04873"/>
    <w:rsid w:val="00E048C5"/>
    <w:rsid w:val="00E0498F"/>
    <w:rsid w:val="00E04A70"/>
    <w:rsid w:val="00E04BBE"/>
    <w:rsid w:val="00E04C39"/>
    <w:rsid w:val="00E04C71"/>
    <w:rsid w:val="00E04C9E"/>
    <w:rsid w:val="00E04CE6"/>
    <w:rsid w:val="00E04D73"/>
    <w:rsid w:val="00E04E26"/>
    <w:rsid w:val="00E04F0E"/>
    <w:rsid w:val="00E0513C"/>
    <w:rsid w:val="00E051DF"/>
    <w:rsid w:val="00E051FA"/>
    <w:rsid w:val="00E051FE"/>
    <w:rsid w:val="00E0521D"/>
    <w:rsid w:val="00E052DC"/>
    <w:rsid w:val="00E05395"/>
    <w:rsid w:val="00E05469"/>
    <w:rsid w:val="00E054A4"/>
    <w:rsid w:val="00E05574"/>
    <w:rsid w:val="00E05645"/>
    <w:rsid w:val="00E0567C"/>
    <w:rsid w:val="00E056F1"/>
    <w:rsid w:val="00E05721"/>
    <w:rsid w:val="00E05735"/>
    <w:rsid w:val="00E05864"/>
    <w:rsid w:val="00E05A38"/>
    <w:rsid w:val="00E05A94"/>
    <w:rsid w:val="00E05B04"/>
    <w:rsid w:val="00E05D72"/>
    <w:rsid w:val="00E05DE6"/>
    <w:rsid w:val="00E05DF5"/>
    <w:rsid w:val="00E05F26"/>
    <w:rsid w:val="00E05FBA"/>
    <w:rsid w:val="00E06043"/>
    <w:rsid w:val="00E060EE"/>
    <w:rsid w:val="00E06103"/>
    <w:rsid w:val="00E06178"/>
    <w:rsid w:val="00E061CB"/>
    <w:rsid w:val="00E062AC"/>
    <w:rsid w:val="00E062C1"/>
    <w:rsid w:val="00E06311"/>
    <w:rsid w:val="00E06388"/>
    <w:rsid w:val="00E064A7"/>
    <w:rsid w:val="00E06559"/>
    <w:rsid w:val="00E06596"/>
    <w:rsid w:val="00E0661C"/>
    <w:rsid w:val="00E066C9"/>
    <w:rsid w:val="00E06868"/>
    <w:rsid w:val="00E0693C"/>
    <w:rsid w:val="00E069AC"/>
    <w:rsid w:val="00E06A57"/>
    <w:rsid w:val="00E06A91"/>
    <w:rsid w:val="00E06AE7"/>
    <w:rsid w:val="00E06AF9"/>
    <w:rsid w:val="00E06DA8"/>
    <w:rsid w:val="00E06DF0"/>
    <w:rsid w:val="00E06E20"/>
    <w:rsid w:val="00E06E39"/>
    <w:rsid w:val="00E06E75"/>
    <w:rsid w:val="00E06EAA"/>
    <w:rsid w:val="00E06EF3"/>
    <w:rsid w:val="00E07041"/>
    <w:rsid w:val="00E07070"/>
    <w:rsid w:val="00E07079"/>
    <w:rsid w:val="00E070EA"/>
    <w:rsid w:val="00E07177"/>
    <w:rsid w:val="00E07388"/>
    <w:rsid w:val="00E07464"/>
    <w:rsid w:val="00E07466"/>
    <w:rsid w:val="00E0749C"/>
    <w:rsid w:val="00E074C7"/>
    <w:rsid w:val="00E0753D"/>
    <w:rsid w:val="00E0756A"/>
    <w:rsid w:val="00E075E4"/>
    <w:rsid w:val="00E0764D"/>
    <w:rsid w:val="00E07927"/>
    <w:rsid w:val="00E07C06"/>
    <w:rsid w:val="00E07C3E"/>
    <w:rsid w:val="00E07CC3"/>
    <w:rsid w:val="00E07CF2"/>
    <w:rsid w:val="00E07D41"/>
    <w:rsid w:val="00E07E09"/>
    <w:rsid w:val="00E07EBF"/>
    <w:rsid w:val="00E07FEA"/>
    <w:rsid w:val="00E1010C"/>
    <w:rsid w:val="00E101A9"/>
    <w:rsid w:val="00E10303"/>
    <w:rsid w:val="00E10445"/>
    <w:rsid w:val="00E1054B"/>
    <w:rsid w:val="00E105EE"/>
    <w:rsid w:val="00E1075F"/>
    <w:rsid w:val="00E1078C"/>
    <w:rsid w:val="00E107AB"/>
    <w:rsid w:val="00E108AF"/>
    <w:rsid w:val="00E10907"/>
    <w:rsid w:val="00E10941"/>
    <w:rsid w:val="00E10B04"/>
    <w:rsid w:val="00E10B82"/>
    <w:rsid w:val="00E10C04"/>
    <w:rsid w:val="00E10C0E"/>
    <w:rsid w:val="00E10C4E"/>
    <w:rsid w:val="00E10D99"/>
    <w:rsid w:val="00E10E03"/>
    <w:rsid w:val="00E10E05"/>
    <w:rsid w:val="00E10F70"/>
    <w:rsid w:val="00E10F71"/>
    <w:rsid w:val="00E10FCA"/>
    <w:rsid w:val="00E11028"/>
    <w:rsid w:val="00E11056"/>
    <w:rsid w:val="00E1105D"/>
    <w:rsid w:val="00E110AB"/>
    <w:rsid w:val="00E110E2"/>
    <w:rsid w:val="00E111B8"/>
    <w:rsid w:val="00E112DD"/>
    <w:rsid w:val="00E1131D"/>
    <w:rsid w:val="00E11445"/>
    <w:rsid w:val="00E11449"/>
    <w:rsid w:val="00E11484"/>
    <w:rsid w:val="00E11491"/>
    <w:rsid w:val="00E114C8"/>
    <w:rsid w:val="00E115C6"/>
    <w:rsid w:val="00E115D4"/>
    <w:rsid w:val="00E11604"/>
    <w:rsid w:val="00E11621"/>
    <w:rsid w:val="00E11750"/>
    <w:rsid w:val="00E117BD"/>
    <w:rsid w:val="00E1181D"/>
    <w:rsid w:val="00E11875"/>
    <w:rsid w:val="00E1191D"/>
    <w:rsid w:val="00E11B29"/>
    <w:rsid w:val="00E11BE3"/>
    <w:rsid w:val="00E11C23"/>
    <w:rsid w:val="00E11CBE"/>
    <w:rsid w:val="00E11CD0"/>
    <w:rsid w:val="00E11CD9"/>
    <w:rsid w:val="00E11DA2"/>
    <w:rsid w:val="00E11FE7"/>
    <w:rsid w:val="00E12113"/>
    <w:rsid w:val="00E121BB"/>
    <w:rsid w:val="00E12220"/>
    <w:rsid w:val="00E12339"/>
    <w:rsid w:val="00E12382"/>
    <w:rsid w:val="00E12408"/>
    <w:rsid w:val="00E124DD"/>
    <w:rsid w:val="00E12530"/>
    <w:rsid w:val="00E1255F"/>
    <w:rsid w:val="00E125EA"/>
    <w:rsid w:val="00E1266F"/>
    <w:rsid w:val="00E127F6"/>
    <w:rsid w:val="00E12864"/>
    <w:rsid w:val="00E12894"/>
    <w:rsid w:val="00E1295D"/>
    <w:rsid w:val="00E1298C"/>
    <w:rsid w:val="00E129BE"/>
    <w:rsid w:val="00E12B3B"/>
    <w:rsid w:val="00E12B52"/>
    <w:rsid w:val="00E12DBF"/>
    <w:rsid w:val="00E12E21"/>
    <w:rsid w:val="00E12F00"/>
    <w:rsid w:val="00E12FC6"/>
    <w:rsid w:val="00E130BB"/>
    <w:rsid w:val="00E131C0"/>
    <w:rsid w:val="00E133D9"/>
    <w:rsid w:val="00E1351C"/>
    <w:rsid w:val="00E135D8"/>
    <w:rsid w:val="00E135ED"/>
    <w:rsid w:val="00E1360B"/>
    <w:rsid w:val="00E13651"/>
    <w:rsid w:val="00E13686"/>
    <w:rsid w:val="00E136C3"/>
    <w:rsid w:val="00E13814"/>
    <w:rsid w:val="00E13842"/>
    <w:rsid w:val="00E13865"/>
    <w:rsid w:val="00E138B4"/>
    <w:rsid w:val="00E13922"/>
    <w:rsid w:val="00E1393D"/>
    <w:rsid w:val="00E13ACE"/>
    <w:rsid w:val="00E13B48"/>
    <w:rsid w:val="00E13E2F"/>
    <w:rsid w:val="00E13E87"/>
    <w:rsid w:val="00E13EDB"/>
    <w:rsid w:val="00E13EF8"/>
    <w:rsid w:val="00E13F69"/>
    <w:rsid w:val="00E14078"/>
    <w:rsid w:val="00E14181"/>
    <w:rsid w:val="00E141B2"/>
    <w:rsid w:val="00E142A3"/>
    <w:rsid w:val="00E142E6"/>
    <w:rsid w:val="00E14358"/>
    <w:rsid w:val="00E1439B"/>
    <w:rsid w:val="00E143E7"/>
    <w:rsid w:val="00E1448B"/>
    <w:rsid w:val="00E14520"/>
    <w:rsid w:val="00E1455E"/>
    <w:rsid w:val="00E14577"/>
    <w:rsid w:val="00E1462D"/>
    <w:rsid w:val="00E146BE"/>
    <w:rsid w:val="00E14723"/>
    <w:rsid w:val="00E147FD"/>
    <w:rsid w:val="00E14900"/>
    <w:rsid w:val="00E14905"/>
    <w:rsid w:val="00E14A9F"/>
    <w:rsid w:val="00E14B07"/>
    <w:rsid w:val="00E14C0A"/>
    <w:rsid w:val="00E14CE3"/>
    <w:rsid w:val="00E14CEA"/>
    <w:rsid w:val="00E14D8E"/>
    <w:rsid w:val="00E14E98"/>
    <w:rsid w:val="00E14EC0"/>
    <w:rsid w:val="00E14EE5"/>
    <w:rsid w:val="00E14F26"/>
    <w:rsid w:val="00E1503C"/>
    <w:rsid w:val="00E1505D"/>
    <w:rsid w:val="00E15142"/>
    <w:rsid w:val="00E152B5"/>
    <w:rsid w:val="00E1534D"/>
    <w:rsid w:val="00E1536F"/>
    <w:rsid w:val="00E153C3"/>
    <w:rsid w:val="00E153E3"/>
    <w:rsid w:val="00E156E0"/>
    <w:rsid w:val="00E156F9"/>
    <w:rsid w:val="00E156FE"/>
    <w:rsid w:val="00E15851"/>
    <w:rsid w:val="00E1589B"/>
    <w:rsid w:val="00E158E7"/>
    <w:rsid w:val="00E15965"/>
    <w:rsid w:val="00E15985"/>
    <w:rsid w:val="00E15A20"/>
    <w:rsid w:val="00E15A50"/>
    <w:rsid w:val="00E15AB5"/>
    <w:rsid w:val="00E15AC2"/>
    <w:rsid w:val="00E15B47"/>
    <w:rsid w:val="00E15B4F"/>
    <w:rsid w:val="00E15B6C"/>
    <w:rsid w:val="00E15C02"/>
    <w:rsid w:val="00E15D05"/>
    <w:rsid w:val="00E15D85"/>
    <w:rsid w:val="00E15DE6"/>
    <w:rsid w:val="00E160D7"/>
    <w:rsid w:val="00E1612D"/>
    <w:rsid w:val="00E1616D"/>
    <w:rsid w:val="00E16174"/>
    <w:rsid w:val="00E1619B"/>
    <w:rsid w:val="00E161C4"/>
    <w:rsid w:val="00E16234"/>
    <w:rsid w:val="00E162CA"/>
    <w:rsid w:val="00E16355"/>
    <w:rsid w:val="00E16492"/>
    <w:rsid w:val="00E16674"/>
    <w:rsid w:val="00E166C8"/>
    <w:rsid w:val="00E16728"/>
    <w:rsid w:val="00E16745"/>
    <w:rsid w:val="00E167F7"/>
    <w:rsid w:val="00E1680C"/>
    <w:rsid w:val="00E16849"/>
    <w:rsid w:val="00E168A3"/>
    <w:rsid w:val="00E1694F"/>
    <w:rsid w:val="00E169A9"/>
    <w:rsid w:val="00E169DC"/>
    <w:rsid w:val="00E16B7E"/>
    <w:rsid w:val="00E16D6A"/>
    <w:rsid w:val="00E16DC9"/>
    <w:rsid w:val="00E16E62"/>
    <w:rsid w:val="00E16E66"/>
    <w:rsid w:val="00E16EDE"/>
    <w:rsid w:val="00E1705B"/>
    <w:rsid w:val="00E1707F"/>
    <w:rsid w:val="00E170B9"/>
    <w:rsid w:val="00E17198"/>
    <w:rsid w:val="00E17287"/>
    <w:rsid w:val="00E17295"/>
    <w:rsid w:val="00E172E5"/>
    <w:rsid w:val="00E1732A"/>
    <w:rsid w:val="00E173A0"/>
    <w:rsid w:val="00E17461"/>
    <w:rsid w:val="00E175DC"/>
    <w:rsid w:val="00E1768A"/>
    <w:rsid w:val="00E176D6"/>
    <w:rsid w:val="00E1773B"/>
    <w:rsid w:val="00E17788"/>
    <w:rsid w:val="00E177F6"/>
    <w:rsid w:val="00E178FE"/>
    <w:rsid w:val="00E17992"/>
    <w:rsid w:val="00E179CB"/>
    <w:rsid w:val="00E17A30"/>
    <w:rsid w:val="00E17A92"/>
    <w:rsid w:val="00E17AD0"/>
    <w:rsid w:val="00E17BDD"/>
    <w:rsid w:val="00E17C26"/>
    <w:rsid w:val="00E17D66"/>
    <w:rsid w:val="00E17D84"/>
    <w:rsid w:val="00E17E1A"/>
    <w:rsid w:val="00E17E6E"/>
    <w:rsid w:val="00E20103"/>
    <w:rsid w:val="00E201BF"/>
    <w:rsid w:val="00E201CA"/>
    <w:rsid w:val="00E2039B"/>
    <w:rsid w:val="00E203C0"/>
    <w:rsid w:val="00E20445"/>
    <w:rsid w:val="00E20467"/>
    <w:rsid w:val="00E20473"/>
    <w:rsid w:val="00E204B4"/>
    <w:rsid w:val="00E204E2"/>
    <w:rsid w:val="00E2050D"/>
    <w:rsid w:val="00E2057A"/>
    <w:rsid w:val="00E206A0"/>
    <w:rsid w:val="00E20710"/>
    <w:rsid w:val="00E20725"/>
    <w:rsid w:val="00E207A2"/>
    <w:rsid w:val="00E207B5"/>
    <w:rsid w:val="00E207F6"/>
    <w:rsid w:val="00E2091F"/>
    <w:rsid w:val="00E2097A"/>
    <w:rsid w:val="00E209BD"/>
    <w:rsid w:val="00E20A15"/>
    <w:rsid w:val="00E20A38"/>
    <w:rsid w:val="00E20ABB"/>
    <w:rsid w:val="00E20B46"/>
    <w:rsid w:val="00E20B4F"/>
    <w:rsid w:val="00E20B9D"/>
    <w:rsid w:val="00E20BB1"/>
    <w:rsid w:val="00E20BCB"/>
    <w:rsid w:val="00E20BD6"/>
    <w:rsid w:val="00E20C08"/>
    <w:rsid w:val="00E20C35"/>
    <w:rsid w:val="00E20E5E"/>
    <w:rsid w:val="00E20E85"/>
    <w:rsid w:val="00E20EB4"/>
    <w:rsid w:val="00E20F07"/>
    <w:rsid w:val="00E20F3E"/>
    <w:rsid w:val="00E20F60"/>
    <w:rsid w:val="00E2116C"/>
    <w:rsid w:val="00E2132D"/>
    <w:rsid w:val="00E2144C"/>
    <w:rsid w:val="00E214DF"/>
    <w:rsid w:val="00E2152A"/>
    <w:rsid w:val="00E2153F"/>
    <w:rsid w:val="00E2154E"/>
    <w:rsid w:val="00E2156E"/>
    <w:rsid w:val="00E21584"/>
    <w:rsid w:val="00E215C1"/>
    <w:rsid w:val="00E215DC"/>
    <w:rsid w:val="00E2179C"/>
    <w:rsid w:val="00E2184A"/>
    <w:rsid w:val="00E218AA"/>
    <w:rsid w:val="00E21A0C"/>
    <w:rsid w:val="00E21A82"/>
    <w:rsid w:val="00E21BC7"/>
    <w:rsid w:val="00E21BDE"/>
    <w:rsid w:val="00E21BE0"/>
    <w:rsid w:val="00E21C1D"/>
    <w:rsid w:val="00E21C30"/>
    <w:rsid w:val="00E21EA8"/>
    <w:rsid w:val="00E21EB7"/>
    <w:rsid w:val="00E21F00"/>
    <w:rsid w:val="00E22008"/>
    <w:rsid w:val="00E2203D"/>
    <w:rsid w:val="00E2205A"/>
    <w:rsid w:val="00E221AE"/>
    <w:rsid w:val="00E22201"/>
    <w:rsid w:val="00E223CD"/>
    <w:rsid w:val="00E22492"/>
    <w:rsid w:val="00E224AD"/>
    <w:rsid w:val="00E2253F"/>
    <w:rsid w:val="00E22606"/>
    <w:rsid w:val="00E2273D"/>
    <w:rsid w:val="00E22773"/>
    <w:rsid w:val="00E227D5"/>
    <w:rsid w:val="00E2293D"/>
    <w:rsid w:val="00E22AEB"/>
    <w:rsid w:val="00E22C74"/>
    <w:rsid w:val="00E22CBC"/>
    <w:rsid w:val="00E22CF8"/>
    <w:rsid w:val="00E22D71"/>
    <w:rsid w:val="00E22D81"/>
    <w:rsid w:val="00E22DD4"/>
    <w:rsid w:val="00E22E23"/>
    <w:rsid w:val="00E22F1E"/>
    <w:rsid w:val="00E23184"/>
    <w:rsid w:val="00E231A6"/>
    <w:rsid w:val="00E23222"/>
    <w:rsid w:val="00E2326D"/>
    <w:rsid w:val="00E2331E"/>
    <w:rsid w:val="00E2338F"/>
    <w:rsid w:val="00E233CC"/>
    <w:rsid w:val="00E233FC"/>
    <w:rsid w:val="00E234CA"/>
    <w:rsid w:val="00E234D5"/>
    <w:rsid w:val="00E234DB"/>
    <w:rsid w:val="00E234DF"/>
    <w:rsid w:val="00E2357C"/>
    <w:rsid w:val="00E235DA"/>
    <w:rsid w:val="00E2372F"/>
    <w:rsid w:val="00E2378A"/>
    <w:rsid w:val="00E23827"/>
    <w:rsid w:val="00E23841"/>
    <w:rsid w:val="00E2384A"/>
    <w:rsid w:val="00E238B1"/>
    <w:rsid w:val="00E238CC"/>
    <w:rsid w:val="00E23A99"/>
    <w:rsid w:val="00E23BB8"/>
    <w:rsid w:val="00E23BC9"/>
    <w:rsid w:val="00E23C01"/>
    <w:rsid w:val="00E23C4E"/>
    <w:rsid w:val="00E23D18"/>
    <w:rsid w:val="00E23D6C"/>
    <w:rsid w:val="00E23EC1"/>
    <w:rsid w:val="00E23EED"/>
    <w:rsid w:val="00E23F0E"/>
    <w:rsid w:val="00E23F9B"/>
    <w:rsid w:val="00E23FF5"/>
    <w:rsid w:val="00E240BF"/>
    <w:rsid w:val="00E24250"/>
    <w:rsid w:val="00E24274"/>
    <w:rsid w:val="00E242A5"/>
    <w:rsid w:val="00E242C5"/>
    <w:rsid w:val="00E24386"/>
    <w:rsid w:val="00E243A6"/>
    <w:rsid w:val="00E244D5"/>
    <w:rsid w:val="00E2450E"/>
    <w:rsid w:val="00E24575"/>
    <w:rsid w:val="00E245FF"/>
    <w:rsid w:val="00E24713"/>
    <w:rsid w:val="00E2480E"/>
    <w:rsid w:val="00E2489B"/>
    <w:rsid w:val="00E24936"/>
    <w:rsid w:val="00E249B5"/>
    <w:rsid w:val="00E24A94"/>
    <w:rsid w:val="00E24B4A"/>
    <w:rsid w:val="00E24BA6"/>
    <w:rsid w:val="00E24C31"/>
    <w:rsid w:val="00E24C9D"/>
    <w:rsid w:val="00E24CE1"/>
    <w:rsid w:val="00E24D42"/>
    <w:rsid w:val="00E24E60"/>
    <w:rsid w:val="00E24EA3"/>
    <w:rsid w:val="00E24EBD"/>
    <w:rsid w:val="00E250B4"/>
    <w:rsid w:val="00E250F6"/>
    <w:rsid w:val="00E25202"/>
    <w:rsid w:val="00E25251"/>
    <w:rsid w:val="00E252C0"/>
    <w:rsid w:val="00E25331"/>
    <w:rsid w:val="00E255FD"/>
    <w:rsid w:val="00E25621"/>
    <w:rsid w:val="00E25668"/>
    <w:rsid w:val="00E25678"/>
    <w:rsid w:val="00E2567B"/>
    <w:rsid w:val="00E25758"/>
    <w:rsid w:val="00E257DE"/>
    <w:rsid w:val="00E25868"/>
    <w:rsid w:val="00E25898"/>
    <w:rsid w:val="00E2591D"/>
    <w:rsid w:val="00E2596C"/>
    <w:rsid w:val="00E259F0"/>
    <w:rsid w:val="00E25A26"/>
    <w:rsid w:val="00E25B33"/>
    <w:rsid w:val="00E25B44"/>
    <w:rsid w:val="00E25C01"/>
    <w:rsid w:val="00E25C2D"/>
    <w:rsid w:val="00E25C3F"/>
    <w:rsid w:val="00E25C90"/>
    <w:rsid w:val="00E25CA8"/>
    <w:rsid w:val="00E25D93"/>
    <w:rsid w:val="00E25D94"/>
    <w:rsid w:val="00E25DBA"/>
    <w:rsid w:val="00E25E55"/>
    <w:rsid w:val="00E26053"/>
    <w:rsid w:val="00E260A1"/>
    <w:rsid w:val="00E26117"/>
    <w:rsid w:val="00E26136"/>
    <w:rsid w:val="00E26159"/>
    <w:rsid w:val="00E261A2"/>
    <w:rsid w:val="00E261EA"/>
    <w:rsid w:val="00E2650D"/>
    <w:rsid w:val="00E26576"/>
    <w:rsid w:val="00E265F0"/>
    <w:rsid w:val="00E267F3"/>
    <w:rsid w:val="00E26831"/>
    <w:rsid w:val="00E268A3"/>
    <w:rsid w:val="00E268A7"/>
    <w:rsid w:val="00E269DC"/>
    <w:rsid w:val="00E26A5A"/>
    <w:rsid w:val="00E26A5F"/>
    <w:rsid w:val="00E26AA8"/>
    <w:rsid w:val="00E26ABB"/>
    <w:rsid w:val="00E26BAE"/>
    <w:rsid w:val="00E26BCF"/>
    <w:rsid w:val="00E26BEE"/>
    <w:rsid w:val="00E26BFD"/>
    <w:rsid w:val="00E26C76"/>
    <w:rsid w:val="00E26D0C"/>
    <w:rsid w:val="00E26DC1"/>
    <w:rsid w:val="00E26E4C"/>
    <w:rsid w:val="00E26F36"/>
    <w:rsid w:val="00E27213"/>
    <w:rsid w:val="00E2725F"/>
    <w:rsid w:val="00E27323"/>
    <w:rsid w:val="00E2739A"/>
    <w:rsid w:val="00E273E6"/>
    <w:rsid w:val="00E2745A"/>
    <w:rsid w:val="00E2745D"/>
    <w:rsid w:val="00E27503"/>
    <w:rsid w:val="00E2766D"/>
    <w:rsid w:val="00E27771"/>
    <w:rsid w:val="00E27798"/>
    <w:rsid w:val="00E27811"/>
    <w:rsid w:val="00E27862"/>
    <w:rsid w:val="00E278A4"/>
    <w:rsid w:val="00E278C4"/>
    <w:rsid w:val="00E27908"/>
    <w:rsid w:val="00E27958"/>
    <w:rsid w:val="00E27A2C"/>
    <w:rsid w:val="00E27B2E"/>
    <w:rsid w:val="00E27CC1"/>
    <w:rsid w:val="00E27D60"/>
    <w:rsid w:val="00E27D69"/>
    <w:rsid w:val="00E27D78"/>
    <w:rsid w:val="00E27DEA"/>
    <w:rsid w:val="00E27E03"/>
    <w:rsid w:val="00E27EC3"/>
    <w:rsid w:val="00E27F39"/>
    <w:rsid w:val="00E27F75"/>
    <w:rsid w:val="00E27FF3"/>
    <w:rsid w:val="00E27FF4"/>
    <w:rsid w:val="00E30028"/>
    <w:rsid w:val="00E302CD"/>
    <w:rsid w:val="00E3035C"/>
    <w:rsid w:val="00E30406"/>
    <w:rsid w:val="00E30419"/>
    <w:rsid w:val="00E304B2"/>
    <w:rsid w:val="00E304DD"/>
    <w:rsid w:val="00E306A3"/>
    <w:rsid w:val="00E3083F"/>
    <w:rsid w:val="00E308BD"/>
    <w:rsid w:val="00E308E1"/>
    <w:rsid w:val="00E308F2"/>
    <w:rsid w:val="00E30928"/>
    <w:rsid w:val="00E309B6"/>
    <w:rsid w:val="00E309D1"/>
    <w:rsid w:val="00E309DB"/>
    <w:rsid w:val="00E30B54"/>
    <w:rsid w:val="00E30B7E"/>
    <w:rsid w:val="00E30BD0"/>
    <w:rsid w:val="00E30C3F"/>
    <w:rsid w:val="00E30DB8"/>
    <w:rsid w:val="00E30ECD"/>
    <w:rsid w:val="00E30FB3"/>
    <w:rsid w:val="00E30FE4"/>
    <w:rsid w:val="00E3111F"/>
    <w:rsid w:val="00E3122C"/>
    <w:rsid w:val="00E31255"/>
    <w:rsid w:val="00E3128D"/>
    <w:rsid w:val="00E312DA"/>
    <w:rsid w:val="00E3132E"/>
    <w:rsid w:val="00E3147E"/>
    <w:rsid w:val="00E31494"/>
    <w:rsid w:val="00E314BB"/>
    <w:rsid w:val="00E314E4"/>
    <w:rsid w:val="00E31589"/>
    <w:rsid w:val="00E3173E"/>
    <w:rsid w:val="00E31766"/>
    <w:rsid w:val="00E31777"/>
    <w:rsid w:val="00E3180E"/>
    <w:rsid w:val="00E31896"/>
    <w:rsid w:val="00E31936"/>
    <w:rsid w:val="00E3199F"/>
    <w:rsid w:val="00E319A7"/>
    <w:rsid w:val="00E319AB"/>
    <w:rsid w:val="00E31A40"/>
    <w:rsid w:val="00E31AD3"/>
    <w:rsid w:val="00E31B0F"/>
    <w:rsid w:val="00E31B40"/>
    <w:rsid w:val="00E31C48"/>
    <w:rsid w:val="00E31D20"/>
    <w:rsid w:val="00E31D2B"/>
    <w:rsid w:val="00E31D6F"/>
    <w:rsid w:val="00E31DB4"/>
    <w:rsid w:val="00E31DF5"/>
    <w:rsid w:val="00E31EC6"/>
    <w:rsid w:val="00E31ECB"/>
    <w:rsid w:val="00E31F75"/>
    <w:rsid w:val="00E31FAE"/>
    <w:rsid w:val="00E31FC0"/>
    <w:rsid w:val="00E31FC6"/>
    <w:rsid w:val="00E3208E"/>
    <w:rsid w:val="00E3215E"/>
    <w:rsid w:val="00E3219A"/>
    <w:rsid w:val="00E32220"/>
    <w:rsid w:val="00E3232F"/>
    <w:rsid w:val="00E32392"/>
    <w:rsid w:val="00E32396"/>
    <w:rsid w:val="00E323EB"/>
    <w:rsid w:val="00E32477"/>
    <w:rsid w:val="00E32527"/>
    <w:rsid w:val="00E325B8"/>
    <w:rsid w:val="00E325CC"/>
    <w:rsid w:val="00E325D1"/>
    <w:rsid w:val="00E326BC"/>
    <w:rsid w:val="00E326DE"/>
    <w:rsid w:val="00E327DB"/>
    <w:rsid w:val="00E328A1"/>
    <w:rsid w:val="00E32989"/>
    <w:rsid w:val="00E329D8"/>
    <w:rsid w:val="00E32A30"/>
    <w:rsid w:val="00E32A7C"/>
    <w:rsid w:val="00E32AF4"/>
    <w:rsid w:val="00E32AFD"/>
    <w:rsid w:val="00E32CB1"/>
    <w:rsid w:val="00E32CB7"/>
    <w:rsid w:val="00E32E1D"/>
    <w:rsid w:val="00E32E83"/>
    <w:rsid w:val="00E32F6B"/>
    <w:rsid w:val="00E32F6C"/>
    <w:rsid w:val="00E33061"/>
    <w:rsid w:val="00E33079"/>
    <w:rsid w:val="00E33082"/>
    <w:rsid w:val="00E330AC"/>
    <w:rsid w:val="00E33164"/>
    <w:rsid w:val="00E331A0"/>
    <w:rsid w:val="00E331A6"/>
    <w:rsid w:val="00E331D2"/>
    <w:rsid w:val="00E33463"/>
    <w:rsid w:val="00E3349F"/>
    <w:rsid w:val="00E3356B"/>
    <w:rsid w:val="00E3361D"/>
    <w:rsid w:val="00E336E8"/>
    <w:rsid w:val="00E336F8"/>
    <w:rsid w:val="00E337C8"/>
    <w:rsid w:val="00E337ED"/>
    <w:rsid w:val="00E3392D"/>
    <w:rsid w:val="00E339E3"/>
    <w:rsid w:val="00E339F8"/>
    <w:rsid w:val="00E33AC3"/>
    <w:rsid w:val="00E33AEB"/>
    <w:rsid w:val="00E33BD7"/>
    <w:rsid w:val="00E33C8A"/>
    <w:rsid w:val="00E33CA8"/>
    <w:rsid w:val="00E33CD8"/>
    <w:rsid w:val="00E33D0B"/>
    <w:rsid w:val="00E33D1D"/>
    <w:rsid w:val="00E33DAC"/>
    <w:rsid w:val="00E33DCB"/>
    <w:rsid w:val="00E33E80"/>
    <w:rsid w:val="00E33E88"/>
    <w:rsid w:val="00E33E93"/>
    <w:rsid w:val="00E33F0C"/>
    <w:rsid w:val="00E33F62"/>
    <w:rsid w:val="00E34012"/>
    <w:rsid w:val="00E3404B"/>
    <w:rsid w:val="00E340B3"/>
    <w:rsid w:val="00E3417B"/>
    <w:rsid w:val="00E34486"/>
    <w:rsid w:val="00E344A7"/>
    <w:rsid w:val="00E34512"/>
    <w:rsid w:val="00E34555"/>
    <w:rsid w:val="00E345DF"/>
    <w:rsid w:val="00E34623"/>
    <w:rsid w:val="00E347E8"/>
    <w:rsid w:val="00E3480C"/>
    <w:rsid w:val="00E34997"/>
    <w:rsid w:val="00E34A92"/>
    <w:rsid w:val="00E34A9B"/>
    <w:rsid w:val="00E34AC3"/>
    <w:rsid w:val="00E34B9F"/>
    <w:rsid w:val="00E34C0B"/>
    <w:rsid w:val="00E34C62"/>
    <w:rsid w:val="00E34E3E"/>
    <w:rsid w:val="00E34E73"/>
    <w:rsid w:val="00E34EF8"/>
    <w:rsid w:val="00E34F92"/>
    <w:rsid w:val="00E35419"/>
    <w:rsid w:val="00E35582"/>
    <w:rsid w:val="00E355D8"/>
    <w:rsid w:val="00E356C9"/>
    <w:rsid w:val="00E356E7"/>
    <w:rsid w:val="00E3577D"/>
    <w:rsid w:val="00E357B3"/>
    <w:rsid w:val="00E357E7"/>
    <w:rsid w:val="00E3585C"/>
    <w:rsid w:val="00E358D1"/>
    <w:rsid w:val="00E35984"/>
    <w:rsid w:val="00E35997"/>
    <w:rsid w:val="00E35A4B"/>
    <w:rsid w:val="00E35AA1"/>
    <w:rsid w:val="00E35C06"/>
    <w:rsid w:val="00E35DF7"/>
    <w:rsid w:val="00E35EA7"/>
    <w:rsid w:val="00E35F1D"/>
    <w:rsid w:val="00E35F57"/>
    <w:rsid w:val="00E35FF5"/>
    <w:rsid w:val="00E36015"/>
    <w:rsid w:val="00E3610F"/>
    <w:rsid w:val="00E3613E"/>
    <w:rsid w:val="00E3616F"/>
    <w:rsid w:val="00E36179"/>
    <w:rsid w:val="00E3620C"/>
    <w:rsid w:val="00E3624D"/>
    <w:rsid w:val="00E36255"/>
    <w:rsid w:val="00E3625C"/>
    <w:rsid w:val="00E362DC"/>
    <w:rsid w:val="00E3631B"/>
    <w:rsid w:val="00E36410"/>
    <w:rsid w:val="00E36525"/>
    <w:rsid w:val="00E365AF"/>
    <w:rsid w:val="00E3663C"/>
    <w:rsid w:val="00E3677D"/>
    <w:rsid w:val="00E367D1"/>
    <w:rsid w:val="00E367F1"/>
    <w:rsid w:val="00E36830"/>
    <w:rsid w:val="00E36847"/>
    <w:rsid w:val="00E3684C"/>
    <w:rsid w:val="00E368BF"/>
    <w:rsid w:val="00E368C2"/>
    <w:rsid w:val="00E36955"/>
    <w:rsid w:val="00E369E1"/>
    <w:rsid w:val="00E36ABB"/>
    <w:rsid w:val="00E36E9D"/>
    <w:rsid w:val="00E36FD8"/>
    <w:rsid w:val="00E37064"/>
    <w:rsid w:val="00E37213"/>
    <w:rsid w:val="00E372B3"/>
    <w:rsid w:val="00E37307"/>
    <w:rsid w:val="00E373BD"/>
    <w:rsid w:val="00E374F9"/>
    <w:rsid w:val="00E37588"/>
    <w:rsid w:val="00E37641"/>
    <w:rsid w:val="00E3764F"/>
    <w:rsid w:val="00E37654"/>
    <w:rsid w:val="00E376E0"/>
    <w:rsid w:val="00E376F3"/>
    <w:rsid w:val="00E37740"/>
    <w:rsid w:val="00E37741"/>
    <w:rsid w:val="00E377B5"/>
    <w:rsid w:val="00E377C2"/>
    <w:rsid w:val="00E37B3E"/>
    <w:rsid w:val="00E37BCB"/>
    <w:rsid w:val="00E37BF8"/>
    <w:rsid w:val="00E37CA5"/>
    <w:rsid w:val="00E37CE7"/>
    <w:rsid w:val="00E37DBF"/>
    <w:rsid w:val="00E37DC0"/>
    <w:rsid w:val="00E37FFE"/>
    <w:rsid w:val="00E40028"/>
    <w:rsid w:val="00E4003A"/>
    <w:rsid w:val="00E40184"/>
    <w:rsid w:val="00E40296"/>
    <w:rsid w:val="00E402F0"/>
    <w:rsid w:val="00E40316"/>
    <w:rsid w:val="00E40382"/>
    <w:rsid w:val="00E403FA"/>
    <w:rsid w:val="00E4042E"/>
    <w:rsid w:val="00E40477"/>
    <w:rsid w:val="00E4055A"/>
    <w:rsid w:val="00E40673"/>
    <w:rsid w:val="00E40866"/>
    <w:rsid w:val="00E40930"/>
    <w:rsid w:val="00E40D09"/>
    <w:rsid w:val="00E40DB3"/>
    <w:rsid w:val="00E40DFD"/>
    <w:rsid w:val="00E40E6D"/>
    <w:rsid w:val="00E40FAB"/>
    <w:rsid w:val="00E41019"/>
    <w:rsid w:val="00E41145"/>
    <w:rsid w:val="00E41179"/>
    <w:rsid w:val="00E411DA"/>
    <w:rsid w:val="00E41203"/>
    <w:rsid w:val="00E41208"/>
    <w:rsid w:val="00E41272"/>
    <w:rsid w:val="00E4128E"/>
    <w:rsid w:val="00E41343"/>
    <w:rsid w:val="00E413EB"/>
    <w:rsid w:val="00E4142B"/>
    <w:rsid w:val="00E414F8"/>
    <w:rsid w:val="00E4179A"/>
    <w:rsid w:val="00E417F9"/>
    <w:rsid w:val="00E41816"/>
    <w:rsid w:val="00E41884"/>
    <w:rsid w:val="00E418E1"/>
    <w:rsid w:val="00E41ADA"/>
    <w:rsid w:val="00E41BB7"/>
    <w:rsid w:val="00E41BD3"/>
    <w:rsid w:val="00E41D99"/>
    <w:rsid w:val="00E41DD4"/>
    <w:rsid w:val="00E41E10"/>
    <w:rsid w:val="00E41E3F"/>
    <w:rsid w:val="00E41E5F"/>
    <w:rsid w:val="00E41EA2"/>
    <w:rsid w:val="00E41FDF"/>
    <w:rsid w:val="00E420B2"/>
    <w:rsid w:val="00E42148"/>
    <w:rsid w:val="00E421B2"/>
    <w:rsid w:val="00E4229A"/>
    <w:rsid w:val="00E42385"/>
    <w:rsid w:val="00E4242D"/>
    <w:rsid w:val="00E4252E"/>
    <w:rsid w:val="00E42572"/>
    <w:rsid w:val="00E42811"/>
    <w:rsid w:val="00E42862"/>
    <w:rsid w:val="00E428F1"/>
    <w:rsid w:val="00E4291E"/>
    <w:rsid w:val="00E4295F"/>
    <w:rsid w:val="00E42985"/>
    <w:rsid w:val="00E42AA2"/>
    <w:rsid w:val="00E42B2B"/>
    <w:rsid w:val="00E42C40"/>
    <w:rsid w:val="00E42CA1"/>
    <w:rsid w:val="00E42E0C"/>
    <w:rsid w:val="00E42F29"/>
    <w:rsid w:val="00E4300B"/>
    <w:rsid w:val="00E431BA"/>
    <w:rsid w:val="00E431D0"/>
    <w:rsid w:val="00E43247"/>
    <w:rsid w:val="00E432CC"/>
    <w:rsid w:val="00E432E8"/>
    <w:rsid w:val="00E43368"/>
    <w:rsid w:val="00E433DE"/>
    <w:rsid w:val="00E433ED"/>
    <w:rsid w:val="00E43405"/>
    <w:rsid w:val="00E434A3"/>
    <w:rsid w:val="00E434B4"/>
    <w:rsid w:val="00E43532"/>
    <w:rsid w:val="00E43549"/>
    <w:rsid w:val="00E435AE"/>
    <w:rsid w:val="00E435BB"/>
    <w:rsid w:val="00E435E3"/>
    <w:rsid w:val="00E435E7"/>
    <w:rsid w:val="00E4364A"/>
    <w:rsid w:val="00E43654"/>
    <w:rsid w:val="00E436C2"/>
    <w:rsid w:val="00E436D5"/>
    <w:rsid w:val="00E437B8"/>
    <w:rsid w:val="00E43807"/>
    <w:rsid w:val="00E43984"/>
    <w:rsid w:val="00E43A57"/>
    <w:rsid w:val="00E43AC9"/>
    <w:rsid w:val="00E43AD9"/>
    <w:rsid w:val="00E43BE6"/>
    <w:rsid w:val="00E43C41"/>
    <w:rsid w:val="00E43C70"/>
    <w:rsid w:val="00E43CA8"/>
    <w:rsid w:val="00E43CDC"/>
    <w:rsid w:val="00E4414E"/>
    <w:rsid w:val="00E442DA"/>
    <w:rsid w:val="00E44394"/>
    <w:rsid w:val="00E44498"/>
    <w:rsid w:val="00E445FC"/>
    <w:rsid w:val="00E446E5"/>
    <w:rsid w:val="00E446EB"/>
    <w:rsid w:val="00E447CB"/>
    <w:rsid w:val="00E4484F"/>
    <w:rsid w:val="00E4487E"/>
    <w:rsid w:val="00E448A0"/>
    <w:rsid w:val="00E44930"/>
    <w:rsid w:val="00E4494B"/>
    <w:rsid w:val="00E44A5A"/>
    <w:rsid w:val="00E44B40"/>
    <w:rsid w:val="00E44C1C"/>
    <w:rsid w:val="00E44C4F"/>
    <w:rsid w:val="00E44C63"/>
    <w:rsid w:val="00E44CC0"/>
    <w:rsid w:val="00E44CD0"/>
    <w:rsid w:val="00E44E60"/>
    <w:rsid w:val="00E44E93"/>
    <w:rsid w:val="00E44ECA"/>
    <w:rsid w:val="00E44F97"/>
    <w:rsid w:val="00E451FF"/>
    <w:rsid w:val="00E45242"/>
    <w:rsid w:val="00E45298"/>
    <w:rsid w:val="00E4535B"/>
    <w:rsid w:val="00E4543C"/>
    <w:rsid w:val="00E45480"/>
    <w:rsid w:val="00E455BD"/>
    <w:rsid w:val="00E45847"/>
    <w:rsid w:val="00E458F5"/>
    <w:rsid w:val="00E4594E"/>
    <w:rsid w:val="00E45957"/>
    <w:rsid w:val="00E459B1"/>
    <w:rsid w:val="00E459D4"/>
    <w:rsid w:val="00E45A4B"/>
    <w:rsid w:val="00E45AE2"/>
    <w:rsid w:val="00E45AF5"/>
    <w:rsid w:val="00E45B4F"/>
    <w:rsid w:val="00E45B6D"/>
    <w:rsid w:val="00E45BED"/>
    <w:rsid w:val="00E45C08"/>
    <w:rsid w:val="00E45C21"/>
    <w:rsid w:val="00E45C30"/>
    <w:rsid w:val="00E45C8A"/>
    <w:rsid w:val="00E45CC9"/>
    <w:rsid w:val="00E45D6D"/>
    <w:rsid w:val="00E45DD6"/>
    <w:rsid w:val="00E45FC5"/>
    <w:rsid w:val="00E46080"/>
    <w:rsid w:val="00E4611B"/>
    <w:rsid w:val="00E461FB"/>
    <w:rsid w:val="00E46211"/>
    <w:rsid w:val="00E462A2"/>
    <w:rsid w:val="00E462C7"/>
    <w:rsid w:val="00E463A8"/>
    <w:rsid w:val="00E46523"/>
    <w:rsid w:val="00E468D3"/>
    <w:rsid w:val="00E468E1"/>
    <w:rsid w:val="00E4690C"/>
    <w:rsid w:val="00E46928"/>
    <w:rsid w:val="00E46930"/>
    <w:rsid w:val="00E469CC"/>
    <w:rsid w:val="00E469E1"/>
    <w:rsid w:val="00E46ABC"/>
    <w:rsid w:val="00E46C0A"/>
    <w:rsid w:val="00E46C69"/>
    <w:rsid w:val="00E46CE5"/>
    <w:rsid w:val="00E46D95"/>
    <w:rsid w:val="00E46D9B"/>
    <w:rsid w:val="00E46F28"/>
    <w:rsid w:val="00E46F49"/>
    <w:rsid w:val="00E47073"/>
    <w:rsid w:val="00E47162"/>
    <w:rsid w:val="00E47204"/>
    <w:rsid w:val="00E472DB"/>
    <w:rsid w:val="00E473CD"/>
    <w:rsid w:val="00E47449"/>
    <w:rsid w:val="00E474A6"/>
    <w:rsid w:val="00E475E8"/>
    <w:rsid w:val="00E476AC"/>
    <w:rsid w:val="00E4775F"/>
    <w:rsid w:val="00E477A8"/>
    <w:rsid w:val="00E47808"/>
    <w:rsid w:val="00E4788D"/>
    <w:rsid w:val="00E478A7"/>
    <w:rsid w:val="00E478C5"/>
    <w:rsid w:val="00E478F6"/>
    <w:rsid w:val="00E47D4C"/>
    <w:rsid w:val="00E47D90"/>
    <w:rsid w:val="00E47DA5"/>
    <w:rsid w:val="00E47F33"/>
    <w:rsid w:val="00E47FE6"/>
    <w:rsid w:val="00E5012B"/>
    <w:rsid w:val="00E502B8"/>
    <w:rsid w:val="00E502F8"/>
    <w:rsid w:val="00E5046A"/>
    <w:rsid w:val="00E50521"/>
    <w:rsid w:val="00E50589"/>
    <w:rsid w:val="00E5078F"/>
    <w:rsid w:val="00E508B6"/>
    <w:rsid w:val="00E508BE"/>
    <w:rsid w:val="00E50903"/>
    <w:rsid w:val="00E50ABF"/>
    <w:rsid w:val="00E50B3F"/>
    <w:rsid w:val="00E50B8E"/>
    <w:rsid w:val="00E50D4E"/>
    <w:rsid w:val="00E50E83"/>
    <w:rsid w:val="00E50EEB"/>
    <w:rsid w:val="00E50F31"/>
    <w:rsid w:val="00E50F45"/>
    <w:rsid w:val="00E50F97"/>
    <w:rsid w:val="00E50F9A"/>
    <w:rsid w:val="00E51034"/>
    <w:rsid w:val="00E511BA"/>
    <w:rsid w:val="00E512BD"/>
    <w:rsid w:val="00E5130E"/>
    <w:rsid w:val="00E51511"/>
    <w:rsid w:val="00E515AC"/>
    <w:rsid w:val="00E515C3"/>
    <w:rsid w:val="00E515DF"/>
    <w:rsid w:val="00E51644"/>
    <w:rsid w:val="00E5166B"/>
    <w:rsid w:val="00E516AB"/>
    <w:rsid w:val="00E51716"/>
    <w:rsid w:val="00E51779"/>
    <w:rsid w:val="00E51B2D"/>
    <w:rsid w:val="00E51B89"/>
    <w:rsid w:val="00E51C97"/>
    <w:rsid w:val="00E51D63"/>
    <w:rsid w:val="00E51D72"/>
    <w:rsid w:val="00E51DCD"/>
    <w:rsid w:val="00E51E33"/>
    <w:rsid w:val="00E51E54"/>
    <w:rsid w:val="00E51E57"/>
    <w:rsid w:val="00E51EF0"/>
    <w:rsid w:val="00E51F3B"/>
    <w:rsid w:val="00E5200A"/>
    <w:rsid w:val="00E52138"/>
    <w:rsid w:val="00E5214D"/>
    <w:rsid w:val="00E5218B"/>
    <w:rsid w:val="00E5222D"/>
    <w:rsid w:val="00E52293"/>
    <w:rsid w:val="00E52351"/>
    <w:rsid w:val="00E5240D"/>
    <w:rsid w:val="00E52491"/>
    <w:rsid w:val="00E52502"/>
    <w:rsid w:val="00E52529"/>
    <w:rsid w:val="00E52560"/>
    <w:rsid w:val="00E525B7"/>
    <w:rsid w:val="00E52683"/>
    <w:rsid w:val="00E52746"/>
    <w:rsid w:val="00E528B2"/>
    <w:rsid w:val="00E5296C"/>
    <w:rsid w:val="00E52A82"/>
    <w:rsid w:val="00E52AB2"/>
    <w:rsid w:val="00E52B8E"/>
    <w:rsid w:val="00E52C14"/>
    <w:rsid w:val="00E52CAF"/>
    <w:rsid w:val="00E52E32"/>
    <w:rsid w:val="00E52E8A"/>
    <w:rsid w:val="00E52EB1"/>
    <w:rsid w:val="00E52EC1"/>
    <w:rsid w:val="00E52EC2"/>
    <w:rsid w:val="00E52FD8"/>
    <w:rsid w:val="00E5324D"/>
    <w:rsid w:val="00E53314"/>
    <w:rsid w:val="00E533D6"/>
    <w:rsid w:val="00E533ED"/>
    <w:rsid w:val="00E53423"/>
    <w:rsid w:val="00E5344F"/>
    <w:rsid w:val="00E5346E"/>
    <w:rsid w:val="00E534ED"/>
    <w:rsid w:val="00E5359F"/>
    <w:rsid w:val="00E535CB"/>
    <w:rsid w:val="00E535EB"/>
    <w:rsid w:val="00E536E8"/>
    <w:rsid w:val="00E53737"/>
    <w:rsid w:val="00E537CB"/>
    <w:rsid w:val="00E53853"/>
    <w:rsid w:val="00E53877"/>
    <w:rsid w:val="00E538A5"/>
    <w:rsid w:val="00E538B6"/>
    <w:rsid w:val="00E5393D"/>
    <w:rsid w:val="00E53941"/>
    <w:rsid w:val="00E53A11"/>
    <w:rsid w:val="00E53B9B"/>
    <w:rsid w:val="00E53BB3"/>
    <w:rsid w:val="00E53C74"/>
    <w:rsid w:val="00E53D8D"/>
    <w:rsid w:val="00E53DB0"/>
    <w:rsid w:val="00E53E23"/>
    <w:rsid w:val="00E53E95"/>
    <w:rsid w:val="00E53ED9"/>
    <w:rsid w:val="00E53F39"/>
    <w:rsid w:val="00E53FCB"/>
    <w:rsid w:val="00E53FE5"/>
    <w:rsid w:val="00E54330"/>
    <w:rsid w:val="00E5450E"/>
    <w:rsid w:val="00E54544"/>
    <w:rsid w:val="00E54554"/>
    <w:rsid w:val="00E545A0"/>
    <w:rsid w:val="00E5460C"/>
    <w:rsid w:val="00E54652"/>
    <w:rsid w:val="00E54669"/>
    <w:rsid w:val="00E546A6"/>
    <w:rsid w:val="00E5477F"/>
    <w:rsid w:val="00E547C3"/>
    <w:rsid w:val="00E54817"/>
    <w:rsid w:val="00E54871"/>
    <w:rsid w:val="00E549D5"/>
    <w:rsid w:val="00E549E6"/>
    <w:rsid w:val="00E54B3C"/>
    <w:rsid w:val="00E54BF5"/>
    <w:rsid w:val="00E54BF8"/>
    <w:rsid w:val="00E54D95"/>
    <w:rsid w:val="00E54DEB"/>
    <w:rsid w:val="00E54F99"/>
    <w:rsid w:val="00E54FFC"/>
    <w:rsid w:val="00E55090"/>
    <w:rsid w:val="00E5510D"/>
    <w:rsid w:val="00E55420"/>
    <w:rsid w:val="00E55438"/>
    <w:rsid w:val="00E55478"/>
    <w:rsid w:val="00E55608"/>
    <w:rsid w:val="00E5560D"/>
    <w:rsid w:val="00E55627"/>
    <w:rsid w:val="00E5569B"/>
    <w:rsid w:val="00E556D9"/>
    <w:rsid w:val="00E55752"/>
    <w:rsid w:val="00E55778"/>
    <w:rsid w:val="00E55825"/>
    <w:rsid w:val="00E55845"/>
    <w:rsid w:val="00E55863"/>
    <w:rsid w:val="00E559DE"/>
    <w:rsid w:val="00E55A1F"/>
    <w:rsid w:val="00E55AA8"/>
    <w:rsid w:val="00E55C65"/>
    <w:rsid w:val="00E55D57"/>
    <w:rsid w:val="00E55D5A"/>
    <w:rsid w:val="00E55EA5"/>
    <w:rsid w:val="00E55F0F"/>
    <w:rsid w:val="00E55F7E"/>
    <w:rsid w:val="00E55F91"/>
    <w:rsid w:val="00E5604B"/>
    <w:rsid w:val="00E56172"/>
    <w:rsid w:val="00E5617D"/>
    <w:rsid w:val="00E56200"/>
    <w:rsid w:val="00E56223"/>
    <w:rsid w:val="00E56229"/>
    <w:rsid w:val="00E56233"/>
    <w:rsid w:val="00E562FE"/>
    <w:rsid w:val="00E563F6"/>
    <w:rsid w:val="00E56632"/>
    <w:rsid w:val="00E5663D"/>
    <w:rsid w:val="00E5665D"/>
    <w:rsid w:val="00E566A6"/>
    <w:rsid w:val="00E5676E"/>
    <w:rsid w:val="00E56838"/>
    <w:rsid w:val="00E5686F"/>
    <w:rsid w:val="00E568C6"/>
    <w:rsid w:val="00E56913"/>
    <w:rsid w:val="00E569D1"/>
    <w:rsid w:val="00E569E1"/>
    <w:rsid w:val="00E56ABC"/>
    <w:rsid w:val="00E56AF3"/>
    <w:rsid w:val="00E56B6E"/>
    <w:rsid w:val="00E56C2E"/>
    <w:rsid w:val="00E56C31"/>
    <w:rsid w:val="00E56C4C"/>
    <w:rsid w:val="00E56CEA"/>
    <w:rsid w:val="00E56D19"/>
    <w:rsid w:val="00E56DEA"/>
    <w:rsid w:val="00E56E86"/>
    <w:rsid w:val="00E56EEF"/>
    <w:rsid w:val="00E56F1C"/>
    <w:rsid w:val="00E56F55"/>
    <w:rsid w:val="00E56F66"/>
    <w:rsid w:val="00E56F6C"/>
    <w:rsid w:val="00E56F87"/>
    <w:rsid w:val="00E56FAE"/>
    <w:rsid w:val="00E56FB6"/>
    <w:rsid w:val="00E570CF"/>
    <w:rsid w:val="00E5712D"/>
    <w:rsid w:val="00E57130"/>
    <w:rsid w:val="00E57178"/>
    <w:rsid w:val="00E5723A"/>
    <w:rsid w:val="00E572AD"/>
    <w:rsid w:val="00E572B3"/>
    <w:rsid w:val="00E572C8"/>
    <w:rsid w:val="00E57398"/>
    <w:rsid w:val="00E5754E"/>
    <w:rsid w:val="00E575AD"/>
    <w:rsid w:val="00E576C1"/>
    <w:rsid w:val="00E57717"/>
    <w:rsid w:val="00E57778"/>
    <w:rsid w:val="00E577F2"/>
    <w:rsid w:val="00E5785E"/>
    <w:rsid w:val="00E57A88"/>
    <w:rsid w:val="00E57AF4"/>
    <w:rsid w:val="00E57B7E"/>
    <w:rsid w:val="00E57C1E"/>
    <w:rsid w:val="00E57DB5"/>
    <w:rsid w:val="00E57F1D"/>
    <w:rsid w:val="00E57F2F"/>
    <w:rsid w:val="00E57F86"/>
    <w:rsid w:val="00E6005A"/>
    <w:rsid w:val="00E600DF"/>
    <w:rsid w:val="00E60202"/>
    <w:rsid w:val="00E6020E"/>
    <w:rsid w:val="00E6031C"/>
    <w:rsid w:val="00E60345"/>
    <w:rsid w:val="00E6043D"/>
    <w:rsid w:val="00E60482"/>
    <w:rsid w:val="00E604D6"/>
    <w:rsid w:val="00E6053A"/>
    <w:rsid w:val="00E605D3"/>
    <w:rsid w:val="00E60632"/>
    <w:rsid w:val="00E60688"/>
    <w:rsid w:val="00E606B4"/>
    <w:rsid w:val="00E606C8"/>
    <w:rsid w:val="00E6072A"/>
    <w:rsid w:val="00E6080A"/>
    <w:rsid w:val="00E60879"/>
    <w:rsid w:val="00E608AA"/>
    <w:rsid w:val="00E60949"/>
    <w:rsid w:val="00E609FD"/>
    <w:rsid w:val="00E60B2F"/>
    <w:rsid w:val="00E60B36"/>
    <w:rsid w:val="00E60BDB"/>
    <w:rsid w:val="00E60BE6"/>
    <w:rsid w:val="00E60D80"/>
    <w:rsid w:val="00E60DCC"/>
    <w:rsid w:val="00E60E00"/>
    <w:rsid w:val="00E60E03"/>
    <w:rsid w:val="00E60E9E"/>
    <w:rsid w:val="00E60EC1"/>
    <w:rsid w:val="00E60EEC"/>
    <w:rsid w:val="00E60FF1"/>
    <w:rsid w:val="00E6112D"/>
    <w:rsid w:val="00E6114C"/>
    <w:rsid w:val="00E611AA"/>
    <w:rsid w:val="00E61391"/>
    <w:rsid w:val="00E614C3"/>
    <w:rsid w:val="00E61517"/>
    <w:rsid w:val="00E61539"/>
    <w:rsid w:val="00E6171E"/>
    <w:rsid w:val="00E61820"/>
    <w:rsid w:val="00E618B4"/>
    <w:rsid w:val="00E61970"/>
    <w:rsid w:val="00E61A28"/>
    <w:rsid w:val="00E61A4F"/>
    <w:rsid w:val="00E61AC7"/>
    <w:rsid w:val="00E61B01"/>
    <w:rsid w:val="00E61B04"/>
    <w:rsid w:val="00E61BCB"/>
    <w:rsid w:val="00E61BFC"/>
    <w:rsid w:val="00E61C50"/>
    <w:rsid w:val="00E61C6E"/>
    <w:rsid w:val="00E61DB2"/>
    <w:rsid w:val="00E61E2E"/>
    <w:rsid w:val="00E61EAB"/>
    <w:rsid w:val="00E62087"/>
    <w:rsid w:val="00E6209C"/>
    <w:rsid w:val="00E620FE"/>
    <w:rsid w:val="00E621B2"/>
    <w:rsid w:val="00E62227"/>
    <w:rsid w:val="00E62288"/>
    <w:rsid w:val="00E62314"/>
    <w:rsid w:val="00E623F4"/>
    <w:rsid w:val="00E62449"/>
    <w:rsid w:val="00E6248A"/>
    <w:rsid w:val="00E62617"/>
    <w:rsid w:val="00E6269D"/>
    <w:rsid w:val="00E62800"/>
    <w:rsid w:val="00E628DB"/>
    <w:rsid w:val="00E629B3"/>
    <w:rsid w:val="00E62A99"/>
    <w:rsid w:val="00E62AD7"/>
    <w:rsid w:val="00E62B97"/>
    <w:rsid w:val="00E62B9E"/>
    <w:rsid w:val="00E62BCA"/>
    <w:rsid w:val="00E62C07"/>
    <w:rsid w:val="00E62C95"/>
    <w:rsid w:val="00E62D0D"/>
    <w:rsid w:val="00E62D28"/>
    <w:rsid w:val="00E62F1B"/>
    <w:rsid w:val="00E62F2F"/>
    <w:rsid w:val="00E62F78"/>
    <w:rsid w:val="00E62FA7"/>
    <w:rsid w:val="00E62FAE"/>
    <w:rsid w:val="00E63020"/>
    <w:rsid w:val="00E6303C"/>
    <w:rsid w:val="00E6305D"/>
    <w:rsid w:val="00E631A1"/>
    <w:rsid w:val="00E6327C"/>
    <w:rsid w:val="00E63302"/>
    <w:rsid w:val="00E633FD"/>
    <w:rsid w:val="00E63469"/>
    <w:rsid w:val="00E634EA"/>
    <w:rsid w:val="00E634FF"/>
    <w:rsid w:val="00E63545"/>
    <w:rsid w:val="00E6358B"/>
    <w:rsid w:val="00E63648"/>
    <w:rsid w:val="00E6367C"/>
    <w:rsid w:val="00E6370A"/>
    <w:rsid w:val="00E637A1"/>
    <w:rsid w:val="00E637A3"/>
    <w:rsid w:val="00E637B2"/>
    <w:rsid w:val="00E637B7"/>
    <w:rsid w:val="00E637C4"/>
    <w:rsid w:val="00E63827"/>
    <w:rsid w:val="00E638B3"/>
    <w:rsid w:val="00E639E7"/>
    <w:rsid w:val="00E63A41"/>
    <w:rsid w:val="00E63A60"/>
    <w:rsid w:val="00E63A9D"/>
    <w:rsid w:val="00E63BAA"/>
    <w:rsid w:val="00E63BC6"/>
    <w:rsid w:val="00E63CE6"/>
    <w:rsid w:val="00E63D5B"/>
    <w:rsid w:val="00E63D69"/>
    <w:rsid w:val="00E63E30"/>
    <w:rsid w:val="00E63EAC"/>
    <w:rsid w:val="00E63ED8"/>
    <w:rsid w:val="00E63FA1"/>
    <w:rsid w:val="00E63FC4"/>
    <w:rsid w:val="00E63FEC"/>
    <w:rsid w:val="00E63FFB"/>
    <w:rsid w:val="00E64059"/>
    <w:rsid w:val="00E641B4"/>
    <w:rsid w:val="00E6425C"/>
    <w:rsid w:val="00E642DC"/>
    <w:rsid w:val="00E64323"/>
    <w:rsid w:val="00E643BC"/>
    <w:rsid w:val="00E644AB"/>
    <w:rsid w:val="00E6451D"/>
    <w:rsid w:val="00E6453D"/>
    <w:rsid w:val="00E6469C"/>
    <w:rsid w:val="00E64703"/>
    <w:rsid w:val="00E6476C"/>
    <w:rsid w:val="00E647D1"/>
    <w:rsid w:val="00E647E2"/>
    <w:rsid w:val="00E6487A"/>
    <w:rsid w:val="00E64936"/>
    <w:rsid w:val="00E64937"/>
    <w:rsid w:val="00E64A13"/>
    <w:rsid w:val="00E64B89"/>
    <w:rsid w:val="00E64BA2"/>
    <w:rsid w:val="00E64BC2"/>
    <w:rsid w:val="00E64D7A"/>
    <w:rsid w:val="00E64D84"/>
    <w:rsid w:val="00E64DF8"/>
    <w:rsid w:val="00E64E4A"/>
    <w:rsid w:val="00E64E72"/>
    <w:rsid w:val="00E64F70"/>
    <w:rsid w:val="00E65039"/>
    <w:rsid w:val="00E6509C"/>
    <w:rsid w:val="00E65222"/>
    <w:rsid w:val="00E652A8"/>
    <w:rsid w:val="00E652C2"/>
    <w:rsid w:val="00E652D1"/>
    <w:rsid w:val="00E65463"/>
    <w:rsid w:val="00E655D4"/>
    <w:rsid w:val="00E655D9"/>
    <w:rsid w:val="00E65660"/>
    <w:rsid w:val="00E65753"/>
    <w:rsid w:val="00E6580B"/>
    <w:rsid w:val="00E6580E"/>
    <w:rsid w:val="00E6597B"/>
    <w:rsid w:val="00E65AC8"/>
    <w:rsid w:val="00E65B0F"/>
    <w:rsid w:val="00E65B5B"/>
    <w:rsid w:val="00E65C00"/>
    <w:rsid w:val="00E65C60"/>
    <w:rsid w:val="00E65C69"/>
    <w:rsid w:val="00E65C6B"/>
    <w:rsid w:val="00E65CEF"/>
    <w:rsid w:val="00E65D32"/>
    <w:rsid w:val="00E65DE6"/>
    <w:rsid w:val="00E65E32"/>
    <w:rsid w:val="00E65E4B"/>
    <w:rsid w:val="00E65E57"/>
    <w:rsid w:val="00E65E6A"/>
    <w:rsid w:val="00E65EF9"/>
    <w:rsid w:val="00E65F2D"/>
    <w:rsid w:val="00E6617C"/>
    <w:rsid w:val="00E6625A"/>
    <w:rsid w:val="00E663AF"/>
    <w:rsid w:val="00E663B3"/>
    <w:rsid w:val="00E663F1"/>
    <w:rsid w:val="00E664A7"/>
    <w:rsid w:val="00E66516"/>
    <w:rsid w:val="00E6665C"/>
    <w:rsid w:val="00E66695"/>
    <w:rsid w:val="00E66816"/>
    <w:rsid w:val="00E6684E"/>
    <w:rsid w:val="00E6688B"/>
    <w:rsid w:val="00E668D8"/>
    <w:rsid w:val="00E66A08"/>
    <w:rsid w:val="00E66AC7"/>
    <w:rsid w:val="00E66AE2"/>
    <w:rsid w:val="00E66B2B"/>
    <w:rsid w:val="00E66C4B"/>
    <w:rsid w:val="00E66C66"/>
    <w:rsid w:val="00E66CFE"/>
    <w:rsid w:val="00E66E73"/>
    <w:rsid w:val="00E66F60"/>
    <w:rsid w:val="00E67073"/>
    <w:rsid w:val="00E67074"/>
    <w:rsid w:val="00E67085"/>
    <w:rsid w:val="00E670D8"/>
    <w:rsid w:val="00E671A9"/>
    <w:rsid w:val="00E671C7"/>
    <w:rsid w:val="00E671F9"/>
    <w:rsid w:val="00E67260"/>
    <w:rsid w:val="00E673D6"/>
    <w:rsid w:val="00E673F2"/>
    <w:rsid w:val="00E67411"/>
    <w:rsid w:val="00E675E7"/>
    <w:rsid w:val="00E6766E"/>
    <w:rsid w:val="00E676A6"/>
    <w:rsid w:val="00E677C7"/>
    <w:rsid w:val="00E6783B"/>
    <w:rsid w:val="00E67866"/>
    <w:rsid w:val="00E67869"/>
    <w:rsid w:val="00E6787B"/>
    <w:rsid w:val="00E67952"/>
    <w:rsid w:val="00E679D2"/>
    <w:rsid w:val="00E67A58"/>
    <w:rsid w:val="00E67AAD"/>
    <w:rsid w:val="00E67ADF"/>
    <w:rsid w:val="00E67B2A"/>
    <w:rsid w:val="00E67BCC"/>
    <w:rsid w:val="00E67C6E"/>
    <w:rsid w:val="00E67CE3"/>
    <w:rsid w:val="00E67DA3"/>
    <w:rsid w:val="00E67E76"/>
    <w:rsid w:val="00E67F42"/>
    <w:rsid w:val="00E67F5F"/>
    <w:rsid w:val="00E67F8C"/>
    <w:rsid w:val="00E67FCC"/>
    <w:rsid w:val="00E67FFB"/>
    <w:rsid w:val="00E70227"/>
    <w:rsid w:val="00E70229"/>
    <w:rsid w:val="00E70294"/>
    <w:rsid w:val="00E702A5"/>
    <w:rsid w:val="00E703AD"/>
    <w:rsid w:val="00E703EB"/>
    <w:rsid w:val="00E70623"/>
    <w:rsid w:val="00E70653"/>
    <w:rsid w:val="00E7066B"/>
    <w:rsid w:val="00E706C3"/>
    <w:rsid w:val="00E706D1"/>
    <w:rsid w:val="00E706EC"/>
    <w:rsid w:val="00E70772"/>
    <w:rsid w:val="00E709A4"/>
    <w:rsid w:val="00E70AFA"/>
    <w:rsid w:val="00E70BAA"/>
    <w:rsid w:val="00E70BF3"/>
    <w:rsid w:val="00E70C0A"/>
    <w:rsid w:val="00E70D18"/>
    <w:rsid w:val="00E70D35"/>
    <w:rsid w:val="00E70EBA"/>
    <w:rsid w:val="00E70F71"/>
    <w:rsid w:val="00E70FCE"/>
    <w:rsid w:val="00E71136"/>
    <w:rsid w:val="00E711B1"/>
    <w:rsid w:val="00E711FB"/>
    <w:rsid w:val="00E712CA"/>
    <w:rsid w:val="00E71307"/>
    <w:rsid w:val="00E71630"/>
    <w:rsid w:val="00E717A4"/>
    <w:rsid w:val="00E71968"/>
    <w:rsid w:val="00E71978"/>
    <w:rsid w:val="00E71A80"/>
    <w:rsid w:val="00E71A87"/>
    <w:rsid w:val="00E71ABE"/>
    <w:rsid w:val="00E71AE5"/>
    <w:rsid w:val="00E71B4B"/>
    <w:rsid w:val="00E71D2B"/>
    <w:rsid w:val="00E71D9B"/>
    <w:rsid w:val="00E71DAF"/>
    <w:rsid w:val="00E71E52"/>
    <w:rsid w:val="00E71E72"/>
    <w:rsid w:val="00E71F14"/>
    <w:rsid w:val="00E71F88"/>
    <w:rsid w:val="00E71FA6"/>
    <w:rsid w:val="00E72074"/>
    <w:rsid w:val="00E720C2"/>
    <w:rsid w:val="00E720E2"/>
    <w:rsid w:val="00E72138"/>
    <w:rsid w:val="00E72235"/>
    <w:rsid w:val="00E722F8"/>
    <w:rsid w:val="00E72395"/>
    <w:rsid w:val="00E72560"/>
    <w:rsid w:val="00E7259C"/>
    <w:rsid w:val="00E7267D"/>
    <w:rsid w:val="00E726A7"/>
    <w:rsid w:val="00E72758"/>
    <w:rsid w:val="00E7275A"/>
    <w:rsid w:val="00E72781"/>
    <w:rsid w:val="00E72989"/>
    <w:rsid w:val="00E729EB"/>
    <w:rsid w:val="00E72A6D"/>
    <w:rsid w:val="00E72AD4"/>
    <w:rsid w:val="00E72B44"/>
    <w:rsid w:val="00E72B4C"/>
    <w:rsid w:val="00E72C08"/>
    <w:rsid w:val="00E72C15"/>
    <w:rsid w:val="00E73049"/>
    <w:rsid w:val="00E7305D"/>
    <w:rsid w:val="00E730ED"/>
    <w:rsid w:val="00E730F8"/>
    <w:rsid w:val="00E73160"/>
    <w:rsid w:val="00E73230"/>
    <w:rsid w:val="00E732EA"/>
    <w:rsid w:val="00E73338"/>
    <w:rsid w:val="00E7333E"/>
    <w:rsid w:val="00E733B9"/>
    <w:rsid w:val="00E73498"/>
    <w:rsid w:val="00E73501"/>
    <w:rsid w:val="00E73594"/>
    <w:rsid w:val="00E73602"/>
    <w:rsid w:val="00E73789"/>
    <w:rsid w:val="00E737E6"/>
    <w:rsid w:val="00E73896"/>
    <w:rsid w:val="00E738DC"/>
    <w:rsid w:val="00E7391A"/>
    <w:rsid w:val="00E739FC"/>
    <w:rsid w:val="00E73A4E"/>
    <w:rsid w:val="00E73AD5"/>
    <w:rsid w:val="00E73AE0"/>
    <w:rsid w:val="00E73B5E"/>
    <w:rsid w:val="00E73B81"/>
    <w:rsid w:val="00E73C09"/>
    <w:rsid w:val="00E73CDC"/>
    <w:rsid w:val="00E73D23"/>
    <w:rsid w:val="00E73DCB"/>
    <w:rsid w:val="00E73EA6"/>
    <w:rsid w:val="00E73EC8"/>
    <w:rsid w:val="00E74050"/>
    <w:rsid w:val="00E74069"/>
    <w:rsid w:val="00E740C9"/>
    <w:rsid w:val="00E740E7"/>
    <w:rsid w:val="00E74115"/>
    <w:rsid w:val="00E74117"/>
    <w:rsid w:val="00E7411D"/>
    <w:rsid w:val="00E741A3"/>
    <w:rsid w:val="00E7425A"/>
    <w:rsid w:val="00E743AB"/>
    <w:rsid w:val="00E743D1"/>
    <w:rsid w:val="00E744F8"/>
    <w:rsid w:val="00E74501"/>
    <w:rsid w:val="00E74516"/>
    <w:rsid w:val="00E7457F"/>
    <w:rsid w:val="00E7490C"/>
    <w:rsid w:val="00E74975"/>
    <w:rsid w:val="00E74A93"/>
    <w:rsid w:val="00E74C52"/>
    <w:rsid w:val="00E74D41"/>
    <w:rsid w:val="00E74D69"/>
    <w:rsid w:val="00E74DA9"/>
    <w:rsid w:val="00E74E77"/>
    <w:rsid w:val="00E74EAE"/>
    <w:rsid w:val="00E74EB3"/>
    <w:rsid w:val="00E74EE2"/>
    <w:rsid w:val="00E74F1A"/>
    <w:rsid w:val="00E74FFA"/>
    <w:rsid w:val="00E75244"/>
    <w:rsid w:val="00E75265"/>
    <w:rsid w:val="00E75295"/>
    <w:rsid w:val="00E7532C"/>
    <w:rsid w:val="00E7547B"/>
    <w:rsid w:val="00E75585"/>
    <w:rsid w:val="00E755D3"/>
    <w:rsid w:val="00E755F1"/>
    <w:rsid w:val="00E756B2"/>
    <w:rsid w:val="00E75709"/>
    <w:rsid w:val="00E75737"/>
    <w:rsid w:val="00E757B5"/>
    <w:rsid w:val="00E758F7"/>
    <w:rsid w:val="00E75903"/>
    <w:rsid w:val="00E7590F"/>
    <w:rsid w:val="00E7595A"/>
    <w:rsid w:val="00E7596F"/>
    <w:rsid w:val="00E75997"/>
    <w:rsid w:val="00E759EE"/>
    <w:rsid w:val="00E75A0A"/>
    <w:rsid w:val="00E75A5E"/>
    <w:rsid w:val="00E75A80"/>
    <w:rsid w:val="00E75BE8"/>
    <w:rsid w:val="00E75C19"/>
    <w:rsid w:val="00E75C4C"/>
    <w:rsid w:val="00E75CAF"/>
    <w:rsid w:val="00E75D00"/>
    <w:rsid w:val="00E75D73"/>
    <w:rsid w:val="00E75D86"/>
    <w:rsid w:val="00E75DAF"/>
    <w:rsid w:val="00E75E2C"/>
    <w:rsid w:val="00E75E4F"/>
    <w:rsid w:val="00E75E6E"/>
    <w:rsid w:val="00E75EAF"/>
    <w:rsid w:val="00E75F5C"/>
    <w:rsid w:val="00E75F78"/>
    <w:rsid w:val="00E75FDA"/>
    <w:rsid w:val="00E76014"/>
    <w:rsid w:val="00E760F3"/>
    <w:rsid w:val="00E76181"/>
    <w:rsid w:val="00E761FA"/>
    <w:rsid w:val="00E7620A"/>
    <w:rsid w:val="00E764E5"/>
    <w:rsid w:val="00E76586"/>
    <w:rsid w:val="00E765A8"/>
    <w:rsid w:val="00E765B8"/>
    <w:rsid w:val="00E765D1"/>
    <w:rsid w:val="00E76600"/>
    <w:rsid w:val="00E76667"/>
    <w:rsid w:val="00E767A4"/>
    <w:rsid w:val="00E76816"/>
    <w:rsid w:val="00E76971"/>
    <w:rsid w:val="00E76AB4"/>
    <w:rsid w:val="00E76B2B"/>
    <w:rsid w:val="00E76C53"/>
    <w:rsid w:val="00E76C80"/>
    <w:rsid w:val="00E76C96"/>
    <w:rsid w:val="00E76CFD"/>
    <w:rsid w:val="00E76DA8"/>
    <w:rsid w:val="00E76DCE"/>
    <w:rsid w:val="00E76EA9"/>
    <w:rsid w:val="00E76FBF"/>
    <w:rsid w:val="00E77011"/>
    <w:rsid w:val="00E77016"/>
    <w:rsid w:val="00E77044"/>
    <w:rsid w:val="00E770B0"/>
    <w:rsid w:val="00E770E8"/>
    <w:rsid w:val="00E77131"/>
    <w:rsid w:val="00E77140"/>
    <w:rsid w:val="00E771D4"/>
    <w:rsid w:val="00E77211"/>
    <w:rsid w:val="00E77281"/>
    <w:rsid w:val="00E77408"/>
    <w:rsid w:val="00E7741E"/>
    <w:rsid w:val="00E776A4"/>
    <w:rsid w:val="00E776C5"/>
    <w:rsid w:val="00E776DB"/>
    <w:rsid w:val="00E77771"/>
    <w:rsid w:val="00E778B2"/>
    <w:rsid w:val="00E7793D"/>
    <w:rsid w:val="00E77999"/>
    <w:rsid w:val="00E779CC"/>
    <w:rsid w:val="00E77A69"/>
    <w:rsid w:val="00E77A80"/>
    <w:rsid w:val="00E77AE9"/>
    <w:rsid w:val="00E77B06"/>
    <w:rsid w:val="00E77B0B"/>
    <w:rsid w:val="00E77C03"/>
    <w:rsid w:val="00E77C7F"/>
    <w:rsid w:val="00E77C9F"/>
    <w:rsid w:val="00E77CDA"/>
    <w:rsid w:val="00E77D5A"/>
    <w:rsid w:val="00E77DD0"/>
    <w:rsid w:val="00E77DFC"/>
    <w:rsid w:val="00E77E94"/>
    <w:rsid w:val="00E77FB9"/>
    <w:rsid w:val="00E77FD5"/>
    <w:rsid w:val="00E80046"/>
    <w:rsid w:val="00E800A2"/>
    <w:rsid w:val="00E800E6"/>
    <w:rsid w:val="00E802DE"/>
    <w:rsid w:val="00E8033A"/>
    <w:rsid w:val="00E8034F"/>
    <w:rsid w:val="00E803C9"/>
    <w:rsid w:val="00E80415"/>
    <w:rsid w:val="00E80424"/>
    <w:rsid w:val="00E80498"/>
    <w:rsid w:val="00E804C6"/>
    <w:rsid w:val="00E80546"/>
    <w:rsid w:val="00E80555"/>
    <w:rsid w:val="00E8055B"/>
    <w:rsid w:val="00E80579"/>
    <w:rsid w:val="00E805E8"/>
    <w:rsid w:val="00E805FE"/>
    <w:rsid w:val="00E80795"/>
    <w:rsid w:val="00E80942"/>
    <w:rsid w:val="00E80961"/>
    <w:rsid w:val="00E80AA2"/>
    <w:rsid w:val="00E80AEE"/>
    <w:rsid w:val="00E80CBD"/>
    <w:rsid w:val="00E80D73"/>
    <w:rsid w:val="00E80E31"/>
    <w:rsid w:val="00E80E5F"/>
    <w:rsid w:val="00E80EDD"/>
    <w:rsid w:val="00E80F09"/>
    <w:rsid w:val="00E80FDC"/>
    <w:rsid w:val="00E810EC"/>
    <w:rsid w:val="00E811A6"/>
    <w:rsid w:val="00E811C2"/>
    <w:rsid w:val="00E81260"/>
    <w:rsid w:val="00E8131E"/>
    <w:rsid w:val="00E813E2"/>
    <w:rsid w:val="00E814EC"/>
    <w:rsid w:val="00E81536"/>
    <w:rsid w:val="00E81581"/>
    <w:rsid w:val="00E8158D"/>
    <w:rsid w:val="00E815CB"/>
    <w:rsid w:val="00E81621"/>
    <w:rsid w:val="00E81646"/>
    <w:rsid w:val="00E8164E"/>
    <w:rsid w:val="00E81761"/>
    <w:rsid w:val="00E819D8"/>
    <w:rsid w:val="00E819E3"/>
    <w:rsid w:val="00E81AC4"/>
    <w:rsid w:val="00E81B26"/>
    <w:rsid w:val="00E81BA7"/>
    <w:rsid w:val="00E81C62"/>
    <w:rsid w:val="00E81D31"/>
    <w:rsid w:val="00E81D5A"/>
    <w:rsid w:val="00E81D6E"/>
    <w:rsid w:val="00E81D86"/>
    <w:rsid w:val="00E81D8E"/>
    <w:rsid w:val="00E81E79"/>
    <w:rsid w:val="00E81ECC"/>
    <w:rsid w:val="00E81F38"/>
    <w:rsid w:val="00E81FA1"/>
    <w:rsid w:val="00E82073"/>
    <w:rsid w:val="00E820CA"/>
    <w:rsid w:val="00E82114"/>
    <w:rsid w:val="00E8221C"/>
    <w:rsid w:val="00E822A5"/>
    <w:rsid w:val="00E822B1"/>
    <w:rsid w:val="00E82336"/>
    <w:rsid w:val="00E824F5"/>
    <w:rsid w:val="00E8251E"/>
    <w:rsid w:val="00E827C9"/>
    <w:rsid w:val="00E828F8"/>
    <w:rsid w:val="00E82932"/>
    <w:rsid w:val="00E829B6"/>
    <w:rsid w:val="00E82A5F"/>
    <w:rsid w:val="00E82B0A"/>
    <w:rsid w:val="00E82B3C"/>
    <w:rsid w:val="00E82BC9"/>
    <w:rsid w:val="00E82D44"/>
    <w:rsid w:val="00E82DE3"/>
    <w:rsid w:val="00E82DF9"/>
    <w:rsid w:val="00E82E39"/>
    <w:rsid w:val="00E82E43"/>
    <w:rsid w:val="00E82EE3"/>
    <w:rsid w:val="00E82F11"/>
    <w:rsid w:val="00E82FB6"/>
    <w:rsid w:val="00E831A1"/>
    <w:rsid w:val="00E8321B"/>
    <w:rsid w:val="00E83229"/>
    <w:rsid w:val="00E83283"/>
    <w:rsid w:val="00E832CC"/>
    <w:rsid w:val="00E83326"/>
    <w:rsid w:val="00E8337D"/>
    <w:rsid w:val="00E833B0"/>
    <w:rsid w:val="00E833D2"/>
    <w:rsid w:val="00E833FE"/>
    <w:rsid w:val="00E8346A"/>
    <w:rsid w:val="00E83479"/>
    <w:rsid w:val="00E834C5"/>
    <w:rsid w:val="00E83578"/>
    <w:rsid w:val="00E83678"/>
    <w:rsid w:val="00E836C6"/>
    <w:rsid w:val="00E836C8"/>
    <w:rsid w:val="00E83727"/>
    <w:rsid w:val="00E837CA"/>
    <w:rsid w:val="00E8390A"/>
    <w:rsid w:val="00E839BD"/>
    <w:rsid w:val="00E83A21"/>
    <w:rsid w:val="00E83A2D"/>
    <w:rsid w:val="00E83AF5"/>
    <w:rsid w:val="00E83B4A"/>
    <w:rsid w:val="00E83CD9"/>
    <w:rsid w:val="00E83CDA"/>
    <w:rsid w:val="00E83CEF"/>
    <w:rsid w:val="00E83D23"/>
    <w:rsid w:val="00E83E5A"/>
    <w:rsid w:val="00E83FA1"/>
    <w:rsid w:val="00E8411B"/>
    <w:rsid w:val="00E841DA"/>
    <w:rsid w:val="00E84323"/>
    <w:rsid w:val="00E8453F"/>
    <w:rsid w:val="00E845FB"/>
    <w:rsid w:val="00E8469F"/>
    <w:rsid w:val="00E846BF"/>
    <w:rsid w:val="00E8478F"/>
    <w:rsid w:val="00E84955"/>
    <w:rsid w:val="00E849BE"/>
    <w:rsid w:val="00E84ACE"/>
    <w:rsid w:val="00E84B15"/>
    <w:rsid w:val="00E84B4E"/>
    <w:rsid w:val="00E84B4F"/>
    <w:rsid w:val="00E84BE3"/>
    <w:rsid w:val="00E84D07"/>
    <w:rsid w:val="00E84E70"/>
    <w:rsid w:val="00E84F09"/>
    <w:rsid w:val="00E84F40"/>
    <w:rsid w:val="00E850BB"/>
    <w:rsid w:val="00E85150"/>
    <w:rsid w:val="00E852BA"/>
    <w:rsid w:val="00E852C5"/>
    <w:rsid w:val="00E852D1"/>
    <w:rsid w:val="00E853CE"/>
    <w:rsid w:val="00E85406"/>
    <w:rsid w:val="00E85448"/>
    <w:rsid w:val="00E85466"/>
    <w:rsid w:val="00E85589"/>
    <w:rsid w:val="00E856C9"/>
    <w:rsid w:val="00E856E2"/>
    <w:rsid w:val="00E85748"/>
    <w:rsid w:val="00E85852"/>
    <w:rsid w:val="00E85907"/>
    <w:rsid w:val="00E8597A"/>
    <w:rsid w:val="00E85A4F"/>
    <w:rsid w:val="00E85C0D"/>
    <w:rsid w:val="00E85C28"/>
    <w:rsid w:val="00E85C68"/>
    <w:rsid w:val="00E85CF3"/>
    <w:rsid w:val="00E85D34"/>
    <w:rsid w:val="00E85EF8"/>
    <w:rsid w:val="00E85F52"/>
    <w:rsid w:val="00E85F6E"/>
    <w:rsid w:val="00E86000"/>
    <w:rsid w:val="00E86158"/>
    <w:rsid w:val="00E861A3"/>
    <w:rsid w:val="00E861C1"/>
    <w:rsid w:val="00E861E5"/>
    <w:rsid w:val="00E86245"/>
    <w:rsid w:val="00E86335"/>
    <w:rsid w:val="00E86339"/>
    <w:rsid w:val="00E86352"/>
    <w:rsid w:val="00E86357"/>
    <w:rsid w:val="00E863A3"/>
    <w:rsid w:val="00E86515"/>
    <w:rsid w:val="00E865C2"/>
    <w:rsid w:val="00E86783"/>
    <w:rsid w:val="00E86941"/>
    <w:rsid w:val="00E86B20"/>
    <w:rsid w:val="00E86C5D"/>
    <w:rsid w:val="00E86D24"/>
    <w:rsid w:val="00E86E3C"/>
    <w:rsid w:val="00E86E8D"/>
    <w:rsid w:val="00E86F46"/>
    <w:rsid w:val="00E86F7C"/>
    <w:rsid w:val="00E86F93"/>
    <w:rsid w:val="00E87050"/>
    <w:rsid w:val="00E87076"/>
    <w:rsid w:val="00E87097"/>
    <w:rsid w:val="00E8709A"/>
    <w:rsid w:val="00E870B3"/>
    <w:rsid w:val="00E870F6"/>
    <w:rsid w:val="00E8710D"/>
    <w:rsid w:val="00E8712A"/>
    <w:rsid w:val="00E871FF"/>
    <w:rsid w:val="00E87208"/>
    <w:rsid w:val="00E87226"/>
    <w:rsid w:val="00E87285"/>
    <w:rsid w:val="00E872A3"/>
    <w:rsid w:val="00E8734B"/>
    <w:rsid w:val="00E873BF"/>
    <w:rsid w:val="00E873CC"/>
    <w:rsid w:val="00E87488"/>
    <w:rsid w:val="00E87617"/>
    <w:rsid w:val="00E87658"/>
    <w:rsid w:val="00E876B1"/>
    <w:rsid w:val="00E87743"/>
    <w:rsid w:val="00E87777"/>
    <w:rsid w:val="00E877E8"/>
    <w:rsid w:val="00E87889"/>
    <w:rsid w:val="00E878FA"/>
    <w:rsid w:val="00E879E4"/>
    <w:rsid w:val="00E87B73"/>
    <w:rsid w:val="00E87B95"/>
    <w:rsid w:val="00E87BBF"/>
    <w:rsid w:val="00E87BC2"/>
    <w:rsid w:val="00E87C11"/>
    <w:rsid w:val="00E87D78"/>
    <w:rsid w:val="00E87D7D"/>
    <w:rsid w:val="00E87E0C"/>
    <w:rsid w:val="00E87F1B"/>
    <w:rsid w:val="00E90070"/>
    <w:rsid w:val="00E900CD"/>
    <w:rsid w:val="00E90161"/>
    <w:rsid w:val="00E9017C"/>
    <w:rsid w:val="00E902B7"/>
    <w:rsid w:val="00E9030D"/>
    <w:rsid w:val="00E903B7"/>
    <w:rsid w:val="00E9053D"/>
    <w:rsid w:val="00E90601"/>
    <w:rsid w:val="00E906A3"/>
    <w:rsid w:val="00E90721"/>
    <w:rsid w:val="00E90914"/>
    <w:rsid w:val="00E90A02"/>
    <w:rsid w:val="00E90A60"/>
    <w:rsid w:val="00E90B99"/>
    <w:rsid w:val="00E90BFD"/>
    <w:rsid w:val="00E90D0F"/>
    <w:rsid w:val="00E90D4A"/>
    <w:rsid w:val="00E90F5F"/>
    <w:rsid w:val="00E9109F"/>
    <w:rsid w:val="00E9127A"/>
    <w:rsid w:val="00E91292"/>
    <w:rsid w:val="00E9146B"/>
    <w:rsid w:val="00E914B9"/>
    <w:rsid w:val="00E914E8"/>
    <w:rsid w:val="00E9155A"/>
    <w:rsid w:val="00E91593"/>
    <w:rsid w:val="00E9162D"/>
    <w:rsid w:val="00E918FE"/>
    <w:rsid w:val="00E9193C"/>
    <w:rsid w:val="00E91965"/>
    <w:rsid w:val="00E91A1A"/>
    <w:rsid w:val="00E91C19"/>
    <w:rsid w:val="00E91C58"/>
    <w:rsid w:val="00E91CC6"/>
    <w:rsid w:val="00E91CFA"/>
    <w:rsid w:val="00E91D19"/>
    <w:rsid w:val="00E91FD6"/>
    <w:rsid w:val="00E91FF5"/>
    <w:rsid w:val="00E92024"/>
    <w:rsid w:val="00E92093"/>
    <w:rsid w:val="00E920FB"/>
    <w:rsid w:val="00E9212D"/>
    <w:rsid w:val="00E92137"/>
    <w:rsid w:val="00E92185"/>
    <w:rsid w:val="00E92252"/>
    <w:rsid w:val="00E92339"/>
    <w:rsid w:val="00E92350"/>
    <w:rsid w:val="00E92425"/>
    <w:rsid w:val="00E924DD"/>
    <w:rsid w:val="00E92594"/>
    <w:rsid w:val="00E926EA"/>
    <w:rsid w:val="00E9270C"/>
    <w:rsid w:val="00E929BE"/>
    <w:rsid w:val="00E929C0"/>
    <w:rsid w:val="00E92A85"/>
    <w:rsid w:val="00E92B73"/>
    <w:rsid w:val="00E92B99"/>
    <w:rsid w:val="00E92BD3"/>
    <w:rsid w:val="00E92D9D"/>
    <w:rsid w:val="00E92EDC"/>
    <w:rsid w:val="00E92F2F"/>
    <w:rsid w:val="00E93054"/>
    <w:rsid w:val="00E9305B"/>
    <w:rsid w:val="00E93063"/>
    <w:rsid w:val="00E9307F"/>
    <w:rsid w:val="00E93080"/>
    <w:rsid w:val="00E930A5"/>
    <w:rsid w:val="00E93236"/>
    <w:rsid w:val="00E932F9"/>
    <w:rsid w:val="00E93311"/>
    <w:rsid w:val="00E934A8"/>
    <w:rsid w:val="00E9358F"/>
    <w:rsid w:val="00E935C6"/>
    <w:rsid w:val="00E93608"/>
    <w:rsid w:val="00E93699"/>
    <w:rsid w:val="00E936AA"/>
    <w:rsid w:val="00E93AA0"/>
    <w:rsid w:val="00E93AE2"/>
    <w:rsid w:val="00E93B33"/>
    <w:rsid w:val="00E93CB1"/>
    <w:rsid w:val="00E93D4A"/>
    <w:rsid w:val="00E93F3E"/>
    <w:rsid w:val="00E941AC"/>
    <w:rsid w:val="00E941C8"/>
    <w:rsid w:val="00E9426E"/>
    <w:rsid w:val="00E94288"/>
    <w:rsid w:val="00E942B8"/>
    <w:rsid w:val="00E9433F"/>
    <w:rsid w:val="00E943C2"/>
    <w:rsid w:val="00E943DF"/>
    <w:rsid w:val="00E9450A"/>
    <w:rsid w:val="00E945D8"/>
    <w:rsid w:val="00E9460E"/>
    <w:rsid w:val="00E9468C"/>
    <w:rsid w:val="00E946D2"/>
    <w:rsid w:val="00E946E9"/>
    <w:rsid w:val="00E946FB"/>
    <w:rsid w:val="00E94705"/>
    <w:rsid w:val="00E9479A"/>
    <w:rsid w:val="00E94812"/>
    <w:rsid w:val="00E949B5"/>
    <w:rsid w:val="00E94A9A"/>
    <w:rsid w:val="00E94E3F"/>
    <w:rsid w:val="00E94EA7"/>
    <w:rsid w:val="00E950AC"/>
    <w:rsid w:val="00E95166"/>
    <w:rsid w:val="00E951D5"/>
    <w:rsid w:val="00E9529A"/>
    <w:rsid w:val="00E952BE"/>
    <w:rsid w:val="00E952F6"/>
    <w:rsid w:val="00E952F7"/>
    <w:rsid w:val="00E95380"/>
    <w:rsid w:val="00E953E4"/>
    <w:rsid w:val="00E953FD"/>
    <w:rsid w:val="00E95431"/>
    <w:rsid w:val="00E95476"/>
    <w:rsid w:val="00E95489"/>
    <w:rsid w:val="00E95509"/>
    <w:rsid w:val="00E955CD"/>
    <w:rsid w:val="00E95637"/>
    <w:rsid w:val="00E9569D"/>
    <w:rsid w:val="00E957DE"/>
    <w:rsid w:val="00E958BB"/>
    <w:rsid w:val="00E9596F"/>
    <w:rsid w:val="00E95A04"/>
    <w:rsid w:val="00E95A3B"/>
    <w:rsid w:val="00E95A50"/>
    <w:rsid w:val="00E95C08"/>
    <w:rsid w:val="00E95CB4"/>
    <w:rsid w:val="00E95D5F"/>
    <w:rsid w:val="00E95DC8"/>
    <w:rsid w:val="00E95E32"/>
    <w:rsid w:val="00E95E56"/>
    <w:rsid w:val="00E95F99"/>
    <w:rsid w:val="00E95FB1"/>
    <w:rsid w:val="00E95FBE"/>
    <w:rsid w:val="00E9606D"/>
    <w:rsid w:val="00E960A6"/>
    <w:rsid w:val="00E960BA"/>
    <w:rsid w:val="00E9619C"/>
    <w:rsid w:val="00E961EA"/>
    <w:rsid w:val="00E9621C"/>
    <w:rsid w:val="00E9621F"/>
    <w:rsid w:val="00E96361"/>
    <w:rsid w:val="00E9637E"/>
    <w:rsid w:val="00E963B5"/>
    <w:rsid w:val="00E96493"/>
    <w:rsid w:val="00E9659A"/>
    <w:rsid w:val="00E965B5"/>
    <w:rsid w:val="00E966FA"/>
    <w:rsid w:val="00E96723"/>
    <w:rsid w:val="00E96725"/>
    <w:rsid w:val="00E96753"/>
    <w:rsid w:val="00E96760"/>
    <w:rsid w:val="00E9693B"/>
    <w:rsid w:val="00E969DA"/>
    <w:rsid w:val="00E96A36"/>
    <w:rsid w:val="00E96B14"/>
    <w:rsid w:val="00E96B36"/>
    <w:rsid w:val="00E96B9F"/>
    <w:rsid w:val="00E96BCC"/>
    <w:rsid w:val="00E96CA3"/>
    <w:rsid w:val="00E96CB7"/>
    <w:rsid w:val="00E96CEC"/>
    <w:rsid w:val="00E96D20"/>
    <w:rsid w:val="00E96DCA"/>
    <w:rsid w:val="00E96EBF"/>
    <w:rsid w:val="00E96EF5"/>
    <w:rsid w:val="00E96FCF"/>
    <w:rsid w:val="00E9701D"/>
    <w:rsid w:val="00E9704E"/>
    <w:rsid w:val="00E970B3"/>
    <w:rsid w:val="00E970DA"/>
    <w:rsid w:val="00E97143"/>
    <w:rsid w:val="00E9716E"/>
    <w:rsid w:val="00E97224"/>
    <w:rsid w:val="00E97252"/>
    <w:rsid w:val="00E972A0"/>
    <w:rsid w:val="00E972A1"/>
    <w:rsid w:val="00E973C2"/>
    <w:rsid w:val="00E974A0"/>
    <w:rsid w:val="00E97595"/>
    <w:rsid w:val="00E97777"/>
    <w:rsid w:val="00E9782E"/>
    <w:rsid w:val="00E978AA"/>
    <w:rsid w:val="00E97909"/>
    <w:rsid w:val="00E97970"/>
    <w:rsid w:val="00E9797E"/>
    <w:rsid w:val="00E9798A"/>
    <w:rsid w:val="00E979B3"/>
    <w:rsid w:val="00E97A58"/>
    <w:rsid w:val="00E97C5D"/>
    <w:rsid w:val="00E97CD5"/>
    <w:rsid w:val="00E97CDE"/>
    <w:rsid w:val="00E97D6D"/>
    <w:rsid w:val="00E97EA4"/>
    <w:rsid w:val="00E97F54"/>
    <w:rsid w:val="00E97FAE"/>
    <w:rsid w:val="00EA002D"/>
    <w:rsid w:val="00EA003F"/>
    <w:rsid w:val="00EA017A"/>
    <w:rsid w:val="00EA021D"/>
    <w:rsid w:val="00EA0249"/>
    <w:rsid w:val="00EA03AD"/>
    <w:rsid w:val="00EA0410"/>
    <w:rsid w:val="00EA0421"/>
    <w:rsid w:val="00EA0485"/>
    <w:rsid w:val="00EA0593"/>
    <w:rsid w:val="00EA05E3"/>
    <w:rsid w:val="00EA0678"/>
    <w:rsid w:val="00EA06DC"/>
    <w:rsid w:val="00EA0767"/>
    <w:rsid w:val="00EA07A6"/>
    <w:rsid w:val="00EA07D2"/>
    <w:rsid w:val="00EA0854"/>
    <w:rsid w:val="00EA08FA"/>
    <w:rsid w:val="00EA08FE"/>
    <w:rsid w:val="00EA09A1"/>
    <w:rsid w:val="00EA0A01"/>
    <w:rsid w:val="00EA0A79"/>
    <w:rsid w:val="00EA0ACA"/>
    <w:rsid w:val="00EA0AFB"/>
    <w:rsid w:val="00EA0CD5"/>
    <w:rsid w:val="00EA0D6E"/>
    <w:rsid w:val="00EA0D85"/>
    <w:rsid w:val="00EA0EF8"/>
    <w:rsid w:val="00EA0F14"/>
    <w:rsid w:val="00EA0F22"/>
    <w:rsid w:val="00EA105E"/>
    <w:rsid w:val="00EA1089"/>
    <w:rsid w:val="00EA121B"/>
    <w:rsid w:val="00EA124F"/>
    <w:rsid w:val="00EA12EF"/>
    <w:rsid w:val="00EA1322"/>
    <w:rsid w:val="00EA1358"/>
    <w:rsid w:val="00EA1442"/>
    <w:rsid w:val="00EA1529"/>
    <w:rsid w:val="00EA1535"/>
    <w:rsid w:val="00EA160C"/>
    <w:rsid w:val="00EA1624"/>
    <w:rsid w:val="00EA169B"/>
    <w:rsid w:val="00EA1735"/>
    <w:rsid w:val="00EA1790"/>
    <w:rsid w:val="00EA17F3"/>
    <w:rsid w:val="00EA1838"/>
    <w:rsid w:val="00EA18FD"/>
    <w:rsid w:val="00EA19C2"/>
    <w:rsid w:val="00EA1A29"/>
    <w:rsid w:val="00EA1A5F"/>
    <w:rsid w:val="00EA1B3D"/>
    <w:rsid w:val="00EA1B5C"/>
    <w:rsid w:val="00EA1C38"/>
    <w:rsid w:val="00EA1E97"/>
    <w:rsid w:val="00EA1F74"/>
    <w:rsid w:val="00EA1F97"/>
    <w:rsid w:val="00EA1FB8"/>
    <w:rsid w:val="00EA2007"/>
    <w:rsid w:val="00EA2047"/>
    <w:rsid w:val="00EA20DE"/>
    <w:rsid w:val="00EA20F5"/>
    <w:rsid w:val="00EA2117"/>
    <w:rsid w:val="00EA2212"/>
    <w:rsid w:val="00EA2219"/>
    <w:rsid w:val="00EA23CE"/>
    <w:rsid w:val="00EA2410"/>
    <w:rsid w:val="00EA2481"/>
    <w:rsid w:val="00EA252B"/>
    <w:rsid w:val="00EA25B9"/>
    <w:rsid w:val="00EA25D6"/>
    <w:rsid w:val="00EA25EA"/>
    <w:rsid w:val="00EA2644"/>
    <w:rsid w:val="00EA2829"/>
    <w:rsid w:val="00EA2869"/>
    <w:rsid w:val="00EA2873"/>
    <w:rsid w:val="00EA28BE"/>
    <w:rsid w:val="00EA29C6"/>
    <w:rsid w:val="00EA2A5F"/>
    <w:rsid w:val="00EA2AEA"/>
    <w:rsid w:val="00EA2B29"/>
    <w:rsid w:val="00EA2BD1"/>
    <w:rsid w:val="00EA2D10"/>
    <w:rsid w:val="00EA2E02"/>
    <w:rsid w:val="00EA2E11"/>
    <w:rsid w:val="00EA2E73"/>
    <w:rsid w:val="00EA2F7D"/>
    <w:rsid w:val="00EA3105"/>
    <w:rsid w:val="00EA3282"/>
    <w:rsid w:val="00EA3316"/>
    <w:rsid w:val="00EA333F"/>
    <w:rsid w:val="00EA3466"/>
    <w:rsid w:val="00EA350C"/>
    <w:rsid w:val="00EA35E3"/>
    <w:rsid w:val="00EA3750"/>
    <w:rsid w:val="00EA3804"/>
    <w:rsid w:val="00EA3839"/>
    <w:rsid w:val="00EA396D"/>
    <w:rsid w:val="00EA39EB"/>
    <w:rsid w:val="00EA3A11"/>
    <w:rsid w:val="00EA3A22"/>
    <w:rsid w:val="00EA3A29"/>
    <w:rsid w:val="00EA3A59"/>
    <w:rsid w:val="00EA3A6B"/>
    <w:rsid w:val="00EA3B00"/>
    <w:rsid w:val="00EA3B12"/>
    <w:rsid w:val="00EA3B75"/>
    <w:rsid w:val="00EA3BFF"/>
    <w:rsid w:val="00EA3C1D"/>
    <w:rsid w:val="00EA3C33"/>
    <w:rsid w:val="00EA3CDB"/>
    <w:rsid w:val="00EA3CE3"/>
    <w:rsid w:val="00EA3DC7"/>
    <w:rsid w:val="00EA3E57"/>
    <w:rsid w:val="00EA402D"/>
    <w:rsid w:val="00EA40B5"/>
    <w:rsid w:val="00EA4499"/>
    <w:rsid w:val="00EA4689"/>
    <w:rsid w:val="00EA4715"/>
    <w:rsid w:val="00EA47AD"/>
    <w:rsid w:val="00EA48E2"/>
    <w:rsid w:val="00EA490F"/>
    <w:rsid w:val="00EA4934"/>
    <w:rsid w:val="00EA4958"/>
    <w:rsid w:val="00EA4972"/>
    <w:rsid w:val="00EA49A6"/>
    <w:rsid w:val="00EA49FD"/>
    <w:rsid w:val="00EA4A50"/>
    <w:rsid w:val="00EA4A99"/>
    <w:rsid w:val="00EA4B05"/>
    <w:rsid w:val="00EA4B1B"/>
    <w:rsid w:val="00EA4C1B"/>
    <w:rsid w:val="00EA4DE7"/>
    <w:rsid w:val="00EA4E47"/>
    <w:rsid w:val="00EA4EB9"/>
    <w:rsid w:val="00EA4EF9"/>
    <w:rsid w:val="00EA4EFA"/>
    <w:rsid w:val="00EA4F06"/>
    <w:rsid w:val="00EA4F72"/>
    <w:rsid w:val="00EA4FC6"/>
    <w:rsid w:val="00EA5019"/>
    <w:rsid w:val="00EA502C"/>
    <w:rsid w:val="00EA5117"/>
    <w:rsid w:val="00EA521A"/>
    <w:rsid w:val="00EA528E"/>
    <w:rsid w:val="00EA52BE"/>
    <w:rsid w:val="00EA5334"/>
    <w:rsid w:val="00EA534B"/>
    <w:rsid w:val="00EA54CA"/>
    <w:rsid w:val="00EA5651"/>
    <w:rsid w:val="00EA56B8"/>
    <w:rsid w:val="00EA58BD"/>
    <w:rsid w:val="00EA590F"/>
    <w:rsid w:val="00EA5981"/>
    <w:rsid w:val="00EA5A7C"/>
    <w:rsid w:val="00EA5AC4"/>
    <w:rsid w:val="00EA5B66"/>
    <w:rsid w:val="00EA5BD3"/>
    <w:rsid w:val="00EA5BDB"/>
    <w:rsid w:val="00EA5C9E"/>
    <w:rsid w:val="00EA5CEE"/>
    <w:rsid w:val="00EA5E07"/>
    <w:rsid w:val="00EA5E6D"/>
    <w:rsid w:val="00EA5EC9"/>
    <w:rsid w:val="00EA5F06"/>
    <w:rsid w:val="00EA5F09"/>
    <w:rsid w:val="00EA6016"/>
    <w:rsid w:val="00EA602E"/>
    <w:rsid w:val="00EA608D"/>
    <w:rsid w:val="00EA6143"/>
    <w:rsid w:val="00EA6210"/>
    <w:rsid w:val="00EA6253"/>
    <w:rsid w:val="00EA6264"/>
    <w:rsid w:val="00EA6280"/>
    <w:rsid w:val="00EA629C"/>
    <w:rsid w:val="00EA6382"/>
    <w:rsid w:val="00EA6476"/>
    <w:rsid w:val="00EA64C6"/>
    <w:rsid w:val="00EA651C"/>
    <w:rsid w:val="00EA6520"/>
    <w:rsid w:val="00EA6632"/>
    <w:rsid w:val="00EA6765"/>
    <w:rsid w:val="00EA67CC"/>
    <w:rsid w:val="00EA683C"/>
    <w:rsid w:val="00EA6881"/>
    <w:rsid w:val="00EA6903"/>
    <w:rsid w:val="00EA699D"/>
    <w:rsid w:val="00EA6A4E"/>
    <w:rsid w:val="00EA6A7F"/>
    <w:rsid w:val="00EA6A97"/>
    <w:rsid w:val="00EA6AE2"/>
    <w:rsid w:val="00EA6B3D"/>
    <w:rsid w:val="00EA6C36"/>
    <w:rsid w:val="00EA6CB4"/>
    <w:rsid w:val="00EA6CCB"/>
    <w:rsid w:val="00EA6EBC"/>
    <w:rsid w:val="00EA6F0C"/>
    <w:rsid w:val="00EA6F58"/>
    <w:rsid w:val="00EA6F9F"/>
    <w:rsid w:val="00EA7063"/>
    <w:rsid w:val="00EA727B"/>
    <w:rsid w:val="00EA7325"/>
    <w:rsid w:val="00EA737C"/>
    <w:rsid w:val="00EA747E"/>
    <w:rsid w:val="00EA74E6"/>
    <w:rsid w:val="00EA74EB"/>
    <w:rsid w:val="00EA7560"/>
    <w:rsid w:val="00EA75CD"/>
    <w:rsid w:val="00EA75DC"/>
    <w:rsid w:val="00EA77FF"/>
    <w:rsid w:val="00EA7830"/>
    <w:rsid w:val="00EA793F"/>
    <w:rsid w:val="00EA7988"/>
    <w:rsid w:val="00EA79E1"/>
    <w:rsid w:val="00EA7A7E"/>
    <w:rsid w:val="00EA7B1F"/>
    <w:rsid w:val="00EA7B5B"/>
    <w:rsid w:val="00EA7BF0"/>
    <w:rsid w:val="00EA7CB3"/>
    <w:rsid w:val="00EA7CC3"/>
    <w:rsid w:val="00EA7D3E"/>
    <w:rsid w:val="00EA7E02"/>
    <w:rsid w:val="00EA7E3A"/>
    <w:rsid w:val="00EA7E93"/>
    <w:rsid w:val="00EA7F10"/>
    <w:rsid w:val="00EA7FDB"/>
    <w:rsid w:val="00EB0001"/>
    <w:rsid w:val="00EB029B"/>
    <w:rsid w:val="00EB0419"/>
    <w:rsid w:val="00EB0468"/>
    <w:rsid w:val="00EB047E"/>
    <w:rsid w:val="00EB048E"/>
    <w:rsid w:val="00EB0496"/>
    <w:rsid w:val="00EB049E"/>
    <w:rsid w:val="00EB053D"/>
    <w:rsid w:val="00EB05AA"/>
    <w:rsid w:val="00EB062A"/>
    <w:rsid w:val="00EB0672"/>
    <w:rsid w:val="00EB06BA"/>
    <w:rsid w:val="00EB070F"/>
    <w:rsid w:val="00EB072B"/>
    <w:rsid w:val="00EB0753"/>
    <w:rsid w:val="00EB0778"/>
    <w:rsid w:val="00EB07D4"/>
    <w:rsid w:val="00EB090F"/>
    <w:rsid w:val="00EB097D"/>
    <w:rsid w:val="00EB0AB5"/>
    <w:rsid w:val="00EB0ABF"/>
    <w:rsid w:val="00EB0AFA"/>
    <w:rsid w:val="00EB0B47"/>
    <w:rsid w:val="00EB0B86"/>
    <w:rsid w:val="00EB0B9F"/>
    <w:rsid w:val="00EB0BA7"/>
    <w:rsid w:val="00EB0CA3"/>
    <w:rsid w:val="00EB0D2C"/>
    <w:rsid w:val="00EB0EDB"/>
    <w:rsid w:val="00EB0F55"/>
    <w:rsid w:val="00EB0F76"/>
    <w:rsid w:val="00EB0FB0"/>
    <w:rsid w:val="00EB10B9"/>
    <w:rsid w:val="00EB10BD"/>
    <w:rsid w:val="00EB112B"/>
    <w:rsid w:val="00EB1147"/>
    <w:rsid w:val="00EB11D3"/>
    <w:rsid w:val="00EB121E"/>
    <w:rsid w:val="00EB12D0"/>
    <w:rsid w:val="00EB1434"/>
    <w:rsid w:val="00EB1480"/>
    <w:rsid w:val="00EB15B4"/>
    <w:rsid w:val="00EB169C"/>
    <w:rsid w:val="00EB17B8"/>
    <w:rsid w:val="00EB18B4"/>
    <w:rsid w:val="00EB1975"/>
    <w:rsid w:val="00EB19AC"/>
    <w:rsid w:val="00EB19C5"/>
    <w:rsid w:val="00EB1AD6"/>
    <w:rsid w:val="00EB1D05"/>
    <w:rsid w:val="00EB1D68"/>
    <w:rsid w:val="00EB1DCE"/>
    <w:rsid w:val="00EB1E57"/>
    <w:rsid w:val="00EB2043"/>
    <w:rsid w:val="00EB2061"/>
    <w:rsid w:val="00EB212E"/>
    <w:rsid w:val="00EB2167"/>
    <w:rsid w:val="00EB21D9"/>
    <w:rsid w:val="00EB2216"/>
    <w:rsid w:val="00EB227C"/>
    <w:rsid w:val="00EB2330"/>
    <w:rsid w:val="00EB242E"/>
    <w:rsid w:val="00EB2462"/>
    <w:rsid w:val="00EB2648"/>
    <w:rsid w:val="00EB2649"/>
    <w:rsid w:val="00EB26F2"/>
    <w:rsid w:val="00EB27C1"/>
    <w:rsid w:val="00EB28A6"/>
    <w:rsid w:val="00EB2907"/>
    <w:rsid w:val="00EB2908"/>
    <w:rsid w:val="00EB2949"/>
    <w:rsid w:val="00EB2A7F"/>
    <w:rsid w:val="00EB2AD7"/>
    <w:rsid w:val="00EB2B1C"/>
    <w:rsid w:val="00EB2B45"/>
    <w:rsid w:val="00EB2B9C"/>
    <w:rsid w:val="00EB2BA1"/>
    <w:rsid w:val="00EB2C4D"/>
    <w:rsid w:val="00EB2D1C"/>
    <w:rsid w:val="00EB2DD8"/>
    <w:rsid w:val="00EB2E03"/>
    <w:rsid w:val="00EB2E38"/>
    <w:rsid w:val="00EB300F"/>
    <w:rsid w:val="00EB30DA"/>
    <w:rsid w:val="00EB315B"/>
    <w:rsid w:val="00EB3407"/>
    <w:rsid w:val="00EB342D"/>
    <w:rsid w:val="00EB34C0"/>
    <w:rsid w:val="00EB3547"/>
    <w:rsid w:val="00EB3569"/>
    <w:rsid w:val="00EB35B1"/>
    <w:rsid w:val="00EB360A"/>
    <w:rsid w:val="00EB36B7"/>
    <w:rsid w:val="00EB36F7"/>
    <w:rsid w:val="00EB3707"/>
    <w:rsid w:val="00EB3784"/>
    <w:rsid w:val="00EB37A2"/>
    <w:rsid w:val="00EB37B7"/>
    <w:rsid w:val="00EB3847"/>
    <w:rsid w:val="00EB3988"/>
    <w:rsid w:val="00EB3B85"/>
    <w:rsid w:val="00EB3BB3"/>
    <w:rsid w:val="00EB3C15"/>
    <w:rsid w:val="00EB3CD2"/>
    <w:rsid w:val="00EB3CE4"/>
    <w:rsid w:val="00EB3DFA"/>
    <w:rsid w:val="00EB3E31"/>
    <w:rsid w:val="00EB3E41"/>
    <w:rsid w:val="00EB3EDD"/>
    <w:rsid w:val="00EB3EE6"/>
    <w:rsid w:val="00EB3F3A"/>
    <w:rsid w:val="00EB3F9A"/>
    <w:rsid w:val="00EB3FC4"/>
    <w:rsid w:val="00EB4092"/>
    <w:rsid w:val="00EB40BA"/>
    <w:rsid w:val="00EB4175"/>
    <w:rsid w:val="00EB419D"/>
    <w:rsid w:val="00EB41B5"/>
    <w:rsid w:val="00EB41DB"/>
    <w:rsid w:val="00EB4232"/>
    <w:rsid w:val="00EB42BA"/>
    <w:rsid w:val="00EB43B1"/>
    <w:rsid w:val="00EB4520"/>
    <w:rsid w:val="00EB4636"/>
    <w:rsid w:val="00EB4639"/>
    <w:rsid w:val="00EB4643"/>
    <w:rsid w:val="00EB46E8"/>
    <w:rsid w:val="00EB472A"/>
    <w:rsid w:val="00EB47A7"/>
    <w:rsid w:val="00EB4895"/>
    <w:rsid w:val="00EB4897"/>
    <w:rsid w:val="00EB49B0"/>
    <w:rsid w:val="00EB49CD"/>
    <w:rsid w:val="00EB4A84"/>
    <w:rsid w:val="00EB4A9B"/>
    <w:rsid w:val="00EB4BE2"/>
    <w:rsid w:val="00EB4BF1"/>
    <w:rsid w:val="00EB4C4B"/>
    <w:rsid w:val="00EB4C83"/>
    <w:rsid w:val="00EB4D14"/>
    <w:rsid w:val="00EB4DBC"/>
    <w:rsid w:val="00EB4DF0"/>
    <w:rsid w:val="00EB4E21"/>
    <w:rsid w:val="00EB4F55"/>
    <w:rsid w:val="00EB4F56"/>
    <w:rsid w:val="00EB4F72"/>
    <w:rsid w:val="00EB4FF3"/>
    <w:rsid w:val="00EB500A"/>
    <w:rsid w:val="00EB5102"/>
    <w:rsid w:val="00EB51A8"/>
    <w:rsid w:val="00EB51D1"/>
    <w:rsid w:val="00EB51E3"/>
    <w:rsid w:val="00EB51F1"/>
    <w:rsid w:val="00EB51F4"/>
    <w:rsid w:val="00EB524F"/>
    <w:rsid w:val="00EB5310"/>
    <w:rsid w:val="00EB5485"/>
    <w:rsid w:val="00EB54D8"/>
    <w:rsid w:val="00EB550D"/>
    <w:rsid w:val="00EB561F"/>
    <w:rsid w:val="00EB56D1"/>
    <w:rsid w:val="00EB5939"/>
    <w:rsid w:val="00EB5A32"/>
    <w:rsid w:val="00EB5A62"/>
    <w:rsid w:val="00EB5A77"/>
    <w:rsid w:val="00EB5B2E"/>
    <w:rsid w:val="00EB5B33"/>
    <w:rsid w:val="00EB5BC5"/>
    <w:rsid w:val="00EB5C21"/>
    <w:rsid w:val="00EB5C2E"/>
    <w:rsid w:val="00EB5C6E"/>
    <w:rsid w:val="00EB5D05"/>
    <w:rsid w:val="00EB5DD7"/>
    <w:rsid w:val="00EB5E08"/>
    <w:rsid w:val="00EB5F04"/>
    <w:rsid w:val="00EB5F2D"/>
    <w:rsid w:val="00EB5F80"/>
    <w:rsid w:val="00EB608D"/>
    <w:rsid w:val="00EB6124"/>
    <w:rsid w:val="00EB6167"/>
    <w:rsid w:val="00EB62F2"/>
    <w:rsid w:val="00EB6379"/>
    <w:rsid w:val="00EB63C0"/>
    <w:rsid w:val="00EB6534"/>
    <w:rsid w:val="00EB65A2"/>
    <w:rsid w:val="00EB665E"/>
    <w:rsid w:val="00EB66A0"/>
    <w:rsid w:val="00EB66A3"/>
    <w:rsid w:val="00EB670C"/>
    <w:rsid w:val="00EB672C"/>
    <w:rsid w:val="00EB6796"/>
    <w:rsid w:val="00EB67B6"/>
    <w:rsid w:val="00EB6821"/>
    <w:rsid w:val="00EB6851"/>
    <w:rsid w:val="00EB6947"/>
    <w:rsid w:val="00EB69E0"/>
    <w:rsid w:val="00EB6AF3"/>
    <w:rsid w:val="00EB6B6D"/>
    <w:rsid w:val="00EB6B8B"/>
    <w:rsid w:val="00EB6BA2"/>
    <w:rsid w:val="00EB6CB5"/>
    <w:rsid w:val="00EB6CD0"/>
    <w:rsid w:val="00EB6ECC"/>
    <w:rsid w:val="00EB6EDF"/>
    <w:rsid w:val="00EB70C0"/>
    <w:rsid w:val="00EB70DB"/>
    <w:rsid w:val="00EB7174"/>
    <w:rsid w:val="00EB71D9"/>
    <w:rsid w:val="00EB72DB"/>
    <w:rsid w:val="00EB73CA"/>
    <w:rsid w:val="00EB73EC"/>
    <w:rsid w:val="00EB7566"/>
    <w:rsid w:val="00EB75ED"/>
    <w:rsid w:val="00EB7619"/>
    <w:rsid w:val="00EB768B"/>
    <w:rsid w:val="00EB7709"/>
    <w:rsid w:val="00EB782C"/>
    <w:rsid w:val="00EB78C9"/>
    <w:rsid w:val="00EB78E0"/>
    <w:rsid w:val="00EB7908"/>
    <w:rsid w:val="00EB79B2"/>
    <w:rsid w:val="00EB7A26"/>
    <w:rsid w:val="00EB7A28"/>
    <w:rsid w:val="00EB7B10"/>
    <w:rsid w:val="00EB7B52"/>
    <w:rsid w:val="00EB7B6A"/>
    <w:rsid w:val="00EB7C49"/>
    <w:rsid w:val="00EB7C62"/>
    <w:rsid w:val="00EB7C99"/>
    <w:rsid w:val="00EB7CB1"/>
    <w:rsid w:val="00EB7DA4"/>
    <w:rsid w:val="00EB7E54"/>
    <w:rsid w:val="00EB7EC2"/>
    <w:rsid w:val="00EB7EE3"/>
    <w:rsid w:val="00EB7FF0"/>
    <w:rsid w:val="00EC0006"/>
    <w:rsid w:val="00EC0015"/>
    <w:rsid w:val="00EC006F"/>
    <w:rsid w:val="00EC007E"/>
    <w:rsid w:val="00EC03E5"/>
    <w:rsid w:val="00EC062A"/>
    <w:rsid w:val="00EC076C"/>
    <w:rsid w:val="00EC07E3"/>
    <w:rsid w:val="00EC09A8"/>
    <w:rsid w:val="00EC0A8D"/>
    <w:rsid w:val="00EC0AA2"/>
    <w:rsid w:val="00EC0B92"/>
    <w:rsid w:val="00EC0BB6"/>
    <w:rsid w:val="00EC0BB7"/>
    <w:rsid w:val="00EC0C31"/>
    <w:rsid w:val="00EC0C3E"/>
    <w:rsid w:val="00EC0CBE"/>
    <w:rsid w:val="00EC0CD6"/>
    <w:rsid w:val="00EC0CDC"/>
    <w:rsid w:val="00EC0D3C"/>
    <w:rsid w:val="00EC0D67"/>
    <w:rsid w:val="00EC0E16"/>
    <w:rsid w:val="00EC0E42"/>
    <w:rsid w:val="00EC0E92"/>
    <w:rsid w:val="00EC1074"/>
    <w:rsid w:val="00EC10B6"/>
    <w:rsid w:val="00EC10CC"/>
    <w:rsid w:val="00EC12A5"/>
    <w:rsid w:val="00EC1312"/>
    <w:rsid w:val="00EC1340"/>
    <w:rsid w:val="00EC1447"/>
    <w:rsid w:val="00EC1452"/>
    <w:rsid w:val="00EC148F"/>
    <w:rsid w:val="00EC1760"/>
    <w:rsid w:val="00EC187E"/>
    <w:rsid w:val="00EC191B"/>
    <w:rsid w:val="00EC195B"/>
    <w:rsid w:val="00EC196E"/>
    <w:rsid w:val="00EC1BF5"/>
    <w:rsid w:val="00EC1C6E"/>
    <w:rsid w:val="00EC1D5B"/>
    <w:rsid w:val="00EC1EAE"/>
    <w:rsid w:val="00EC208D"/>
    <w:rsid w:val="00EC20D1"/>
    <w:rsid w:val="00EC217F"/>
    <w:rsid w:val="00EC2250"/>
    <w:rsid w:val="00EC225B"/>
    <w:rsid w:val="00EC24A4"/>
    <w:rsid w:val="00EC268B"/>
    <w:rsid w:val="00EC27AF"/>
    <w:rsid w:val="00EC286D"/>
    <w:rsid w:val="00EC289B"/>
    <w:rsid w:val="00EC29AA"/>
    <w:rsid w:val="00EC2A24"/>
    <w:rsid w:val="00EC2C6E"/>
    <w:rsid w:val="00EC2D14"/>
    <w:rsid w:val="00EC2DCD"/>
    <w:rsid w:val="00EC2E65"/>
    <w:rsid w:val="00EC2E6D"/>
    <w:rsid w:val="00EC2EAF"/>
    <w:rsid w:val="00EC2F34"/>
    <w:rsid w:val="00EC2FCC"/>
    <w:rsid w:val="00EC3108"/>
    <w:rsid w:val="00EC32EE"/>
    <w:rsid w:val="00EC3399"/>
    <w:rsid w:val="00EC3450"/>
    <w:rsid w:val="00EC3586"/>
    <w:rsid w:val="00EC35E5"/>
    <w:rsid w:val="00EC369C"/>
    <w:rsid w:val="00EC36A9"/>
    <w:rsid w:val="00EC3980"/>
    <w:rsid w:val="00EC3B53"/>
    <w:rsid w:val="00EC3B68"/>
    <w:rsid w:val="00EC3BAC"/>
    <w:rsid w:val="00EC3CC4"/>
    <w:rsid w:val="00EC3D9E"/>
    <w:rsid w:val="00EC3DA1"/>
    <w:rsid w:val="00EC3DCD"/>
    <w:rsid w:val="00EC3EA5"/>
    <w:rsid w:val="00EC3EA6"/>
    <w:rsid w:val="00EC3F6C"/>
    <w:rsid w:val="00EC3FBF"/>
    <w:rsid w:val="00EC4053"/>
    <w:rsid w:val="00EC40B9"/>
    <w:rsid w:val="00EC40D3"/>
    <w:rsid w:val="00EC412F"/>
    <w:rsid w:val="00EC416A"/>
    <w:rsid w:val="00EC422B"/>
    <w:rsid w:val="00EC424F"/>
    <w:rsid w:val="00EC42B7"/>
    <w:rsid w:val="00EC436A"/>
    <w:rsid w:val="00EC4431"/>
    <w:rsid w:val="00EC4447"/>
    <w:rsid w:val="00EC4471"/>
    <w:rsid w:val="00EC44D5"/>
    <w:rsid w:val="00EC451E"/>
    <w:rsid w:val="00EC454B"/>
    <w:rsid w:val="00EC457C"/>
    <w:rsid w:val="00EC460E"/>
    <w:rsid w:val="00EC460F"/>
    <w:rsid w:val="00EC4652"/>
    <w:rsid w:val="00EC472E"/>
    <w:rsid w:val="00EC4773"/>
    <w:rsid w:val="00EC47D3"/>
    <w:rsid w:val="00EC484B"/>
    <w:rsid w:val="00EC4852"/>
    <w:rsid w:val="00EC492C"/>
    <w:rsid w:val="00EC4978"/>
    <w:rsid w:val="00EC49DE"/>
    <w:rsid w:val="00EC4A20"/>
    <w:rsid w:val="00EC4A45"/>
    <w:rsid w:val="00EC4B19"/>
    <w:rsid w:val="00EC4BAE"/>
    <w:rsid w:val="00EC4CB2"/>
    <w:rsid w:val="00EC4E30"/>
    <w:rsid w:val="00EC4F05"/>
    <w:rsid w:val="00EC4F20"/>
    <w:rsid w:val="00EC4F42"/>
    <w:rsid w:val="00EC51C4"/>
    <w:rsid w:val="00EC5227"/>
    <w:rsid w:val="00EC5263"/>
    <w:rsid w:val="00EC527B"/>
    <w:rsid w:val="00EC52A5"/>
    <w:rsid w:val="00EC5354"/>
    <w:rsid w:val="00EC5397"/>
    <w:rsid w:val="00EC54CC"/>
    <w:rsid w:val="00EC5524"/>
    <w:rsid w:val="00EC552F"/>
    <w:rsid w:val="00EC559F"/>
    <w:rsid w:val="00EC56D4"/>
    <w:rsid w:val="00EC5744"/>
    <w:rsid w:val="00EC579F"/>
    <w:rsid w:val="00EC5910"/>
    <w:rsid w:val="00EC592F"/>
    <w:rsid w:val="00EC595D"/>
    <w:rsid w:val="00EC597E"/>
    <w:rsid w:val="00EC59C9"/>
    <w:rsid w:val="00EC5AD5"/>
    <w:rsid w:val="00EC5B12"/>
    <w:rsid w:val="00EC5B65"/>
    <w:rsid w:val="00EC5BD5"/>
    <w:rsid w:val="00EC5BE5"/>
    <w:rsid w:val="00EC5C3C"/>
    <w:rsid w:val="00EC5CB9"/>
    <w:rsid w:val="00EC5DAF"/>
    <w:rsid w:val="00EC5E60"/>
    <w:rsid w:val="00EC5E8C"/>
    <w:rsid w:val="00EC5F93"/>
    <w:rsid w:val="00EC6015"/>
    <w:rsid w:val="00EC6081"/>
    <w:rsid w:val="00EC611E"/>
    <w:rsid w:val="00EC6147"/>
    <w:rsid w:val="00EC625B"/>
    <w:rsid w:val="00EC6300"/>
    <w:rsid w:val="00EC63B8"/>
    <w:rsid w:val="00EC63C9"/>
    <w:rsid w:val="00EC63D4"/>
    <w:rsid w:val="00EC6466"/>
    <w:rsid w:val="00EC647E"/>
    <w:rsid w:val="00EC654A"/>
    <w:rsid w:val="00EC65A5"/>
    <w:rsid w:val="00EC65D5"/>
    <w:rsid w:val="00EC65EC"/>
    <w:rsid w:val="00EC66D3"/>
    <w:rsid w:val="00EC6723"/>
    <w:rsid w:val="00EC67DD"/>
    <w:rsid w:val="00EC67E0"/>
    <w:rsid w:val="00EC6866"/>
    <w:rsid w:val="00EC6953"/>
    <w:rsid w:val="00EC69A2"/>
    <w:rsid w:val="00EC69EF"/>
    <w:rsid w:val="00EC6A10"/>
    <w:rsid w:val="00EC6A8A"/>
    <w:rsid w:val="00EC6B61"/>
    <w:rsid w:val="00EC6D70"/>
    <w:rsid w:val="00EC6E10"/>
    <w:rsid w:val="00EC6EDC"/>
    <w:rsid w:val="00EC7146"/>
    <w:rsid w:val="00EC71F3"/>
    <w:rsid w:val="00EC721D"/>
    <w:rsid w:val="00EC74C2"/>
    <w:rsid w:val="00EC74F5"/>
    <w:rsid w:val="00EC7660"/>
    <w:rsid w:val="00EC7695"/>
    <w:rsid w:val="00EC76F9"/>
    <w:rsid w:val="00EC780E"/>
    <w:rsid w:val="00EC78CA"/>
    <w:rsid w:val="00EC79F5"/>
    <w:rsid w:val="00EC7A02"/>
    <w:rsid w:val="00EC7A5B"/>
    <w:rsid w:val="00EC7E91"/>
    <w:rsid w:val="00EC7F52"/>
    <w:rsid w:val="00EC7F6C"/>
    <w:rsid w:val="00EC7FA1"/>
    <w:rsid w:val="00EC7FF9"/>
    <w:rsid w:val="00ED008C"/>
    <w:rsid w:val="00ED015A"/>
    <w:rsid w:val="00ED0218"/>
    <w:rsid w:val="00ED0222"/>
    <w:rsid w:val="00ED0291"/>
    <w:rsid w:val="00ED02B1"/>
    <w:rsid w:val="00ED037D"/>
    <w:rsid w:val="00ED05D1"/>
    <w:rsid w:val="00ED05F7"/>
    <w:rsid w:val="00ED0636"/>
    <w:rsid w:val="00ED063D"/>
    <w:rsid w:val="00ED0782"/>
    <w:rsid w:val="00ED081B"/>
    <w:rsid w:val="00ED0878"/>
    <w:rsid w:val="00ED0A28"/>
    <w:rsid w:val="00ED0B4B"/>
    <w:rsid w:val="00ED0B7C"/>
    <w:rsid w:val="00ED0BC2"/>
    <w:rsid w:val="00ED0CD8"/>
    <w:rsid w:val="00ED0F11"/>
    <w:rsid w:val="00ED0F99"/>
    <w:rsid w:val="00ED0FC2"/>
    <w:rsid w:val="00ED1033"/>
    <w:rsid w:val="00ED1067"/>
    <w:rsid w:val="00ED1080"/>
    <w:rsid w:val="00ED10B4"/>
    <w:rsid w:val="00ED10FC"/>
    <w:rsid w:val="00ED11C9"/>
    <w:rsid w:val="00ED127B"/>
    <w:rsid w:val="00ED130E"/>
    <w:rsid w:val="00ED134E"/>
    <w:rsid w:val="00ED1475"/>
    <w:rsid w:val="00ED1489"/>
    <w:rsid w:val="00ED1504"/>
    <w:rsid w:val="00ED155B"/>
    <w:rsid w:val="00ED1746"/>
    <w:rsid w:val="00ED17E0"/>
    <w:rsid w:val="00ED17F8"/>
    <w:rsid w:val="00ED185F"/>
    <w:rsid w:val="00ED18D4"/>
    <w:rsid w:val="00ED18EA"/>
    <w:rsid w:val="00ED1A65"/>
    <w:rsid w:val="00ED1C70"/>
    <w:rsid w:val="00ED1C7A"/>
    <w:rsid w:val="00ED1D5E"/>
    <w:rsid w:val="00ED1E39"/>
    <w:rsid w:val="00ED1F94"/>
    <w:rsid w:val="00ED1FAC"/>
    <w:rsid w:val="00ED201D"/>
    <w:rsid w:val="00ED2061"/>
    <w:rsid w:val="00ED20FF"/>
    <w:rsid w:val="00ED215A"/>
    <w:rsid w:val="00ED2177"/>
    <w:rsid w:val="00ED21A0"/>
    <w:rsid w:val="00ED21B1"/>
    <w:rsid w:val="00ED2446"/>
    <w:rsid w:val="00ED252A"/>
    <w:rsid w:val="00ED2539"/>
    <w:rsid w:val="00ED2662"/>
    <w:rsid w:val="00ED278F"/>
    <w:rsid w:val="00ED27D3"/>
    <w:rsid w:val="00ED280A"/>
    <w:rsid w:val="00ED2813"/>
    <w:rsid w:val="00ED2834"/>
    <w:rsid w:val="00ED2863"/>
    <w:rsid w:val="00ED2874"/>
    <w:rsid w:val="00ED28D8"/>
    <w:rsid w:val="00ED2906"/>
    <w:rsid w:val="00ED2956"/>
    <w:rsid w:val="00ED2A32"/>
    <w:rsid w:val="00ED2A75"/>
    <w:rsid w:val="00ED2B23"/>
    <w:rsid w:val="00ED2B80"/>
    <w:rsid w:val="00ED2CC1"/>
    <w:rsid w:val="00ED2CDA"/>
    <w:rsid w:val="00ED2D89"/>
    <w:rsid w:val="00ED2DB4"/>
    <w:rsid w:val="00ED2ECB"/>
    <w:rsid w:val="00ED2F8A"/>
    <w:rsid w:val="00ED2FE5"/>
    <w:rsid w:val="00ED30F5"/>
    <w:rsid w:val="00ED3117"/>
    <w:rsid w:val="00ED316C"/>
    <w:rsid w:val="00ED31F3"/>
    <w:rsid w:val="00ED32A5"/>
    <w:rsid w:val="00ED3414"/>
    <w:rsid w:val="00ED35F8"/>
    <w:rsid w:val="00ED36FD"/>
    <w:rsid w:val="00ED370B"/>
    <w:rsid w:val="00ED371C"/>
    <w:rsid w:val="00ED37C3"/>
    <w:rsid w:val="00ED380E"/>
    <w:rsid w:val="00ED38DC"/>
    <w:rsid w:val="00ED392A"/>
    <w:rsid w:val="00ED39CD"/>
    <w:rsid w:val="00ED3A38"/>
    <w:rsid w:val="00ED3B76"/>
    <w:rsid w:val="00ED3BCB"/>
    <w:rsid w:val="00ED3C15"/>
    <w:rsid w:val="00ED3C97"/>
    <w:rsid w:val="00ED3D8E"/>
    <w:rsid w:val="00ED3D8F"/>
    <w:rsid w:val="00ED3DAD"/>
    <w:rsid w:val="00ED3E97"/>
    <w:rsid w:val="00ED3F4A"/>
    <w:rsid w:val="00ED3F75"/>
    <w:rsid w:val="00ED3FE1"/>
    <w:rsid w:val="00ED40A8"/>
    <w:rsid w:val="00ED4174"/>
    <w:rsid w:val="00ED41B2"/>
    <w:rsid w:val="00ED4235"/>
    <w:rsid w:val="00ED43AE"/>
    <w:rsid w:val="00ED45AD"/>
    <w:rsid w:val="00ED463D"/>
    <w:rsid w:val="00ED4711"/>
    <w:rsid w:val="00ED48C9"/>
    <w:rsid w:val="00ED494F"/>
    <w:rsid w:val="00ED4962"/>
    <w:rsid w:val="00ED496A"/>
    <w:rsid w:val="00ED49EB"/>
    <w:rsid w:val="00ED49F9"/>
    <w:rsid w:val="00ED4A49"/>
    <w:rsid w:val="00ED4B1D"/>
    <w:rsid w:val="00ED4CF8"/>
    <w:rsid w:val="00ED4DE0"/>
    <w:rsid w:val="00ED4E57"/>
    <w:rsid w:val="00ED4F91"/>
    <w:rsid w:val="00ED5012"/>
    <w:rsid w:val="00ED5118"/>
    <w:rsid w:val="00ED5125"/>
    <w:rsid w:val="00ED519F"/>
    <w:rsid w:val="00ED5296"/>
    <w:rsid w:val="00ED52EA"/>
    <w:rsid w:val="00ED541D"/>
    <w:rsid w:val="00ED5536"/>
    <w:rsid w:val="00ED553C"/>
    <w:rsid w:val="00ED562E"/>
    <w:rsid w:val="00ED56A3"/>
    <w:rsid w:val="00ED579B"/>
    <w:rsid w:val="00ED5848"/>
    <w:rsid w:val="00ED58FC"/>
    <w:rsid w:val="00ED595F"/>
    <w:rsid w:val="00ED596B"/>
    <w:rsid w:val="00ED59ED"/>
    <w:rsid w:val="00ED5A05"/>
    <w:rsid w:val="00ED5A33"/>
    <w:rsid w:val="00ED5AA6"/>
    <w:rsid w:val="00ED5C03"/>
    <w:rsid w:val="00ED5C73"/>
    <w:rsid w:val="00ED5C83"/>
    <w:rsid w:val="00ED5CD1"/>
    <w:rsid w:val="00ED5DD3"/>
    <w:rsid w:val="00ED5EF1"/>
    <w:rsid w:val="00ED5F02"/>
    <w:rsid w:val="00ED5F4B"/>
    <w:rsid w:val="00ED6076"/>
    <w:rsid w:val="00ED60DC"/>
    <w:rsid w:val="00ED6161"/>
    <w:rsid w:val="00ED6184"/>
    <w:rsid w:val="00ED6225"/>
    <w:rsid w:val="00ED6232"/>
    <w:rsid w:val="00ED6253"/>
    <w:rsid w:val="00ED6294"/>
    <w:rsid w:val="00ED62D7"/>
    <w:rsid w:val="00ED62DF"/>
    <w:rsid w:val="00ED6416"/>
    <w:rsid w:val="00ED6554"/>
    <w:rsid w:val="00ED655F"/>
    <w:rsid w:val="00ED66B6"/>
    <w:rsid w:val="00ED66EE"/>
    <w:rsid w:val="00ED67B8"/>
    <w:rsid w:val="00ED67D7"/>
    <w:rsid w:val="00ED6A0E"/>
    <w:rsid w:val="00ED6AA6"/>
    <w:rsid w:val="00ED6AB7"/>
    <w:rsid w:val="00ED6C29"/>
    <w:rsid w:val="00ED6D0A"/>
    <w:rsid w:val="00ED6F65"/>
    <w:rsid w:val="00ED6FCC"/>
    <w:rsid w:val="00ED7054"/>
    <w:rsid w:val="00ED706A"/>
    <w:rsid w:val="00ED707D"/>
    <w:rsid w:val="00ED7122"/>
    <w:rsid w:val="00ED727F"/>
    <w:rsid w:val="00ED7297"/>
    <w:rsid w:val="00ED72AB"/>
    <w:rsid w:val="00ED73A3"/>
    <w:rsid w:val="00ED7403"/>
    <w:rsid w:val="00ED745A"/>
    <w:rsid w:val="00ED7502"/>
    <w:rsid w:val="00ED75B0"/>
    <w:rsid w:val="00ED75E1"/>
    <w:rsid w:val="00ED766F"/>
    <w:rsid w:val="00ED7673"/>
    <w:rsid w:val="00ED76FA"/>
    <w:rsid w:val="00ED779F"/>
    <w:rsid w:val="00ED77AB"/>
    <w:rsid w:val="00ED77DC"/>
    <w:rsid w:val="00ED7823"/>
    <w:rsid w:val="00ED785F"/>
    <w:rsid w:val="00ED7880"/>
    <w:rsid w:val="00ED79C7"/>
    <w:rsid w:val="00ED7ABC"/>
    <w:rsid w:val="00ED7B33"/>
    <w:rsid w:val="00ED7BC3"/>
    <w:rsid w:val="00ED7BF8"/>
    <w:rsid w:val="00ED7CE8"/>
    <w:rsid w:val="00ED7D72"/>
    <w:rsid w:val="00ED7DDD"/>
    <w:rsid w:val="00ED7E0B"/>
    <w:rsid w:val="00ED7E35"/>
    <w:rsid w:val="00ED7EFD"/>
    <w:rsid w:val="00ED7F1E"/>
    <w:rsid w:val="00ED7F78"/>
    <w:rsid w:val="00ED7FCB"/>
    <w:rsid w:val="00EE018D"/>
    <w:rsid w:val="00EE019C"/>
    <w:rsid w:val="00EE01CF"/>
    <w:rsid w:val="00EE030B"/>
    <w:rsid w:val="00EE05C3"/>
    <w:rsid w:val="00EE067D"/>
    <w:rsid w:val="00EE06E7"/>
    <w:rsid w:val="00EE0782"/>
    <w:rsid w:val="00EE07C7"/>
    <w:rsid w:val="00EE0883"/>
    <w:rsid w:val="00EE0896"/>
    <w:rsid w:val="00EE08DF"/>
    <w:rsid w:val="00EE0A36"/>
    <w:rsid w:val="00EE0A77"/>
    <w:rsid w:val="00EE0B60"/>
    <w:rsid w:val="00EE0B73"/>
    <w:rsid w:val="00EE0C48"/>
    <w:rsid w:val="00EE0D3C"/>
    <w:rsid w:val="00EE0E4F"/>
    <w:rsid w:val="00EE0E8D"/>
    <w:rsid w:val="00EE0F68"/>
    <w:rsid w:val="00EE102F"/>
    <w:rsid w:val="00EE111C"/>
    <w:rsid w:val="00EE11EF"/>
    <w:rsid w:val="00EE1208"/>
    <w:rsid w:val="00EE125B"/>
    <w:rsid w:val="00EE1316"/>
    <w:rsid w:val="00EE1331"/>
    <w:rsid w:val="00EE135F"/>
    <w:rsid w:val="00EE1426"/>
    <w:rsid w:val="00EE14FF"/>
    <w:rsid w:val="00EE1581"/>
    <w:rsid w:val="00EE1628"/>
    <w:rsid w:val="00EE16B0"/>
    <w:rsid w:val="00EE175B"/>
    <w:rsid w:val="00EE179E"/>
    <w:rsid w:val="00EE17E0"/>
    <w:rsid w:val="00EE180E"/>
    <w:rsid w:val="00EE18AE"/>
    <w:rsid w:val="00EE1900"/>
    <w:rsid w:val="00EE1974"/>
    <w:rsid w:val="00EE199E"/>
    <w:rsid w:val="00EE19D3"/>
    <w:rsid w:val="00EE1B48"/>
    <w:rsid w:val="00EE1BCE"/>
    <w:rsid w:val="00EE1C8A"/>
    <w:rsid w:val="00EE1CE1"/>
    <w:rsid w:val="00EE1E56"/>
    <w:rsid w:val="00EE1EED"/>
    <w:rsid w:val="00EE1FBB"/>
    <w:rsid w:val="00EE1FF3"/>
    <w:rsid w:val="00EE2081"/>
    <w:rsid w:val="00EE213B"/>
    <w:rsid w:val="00EE217F"/>
    <w:rsid w:val="00EE2185"/>
    <w:rsid w:val="00EE2263"/>
    <w:rsid w:val="00EE22C1"/>
    <w:rsid w:val="00EE233A"/>
    <w:rsid w:val="00EE2402"/>
    <w:rsid w:val="00EE241D"/>
    <w:rsid w:val="00EE2447"/>
    <w:rsid w:val="00EE24B0"/>
    <w:rsid w:val="00EE24DB"/>
    <w:rsid w:val="00EE2573"/>
    <w:rsid w:val="00EE2623"/>
    <w:rsid w:val="00EE26FA"/>
    <w:rsid w:val="00EE2743"/>
    <w:rsid w:val="00EE2777"/>
    <w:rsid w:val="00EE28AA"/>
    <w:rsid w:val="00EE28AB"/>
    <w:rsid w:val="00EE28DC"/>
    <w:rsid w:val="00EE2DAF"/>
    <w:rsid w:val="00EE2E75"/>
    <w:rsid w:val="00EE2ECC"/>
    <w:rsid w:val="00EE2F1E"/>
    <w:rsid w:val="00EE2F2E"/>
    <w:rsid w:val="00EE2FE5"/>
    <w:rsid w:val="00EE3048"/>
    <w:rsid w:val="00EE30AF"/>
    <w:rsid w:val="00EE32C7"/>
    <w:rsid w:val="00EE32DE"/>
    <w:rsid w:val="00EE336B"/>
    <w:rsid w:val="00EE337E"/>
    <w:rsid w:val="00EE3395"/>
    <w:rsid w:val="00EE343A"/>
    <w:rsid w:val="00EE348A"/>
    <w:rsid w:val="00EE3668"/>
    <w:rsid w:val="00EE368B"/>
    <w:rsid w:val="00EE369D"/>
    <w:rsid w:val="00EE36A4"/>
    <w:rsid w:val="00EE38EF"/>
    <w:rsid w:val="00EE392A"/>
    <w:rsid w:val="00EE39D9"/>
    <w:rsid w:val="00EE39EB"/>
    <w:rsid w:val="00EE3AAE"/>
    <w:rsid w:val="00EE3B2B"/>
    <w:rsid w:val="00EE3B2E"/>
    <w:rsid w:val="00EE3B3A"/>
    <w:rsid w:val="00EE3B6D"/>
    <w:rsid w:val="00EE3B8E"/>
    <w:rsid w:val="00EE3C35"/>
    <w:rsid w:val="00EE3CA6"/>
    <w:rsid w:val="00EE3CC4"/>
    <w:rsid w:val="00EE3E7E"/>
    <w:rsid w:val="00EE3EF4"/>
    <w:rsid w:val="00EE3F5E"/>
    <w:rsid w:val="00EE402C"/>
    <w:rsid w:val="00EE4445"/>
    <w:rsid w:val="00EE4494"/>
    <w:rsid w:val="00EE472B"/>
    <w:rsid w:val="00EE47FB"/>
    <w:rsid w:val="00EE481B"/>
    <w:rsid w:val="00EE4846"/>
    <w:rsid w:val="00EE4893"/>
    <w:rsid w:val="00EE48B6"/>
    <w:rsid w:val="00EE48DE"/>
    <w:rsid w:val="00EE499B"/>
    <w:rsid w:val="00EE4AEA"/>
    <w:rsid w:val="00EE4B0A"/>
    <w:rsid w:val="00EE4C13"/>
    <w:rsid w:val="00EE4CC3"/>
    <w:rsid w:val="00EE4DAC"/>
    <w:rsid w:val="00EE4DF0"/>
    <w:rsid w:val="00EE4EAE"/>
    <w:rsid w:val="00EE4F44"/>
    <w:rsid w:val="00EE4F78"/>
    <w:rsid w:val="00EE4FB4"/>
    <w:rsid w:val="00EE5080"/>
    <w:rsid w:val="00EE50B8"/>
    <w:rsid w:val="00EE523C"/>
    <w:rsid w:val="00EE52D9"/>
    <w:rsid w:val="00EE52FC"/>
    <w:rsid w:val="00EE532E"/>
    <w:rsid w:val="00EE543C"/>
    <w:rsid w:val="00EE5498"/>
    <w:rsid w:val="00EE5620"/>
    <w:rsid w:val="00EE56F3"/>
    <w:rsid w:val="00EE5709"/>
    <w:rsid w:val="00EE5920"/>
    <w:rsid w:val="00EE599B"/>
    <w:rsid w:val="00EE59C3"/>
    <w:rsid w:val="00EE5AED"/>
    <w:rsid w:val="00EE5BA3"/>
    <w:rsid w:val="00EE5C42"/>
    <w:rsid w:val="00EE5E81"/>
    <w:rsid w:val="00EE5EE8"/>
    <w:rsid w:val="00EE5F20"/>
    <w:rsid w:val="00EE5F99"/>
    <w:rsid w:val="00EE605C"/>
    <w:rsid w:val="00EE6060"/>
    <w:rsid w:val="00EE60DF"/>
    <w:rsid w:val="00EE6310"/>
    <w:rsid w:val="00EE6469"/>
    <w:rsid w:val="00EE660B"/>
    <w:rsid w:val="00EE669B"/>
    <w:rsid w:val="00EE66D3"/>
    <w:rsid w:val="00EE673F"/>
    <w:rsid w:val="00EE67BE"/>
    <w:rsid w:val="00EE6823"/>
    <w:rsid w:val="00EE6903"/>
    <w:rsid w:val="00EE6905"/>
    <w:rsid w:val="00EE6977"/>
    <w:rsid w:val="00EE69A0"/>
    <w:rsid w:val="00EE6A71"/>
    <w:rsid w:val="00EE6A79"/>
    <w:rsid w:val="00EE6AD5"/>
    <w:rsid w:val="00EE6B7E"/>
    <w:rsid w:val="00EE6C24"/>
    <w:rsid w:val="00EE6D7B"/>
    <w:rsid w:val="00EE6EBD"/>
    <w:rsid w:val="00EE7024"/>
    <w:rsid w:val="00EE7082"/>
    <w:rsid w:val="00EE70D3"/>
    <w:rsid w:val="00EE712A"/>
    <w:rsid w:val="00EE71DE"/>
    <w:rsid w:val="00EE7236"/>
    <w:rsid w:val="00EE7359"/>
    <w:rsid w:val="00EE752B"/>
    <w:rsid w:val="00EE75C2"/>
    <w:rsid w:val="00EE75C3"/>
    <w:rsid w:val="00EE7632"/>
    <w:rsid w:val="00EE768F"/>
    <w:rsid w:val="00EE7762"/>
    <w:rsid w:val="00EE7778"/>
    <w:rsid w:val="00EE777A"/>
    <w:rsid w:val="00EE77F4"/>
    <w:rsid w:val="00EE78CB"/>
    <w:rsid w:val="00EE793B"/>
    <w:rsid w:val="00EE7A02"/>
    <w:rsid w:val="00EE7B8F"/>
    <w:rsid w:val="00EE7BF4"/>
    <w:rsid w:val="00EE7BF5"/>
    <w:rsid w:val="00EE7C0A"/>
    <w:rsid w:val="00EE7C74"/>
    <w:rsid w:val="00EE7CA1"/>
    <w:rsid w:val="00EE7D10"/>
    <w:rsid w:val="00EE7E86"/>
    <w:rsid w:val="00EE7EFC"/>
    <w:rsid w:val="00EE7F62"/>
    <w:rsid w:val="00EF007D"/>
    <w:rsid w:val="00EF017C"/>
    <w:rsid w:val="00EF018C"/>
    <w:rsid w:val="00EF0209"/>
    <w:rsid w:val="00EF02F5"/>
    <w:rsid w:val="00EF03B0"/>
    <w:rsid w:val="00EF048A"/>
    <w:rsid w:val="00EF04C8"/>
    <w:rsid w:val="00EF050A"/>
    <w:rsid w:val="00EF0666"/>
    <w:rsid w:val="00EF0759"/>
    <w:rsid w:val="00EF079D"/>
    <w:rsid w:val="00EF08E5"/>
    <w:rsid w:val="00EF09D6"/>
    <w:rsid w:val="00EF0A4E"/>
    <w:rsid w:val="00EF0A64"/>
    <w:rsid w:val="00EF0A90"/>
    <w:rsid w:val="00EF0B2F"/>
    <w:rsid w:val="00EF0B72"/>
    <w:rsid w:val="00EF0C01"/>
    <w:rsid w:val="00EF0C62"/>
    <w:rsid w:val="00EF0D55"/>
    <w:rsid w:val="00EF0DFA"/>
    <w:rsid w:val="00EF0ED4"/>
    <w:rsid w:val="00EF0ED9"/>
    <w:rsid w:val="00EF102C"/>
    <w:rsid w:val="00EF1096"/>
    <w:rsid w:val="00EF1164"/>
    <w:rsid w:val="00EF1183"/>
    <w:rsid w:val="00EF1219"/>
    <w:rsid w:val="00EF1424"/>
    <w:rsid w:val="00EF1458"/>
    <w:rsid w:val="00EF146C"/>
    <w:rsid w:val="00EF1476"/>
    <w:rsid w:val="00EF1524"/>
    <w:rsid w:val="00EF152A"/>
    <w:rsid w:val="00EF15A3"/>
    <w:rsid w:val="00EF15CA"/>
    <w:rsid w:val="00EF16D1"/>
    <w:rsid w:val="00EF1717"/>
    <w:rsid w:val="00EF171F"/>
    <w:rsid w:val="00EF18B1"/>
    <w:rsid w:val="00EF1928"/>
    <w:rsid w:val="00EF1D73"/>
    <w:rsid w:val="00EF1F84"/>
    <w:rsid w:val="00EF1FD9"/>
    <w:rsid w:val="00EF1FFB"/>
    <w:rsid w:val="00EF203F"/>
    <w:rsid w:val="00EF217A"/>
    <w:rsid w:val="00EF21EC"/>
    <w:rsid w:val="00EF22FC"/>
    <w:rsid w:val="00EF2304"/>
    <w:rsid w:val="00EF23D8"/>
    <w:rsid w:val="00EF2447"/>
    <w:rsid w:val="00EF252E"/>
    <w:rsid w:val="00EF25A0"/>
    <w:rsid w:val="00EF2748"/>
    <w:rsid w:val="00EF27F0"/>
    <w:rsid w:val="00EF298D"/>
    <w:rsid w:val="00EF29A8"/>
    <w:rsid w:val="00EF29B5"/>
    <w:rsid w:val="00EF2AB8"/>
    <w:rsid w:val="00EF2C28"/>
    <w:rsid w:val="00EF2C40"/>
    <w:rsid w:val="00EF2C44"/>
    <w:rsid w:val="00EF2F51"/>
    <w:rsid w:val="00EF30B1"/>
    <w:rsid w:val="00EF31AA"/>
    <w:rsid w:val="00EF328E"/>
    <w:rsid w:val="00EF348F"/>
    <w:rsid w:val="00EF34A8"/>
    <w:rsid w:val="00EF35D1"/>
    <w:rsid w:val="00EF3691"/>
    <w:rsid w:val="00EF378A"/>
    <w:rsid w:val="00EF37CF"/>
    <w:rsid w:val="00EF387F"/>
    <w:rsid w:val="00EF3968"/>
    <w:rsid w:val="00EF39C3"/>
    <w:rsid w:val="00EF3AA1"/>
    <w:rsid w:val="00EF3AC8"/>
    <w:rsid w:val="00EF3AF6"/>
    <w:rsid w:val="00EF3C97"/>
    <w:rsid w:val="00EF3EE9"/>
    <w:rsid w:val="00EF3EFC"/>
    <w:rsid w:val="00EF3F17"/>
    <w:rsid w:val="00EF3F28"/>
    <w:rsid w:val="00EF4067"/>
    <w:rsid w:val="00EF406E"/>
    <w:rsid w:val="00EF413A"/>
    <w:rsid w:val="00EF42D3"/>
    <w:rsid w:val="00EF4373"/>
    <w:rsid w:val="00EF43ED"/>
    <w:rsid w:val="00EF45C3"/>
    <w:rsid w:val="00EF45DE"/>
    <w:rsid w:val="00EF45FA"/>
    <w:rsid w:val="00EF461C"/>
    <w:rsid w:val="00EF4791"/>
    <w:rsid w:val="00EF47B7"/>
    <w:rsid w:val="00EF49F0"/>
    <w:rsid w:val="00EF4AC8"/>
    <w:rsid w:val="00EF4B63"/>
    <w:rsid w:val="00EF4C81"/>
    <w:rsid w:val="00EF4C99"/>
    <w:rsid w:val="00EF4D13"/>
    <w:rsid w:val="00EF4DAD"/>
    <w:rsid w:val="00EF4E84"/>
    <w:rsid w:val="00EF4EAD"/>
    <w:rsid w:val="00EF4FE9"/>
    <w:rsid w:val="00EF50E8"/>
    <w:rsid w:val="00EF5122"/>
    <w:rsid w:val="00EF5571"/>
    <w:rsid w:val="00EF55BD"/>
    <w:rsid w:val="00EF56CB"/>
    <w:rsid w:val="00EF5704"/>
    <w:rsid w:val="00EF57B3"/>
    <w:rsid w:val="00EF5809"/>
    <w:rsid w:val="00EF58BD"/>
    <w:rsid w:val="00EF5987"/>
    <w:rsid w:val="00EF59BD"/>
    <w:rsid w:val="00EF59E9"/>
    <w:rsid w:val="00EF5A4C"/>
    <w:rsid w:val="00EF5C27"/>
    <w:rsid w:val="00EF5D3B"/>
    <w:rsid w:val="00EF5D94"/>
    <w:rsid w:val="00EF5DA3"/>
    <w:rsid w:val="00EF5E70"/>
    <w:rsid w:val="00EF5EBB"/>
    <w:rsid w:val="00EF5F13"/>
    <w:rsid w:val="00EF5F26"/>
    <w:rsid w:val="00EF5FF6"/>
    <w:rsid w:val="00EF6056"/>
    <w:rsid w:val="00EF60FD"/>
    <w:rsid w:val="00EF6173"/>
    <w:rsid w:val="00EF6192"/>
    <w:rsid w:val="00EF61C4"/>
    <w:rsid w:val="00EF62E1"/>
    <w:rsid w:val="00EF63B7"/>
    <w:rsid w:val="00EF6404"/>
    <w:rsid w:val="00EF6501"/>
    <w:rsid w:val="00EF6528"/>
    <w:rsid w:val="00EF65C6"/>
    <w:rsid w:val="00EF6618"/>
    <w:rsid w:val="00EF6659"/>
    <w:rsid w:val="00EF67A7"/>
    <w:rsid w:val="00EF67CD"/>
    <w:rsid w:val="00EF6801"/>
    <w:rsid w:val="00EF68A6"/>
    <w:rsid w:val="00EF68D4"/>
    <w:rsid w:val="00EF68DF"/>
    <w:rsid w:val="00EF6A8F"/>
    <w:rsid w:val="00EF6A90"/>
    <w:rsid w:val="00EF6B4C"/>
    <w:rsid w:val="00EF6CE3"/>
    <w:rsid w:val="00EF6D22"/>
    <w:rsid w:val="00EF6DAB"/>
    <w:rsid w:val="00EF6DC1"/>
    <w:rsid w:val="00EF6F5C"/>
    <w:rsid w:val="00EF6F77"/>
    <w:rsid w:val="00EF6F7C"/>
    <w:rsid w:val="00EF700B"/>
    <w:rsid w:val="00EF701C"/>
    <w:rsid w:val="00EF70E0"/>
    <w:rsid w:val="00EF71A7"/>
    <w:rsid w:val="00EF72B6"/>
    <w:rsid w:val="00EF7380"/>
    <w:rsid w:val="00EF73CD"/>
    <w:rsid w:val="00EF7594"/>
    <w:rsid w:val="00EF759E"/>
    <w:rsid w:val="00EF7698"/>
    <w:rsid w:val="00EF78B1"/>
    <w:rsid w:val="00EF791B"/>
    <w:rsid w:val="00EF7943"/>
    <w:rsid w:val="00EF797E"/>
    <w:rsid w:val="00EF79A9"/>
    <w:rsid w:val="00EF7A4F"/>
    <w:rsid w:val="00EF7A8C"/>
    <w:rsid w:val="00EF7A98"/>
    <w:rsid w:val="00EF7C88"/>
    <w:rsid w:val="00EF7C8D"/>
    <w:rsid w:val="00EF7DE8"/>
    <w:rsid w:val="00F00107"/>
    <w:rsid w:val="00F00127"/>
    <w:rsid w:val="00F0016A"/>
    <w:rsid w:val="00F001C8"/>
    <w:rsid w:val="00F001F9"/>
    <w:rsid w:val="00F00278"/>
    <w:rsid w:val="00F003F2"/>
    <w:rsid w:val="00F0048A"/>
    <w:rsid w:val="00F004FF"/>
    <w:rsid w:val="00F00575"/>
    <w:rsid w:val="00F005AA"/>
    <w:rsid w:val="00F00699"/>
    <w:rsid w:val="00F006CC"/>
    <w:rsid w:val="00F007BC"/>
    <w:rsid w:val="00F007FD"/>
    <w:rsid w:val="00F00882"/>
    <w:rsid w:val="00F008D1"/>
    <w:rsid w:val="00F0097B"/>
    <w:rsid w:val="00F00A94"/>
    <w:rsid w:val="00F00B20"/>
    <w:rsid w:val="00F00BF9"/>
    <w:rsid w:val="00F00CB9"/>
    <w:rsid w:val="00F00DE0"/>
    <w:rsid w:val="00F00F3B"/>
    <w:rsid w:val="00F01039"/>
    <w:rsid w:val="00F0104E"/>
    <w:rsid w:val="00F010FF"/>
    <w:rsid w:val="00F0126A"/>
    <w:rsid w:val="00F013E1"/>
    <w:rsid w:val="00F013FD"/>
    <w:rsid w:val="00F014D2"/>
    <w:rsid w:val="00F01502"/>
    <w:rsid w:val="00F015A6"/>
    <w:rsid w:val="00F01605"/>
    <w:rsid w:val="00F01632"/>
    <w:rsid w:val="00F017D4"/>
    <w:rsid w:val="00F01985"/>
    <w:rsid w:val="00F0198E"/>
    <w:rsid w:val="00F01A58"/>
    <w:rsid w:val="00F01B06"/>
    <w:rsid w:val="00F01B77"/>
    <w:rsid w:val="00F01E70"/>
    <w:rsid w:val="00F01F5B"/>
    <w:rsid w:val="00F01F85"/>
    <w:rsid w:val="00F02063"/>
    <w:rsid w:val="00F021AD"/>
    <w:rsid w:val="00F021C4"/>
    <w:rsid w:val="00F0226A"/>
    <w:rsid w:val="00F022BE"/>
    <w:rsid w:val="00F022D8"/>
    <w:rsid w:val="00F022DA"/>
    <w:rsid w:val="00F022E4"/>
    <w:rsid w:val="00F0231C"/>
    <w:rsid w:val="00F0232A"/>
    <w:rsid w:val="00F024A5"/>
    <w:rsid w:val="00F02554"/>
    <w:rsid w:val="00F025C9"/>
    <w:rsid w:val="00F02662"/>
    <w:rsid w:val="00F02671"/>
    <w:rsid w:val="00F026C6"/>
    <w:rsid w:val="00F0285F"/>
    <w:rsid w:val="00F028E7"/>
    <w:rsid w:val="00F0298D"/>
    <w:rsid w:val="00F029F3"/>
    <w:rsid w:val="00F02B54"/>
    <w:rsid w:val="00F02B63"/>
    <w:rsid w:val="00F02D33"/>
    <w:rsid w:val="00F02E5A"/>
    <w:rsid w:val="00F02F27"/>
    <w:rsid w:val="00F02F32"/>
    <w:rsid w:val="00F02F8A"/>
    <w:rsid w:val="00F0302D"/>
    <w:rsid w:val="00F030A9"/>
    <w:rsid w:val="00F031B9"/>
    <w:rsid w:val="00F03499"/>
    <w:rsid w:val="00F035F2"/>
    <w:rsid w:val="00F03637"/>
    <w:rsid w:val="00F0372A"/>
    <w:rsid w:val="00F0379D"/>
    <w:rsid w:val="00F037C2"/>
    <w:rsid w:val="00F03835"/>
    <w:rsid w:val="00F03841"/>
    <w:rsid w:val="00F03886"/>
    <w:rsid w:val="00F038DB"/>
    <w:rsid w:val="00F03AF1"/>
    <w:rsid w:val="00F03B1D"/>
    <w:rsid w:val="00F03B33"/>
    <w:rsid w:val="00F03B76"/>
    <w:rsid w:val="00F03B7D"/>
    <w:rsid w:val="00F03BC3"/>
    <w:rsid w:val="00F03C87"/>
    <w:rsid w:val="00F03D7D"/>
    <w:rsid w:val="00F03DE9"/>
    <w:rsid w:val="00F03DF5"/>
    <w:rsid w:val="00F03DF6"/>
    <w:rsid w:val="00F03E12"/>
    <w:rsid w:val="00F040F6"/>
    <w:rsid w:val="00F04107"/>
    <w:rsid w:val="00F041C0"/>
    <w:rsid w:val="00F041D1"/>
    <w:rsid w:val="00F042CA"/>
    <w:rsid w:val="00F042F8"/>
    <w:rsid w:val="00F043C1"/>
    <w:rsid w:val="00F0445D"/>
    <w:rsid w:val="00F04460"/>
    <w:rsid w:val="00F04505"/>
    <w:rsid w:val="00F04530"/>
    <w:rsid w:val="00F04532"/>
    <w:rsid w:val="00F04545"/>
    <w:rsid w:val="00F04646"/>
    <w:rsid w:val="00F04651"/>
    <w:rsid w:val="00F046A8"/>
    <w:rsid w:val="00F046AD"/>
    <w:rsid w:val="00F046C0"/>
    <w:rsid w:val="00F04780"/>
    <w:rsid w:val="00F04788"/>
    <w:rsid w:val="00F04806"/>
    <w:rsid w:val="00F048BA"/>
    <w:rsid w:val="00F0497C"/>
    <w:rsid w:val="00F04998"/>
    <w:rsid w:val="00F049E2"/>
    <w:rsid w:val="00F04A4B"/>
    <w:rsid w:val="00F04AB6"/>
    <w:rsid w:val="00F04AD9"/>
    <w:rsid w:val="00F04C75"/>
    <w:rsid w:val="00F04CC8"/>
    <w:rsid w:val="00F04E0A"/>
    <w:rsid w:val="00F05020"/>
    <w:rsid w:val="00F050BE"/>
    <w:rsid w:val="00F05140"/>
    <w:rsid w:val="00F05252"/>
    <w:rsid w:val="00F0526C"/>
    <w:rsid w:val="00F052BC"/>
    <w:rsid w:val="00F052D8"/>
    <w:rsid w:val="00F0531D"/>
    <w:rsid w:val="00F05467"/>
    <w:rsid w:val="00F054DF"/>
    <w:rsid w:val="00F05557"/>
    <w:rsid w:val="00F055EA"/>
    <w:rsid w:val="00F05962"/>
    <w:rsid w:val="00F05A37"/>
    <w:rsid w:val="00F05AB9"/>
    <w:rsid w:val="00F05B60"/>
    <w:rsid w:val="00F05BB9"/>
    <w:rsid w:val="00F05CCB"/>
    <w:rsid w:val="00F05D21"/>
    <w:rsid w:val="00F05DBA"/>
    <w:rsid w:val="00F05DE5"/>
    <w:rsid w:val="00F05E4E"/>
    <w:rsid w:val="00F05EF2"/>
    <w:rsid w:val="00F06067"/>
    <w:rsid w:val="00F061E6"/>
    <w:rsid w:val="00F0622C"/>
    <w:rsid w:val="00F06285"/>
    <w:rsid w:val="00F06394"/>
    <w:rsid w:val="00F063F1"/>
    <w:rsid w:val="00F0656C"/>
    <w:rsid w:val="00F065CC"/>
    <w:rsid w:val="00F06614"/>
    <w:rsid w:val="00F06631"/>
    <w:rsid w:val="00F06669"/>
    <w:rsid w:val="00F06670"/>
    <w:rsid w:val="00F0667A"/>
    <w:rsid w:val="00F066A8"/>
    <w:rsid w:val="00F066AB"/>
    <w:rsid w:val="00F06753"/>
    <w:rsid w:val="00F06786"/>
    <w:rsid w:val="00F06788"/>
    <w:rsid w:val="00F06797"/>
    <w:rsid w:val="00F0687C"/>
    <w:rsid w:val="00F068AF"/>
    <w:rsid w:val="00F068BD"/>
    <w:rsid w:val="00F06966"/>
    <w:rsid w:val="00F06B1C"/>
    <w:rsid w:val="00F06B4F"/>
    <w:rsid w:val="00F06C08"/>
    <w:rsid w:val="00F06C4C"/>
    <w:rsid w:val="00F06CA0"/>
    <w:rsid w:val="00F06D40"/>
    <w:rsid w:val="00F06E4F"/>
    <w:rsid w:val="00F07064"/>
    <w:rsid w:val="00F070BD"/>
    <w:rsid w:val="00F071A1"/>
    <w:rsid w:val="00F0732F"/>
    <w:rsid w:val="00F0752B"/>
    <w:rsid w:val="00F075AA"/>
    <w:rsid w:val="00F0765C"/>
    <w:rsid w:val="00F07677"/>
    <w:rsid w:val="00F0767B"/>
    <w:rsid w:val="00F076BC"/>
    <w:rsid w:val="00F0774A"/>
    <w:rsid w:val="00F07775"/>
    <w:rsid w:val="00F0779F"/>
    <w:rsid w:val="00F077A9"/>
    <w:rsid w:val="00F07812"/>
    <w:rsid w:val="00F07888"/>
    <w:rsid w:val="00F078BA"/>
    <w:rsid w:val="00F0792D"/>
    <w:rsid w:val="00F07996"/>
    <w:rsid w:val="00F07999"/>
    <w:rsid w:val="00F07A56"/>
    <w:rsid w:val="00F07ACD"/>
    <w:rsid w:val="00F07B2D"/>
    <w:rsid w:val="00F07BFE"/>
    <w:rsid w:val="00F07C7E"/>
    <w:rsid w:val="00F07E92"/>
    <w:rsid w:val="00F07EC9"/>
    <w:rsid w:val="00F07F47"/>
    <w:rsid w:val="00F10036"/>
    <w:rsid w:val="00F1007D"/>
    <w:rsid w:val="00F1020D"/>
    <w:rsid w:val="00F10230"/>
    <w:rsid w:val="00F10266"/>
    <w:rsid w:val="00F102A3"/>
    <w:rsid w:val="00F102B9"/>
    <w:rsid w:val="00F10311"/>
    <w:rsid w:val="00F103B4"/>
    <w:rsid w:val="00F10484"/>
    <w:rsid w:val="00F104BB"/>
    <w:rsid w:val="00F1051E"/>
    <w:rsid w:val="00F10556"/>
    <w:rsid w:val="00F10667"/>
    <w:rsid w:val="00F1077B"/>
    <w:rsid w:val="00F1083D"/>
    <w:rsid w:val="00F10A09"/>
    <w:rsid w:val="00F10A7F"/>
    <w:rsid w:val="00F10AB0"/>
    <w:rsid w:val="00F10ADA"/>
    <w:rsid w:val="00F10B45"/>
    <w:rsid w:val="00F10B7A"/>
    <w:rsid w:val="00F10B7B"/>
    <w:rsid w:val="00F10B9E"/>
    <w:rsid w:val="00F10C67"/>
    <w:rsid w:val="00F10CBF"/>
    <w:rsid w:val="00F10CF7"/>
    <w:rsid w:val="00F10DC6"/>
    <w:rsid w:val="00F10FE9"/>
    <w:rsid w:val="00F10FF4"/>
    <w:rsid w:val="00F110CE"/>
    <w:rsid w:val="00F111B2"/>
    <w:rsid w:val="00F1120B"/>
    <w:rsid w:val="00F11271"/>
    <w:rsid w:val="00F112BC"/>
    <w:rsid w:val="00F11327"/>
    <w:rsid w:val="00F11351"/>
    <w:rsid w:val="00F1137E"/>
    <w:rsid w:val="00F11384"/>
    <w:rsid w:val="00F114FA"/>
    <w:rsid w:val="00F1151F"/>
    <w:rsid w:val="00F11597"/>
    <w:rsid w:val="00F115BF"/>
    <w:rsid w:val="00F115C9"/>
    <w:rsid w:val="00F115FA"/>
    <w:rsid w:val="00F11641"/>
    <w:rsid w:val="00F1172C"/>
    <w:rsid w:val="00F11843"/>
    <w:rsid w:val="00F119D5"/>
    <w:rsid w:val="00F11ABE"/>
    <w:rsid w:val="00F11B8A"/>
    <w:rsid w:val="00F11C3F"/>
    <w:rsid w:val="00F11C5F"/>
    <w:rsid w:val="00F11C86"/>
    <w:rsid w:val="00F11C99"/>
    <w:rsid w:val="00F11CFE"/>
    <w:rsid w:val="00F11D3E"/>
    <w:rsid w:val="00F11DDC"/>
    <w:rsid w:val="00F11DDE"/>
    <w:rsid w:val="00F11E76"/>
    <w:rsid w:val="00F11E7D"/>
    <w:rsid w:val="00F1205E"/>
    <w:rsid w:val="00F12173"/>
    <w:rsid w:val="00F122DE"/>
    <w:rsid w:val="00F122F9"/>
    <w:rsid w:val="00F12336"/>
    <w:rsid w:val="00F1254F"/>
    <w:rsid w:val="00F12603"/>
    <w:rsid w:val="00F12630"/>
    <w:rsid w:val="00F12642"/>
    <w:rsid w:val="00F1266C"/>
    <w:rsid w:val="00F126DF"/>
    <w:rsid w:val="00F12774"/>
    <w:rsid w:val="00F127E3"/>
    <w:rsid w:val="00F128A5"/>
    <w:rsid w:val="00F128DC"/>
    <w:rsid w:val="00F12A5E"/>
    <w:rsid w:val="00F12B2C"/>
    <w:rsid w:val="00F12B3C"/>
    <w:rsid w:val="00F12DCB"/>
    <w:rsid w:val="00F12DF8"/>
    <w:rsid w:val="00F12E83"/>
    <w:rsid w:val="00F12ED5"/>
    <w:rsid w:val="00F12EFE"/>
    <w:rsid w:val="00F12F2C"/>
    <w:rsid w:val="00F12FB0"/>
    <w:rsid w:val="00F13067"/>
    <w:rsid w:val="00F13114"/>
    <w:rsid w:val="00F131F6"/>
    <w:rsid w:val="00F13218"/>
    <w:rsid w:val="00F132F1"/>
    <w:rsid w:val="00F13330"/>
    <w:rsid w:val="00F1335E"/>
    <w:rsid w:val="00F1345C"/>
    <w:rsid w:val="00F13598"/>
    <w:rsid w:val="00F135A7"/>
    <w:rsid w:val="00F1371F"/>
    <w:rsid w:val="00F137DB"/>
    <w:rsid w:val="00F138F1"/>
    <w:rsid w:val="00F139F5"/>
    <w:rsid w:val="00F13AC3"/>
    <w:rsid w:val="00F13B47"/>
    <w:rsid w:val="00F13B86"/>
    <w:rsid w:val="00F13B88"/>
    <w:rsid w:val="00F13B93"/>
    <w:rsid w:val="00F13B96"/>
    <w:rsid w:val="00F13C81"/>
    <w:rsid w:val="00F13D69"/>
    <w:rsid w:val="00F13D6F"/>
    <w:rsid w:val="00F13F91"/>
    <w:rsid w:val="00F140FF"/>
    <w:rsid w:val="00F14175"/>
    <w:rsid w:val="00F141C8"/>
    <w:rsid w:val="00F1424C"/>
    <w:rsid w:val="00F1425C"/>
    <w:rsid w:val="00F1426A"/>
    <w:rsid w:val="00F14322"/>
    <w:rsid w:val="00F143E6"/>
    <w:rsid w:val="00F14477"/>
    <w:rsid w:val="00F144AD"/>
    <w:rsid w:val="00F145B3"/>
    <w:rsid w:val="00F14636"/>
    <w:rsid w:val="00F1463E"/>
    <w:rsid w:val="00F14651"/>
    <w:rsid w:val="00F146A8"/>
    <w:rsid w:val="00F146C0"/>
    <w:rsid w:val="00F1490C"/>
    <w:rsid w:val="00F14AFF"/>
    <w:rsid w:val="00F14B27"/>
    <w:rsid w:val="00F14B5D"/>
    <w:rsid w:val="00F14BA1"/>
    <w:rsid w:val="00F14BA3"/>
    <w:rsid w:val="00F14D6F"/>
    <w:rsid w:val="00F14DC8"/>
    <w:rsid w:val="00F14F9F"/>
    <w:rsid w:val="00F15064"/>
    <w:rsid w:val="00F1506F"/>
    <w:rsid w:val="00F150C4"/>
    <w:rsid w:val="00F15297"/>
    <w:rsid w:val="00F152D6"/>
    <w:rsid w:val="00F154E1"/>
    <w:rsid w:val="00F1554B"/>
    <w:rsid w:val="00F155DF"/>
    <w:rsid w:val="00F156D2"/>
    <w:rsid w:val="00F15807"/>
    <w:rsid w:val="00F158DB"/>
    <w:rsid w:val="00F1593B"/>
    <w:rsid w:val="00F15A06"/>
    <w:rsid w:val="00F15A26"/>
    <w:rsid w:val="00F15D31"/>
    <w:rsid w:val="00F15F89"/>
    <w:rsid w:val="00F16153"/>
    <w:rsid w:val="00F16232"/>
    <w:rsid w:val="00F16297"/>
    <w:rsid w:val="00F162A4"/>
    <w:rsid w:val="00F16378"/>
    <w:rsid w:val="00F1648D"/>
    <w:rsid w:val="00F164FB"/>
    <w:rsid w:val="00F1650F"/>
    <w:rsid w:val="00F16544"/>
    <w:rsid w:val="00F1661A"/>
    <w:rsid w:val="00F1668A"/>
    <w:rsid w:val="00F16811"/>
    <w:rsid w:val="00F1691A"/>
    <w:rsid w:val="00F169F1"/>
    <w:rsid w:val="00F16A0F"/>
    <w:rsid w:val="00F16A4C"/>
    <w:rsid w:val="00F16A6C"/>
    <w:rsid w:val="00F16ADB"/>
    <w:rsid w:val="00F16B75"/>
    <w:rsid w:val="00F16CE7"/>
    <w:rsid w:val="00F16CE8"/>
    <w:rsid w:val="00F16DB7"/>
    <w:rsid w:val="00F16E8B"/>
    <w:rsid w:val="00F16E9F"/>
    <w:rsid w:val="00F16ED6"/>
    <w:rsid w:val="00F16F8F"/>
    <w:rsid w:val="00F16FAC"/>
    <w:rsid w:val="00F16FCD"/>
    <w:rsid w:val="00F170AF"/>
    <w:rsid w:val="00F1714C"/>
    <w:rsid w:val="00F17150"/>
    <w:rsid w:val="00F17184"/>
    <w:rsid w:val="00F171B2"/>
    <w:rsid w:val="00F173A1"/>
    <w:rsid w:val="00F174A6"/>
    <w:rsid w:val="00F1750E"/>
    <w:rsid w:val="00F1750F"/>
    <w:rsid w:val="00F17604"/>
    <w:rsid w:val="00F1765F"/>
    <w:rsid w:val="00F1767D"/>
    <w:rsid w:val="00F176B3"/>
    <w:rsid w:val="00F17766"/>
    <w:rsid w:val="00F17799"/>
    <w:rsid w:val="00F1780F"/>
    <w:rsid w:val="00F178CB"/>
    <w:rsid w:val="00F179B1"/>
    <w:rsid w:val="00F17AA0"/>
    <w:rsid w:val="00F17BFD"/>
    <w:rsid w:val="00F17E8B"/>
    <w:rsid w:val="00F17EA4"/>
    <w:rsid w:val="00F17EB7"/>
    <w:rsid w:val="00F17FAD"/>
    <w:rsid w:val="00F2019A"/>
    <w:rsid w:val="00F2019B"/>
    <w:rsid w:val="00F201D8"/>
    <w:rsid w:val="00F20254"/>
    <w:rsid w:val="00F202AF"/>
    <w:rsid w:val="00F20339"/>
    <w:rsid w:val="00F20380"/>
    <w:rsid w:val="00F203F1"/>
    <w:rsid w:val="00F20465"/>
    <w:rsid w:val="00F20552"/>
    <w:rsid w:val="00F205E2"/>
    <w:rsid w:val="00F20614"/>
    <w:rsid w:val="00F20778"/>
    <w:rsid w:val="00F207C4"/>
    <w:rsid w:val="00F208DB"/>
    <w:rsid w:val="00F20A69"/>
    <w:rsid w:val="00F20A6F"/>
    <w:rsid w:val="00F20B60"/>
    <w:rsid w:val="00F20C10"/>
    <w:rsid w:val="00F20C2B"/>
    <w:rsid w:val="00F20C5B"/>
    <w:rsid w:val="00F20E00"/>
    <w:rsid w:val="00F20F9D"/>
    <w:rsid w:val="00F210CA"/>
    <w:rsid w:val="00F21192"/>
    <w:rsid w:val="00F211EE"/>
    <w:rsid w:val="00F21237"/>
    <w:rsid w:val="00F212A1"/>
    <w:rsid w:val="00F212FD"/>
    <w:rsid w:val="00F2131F"/>
    <w:rsid w:val="00F2139F"/>
    <w:rsid w:val="00F213E4"/>
    <w:rsid w:val="00F214A6"/>
    <w:rsid w:val="00F214C9"/>
    <w:rsid w:val="00F21591"/>
    <w:rsid w:val="00F2163D"/>
    <w:rsid w:val="00F2163F"/>
    <w:rsid w:val="00F21651"/>
    <w:rsid w:val="00F21729"/>
    <w:rsid w:val="00F2179C"/>
    <w:rsid w:val="00F2179E"/>
    <w:rsid w:val="00F217A3"/>
    <w:rsid w:val="00F218D1"/>
    <w:rsid w:val="00F21B0B"/>
    <w:rsid w:val="00F21B27"/>
    <w:rsid w:val="00F21BCB"/>
    <w:rsid w:val="00F21BED"/>
    <w:rsid w:val="00F21CB7"/>
    <w:rsid w:val="00F21D9F"/>
    <w:rsid w:val="00F21E13"/>
    <w:rsid w:val="00F21E5C"/>
    <w:rsid w:val="00F21FCE"/>
    <w:rsid w:val="00F22055"/>
    <w:rsid w:val="00F22186"/>
    <w:rsid w:val="00F2225D"/>
    <w:rsid w:val="00F22268"/>
    <w:rsid w:val="00F2231C"/>
    <w:rsid w:val="00F22481"/>
    <w:rsid w:val="00F224AF"/>
    <w:rsid w:val="00F2256F"/>
    <w:rsid w:val="00F22619"/>
    <w:rsid w:val="00F2263C"/>
    <w:rsid w:val="00F2265D"/>
    <w:rsid w:val="00F22776"/>
    <w:rsid w:val="00F22820"/>
    <w:rsid w:val="00F2287C"/>
    <w:rsid w:val="00F22944"/>
    <w:rsid w:val="00F22A5E"/>
    <w:rsid w:val="00F22A6D"/>
    <w:rsid w:val="00F22AD5"/>
    <w:rsid w:val="00F22B77"/>
    <w:rsid w:val="00F22C6F"/>
    <w:rsid w:val="00F22CE0"/>
    <w:rsid w:val="00F22E47"/>
    <w:rsid w:val="00F22E64"/>
    <w:rsid w:val="00F22EA0"/>
    <w:rsid w:val="00F22F08"/>
    <w:rsid w:val="00F22FE7"/>
    <w:rsid w:val="00F23082"/>
    <w:rsid w:val="00F23090"/>
    <w:rsid w:val="00F23115"/>
    <w:rsid w:val="00F23261"/>
    <w:rsid w:val="00F23284"/>
    <w:rsid w:val="00F232AB"/>
    <w:rsid w:val="00F232CF"/>
    <w:rsid w:val="00F2332B"/>
    <w:rsid w:val="00F2348C"/>
    <w:rsid w:val="00F23494"/>
    <w:rsid w:val="00F234D7"/>
    <w:rsid w:val="00F234D8"/>
    <w:rsid w:val="00F23527"/>
    <w:rsid w:val="00F235E2"/>
    <w:rsid w:val="00F23619"/>
    <w:rsid w:val="00F236A9"/>
    <w:rsid w:val="00F2373F"/>
    <w:rsid w:val="00F237A7"/>
    <w:rsid w:val="00F238CF"/>
    <w:rsid w:val="00F2393B"/>
    <w:rsid w:val="00F239CB"/>
    <w:rsid w:val="00F23A6F"/>
    <w:rsid w:val="00F23B4C"/>
    <w:rsid w:val="00F23B9D"/>
    <w:rsid w:val="00F23C15"/>
    <w:rsid w:val="00F23C3D"/>
    <w:rsid w:val="00F23CC4"/>
    <w:rsid w:val="00F23D55"/>
    <w:rsid w:val="00F23DDD"/>
    <w:rsid w:val="00F23F99"/>
    <w:rsid w:val="00F24009"/>
    <w:rsid w:val="00F240D4"/>
    <w:rsid w:val="00F24115"/>
    <w:rsid w:val="00F24264"/>
    <w:rsid w:val="00F24307"/>
    <w:rsid w:val="00F2435D"/>
    <w:rsid w:val="00F24506"/>
    <w:rsid w:val="00F2458A"/>
    <w:rsid w:val="00F2461D"/>
    <w:rsid w:val="00F246DC"/>
    <w:rsid w:val="00F247CC"/>
    <w:rsid w:val="00F24829"/>
    <w:rsid w:val="00F24853"/>
    <w:rsid w:val="00F24858"/>
    <w:rsid w:val="00F249D2"/>
    <w:rsid w:val="00F24A70"/>
    <w:rsid w:val="00F24AD1"/>
    <w:rsid w:val="00F24C42"/>
    <w:rsid w:val="00F24D59"/>
    <w:rsid w:val="00F24D9A"/>
    <w:rsid w:val="00F24DA9"/>
    <w:rsid w:val="00F24E7F"/>
    <w:rsid w:val="00F24F7D"/>
    <w:rsid w:val="00F24F93"/>
    <w:rsid w:val="00F24FE0"/>
    <w:rsid w:val="00F25126"/>
    <w:rsid w:val="00F2514D"/>
    <w:rsid w:val="00F25156"/>
    <w:rsid w:val="00F2515A"/>
    <w:rsid w:val="00F25163"/>
    <w:rsid w:val="00F25180"/>
    <w:rsid w:val="00F251C1"/>
    <w:rsid w:val="00F251E6"/>
    <w:rsid w:val="00F25201"/>
    <w:rsid w:val="00F25411"/>
    <w:rsid w:val="00F254B3"/>
    <w:rsid w:val="00F255F8"/>
    <w:rsid w:val="00F2579A"/>
    <w:rsid w:val="00F25B39"/>
    <w:rsid w:val="00F25B96"/>
    <w:rsid w:val="00F25BB9"/>
    <w:rsid w:val="00F25C91"/>
    <w:rsid w:val="00F25E4A"/>
    <w:rsid w:val="00F25EDE"/>
    <w:rsid w:val="00F25F1D"/>
    <w:rsid w:val="00F25FB1"/>
    <w:rsid w:val="00F2602C"/>
    <w:rsid w:val="00F260B4"/>
    <w:rsid w:val="00F260DC"/>
    <w:rsid w:val="00F26176"/>
    <w:rsid w:val="00F261CD"/>
    <w:rsid w:val="00F261F8"/>
    <w:rsid w:val="00F26215"/>
    <w:rsid w:val="00F26253"/>
    <w:rsid w:val="00F26483"/>
    <w:rsid w:val="00F26607"/>
    <w:rsid w:val="00F2664A"/>
    <w:rsid w:val="00F26689"/>
    <w:rsid w:val="00F26715"/>
    <w:rsid w:val="00F26924"/>
    <w:rsid w:val="00F2696F"/>
    <w:rsid w:val="00F26A2A"/>
    <w:rsid w:val="00F26A37"/>
    <w:rsid w:val="00F26AD4"/>
    <w:rsid w:val="00F26BC3"/>
    <w:rsid w:val="00F26BFF"/>
    <w:rsid w:val="00F26C03"/>
    <w:rsid w:val="00F26CBE"/>
    <w:rsid w:val="00F26CC4"/>
    <w:rsid w:val="00F26D1F"/>
    <w:rsid w:val="00F26D42"/>
    <w:rsid w:val="00F26D64"/>
    <w:rsid w:val="00F26EB1"/>
    <w:rsid w:val="00F26F01"/>
    <w:rsid w:val="00F27183"/>
    <w:rsid w:val="00F27193"/>
    <w:rsid w:val="00F2745C"/>
    <w:rsid w:val="00F27527"/>
    <w:rsid w:val="00F2757E"/>
    <w:rsid w:val="00F2759F"/>
    <w:rsid w:val="00F27838"/>
    <w:rsid w:val="00F2788B"/>
    <w:rsid w:val="00F278C0"/>
    <w:rsid w:val="00F27930"/>
    <w:rsid w:val="00F279BD"/>
    <w:rsid w:val="00F27A10"/>
    <w:rsid w:val="00F27ADE"/>
    <w:rsid w:val="00F27C25"/>
    <w:rsid w:val="00F27C59"/>
    <w:rsid w:val="00F27C99"/>
    <w:rsid w:val="00F27CBF"/>
    <w:rsid w:val="00F27CD2"/>
    <w:rsid w:val="00F27D24"/>
    <w:rsid w:val="00F27D98"/>
    <w:rsid w:val="00F27E6F"/>
    <w:rsid w:val="00F27FED"/>
    <w:rsid w:val="00F3007C"/>
    <w:rsid w:val="00F301F5"/>
    <w:rsid w:val="00F3037C"/>
    <w:rsid w:val="00F3042A"/>
    <w:rsid w:val="00F306F4"/>
    <w:rsid w:val="00F308BB"/>
    <w:rsid w:val="00F308F8"/>
    <w:rsid w:val="00F3096A"/>
    <w:rsid w:val="00F30A0E"/>
    <w:rsid w:val="00F30ADB"/>
    <w:rsid w:val="00F30B39"/>
    <w:rsid w:val="00F30BF9"/>
    <w:rsid w:val="00F30C02"/>
    <w:rsid w:val="00F30C1B"/>
    <w:rsid w:val="00F30CAE"/>
    <w:rsid w:val="00F30DBD"/>
    <w:rsid w:val="00F30E18"/>
    <w:rsid w:val="00F30EE5"/>
    <w:rsid w:val="00F30EE7"/>
    <w:rsid w:val="00F30FA6"/>
    <w:rsid w:val="00F30FDA"/>
    <w:rsid w:val="00F31016"/>
    <w:rsid w:val="00F31025"/>
    <w:rsid w:val="00F3103D"/>
    <w:rsid w:val="00F310F2"/>
    <w:rsid w:val="00F31384"/>
    <w:rsid w:val="00F314AE"/>
    <w:rsid w:val="00F315A8"/>
    <w:rsid w:val="00F31617"/>
    <w:rsid w:val="00F31633"/>
    <w:rsid w:val="00F31672"/>
    <w:rsid w:val="00F316B9"/>
    <w:rsid w:val="00F31717"/>
    <w:rsid w:val="00F3173C"/>
    <w:rsid w:val="00F3176B"/>
    <w:rsid w:val="00F3179D"/>
    <w:rsid w:val="00F317F9"/>
    <w:rsid w:val="00F31931"/>
    <w:rsid w:val="00F319DE"/>
    <w:rsid w:val="00F31A15"/>
    <w:rsid w:val="00F31A36"/>
    <w:rsid w:val="00F31A65"/>
    <w:rsid w:val="00F31B18"/>
    <w:rsid w:val="00F31B1E"/>
    <w:rsid w:val="00F31C66"/>
    <w:rsid w:val="00F31E4C"/>
    <w:rsid w:val="00F31E7B"/>
    <w:rsid w:val="00F31FE0"/>
    <w:rsid w:val="00F32027"/>
    <w:rsid w:val="00F3208C"/>
    <w:rsid w:val="00F320B9"/>
    <w:rsid w:val="00F320F7"/>
    <w:rsid w:val="00F3210F"/>
    <w:rsid w:val="00F32131"/>
    <w:rsid w:val="00F32161"/>
    <w:rsid w:val="00F321BA"/>
    <w:rsid w:val="00F321F9"/>
    <w:rsid w:val="00F32258"/>
    <w:rsid w:val="00F3230B"/>
    <w:rsid w:val="00F32315"/>
    <w:rsid w:val="00F32320"/>
    <w:rsid w:val="00F3234A"/>
    <w:rsid w:val="00F3241F"/>
    <w:rsid w:val="00F32431"/>
    <w:rsid w:val="00F32490"/>
    <w:rsid w:val="00F32771"/>
    <w:rsid w:val="00F327A5"/>
    <w:rsid w:val="00F327AC"/>
    <w:rsid w:val="00F32952"/>
    <w:rsid w:val="00F329D4"/>
    <w:rsid w:val="00F32A65"/>
    <w:rsid w:val="00F32A7B"/>
    <w:rsid w:val="00F32B4E"/>
    <w:rsid w:val="00F32C9E"/>
    <w:rsid w:val="00F32CD6"/>
    <w:rsid w:val="00F32F68"/>
    <w:rsid w:val="00F32FD9"/>
    <w:rsid w:val="00F32FF4"/>
    <w:rsid w:val="00F331D3"/>
    <w:rsid w:val="00F3322E"/>
    <w:rsid w:val="00F3325B"/>
    <w:rsid w:val="00F33297"/>
    <w:rsid w:val="00F332E4"/>
    <w:rsid w:val="00F33419"/>
    <w:rsid w:val="00F335A5"/>
    <w:rsid w:val="00F33889"/>
    <w:rsid w:val="00F338F9"/>
    <w:rsid w:val="00F33916"/>
    <w:rsid w:val="00F3393E"/>
    <w:rsid w:val="00F33BDF"/>
    <w:rsid w:val="00F33C1D"/>
    <w:rsid w:val="00F33C9E"/>
    <w:rsid w:val="00F33D13"/>
    <w:rsid w:val="00F33DC8"/>
    <w:rsid w:val="00F33E75"/>
    <w:rsid w:val="00F33F2F"/>
    <w:rsid w:val="00F34069"/>
    <w:rsid w:val="00F34106"/>
    <w:rsid w:val="00F34110"/>
    <w:rsid w:val="00F341C1"/>
    <w:rsid w:val="00F341DE"/>
    <w:rsid w:val="00F343F8"/>
    <w:rsid w:val="00F34622"/>
    <w:rsid w:val="00F34630"/>
    <w:rsid w:val="00F34667"/>
    <w:rsid w:val="00F34686"/>
    <w:rsid w:val="00F347DA"/>
    <w:rsid w:val="00F3488B"/>
    <w:rsid w:val="00F34B99"/>
    <w:rsid w:val="00F34BD9"/>
    <w:rsid w:val="00F34BE8"/>
    <w:rsid w:val="00F34D5E"/>
    <w:rsid w:val="00F34ED6"/>
    <w:rsid w:val="00F35128"/>
    <w:rsid w:val="00F351A7"/>
    <w:rsid w:val="00F35224"/>
    <w:rsid w:val="00F3532F"/>
    <w:rsid w:val="00F35421"/>
    <w:rsid w:val="00F3544C"/>
    <w:rsid w:val="00F35490"/>
    <w:rsid w:val="00F354AB"/>
    <w:rsid w:val="00F354ED"/>
    <w:rsid w:val="00F35545"/>
    <w:rsid w:val="00F355AE"/>
    <w:rsid w:val="00F355D0"/>
    <w:rsid w:val="00F358DE"/>
    <w:rsid w:val="00F35ADE"/>
    <w:rsid w:val="00F35B5F"/>
    <w:rsid w:val="00F35CE9"/>
    <w:rsid w:val="00F35D0A"/>
    <w:rsid w:val="00F35FD2"/>
    <w:rsid w:val="00F36037"/>
    <w:rsid w:val="00F36067"/>
    <w:rsid w:val="00F36097"/>
    <w:rsid w:val="00F3615A"/>
    <w:rsid w:val="00F36208"/>
    <w:rsid w:val="00F36246"/>
    <w:rsid w:val="00F36282"/>
    <w:rsid w:val="00F3628F"/>
    <w:rsid w:val="00F362D1"/>
    <w:rsid w:val="00F36358"/>
    <w:rsid w:val="00F3637D"/>
    <w:rsid w:val="00F363F0"/>
    <w:rsid w:val="00F36477"/>
    <w:rsid w:val="00F3647D"/>
    <w:rsid w:val="00F36515"/>
    <w:rsid w:val="00F3668D"/>
    <w:rsid w:val="00F368C9"/>
    <w:rsid w:val="00F36919"/>
    <w:rsid w:val="00F36A7E"/>
    <w:rsid w:val="00F36AFE"/>
    <w:rsid w:val="00F36BEC"/>
    <w:rsid w:val="00F36CC6"/>
    <w:rsid w:val="00F36CF7"/>
    <w:rsid w:val="00F36E28"/>
    <w:rsid w:val="00F36E4B"/>
    <w:rsid w:val="00F36EF3"/>
    <w:rsid w:val="00F36F26"/>
    <w:rsid w:val="00F36F71"/>
    <w:rsid w:val="00F36FB9"/>
    <w:rsid w:val="00F370A0"/>
    <w:rsid w:val="00F370E8"/>
    <w:rsid w:val="00F370EE"/>
    <w:rsid w:val="00F37260"/>
    <w:rsid w:val="00F37342"/>
    <w:rsid w:val="00F3734C"/>
    <w:rsid w:val="00F37369"/>
    <w:rsid w:val="00F37396"/>
    <w:rsid w:val="00F3744C"/>
    <w:rsid w:val="00F374B7"/>
    <w:rsid w:val="00F374DA"/>
    <w:rsid w:val="00F3753A"/>
    <w:rsid w:val="00F375AC"/>
    <w:rsid w:val="00F375E0"/>
    <w:rsid w:val="00F375F7"/>
    <w:rsid w:val="00F37621"/>
    <w:rsid w:val="00F376A4"/>
    <w:rsid w:val="00F376BC"/>
    <w:rsid w:val="00F37741"/>
    <w:rsid w:val="00F377E1"/>
    <w:rsid w:val="00F37854"/>
    <w:rsid w:val="00F378A9"/>
    <w:rsid w:val="00F378FE"/>
    <w:rsid w:val="00F379E1"/>
    <w:rsid w:val="00F37BE8"/>
    <w:rsid w:val="00F37BFB"/>
    <w:rsid w:val="00F37C5E"/>
    <w:rsid w:val="00F37D83"/>
    <w:rsid w:val="00F37D86"/>
    <w:rsid w:val="00F37DFB"/>
    <w:rsid w:val="00F37EAD"/>
    <w:rsid w:val="00F37F94"/>
    <w:rsid w:val="00F37FBA"/>
    <w:rsid w:val="00F40146"/>
    <w:rsid w:val="00F40186"/>
    <w:rsid w:val="00F40226"/>
    <w:rsid w:val="00F4030A"/>
    <w:rsid w:val="00F403F4"/>
    <w:rsid w:val="00F40479"/>
    <w:rsid w:val="00F404DB"/>
    <w:rsid w:val="00F40595"/>
    <w:rsid w:val="00F4061B"/>
    <w:rsid w:val="00F4065B"/>
    <w:rsid w:val="00F406CE"/>
    <w:rsid w:val="00F4071F"/>
    <w:rsid w:val="00F40741"/>
    <w:rsid w:val="00F407BA"/>
    <w:rsid w:val="00F407E9"/>
    <w:rsid w:val="00F408FF"/>
    <w:rsid w:val="00F40989"/>
    <w:rsid w:val="00F409B5"/>
    <w:rsid w:val="00F40C25"/>
    <w:rsid w:val="00F40C8D"/>
    <w:rsid w:val="00F40CCC"/>
    <w:rsid w:val="00F40CED"/>
    <w:rsid w:val="00F40E7E"/>
    <w:rsid w:val="00F40F29"/>
    <w:rsid w:val="00F40FB1"/>
    <w:rsid w:val="00F40FB8"/>
    <w:rsid w:val="00F40FF8"/>
    <w:rsid w:val="00F41016"/>
    <w:rsid w:val="00F411D7"/>
    <w:rsid w:val="00F41385"/>
    <w:rsid w:val="00F414A6"/>
    <w:rsid w:val="00F415F7"/>
    <w:rsid w:val="00F415FF"/>
    <w:rsid w:val="00F4165A"/>
    <w:rsid w:val="00F41670"/>
    <w:rsid w:val="00F4170D"/>
    <w:rsid w:val="00F41934"/>
    <w:rsid w:val="00F41AB1"/>
    <w:rsid w:val="00F41BEB"/>
    <w:rsid w:val="00F41C05"/>
    <w:rsid w:val="00F41CA9"/>
    <w:rsid w:val="00F41D9B"/>
    <w:rsid w:val="00F41E34"/>
    <w:rsid w:val="00F41EBE"/>
    <w:rsid w:val="00F41F16"/>
    <w:rsid w:val="00F41F42"/>
    <w:rsid w:val="00F41FFF"/>
    <w:rsid w:val="00F42195"/>
    <w:rsid w:val="00F4227A"/>
    <w:rsid w:val="00F422A7"/>
    <w:rsid w:val="00F422D9"/>
    <w:rsid w:val="00F422E7"/>
    <w:rsid w:val="00F42353"/>
    <w:rsid w:val="00F423B8"/>
    <w:rsid w:val="00F42425"/>
    <w:rsid w:val="00F42448"/>
    <w:rsid w:val="00F424C9"/>
    <w:rsid w:val="00F42663"/>
    <w:rsid w:val="00F426AD"/>
    <w:rsid w:val="00F42738"/>
    <w:rsid w:val="00F427C5"/>
    <w:rsid w:val="00F42824"/>
    <w:rsid w:val="00F42872"/>
    <w:rsid w:val="00F428B7"/>
    <w:rsid w:val="00F428FB"/>
    <w:rsid w:val="00F42A3A"/>
    <w:rsid w:val="00F42B0B"/>
    <w:rsid w:val="00F42B0F"/>
    <w:rsid w:val="00F42B1D"/>
    <w:rsid w:val="00F42CA6"/>
    <w:rsid w:val="00F42CAE"/>
    <w:rsid w:val="00F42D70"/>
    <w:rsid w:val="00F42D76"/>
    <w:rsid w:val="00F42DF2"/>
    <w:rsid w:val="00F42E0C"/>
    <w:rsid w:val="00F42EE1"/>
    <w:rsid w:val="00F42F28"/>
    <w:rsid w:val="00F42FDE"/>
    <w:rsid w:val="00F43100"/>
    <w:rsid w:val="00F43179"/>
    <w:rsid w:val="00F43212"/>
    <w:rsid w:val="00F433B1"/>
    <w:rsid w:val="00F433F4"/>
    <w:rsid w:val="00F433FE"/>
    <w:rsid w:val="00F43401"/>
    <w:rsid w:val="00F4340A"/>
    <w:rsid w:val="00F4345C"/>
    <w:rsid w:val="00F43533"/>
    <w:rsid w:val="00F43580"/>
    <w:rsid w:val="00F435AF"/>
    <w:rsid w:val="00F43706"/>
    <w:rsid w:val="00F43834"/>
    <w:rsid w:val="00F438C1"/>
    <w:rsid w:val="00F43940"/>
    <w:rsid w:val="00F439B4"/>
    <w:rsid w:val="00F43ACD"/>
    <w:rsid w:val="00F43B84"/>
    <w:rsid w:val="00F43C75"/>
    <w:rsid w:val="00F43D3A"/>
    <w:rsid w:val="00F43E7B"/>
    <w:rsid w:val="00F43F20"/>
    <w:rsid w:val="00F43F2D"/>
    <w:rsid w:val="00F4403A"/>
    <w:rsid w:val="00F44293"/>
    <w:rsid w:val="00F442B8"/>
    <w:rsid w:val="00F44338"/>
    <w:rsid w:val="00F443F5"/>
    <w:rsid w:val="00F443FB"/>
    <w:rsid w:val="00F446B0"/>
    <w:rsid w:val="00F446E1"/>
    <w:rsid w:val="00F4477A"/>
    <w:rsid w:val="00F44783"/>
    <w:rsid w:val="00F448EE"/>
    <w:rsid w:val="00F4490B"/>
    <w:rsid w:val="00F44977"/>
    <w:rsid w:val="00F449CE"/>
    <w:rsid w:val="00F44A3E"/>
    <w:rsid w:val="00F44A76"/>
    <w:rsid w:val="00F44B54"/>
    <w:rsid w:val="00F44C94"/>
    <w:rsid w:val="00F44E06"/>
    <w:rsid w:val="00F44EB9"/>
    <w:rsid w:val="00F44FDA"/>
    <w:rsid w:val="00F45034"/>
    <w:rsid w:val="00F45061"/>
    <w:rsid w:val="00F4506F"/>
    <w:rsid w:val="00F450C8"/>
    <w:rsid w:val="00F450CA"/>
    <w:rsid w:val="00F45136"/>
    <w:rsid w:val="00F4518C"/>
    <w:rsid w:val="00F451B3"/>
    <w:rsid w:val="00F4531B"/>
    <w:rsid w:val="00F45415"/>
    <w:rsid w:val="00F454C5"/>
    <w:rsid w:val="00F455D0"/>
    <w:rsid w:val="00F455F6"/>
    <w:rsid w:val="00F45619"/>
    <w:rsid w:val="00F456FA"/>
    <w:rsid w:val="00F4579E"/>
    <w:rsid w:val="00F4581D"/>
    <w:rsid w:val="00F45846"/>
    <w:rsid w:val="00F458E4"/>
    <w:rsid w:val="00F45944"/>
    <w:rsid w:val="00F45A47"/>
    <w:rsid w:val="00F45A72"/>
    <w:rsid w:val="00F45A88"/>
    <w:rsid w:val="00F45B0A"/>
    <w:rsid w:val="00F45C3D"/>
    <w:rsid w:val="00F45CFD"/>
    <w:rsid w:val="00F45D04"/>
    <w:rsid w:val="00F45E1B"/>
    <w:rsid w:val="00F45E6C"/>
    <w:rsid w:val="00F45E90"/>
    <w:rsid w:val="00F45EF5"/>
    <w:rsid w:val="00F45F14"/>
    <w:rsid w:val="00F45F1E"/>
    <w:rsid w:val="00F46056"/>
    <w:rsid w:val="00F46225"/>
    <w:rsid w:val="00F46249"/>
    <w:rsid w:val="00F462BD"/>
    <w:rsid w:val="00F462DE"/>
    <w:rsid w:val="00F46361"/>
    <w:rsid w:val="00F46386"/>
    <w:rsid w:val="00F463EE"/>
    <w:rsid w:val="00F463EF"/>
    <w:rsid w:val="00F4649A"/>
    <w:rsid w:val="00F46546"/>
    <w:rsid w:val="00F46612"/>
    <w:rsid w:val="00F46756"/>
    <w:rsid w:val="00F467C8"/>
    <w:rsid w:val="00F4686A"/>
    <w:rsid w:val="00F469E2"/>
    <w:rsid w:val="00F46B5F"/>
    <w:rsid w:val="00F46B72"/>
    <w:rsid w:val="00F46BC8"/>
    <w:rsid w:val="00F46D14"/>
    <w:rsid w:val="00F46D1B"/>
    <w:rsid w:val="00F46E57"/>
    <w:rsid w:val="00F46F50"/>
    <w:rsid w:val="00F46F8C"/>
    <w:rsid w:val="00F46FC9"/>
    <w:rsid w:val="00F46FDA"/>
    <w:rsid w:val="00F47031"/>
    <w:rsid w:val="00F4706E"/>
    <w:rsid w:val="00F470C8"/>
    <w:rsid w:val="00F471A2"/>
    <w:rsid w:val="00F471D2"/>
    <w:rsid w:val="00F471D6"/>
    <w:rsid w:val="00F471EE"/>
    <w:rsid w:val="00F47202"/>
    <w:rsid w:val="00F47247"/>
    <w:rsid w:val="00F472AD"/>
    <w:rsid w:val="00F4733E"/>
    <w:rsid w:val="00F473CA"/>
    <w:rsid w:val="00F47455"/>
    <w:rsid w:val="00F474CE"/>
    <w:rsid w:val="00F47515"/>
    <w:rsid w:val="00F4751B"/>
    <w:rsid w:val="00F47551"/>
    <w:rsid w:val="00F47622"/>
    <w:rsid w:val="00F4765E"/>
    <w:rsid w:val="00F476B8"/>
    <w:rsid w:val="00F476FE"/>
    <w:rsid w:val="00F47707"/>
    <w:rsid w:val="00F477F8"/>
    <w:rsid w:val="00F4785B"/>
    <w:rsid w:val="00F47885"/>
    <w:rsid w:val="00F478B8"/>
    <w:rsid w:val="00F4793C"/>
    <w:rsid w:val="00F47942"/>
    <w:rsid w:val="00F47955"/>
    <w:rsid w:val="00F479C3"/>
    <w:rsid w:val="00F47A4E"/>
    <w:rsid w:val="00F47AA8"/>
    <w:rsid w:val="00F47ABE"/>
    <w:rsid w:val="00F47B20"/>
    <w:rsid w:val="00F47B62"/>
    <w:rsid w:val="00F47C06"/>
    <w:rsid w:val="00F47C14"/>
    <w:rsid w:val="00F47C45"/>
    <w:rsid w:val="00F47C5E"/>
    <w:rsid w:val="00F47D23"/>
    <w:rsid w:val="00F47E31"/>
    <w:rsid w:val="00F47EE2"/>
    <w:rsid w:val="00F47F5D"/>
    <w:rsid w:val="00F50286"/>
    <w:rsid w:val="00F50289"/>
    <w:rsid w:val="00F505D8"/>
    <w:rsid w:val="00F505E2"/>
    <w:rsid w:val="00F5065C"/>
    <w:rsid w:val="00F5072A"/>
    <w:rsid w:val="00F507DE"/>
    <w:rsid w:val="00F508D2"/>
    <w:rsid w:val="00F50A10"/>
    <w:rsid w:val="00F50A36"/>
    <w:rsid w:val="00F50BEC"/>
    <w:rsid w:val="00F50C4A"/>
    <w:rsid w:val="00F50C9D"/>
    <w:rsid w:val="00F50D92"/>
    <w:rsid w:val="00F50EE3"/>
    <w:rsid w:val="00F50FDA"/>
    <w:rsid w:val="00F5101E"/>
    <w:rsid w:val="00F51142"/>
    <w:rsid w:val="00F511DF"/>
    <w:rsid w:val="00F5120F"/>
    <w:rsid w:val="00F513E2"/>
    <w:rsid w:val="00F514D0"/>
    <w:rsid w:val="00F51657"/>
    <w:rsid w:val="00F516B7"/>
    <w:rsid w:val="00F516D6"/>
    <w:rsid w:val="00F51717"/>
    <w:rsid w:val="00F51747"/>
    <w:rsid w:val="00F51862"/>
    <w:rsid w:val="00F518B1"/>
    <w:rsid w:val="00F51AC8"/>
    <w:rsid w:val="00F51AE9"/>
    <w:rsid w:val="00F51B84"/>
    <w:rsid w:val="00F51D18"/>
    <w:rsid w:val="00F51D7A"/>
    <w:rsid w:val="00F51D87"/>
    <w:rsid w:val="00F51E06"/>
    <w:rsid w:val="00F51EF5"/>
    <w:rsid w:val="00F52084"/>
    <w:rsid w:val="00F52091"/>
    <w:rsid w:val="00F520DE"/>
    <w:rsid w:val="00F52109"/>
    <w:rsid w:val="00F5210E"/>
    <w:rsid w:val="00F52227"/>
    <w:rsid w:val="00F52262"/>
    <w:rsid w:val="00F52484"/>
    <w:rsid w:val="00F524CA"/>
    <w:rsid w:val="00F524CC"/>
    <w:rsid w:val="00F524DC"/>
    <w:rsid w:val="00F524FF"/>
    <w:rsid w:val="00F525B0"/>
    <w:rsid w:val="00F52682"/>
    <w:rsid w:val="00F5269F"/>
    <w:rsid w:val="00F526D6"/>
    <w:rsid w:val="00F52732"/>
    <w:rsid w:val="00F528CF"/>
    <w:rsid w:val="00F528D4"/>
    <w:rsid w:val="00F52954"/>
    <w:rsid w:val="00F52A94"/>
    <w:rsid w:val="00F52B84"/>
    <w:rsid w:val="00F52D15"/>
    <w:rsid w:val="00F52D51"/>
    <w:rsid w:val="00F52D9E"/>
    <w:rsid w:val="00F52E5C"/>
    <w:rsid w:val="00F52E5E"/>
    <w:rsid w:val="00F52EC3"/>
    <w:rsid w:val="00F52EFA"/>
    <w:rsid w:val="00F52F28"/>
    <w:rsid w:val="00F52F74"/>
    <w:rsid w:val="00F53062"/>
    <w:rsid w:val="00F5313C"/>
    <w:rsid w:val="00F5322A"/>
    <w:rsid w:val="00F532C1"/>
    <w:rsid w:val="00F532E9"/>
    <w:rsid w:val="00F5331F"/>
    <w:rsid w:val="00F533AB"/>
    <w:rsid w:val="00F5343B"/>
    <w:rsid w:val="00F53461"/>
    <w:rsid w:val="00F53520"/>
    <w:rsid w:val="00F53570"/>
    <w:rsid w:val="00F53612"/>
    <w:rsid w:val="00F53683"/>
    <w:rsid w:val="00F5369A"/>
    <w:rsid w:val="00F53715"/>
    <w:rsid w:val="00F537AF"/>
    <w:rsid w:val="00F538B6"/>
    <w:rsid w:val="00F5392C"/>
    <w:rsid w:val="00F53B4A"/>
    <w:rsid w:val="00F53CCA"/>
    <w:rsid w:val="00F53D5B"/>
    <w:rsid w:val="00F53E7F"/>
    <w:rsid w:val="00F53F45"/>
    <w:rsid w:val="00F5401F"/>
    <w:rsid w:val="00F5403E"/>
    <w:rsid w:val="00F54054"/>
    <w:rsid w:val="00F5414B"/>
    <w:rsid w:val="00F5416E"/>
    <w:rsid w:val="00F54206"/>
    <w:rsid w:val="00F5429D"/>
    <w:rsid w:val="00F542BF"/>
    <w:rsid w:val="00F542FC"/>
    <w:rsid w:val="00F54395"/>
    <w:rsid w:val="00F5439E"/>
    <w:rsid w:val="00F544D4"/>
    <w:rsid w:val="00F54565"/>
    <w:rsid w:val="00F54597"/>
    <w:rsid w:val="00F545CD"/>
    <w:rsid w:val="00F5469B"/>
    <w:rsid w:val="00F546F5"/>
    <w:rsid w:val="00F54740"/>
    <w:rsid w:val="00F54759"/>
    <w:rsid w:val="00F547D9"/>
    <w:rsid w:val="00F54831"/>
    <w:rsid w:val="00F5484D"/>
    <w:rsid w:val="00F548B8"/>
    <w:rsid w:val="00F548C7"/>
    <w:rsid w:val="00F548CB"/>
    <w:rsid w:val="00F54948"/>
    <w:rsid w:val="00F54960"/>
    <w:rsid w:val="00F549AA"/>
    <w:rsid w:val="00F54A17"/>
    <w:rsid w:val="00F54C26"/>
    <w:rsid w:val="00F54D4A"/>
    <w:rsid w:val="00F54DD6"/>
    <w:rsid w:val="00F54EEB"/>
    <w:rsid w:val="00F54FA2"/>
    <w:rsid w:val="00F5518A"/>
    <w:rsid w:val="00F552C4"/>
    <w:rsid w:val="00F55345"/>
    <w:rsid w:val="00F55384"/>
    <w:rsid w:val="00F5551B"/>
    <w:rsid w:val="00F556BB"/>
    <w:rsid w:val="00F5575D"/>
    <w:rsid w:val="00F557B5"/>
    <w:rsid w:val="00F557E8"/>
    <w:rsid w:val="00F55852"/>
    <w:rsid w:val="00F558EC"/>
    <w:rsid w:val="00F559D9"/>
    <w:rsid w:val="00F55ABC"/>
    <w:rsid w:val="00F55B64"/>
    <w:rsid w:val="00F55BF6"/>
    <w:rsid w:val="00F55D11"/>
    <w:rsid w:val="00F55E2C"/>
    <w:rsid w:val="00F55F31"/>
    <w:rsid w:val="00F56011"/>
    <w:rsid w:val="00F56054"/>
    <w:rsid w:val="00F5608C"/>
    <w:rsid w:val="00F560DB"/>
    <w:rsid w:val="00F5617F"/>
    <w:rsid w:val="00F561F0"/>
    <w:rsid w:val="00F56300"/>
    <w:rsid w:val="00F5636E"/>
    <w:rsid w:val="00F56392"/>
    <w:rsid w:val="00F5644F"/>
    <w:rsid w:val="00F5655B"/>
    <w:rsid w:val="00F56595"/>
    <w:rsid w:val="00F56619"/>
    <w:rsid w:val="00F56632"/>
    <w:rsid w:val="00F567A3"/>
    <w:rsid w:val="00F5683A"/>
    <w:rsid w:val="00F56AC7"/>
    <w:rsid w:val="00F56BF6"/>
    <w:rsid w:val="00F56BFE"/>
    <w:rsid w:val="00F56C50"/>
    <w:rsid w:val="00F56C7C"/>
    <w:rsid w:val="00F56CA3"/>
    <w:rsid w:val="00F56D0D"/>
    <w:rsid w:val="00F56D93"/>
    <w:rsid w:val="00F56DEA"/>
    <w:rsid w:val="00F56E3C"/>
    <w:rsid w:val="00F56E41"/>
    <w:rsid w:val="00F56EB8"/>
    <w:rsid w:val="00F56ED7"/>
    <w:rsid w:val="00F57006"/>
    <w:rsid w:val="00F571F5"/>
    <w:rsid w:val="00F572CC"/>
    <w:rsid w:val="00F5730C"/>
    <w:rsid w:val="00F57454"/>
    <w:rsid w:val="00F5757E"/>
    <w:rsid w:val="00F5758A"/>
    <w:rsid w:val="00F576D0"/>
    <w:rsid w:val="00F577B7"/>
    <w:rsid w:val="00F5780B"/>
    <w:rsid w:val="00F57906"/>
    <w:rsid w:val="00F57930"/>
    <w:rsid w:val="00F57A25"/>
    <w:rsid w:val="00F57A3D"/>
    <w:rsid w:val="00F57A56"/>
    <w:rsid w:val="00F57C3F"/>
    <w:rsid w:val="00F57C66"/>
    <w:rsid w:val="00F57DC1"/>
    <w:rsid w:val="00F57DEF"/>
    <w:rsid w:val="00F57EFF"/>
    <w:rsid w:val="00F57F37"/>
    <w:rsid w:val="00F57F7B"/>
    <w:rsid w:val="00F57FE5"/>
    <w:rsid w:val="00F57FF0"/>
    <w:rsid w:val="00F600E9"/>
    <w:rsid w:val="00F601EE"/>
    <w:rsid w:val="00F60316"/>
    <w:rsid w:val="00F603D9"/>
    <w:rsid w:val="00F604CA"/>
    <w:rsid w:val="00F605D9"/>
    <w:rsid w:val="00F60683"/>
    <w:rsid w:val="00F6086F"/>
    <w:rsid w:val="00F60A2C"/>
    <w:rsid w:val="00F60A92"/>
    <w:rsid w:val="00F60B8F"/>
    <w:rsid w:val="00F60C2F"/>
    <w:rsid w:val="00F60D37"/>
    <w:rsid w:val="00F60F27"/>
    <w:rsid w:val="00F60F29"/>
    <w:rsid w:val="00F6115D"/>
    <w:rsid w:val="00F611B1"/>
    <w:rsid w:val="00F61290"/>
    <w:rsid w:val="00F612F8"/>
    <w:rsid w:val="00F61349"/>
    <w:rsid w:val="00F6136A"/>
    <w:rsid w:val="00F61544"/>
    <w:rsid w:val="00F61593"/>
    <w:rsid w:val="00F616AD"/>
    <w:rsid w:val="00F61731"/>
    <w:rsid w:val="00F6179F"/>
    <w:rsid w:val="00F617CC"/>
    <w:rsid w:val="00F6187C"/>
    <w:rsid w:val="00F618A0"/>
    <w:rsid w:val="00F618C7"/>
    <w:rsid w:val="00F618E3"/>
    <w:rsid w:val="00F61949"/>
    <w:rsid w:val="00F61ACE"/>
    <w:rsid w:val="00F61C67"/>
    <w:rsid w:val="00F61D3E"/>
    <w:rsid w:val="00F61F04"/>
    <w:rsid w:val="00F61F1F"/>
    <w:rsid w:val="00F61F39"/>
    <w:rsid w:val="00F61F89"/>
    <w:rsid w:val="00F62144"/>
    <w:rsid w:val="00F621ED"/>
    <w:rsid w:val="00F62347"/>
    <w:rsid w:val="00F623AD"/>
    <w:rsid w:val="00F623C5"/>
    <w:rsid w:val="00F6240D"/>
    <w:rsid w:val="00F62584"/>
    <w:rsid w:val="00F62623"/>
    <w:rsid w:val="00F62716"/>
    <w:rsid w:val="00F627FC"/>
    <w:rsid w:val="00F6280F"/>
    <w:rsid w:val="00F62933"/>
    <w:rsid w:val="00F629C9"/>
    <w:rsid w:val="00F62A2A"/>
    <w:rsid w:val="00F62A7C"/>
    <w:rsid w:val="00F62E12"/>
    <w:rsid w:val="00F62EFD"/>
    <w:rsid w:val="00F62F91"/>
    <w:rsid w:val="00F62FE0"/>
    <w:rsid w:val="00F63095"/>
    <w:rsid w:val="00F630FA"/>
    <w:rsid w:val="00F631C5"/>
    <w:rsid w:val="00F63271"/>
    <w:rsid w:val="00F632CA"/>
    <w:rsid w:val="00F632F3"/>
    <w:rsid w:val="00F63307"/>
    <w:rsid w:val="00F63367"/>
    <w:rsid w:val="00F63403"/>
    <w:rsid w:val="00F634CF"/>
    <w:rsid w:val="00F63510"/>
    <w:rsid w:val="00F635AA"/>
    <w:rsid w:val="00F635E4"/>
    <w:rsid w:val="00F63631"/>
    <w:rsid w:val="00F63918"/>
    <w:rsid w:val="00F6392F"/>
    <w:rsid w:val="00F639DB"/>
    <w:rsid w:val="00F639DC"/>
    <w:rsid w:val="00F639E1"/>
    <w:rsid w:val="00F63B6B"/>
    <w:rsid w:val="00F63C29"/>
    <w:rsid w:val="00F63C78"/>
    <w:rsid w:val="00F63CBF"/>
    <w:rsid w:val="00F63ECD"/>
    <w:rsid w:val="00F63F02"/>
    <w:rsid w:val="00F63F35"/>
    <w:rsid w:val="00F64034"/>
    <w:rsid w:val="00F64053"/>
    <w:rsid w:val="00F64132"/>
    <w:rsid w:val="00F6419C"/>
    <w:rsid w:val="00F64269"/>
    <w:rsid w:val="00F643D2"/>
    <w:rsid w:val="00F643D9"/>
    <w:rsid w:val="00F643F2"/>
    <w:rsid w:val="00F644CC"/>
    <w:rsid w:val="00F6453F"/>
    <w:rsid w:val="00F64542"/>
    <w:rsid w:val="00F6463A"/>
    <w:rsid w:val="00F646CA"/>
    <w:rsid w:val="00F64730"/>
    <w:rsid w:val="00F64741"/>
    <w:rsid w:val="00F6477D"/>
    <w:rsid w:val="00F649AA"/>
    <w:rsid w:val="00F649C4"/>
    <w:rsid w:val="00F64A0F"/>
    <w:rsid w:val="00F64B30"/>
    <w:rsid w:val="00F64CD5"/>
    <w:rsid w:val="00F64CF1"/>
    <w:rsid w:val="00F64D6A"/>
    <w:rsid w:val="00F64DBD"/>
    <w:rsid w:val="00F64EF6"/>
    <w:rsid w:val="00F64F0A"/>
    <w:rsid w:val="00F64F3E"/>
    <w:rsid w:val="00F64FC7"/>
    <w:rsid w:val="00F65002"/>
    <w:rsid w:val="00F650CB"/>
    <w:rsid w:val="00F65147"/>
    <w:rsid w:val="00F65250"/>
    <w:rsid w:val="00F652C8"/>
    <w:rsid w:val="00F652F3"/>
    <w:rsid w:val="00F65308"/>
    <w:rsid w:val="00F65433"/>
    <w:rsid w:val="00F654BB"/>
    <w:rsid w:val="00F65716"/>
    <w:rsid w:val="00F65759"/>
    <w:rsid w:val="00F6590A"/>
    <w:rsid w:val="00F6594E"/>
    <w:rsid w:val="00F65AA0"/>
    <w:rsid w:val="00F65AB2"/>
    <w:rsid w:val="00F65AD3"/>
    <w:rsid w:val="00F65C0A"/>
    <w:rsid w:val="00F65C90"/>
    <w:rsid w:val="00F65C99"/>
    <w:rsid w:val="00F65D29"/>
    <w:rsid w:val="00F65DD3"/>
    <w:rsid w:val="00F65DDF"/>
    <w:rsid w:val="00F65E16"/>
    <w:rsid w:val="00F65E3E"/>
    <w:rsid w:val="00F65FE0"/>
    <w:rsid w:val="00F6603C"/>
    <w:rsid w:val="00F6604E"/>
    <w:rsid w:val="00F662C9"/>
    <w:rsid w:val="00F662D2"/>
    <w:rsid w:val="00F662E8"/>
    <w:rsid w:val="00F6639E"/>
    <w:rsid w:val="00F663B0"/>
    <w:rsid w:val="00F663DA"/>
    <w:rsid w:val="00F664AC"/>
    <w:rsid w:val="00F664D3"/>
    <w:rsid w:val="00F66553"/>
    <w:rsid w:val="00F66732"/>
    <w:rsid w:val="00F667D1"/>
    <w:rsid w:val="00F66883"/>
    <w:rsid w:val="00F668B5"/>
    <w:rsid w:val="00F66919"/>
    <w:rsid w:val="00F6691C"/>
    <w:rsid w:val="00F669B2"/>
    <w:rsid w:val="00F66B10"/>
    <w:rsid w:val="00F66B1E"/>
    <w:rsid w:val="00F66BBF"/>
    <w:rsid w:val="00F66D4D"/>
    <w:rsid w:val="00F66F9D"/>
    <w:rsid w:val="00F671D2"/>
    <w:rsid w:val="00F671D5"/>
    <w:rsid w:val="00F6720E"/>
    <w:rsid w:val="00F672C1"/>
    <w:rsid w:val="00F673BE"/>
    <w:rsid w:val="00F67460"/>
    <w:rsid w:val="00F675AA"/>
    <w:rsid w:val="00F675EF"/>
    <w:rsid w:val="00F67603"/>
    <w:rsid w:val="00F67668"/>
    <w:rsid w:val="00F679B6"/>
    <w:rsid w:val="00F67ACD"/>
    <w:rsid w:val="00F67AD7"/>
    <w:rsid w:val="00F67B6C"/>
    <w:rsid w:val="00F67BA6"/>
    <w:rsid w:val="00F67D62"/>
    <w:rsid w:val="00F67E67"/>
    <w:rsid w:val="00F67E6F"/>
    <w:rsid w:val="00F67E76"/>
    <w:rsid w:val="00F67EED"/>
    <w:rsid w:val="00F67FB3"/>
    <w:rsid w:val="00F67FB6"/>
    <w:rsid w:val="00F7006C"/>
    <w:rsid w:val="00F70124"/>
    <w:rsid w:val="00F7015C"/>
    <w:rsid w:val="00F70198"/>
    <w:rsid w:val="00F70218"/>
    <w:rsid w:val="00F7022C"/>
    <w:rsid w:val="00F7029C"/>
    <w:rsid w:val="00F7034A"/>
    <w:rsid w:val="00F703B0"/>
    <w:rsid w:val="00F703EA"/>
    <w:rsid w:val="00F704C2"/>
    <w:rsid w:val="00F7050B"/>
    <w:rsid w:val="00F70543"/>
    <w:rsid w:val="00F706DB"/>
    <w:rsid w:val="00F706DF"/>
    <w:rsid w:val="00F70743"/>
    <w:rsid w:val="00F707CC"/>
    <w:rsid w:val="00F7082A"/>
    <w:rsid w:val="00F70854"/>
    <w:rsid w:val="00F70978"/>
    <w:rsid w:val="00F70A17"/>
    <w:rsid w:val="00F70A2D"/>
    <w:rsid w:val="00F70B35"/>
    <w:rsid w:val="00F70B39"/>
    <w:rsid w:val="00F70B80"/>
    <w:rsid w:val="00F70D07"/>
    <w:rsid w:val="00F70D90"/>
    <w:rsid w:val="00F70DD8"/>
    <w:rsid w:val="00F70EA6"/>
    <w:rsid w:val="00F70F6F"/>
    <w:rsid w:val="00F70F88"/>
    <w:rsid w:val="00F70FDB"/>
    <w:rsid w:val="00F71021"/>
    <w:rsid w:val="00F71074"/>
    <w:rsid w:val="00F7110D"/>
    <w:rsid w:val="00F71126"/>
    <w:rsid w:val="00F7114F"/>
    <w:rsid w:val="00F711C6"/>
    <w:rsid w:val="00F71210"/>
    <w:rsid w:val="00F7139A"/>
    <w:rsid w:val="00F713EA"/>
    <w:rsid w:val="00F7144A"/>
    <w:rsid w:val="00F714A7"/>
    <w:rsid w:val="00F71559"/>
    <w:rsid w:val="00F716EF"/>
    <w:rsid w:val="00F7183B"/>
    <w:rsid w:val="00F71896"/>
    <w:rsid w:val="00F71993"/>
    <w:rsid w:val="00F7199C"/>
    <w:rsid w:val="00F71A66"/>
    <w:rsid w:val="00F71ACD"/>
    <w:rsid w:val="00F71BD4"/>
    <w:rsid w:val="00F71C47"/>
    <w:rsid w:val="00F71C60"/>
    <w:rsid w:val="00F71D61"/>
    <w:rsid w:val="00F71D7E"/>
    <w:rsid w:val="00F71E15"/>
    <w:rsid w:val="00F71E8A"/>
    <w:rsid w:val="00F72176"/>
    <w:rsid w:val="00F7217E"/>
    <w:rsid w:val="00F721B7"/>
    <w:rsid w:val="00F7220A"/>
    <w:rsid w:val="00F7222C"/>
    <w:rsid w:val="00F722E6"/>
    <w:rsid w:val="00F722EB"/>
    <w:rsid w:val="00F723CA"/>
    <w:rsid w:val="00F72428"/>
    <w:rsid w:val="00F7244F"/>
    <w:rsid w:val="00F72488"/>
    <w:rsid w:val="00F72549"/>
    <w:rsid w:val="00F72611"/>
    <w:rsid w:val="00F72612"/>
    <w:rsid w:val="00F7275F"/>
    <w:rsid w:val="00F72783"/>
    <w:rsid w:val="00F727BE"/>
    <w:rsid w:val="00F72820"/>
    <w:rsid w:val="00F7290C"/>
    <w:rsid w:val="00F72948"/>
    <w:rsid w:val="00F729E5"/>
    <w:rsid w:val="00F72A31"/>
    <w:rsid w:val="00F72ADF"/>
    <w:rsid w:val="00F72B7B"/>
    <w:rsid w:val="00F72D61"/>
    <w:rsid w:val="00F72DA4"/>
    <w:rsid w:val="00F72EAD"/>
    <w:rsid w:val="00F72F18"/>
    <w:rsid w:val="00F72F48"/>
    <w:rsid w:val="00F73030"/>
    <w:rsid w:val="00F7311E"/>
    <w:rsid w:val="00F73194"/>
    <w:rsid w:val="00F731E6"/>
    <w:rsid w:val="00F7321F"/>
    <w:rsid w:val="00F73247"/>
    <w:rsid w:val="00F73272"/>
    <w:rsid w:val="00F73341"/>
    <w:rsid w:val="00F73366"/>
    <w:rsid w:val="00F7337C"/>
    <w:rsid w:val="00F733FA"/>
    <w:rsid w:val="00F73457"/>
    <w:rsid w:val="00F73479"/>
    <w:rsid w:val="00F73489"/>
    <w:rsid w:val="00F734C1"/>
    <w:rsid w:val="00F7353B"/>
    <w:rsid w:val="00F735BF"/>
    <w:rsid w:val="00F736AA"/>
    <w:rsid w:val="00F737AD"/>
    <w:rsid w:val="00F73883"/>
    <w:rsid w:val="00F73A6F"/>
    <w:rsid w:val="00F73B11"/>
    <w:rsid w:val="00F73B6B"/>
    <w:rsid w:val="00F73C45"/>
    <w:rsid w:val="00F73CB5"/>
    <w:rsid w:val="00F73CE3"/>
    <w:rsid w:val="00F73E73"/>
    <w:rsid w:val="00F73E89"/>
    <w:rsid w:val="00F74023"/>
    <w:rsid w:val="00F74281"/>
    <w:rsid w:val="00F74292"/>
    <w:rsid w:val="00F74353"/>
    <w:rsid w:val="00F743BF"/>
    <w:rsid w:val="00F744F1"/>
    <w:rsid w:val="00F74569"/>
    <w:rsid w:val="00F746CD"/>
    <w:rsid w:val="00F746F2"/>
    <w:rsid w:val="00F74777"/>
    <w:rsid w:val="00F74791"/>
    <w:rsid w:val="00F74853"/>
    <w:rsid w:val="00F74924"/>
    <w:rsid w:val="00F74A7D"/>
    <w:rsid w:val="00F74B08"/>
    <w:rsid w:val="00F74BDA"/>
    <w:rsid w:val="00F74CDC"/>
    <w:rsid w:val="00F74DF8"/>
    <w:rsid w:val="00F74E83"/>
    <w:rsid w:val="00F74EC8"/>
    <w:rsid w:val="00F752DC"/>
    <w:rsid w:val="00F752F5"/>
    <w:rsid w:val="00F75325"/>
    <w:rsid w:val="00F7544C"/>
    <w:rsid w:val="00F75492"/>
    <w:rsid w:val="00F7551F"/>
    <w:rsid w:val="00F75637"/>
    <w:rsid w:val="00F756C9"/>
    <w:rsid w:val="00F757D4"/>
    <w:rsid w:val="00F758D2"/>
    <w:rsid w:val="00F75C82"/>
    <w:rsid w:val="00F75D54"/>
    <w:rsid w:val="00F75EA3"/>
    <w:rsid w:val="00F75F76"/>
    <w:rsid w:val="00F75FDF"/>
    <w:rsid w:val="00F76148"/>
    <w:rsid w:val="00F761D8"/>
    <w:rsid w:val="00F761E1"/>
    <w:rsid w:val="00F76205"/>
    <w:rsid w:val="00F7632D"/>
    <w:rsid w:val="00F76352"/>
    <w:rsid w:val="00F7640C"/>
    <w:rsid w:val="00F76576"/>
    <w:rsid w:val="00F7664D"/>
    <w:rsid w:val="00F76745"/>
    <w:rsid w:val="00F76864"/>
    <w:rsid w:val="00F7689C"/>
    <w:rsid w:val="00F768E1"/>
    <w:rsid w:val="00F768F3"/>
    <w:rsid w:val="00F768FA"/>
    <w:rsid w:val="00F769C5"/>
    <w:rsid w:val="00F76A78"/>
    <w:rsid w:val="00F76BA1"/>
    <w:rsid w:val="00F76BE4"/>
    <w:rsid w:val="00F76C1F"/>
    <w:rsid w:val="00F76C7E"/>
    <w:rsid w:val="00F76D3E"/>
    <w:rsid w:val="00F76D4E"/>
    <w:rsid w:val="00F76DB9"/>
    <w:rsid w:val="00F76ED3"/>
    <w:rsid w:val="00F76FD8"/>
    <w:rsid w:val="00F7704C"/>
    <w:rsid w:val="00F77089"/>
    <w:rsid w:val="00F77253"/>
    <w:rsid w:val="00F77265"/>
    <w:rsid w:val="00F77286"/>
    <w:rsid w:val="00F77366"/>
    <w:rsid w:val="00F773F2"/>
    <w:rsid w:val="00F7747E"/>
    <w:rsid w:val="00F774FD"/>
    <w:rsid w:val="00F77554"/>
    <w:rsid w:val="00F77664"/>
    <w:rsid w:val="00F7772F"/>
    <w:rsid w:val="00F7781A"/>
    <w:rsid w:val="00F7787E"/>
    <w:rsid w:val="00F778F8"/>
    <w:rsid w:val="00F77AB5"/>
    <w:rsid w:val="00F77BB5"/>
    <w:rsid w:val="00F77C91"/>
    <w:rsid w:val="00F77ED7"/>
    <w:rsid w:val="00F77F49"/>
    <w:rsid w:val="00F77F5E"/>
    <w:rsid w:val="00F80052"/>
    <w:rsid w:val="00F800C2"/>
    <w:rsid w:val="00F80114"/>
    <w:rsid w:val="00F8038B"/>
    <w:rsid w:val="00F803DD"/>
    <w:rsid w:val="00F80483"/>
    <w:rsid w:val="00F80524"/>
    <w:rsid w:val="00F80533"/>
    <w:rsid w:val="00F80640"/>
    <w:rsid w:val="00F80736"/>
    <w:rsid w:val="00F80794"/>
    <w:rsid w:val="00F80810"/>
    <w:rsid w:val="00F809BD"/>
    <w:rsid w:val="00F80A79"/>
    <w:rsid w:val="00F80B16"/>
    <w:rsid w:val="00F80CAC"/>
    <w:rsid w:val="00F80CC7"/>
    <w:rsid w:val="00F80D29"/>
    <w:rsid w:val="00F80FE5"/>
    <w:rsid w:val="00F81094"/>
    <w:rsid w:val="00F8113F"/>
    <w:rsid w:val="00F811FD"/>
    <w:rsid w:val="00F81292"/>
    <w:rsid w:val="00F812AA"/>
    <w:rsid w:val="00F812C7"/>
    <w:rsid w:val="00F814EE"/>
    <w:rsid w:val="00F81620"/>
    <w:rsid w:val="00F81695"/>
    <w:rsid w:val="00F819B7"/>
    <w:rsid w:val="00F819D6"/>
    <w:rsid w:val="00F819DE"/>
    <w:rsid w:val="00F81A25"/>
    <w:rsid w:val="00F81AD9"/>
    <w:rsid w:val="00F81BA1"/>
    <w:rsid w:val="00F81C70"/>
    <w:rsid w:val="00F81CC7"/>
    <w:rsid w:val="00F81D30"/>
    <w:rsid w:val="00F81D3A"/>
    <w:rsid w:val="00F81D4D"/>
    <w:rsid w:val="00F81E94"/>
    <w:rsid w:val="00F81EBC"/>
    <w:rsid w:val="00F81ECA"/>
    <w:rsid w:val="00F81F14"/>
    <w:rsid w:val="00F81F30"/>
    <w:rsid w:val="00F81F37"/>
    <w:rsid w:val="00F81FBA"/>
    <w:rsid w:val="00F81FBF"/>
    <w:rsid w:val="00F82181"/>
    <w:rsid w:val="00F82236"/>
    <w:rsid w:val="00F82313"/>
    <w:rsid w:val="00F823EA"/>
    <w:rsid w:val="00F823F1"/>
    <w:rsid w:val="00F824C2"/>
    <w:rsid w:val="00F824D3"/>
    <w:rsid w:val="00F824F8"/>
    <w:rsid w:val="00F82620"/>
    <w:rsid w:val="00F8265D"/>
    <w:rsid w:val="00F826B1"/>
    <w:rsid w:val="00F82764"/>
    <w:rsid w:val="00F8295B"/>
    <w:rsid w:val="00F82A37"/>
    <w:rsid w:val="00F82AFF"/>
    <w:rsid w:val="00F82B1A"/>
    <w:rsid w:val="00F82CBA"/>
    <w:rsid w:val="00F82CD1"/>
    <w:rsid w:val="00F82D7D"/>
    <w:rsid w:val="00F82DB4"/>
    <w:rsid w:val="00F82E13"/>
    <w:rsid w:val="00F82F35"/>
    <w:rsid w:val="00F82F4B"/>
    <w:rsid w:val="00F830E2"/>
    <w:rsid w:val="00F831C4"/>
    <w:rsid w:val="00F831F8"/>
    <w:rsid w:val="00F8324C"/>
    <w:rsid w:val="00F83305"/>
    <w:rsid w:val="00F8337F"/>
    <w:rsid w:val="00F83444"/>
    <w:rsid w:val="00F835A2"/>
    <w:rsid w:val="00F83622"/>
    <w:rsid w:val="00F83626"/>
    <w:rsid w:val="00F83632"/>
    <w:rsid w:val="00F83754"/>
    <w:rsid w:val="00F8378E"/>
    <w:rsid w:val="00F83790"/>
    <w:rsid w:val="00F8389B"/>
    <w:rsid w:val="00F838AA"/>
    <w:rsid w:val="00F8392A"/>
    <w:rsid w:val="00F839B9"/>
    <w:rsid w:val="00F83A06"/>
    <w:rsid w:val="00F83AE8"/>
    <w:rsid w:val="00F83B40"/>
    <w:rsid w:val="00F83BA3"/>
    <w:rsid w:val="00F83BCD"/>
    <w:rsid w:val="00F83C55"/>
    <w:rsid w:val="00F83CE7"/>
    <w:rsid w:val="00F83DD9"/>
    <w:rsid w:val="00F83EB1"/>
    <w:rsid w:val="00F83EBE"/>
    <w:rsid w:val="00F83ECA"/>
    <w:rsid w:val="00F83FC5"/>
    <w:rsid w:val="00F8401E"/>
    <w:rsid w:val="00F84045"/>
    <w:rsid w:val="00F840F1"/>
    <w:rsid w:val="00F841D3"/>
    <w:rsid w:val="00F84470"/>
    <w:rsid w:val="00F84584"/>
    <w:rsid w:val="00F8459D"/>
    <w:rsid w:val="00F84609"/>
    <w:rsid w:val="00F84626"/>
    <w:rsid w:val="00F8472D"/>
    <w:rsid w:val="00F84809"/>
    <w:rsid w:val="00F8481B"/>
    <w:rsid w:val="00F84840"/>
    <w:rsid w:val="00F84859"/>
    <w:rsid w:val="00F8488F"/>
    <w:rsid w:val="00F84910"/>
    <w:rsid w:val="00F8494F"/>
    <w:rsid w:val="00F849BD"/>
    <w:rsid w:val="00F84B3F"/>
    <w:rsid w:val="00F84B66"/>
    <w:rsid w:val="00F84B7E"/>
    <w:rsid w:val="00F84C9D"/>
    <w:rsid w:val="00F84CB1"/>
    <w:rsid w:val="00F84CFB"/>
    <w:rsid w:val="00F84D0A"/>
    <w:rsid w:val="00F84D78"/>
    <w:rsid w:val="00F8504C"/>
    <w:rsid w:val="00F850A1"/>
    <w:rsid w:val="00F85191"/>
    <w:rsid w:val="00F85215"/>
    <w:rsid w:val="00F853B1"/>
    <w:rsid w:val="00F8544E"/>
    <w:rsid w:val="00F85458"/>
    <w:rsid w:val="00F8552D"/>
    <w:rsid w:val="00F85558"/>
    <w:rsid w:val="00F8559C"/>
    <w:rsid w:val="00F855CD"/>
    <w:rsid w:val="00F8564A"/>
    <w:rsid w:val="00F8564D"/>
    <w:rsid w:val="00F856A4"/>
    <w:rsid w:val="00F856FB"/>
    <w:rsid w:val="00F85738"/>
    <w:rsid w:val="00F857AB"/>
    <w:rsid w:val="00F8593B"/>
    <w:rsid w:val="00F8595F"/>
    <w:rsid w:val="00F85983"/>
    <w:rsid w:val="00F85A10"/>
    <w:rsid w:val="00F85AAD"/>
    <w:rsid w:val="00F85B2B"/>
    <w:rsid w:val="00F85C50"/>
    <w:rsid w:val="00F85C7D"/>
    <w:rsid w:val="00F85CC8"/>
    <w:rsid w:val="00F85DCE"/>
    <w:rsid w:val="00F85DDA"/>
    <w:rsid w:val="00F85DEC"/>
    <w:rsid w:val="00F85EA0"/>
    <w:rsid w:val="00F85EC6"/>
    <w:rsid w:val="00F85F00"/>
    <w:rsid w:val="00F8600D"/>
    <w:rsid w:val="00F8606F"/>
    <w:rsid w:val="00F860BD"/>
    <w:rsid w:val="00F860F0"/>
    <w:rsid w:val="00F86193"/>
    <w:rsid w:val="00F861C8"/>
    <w:rsid w:val="00F86225"/>
    <w:rsid w:val="00F8622B"/>
    <w:rsid w:val="00F862B6"/>
    <w:rsid w:val="00F86328"/>
    <w:rsid w:val="00F863F6"/>
    <w:rsid w:val="00F8642B"/>
    <w:rsid w:val="00F86574"/>
    <w:rsid w:val="00F86597"/>
    <w:rsid w:val="00F865EC"/>
    <w:rsid w:val="00F86646"/>
    <w:rsid w:val="00F867A0"/>
    <w:rsid w:val="00F867AE"/>
    <w:rsid w:val="00F86BD6"/>
    <w:rsid w:val="00F86CCC"/>
    <w:rsid w:val="00F86CEE"/>
    <w:rsid w:val="00F86CF6"/>
    <w:rsid w:val="00F86D39"/>
    <w:rsid w:val="00F86D3F"/>
    <w:rsid w:val="00F86D7C"/>
    <w:rsid w:val="00F86DF2"/>
    <w:rsid w:val="00F86E2B"/>
    <w:rsid w:val="00F86F15"/>
    <w:rsid w:val="00F87140"/>
    <w:rsid w:val="00F8716B"/>
    <w:rsid w:val="00F87232"/>
    <w:rsid w:val="00F87288"/>
    <w:rsid w:val="00F872B9"/>
    <w:rsid w:val="00F87328"/>
    <w:rsid w:val="00F873D2"/>
    <w:rsid w:val="00F874AC"/>
    <w:rsid w:val="00F874B2"/>
    <w:rsid w:val="00F874CC"/>
    <w:rsid w:val="00F875FF"/>
    <w:rsid w:val="00F876F5"/>
    <w:rsid w:val="00F87747"/>
    <w:rsid w:val="00F877EB"/>
    <w:rsid w:val="00F8788A"/>
    <w:rsid w:val="00F87902"/>
    <w:rsid w:val="00F8792E"/>
    <w:rsid w:val="00F87AA3"/>
    <w:rsid w:val="00F87ABC"/>
    <w:rsid w:val="00F87C6A"/>
    <w:rsid w:val="00F87D2E"/>
    <w:rsid w:val="00F87DBF"/>
    <w:rsid w:val="00F87E3B"/>
    <w:rsid w:val="00F87E71"/>
    <w:rsid w:val="00F87F04"/>
    <w:rsid w:val="00F87F12"/>
    <w:rsid w:val="00F90264"/>
    <w:rsid w:val="00F90295"/>
    <w:rsid w:val="00F902BC"/>
    <w:rsid w:val="00F902FB"/>
    <w:rsid w:val="00F903CA"/>
    <w:rsid w:val="00F90578"/>
    <w:rsid w:val="00F90644"/>
    <w:rsid w:val="00F9068C"/>
    <w:rsid w:val="00F9071F"/>
    <w:rsid w:val="00F907F0"/>
    <w:rsid w:val="00F90801"/>
    <w:rsid w:val="00F90819"/>
    <w:rsid w:val="00F909B5"/>
    <w:rsid w:val="00F90AC0"/>
    <w:rsid w:val="00F90ADB"/>
    <w:rsid w:val="00F90CD9"/>
    <w:rsid w:val="00F90D84"/>
    <w:rsid w:val="00F90DF0"/>
    <w:rsid w:val="00F90E69"/>
    <w:rsid w:val="00F90F72"/>
    <w:rsid w:val="00F90F83"/>
    <w:rsid w:val="00F90F8E"/>
    <w:rsid w:val="00F90FA1"/>
    <w:rsid w:val="00F90FED"/>
    <w:rsid w:val="00F9102B"/>
    <w:rsid w:val="00F9103E"/>
    <w:rsid w:val="00F91055"/>
    <w:rsid w:val="00F9113B"/>
    <w:rsid w:val="00F91249"/>
    <w:rsid w:val="00F912B5"/>
    <w:rsid w:val="00F9146F"/>
    <w:rsid w:val="00F914F0"/>
    <w:rsid w:val="00F91540"/>
    <w:rsid w:val="00F91553"/>
    <w:rsid w:val="00F915CA"/>
    <w:rsid w:val="00F9172D"/>
    <w:rsid w:val="00F91764"/>
    <w:rsid w:val="00F91788"/>
    <w:rsid w:val="00F91852"/>
    <w:rsid w:val="00F9191F"/>
    <w:rsid w:val="00F9198E"/>
    <w:rsid w:val="00F9198F"/>
    <w:rsid w:val="00F91A74"/>
    <w:rsid w:val="00F91A83"/>
    <w:rsid w:val="00F91AD4"/>
    <w:rsid w:val="00F91C6E"/>
    <w:rsid w:val="00F91CE2"/>
    <w:rsid w:val="00F91E12"/>
    <w:rsid w:val="00F91EF7"/>
    <w:rsid w:val="00F91F06"/>
    <w:rsid w:val="00F91F78"/>
    <w:rsid w:val="00F91F89"/>
    <w:rsid w:val="00F9210D"/>
    <w:rsid w:val="00F921AD"/>
    <w:rsid w:val="00F9221B"/>
    <w:rsid w:val="00F9229E"/>
    <w:rsid w:val="00F92304"/>
    <w:rsid w:val="00F923C0"/>
    <w:rsid w:val="00F923EC"/>
    <w:rsid w:val="00F924AE"/>
    <w:rsid w:val="00F924CD"/>
    <w:rsid w:val="00F924E3"/>
    <w:rsid w:val="00F92566"/>
    <w:rsid w:val="00F92711"/>
    <w:rsid w:val="00F928A2"/>
    <w:rsid w:val="00F928D5"/>
    <w:rsid w:val="00F92AC8"/>
    <w:rsid w:val="00F92C7B"/>
    <w:rsid w:val="00F92C86"/>
    <w:rsid w:val="00F92DA2"/>
    <w:rsid w:val="00F92DA6"/>
    <w:rsid w:val="00F92F3A"/>
    <w:rsid w:val="00F92F72"/>
    <w:rsid w:val="00F93020"/>
    <w:rsid w:val="00F93100"/>
    <w:rsid w:val="00F93141"/>
    <w:rsid w:val="00F9319B"/>
    <w:rsid w:val="00F931C6"/>
    <w:rsid w:val="00F93229"/>
    <w:rsid w:val="00F93553"/>
    <w:rsid w:val="00F93574"/>
    <w:rsid w:val="00F935D9"/>
    <w:rsid w:val="00F93616"/>
    <w:rsid w:val="00F93665"/>
    <w:rsid w:val="00F9367E"/>
    <w:rsid w:val="00F93861"/>
    <w:rsid w:val="00F938B4"/>
    <w:rsid w:val="00F938BD"/>
    <w:rsid w:val="00F93911"/>
    <w:rsid w:val="00F93947"/>
    <w:rsid w:val="00F93949"/>
    <w:rsid w:val="00F93995"/>
    <w:rsid w:val="00F939DD"/>
    <w:rsid w:val="00F93B06"/>
    <w:rsid w:val="00F93B24"/>
    <w:rsid w:val="00F93BC3"/>
    <w:rsid w:val="00F93CDD"/>
    <w:rsid w:val="00F93DAD"/>
    <w:rsid w:val="00F93FB8"/>
    <w:rsid w:val="00F94361"/>
    <w:rsid w:val="00F94364"/>
    <w:rsid w:val="00F9437A"/>
    <w:rsid w:val="00F94447"/>
    <w:rsid w:val="00F94500"/>
    <w:rsid w:val="00F94534"/>
    <w:rsid w:val="00F9459E"/>
    <w:rsid w:val="00F945F9"/>
    <w:rsid w:val="00F9470F"/>
    <w:rsid w:val="00F94722"/>
    <w:rsid w:val="00F94942"/>
    <w:rsid w:val="00F94A6C"/>
    <w:rsid w:val="00F94AF0"/>
    <w:rsid w:val="00F94B6D"/>
    <w:rsid w:val="00F94B8E"/>
    <w:rsid w:val="00F94BB1"/>
    <w:rsid w:val="00F94BEE"/>
    <w:rsid w:val="00F94C20"/>
    <w:rsid w:val="00F94C24"/>
    <w:rsid w:val="00F94C5A"/>
    <w:rsid w:val="00F94C70"/>
    <w:rsid w:val="00F94D57"/>
    <w:rsid w:val="00F94DD6"/>
    <w:rsid w:val="00F94E61"/>
    <w:rsid w:val="00F94ECB"/>
    <w:rsid w:val="00F94F09"/>
    <w:rsid w:val="00F94F1C"/>
    <w:rsid w:val="00F94F38"/>
    <w:rsid w:val="00F95065"/>
    <w:rsid w:val="00F95086"/>
    <w:rsid w:val="00F95157"/>
    <w:rsid w:val="00F95241"/>
    <w:rsid w:val="00F952D4"/>
    <w:rsid w:val="00F95348"/>
    <w:rsid w:val="00F953BB"/>
    <w:rsid w:val="00F9541E"/>
    <w:rsid w:val="00F9551C"/>
    <w:rsid w:val="00F9559E"/>
    <w:rsid w:val="00F95728"/>
    <w:rsid w:val="00F95866"/>
    <w:rsid w:val="00F958A0"/>
    <w:rsid w:val="00F95A4D"/>
    <w:rsid w:val="00F95A50"/>
    <w:rsid w:val="00F95B78"/>
    <w:rsid w:val="00F95CEC"/>
    <w:rsid w:val="00F95CF7"/>
    <w:rsid w:val="00F95D05"/>
    <w:rsid w:val="00F95D26"/>
    <w:rsid w:val="00F95D44"/>
    <w:rsid w:val="00F95D6D"/>
    <w:rsid w:val="00F95E77"/>
    <w:rsid w:val="00F95ED1"/>
    <w:rsid w:val="00F95F01"/>
    <w:rsid w:val="00F960B3"/>
    <w:rsid w:val="00F9625E"/>
    <w:rsid w:val="00F9628C"/>
    <w:rsid w:val="00F962D6"/>
    <w:rsid w:val="00F96393"/>
    <w:rsid w:val="00F963C0"/>
    <w:rsid w:val="00F96431"/>
    <w:rsid w:val="00F964F9"/>
    <w:rsid w:val="00F965CD"/>
    <w:rsid w:val="00F96715"/>
    <w:rsid w:val="00F967A3"/>
    <w:rsid w:val="00F967CC"/>
    <w:rsid w:val="00F96A2A"/>
    <w:rsid w:val="00F96AA7"/>
    <w:rsid w:val="00F96B91"/>
    <w:rsid w:val="00F96C11"/>
    <w:rsid w:val="00F96C14"/>
    <w:rsid w:val="00F96C66"/>
    <w:rsid w:val="00F96ECC"/>
    <w:rsid w:val="00F96F53"/>
    <w:rsid w:val="00F96FDF"/>
    <w:rsid w:val="00F9700A"/>
    <w:rsid w:val="00F9706B"/>
    <w:rsid w:val="00F97130"/>
    <w:rsid w:val="00F97196"/>
    <w:rsid w:val="00F971AE"/>
    <w:rsid w:val="00F97255"/>
    <w:rsid w:val="00F972A6"/>
    <w:rsid w:val="00F972F0"/>
    <w:rsid w:val="00F97341"/>
    <w:rsid w:val="00F973CF"/>
    <w:rsid w:val="00F975BA"/>
    <w:rsid w:val="00F975F8"/>
    <w:rsid w:val="00F9764F"/>
    <w:rsid w:val="00F97693"/>
    <w:rsid w:val="00F9772A"/>
    <w:rsid w:val="00F977C4"/>
    <w:rsid w:val="00F979B5"/>
    <w:rsid w:val="00F979E8"/>
    <w:rsid w:val="00F97AFD"/>
    <w:rsid w:val="00F97B35"/>
    <w:rsid w:val="00F97B58"/>
    <w:rsid w:val="00F97B6A"/>
    <w:rsid w:val="00F97B7F"/>
    <w:rsid w:val="00F97B94"/>
    <w:rsid w:val="00F97C6E"/>
    <w:rsid w:val="00F97C99"/>
    <w:rsid w:val="00F97D45"/>
    <w:rsid w:val="00F97D57"/>
    <w:rsid w:val="00F97E23"/>
    <w:rsid w:val="00F97F15"/>
    <w:rsid w:val="00FA0056"/>
    <w:rsid w:val="00FA00E7"/>
    <w:rsid w:val="00FA0260"/>
    <w:rsid w:val="00FA0274"/>
    <w:rsid w:val="00FA02AF"/>
    <w:rsid w:val="00FA02E2"/>
    <w:rsid w:val="00FA032A"/>
    <w:rsid w:val="00FA0693"/>
    <w:rsid w:val="00FA06CA"/>
    <w:rsid w:val="00FA074A"/>
    <w:rsid w:val="00FA07D7"/>
    <w:rsid w:val="00FA0870"/>
    <w:rsid w:val="00FA0B28"/>
    <w:rsid w:val="00FA0BA5"/>
    <w:rsid w:val="00FA0C33"/>
    <w:rsid w:val="00FA0CA9"/>
    <w:rsid w:val="00FA0D41"/>
    <w:rsid w:val="00FA0D60"/>
    <w:rsid w:val="00FA0DAC"/>
    <w:rsid w:val="00FA0DAF"/>
    <w:rsid w:val="00FA0E99"/>
    <w:rsid w:val="00FA1118"/>
    <w:rsid w:val="00FA1119"/>
    <w:rsid w:val="00FA1127"/>
    <w:rsid w:val="00FA12D3"/>
    <w:rsid w:val="00FA13C1"/>
    <w:rsid w:val="00FA143D"/>
    <w:rsid w:val="00FA152B"/>
    <w:rsid w:val="00FA16E0"/>
    <w:rsid w:val="00FA181B"/>
    <w:rsid w:val="00FA1881"/>
    <w:rsid w:val="00FA188D"/>
    <w:rsid w:val="00FA1A3A"/>
    <w:rsid w:val="00FA1D28"/>
    <w:rsid w:val="00FA1D54"/>
    <w:rsid w:val="00FA1D6D"/>
    <w:rsid w:val="00FA1D9A"/>
    <w:rsid w:val="00FA1D9F"/>
    <w:rsid w:val="00FA1DDF"/>
    <w:rsid w:val="00FA1E19"/>
    <w:rsid w:val="00FA1F66"/>
    <w:rsid w:val="00FA2135"/>
    <w:rsid w:val="00FA2183"/>
    <w:rsid w:val="00FA237A"/>
    <w:rsid w:val="00FA23AE"/>
    <w:rsid w:val="00FA24C3"/>
    <w:rsid w:val="00FA2505"/>
    <w:rsid w:val="00FA25A6"/>
    <w:rsid w:val="00FA25D7"/>
    <w:rsid w:val="00FA2692"/>
    <w:rsid w:val="00FA2761"/>
    <w:rsid w:val="00FA27DE"/>
    <w:rsid w:val="00FA28EA"/>
    <w:rsid w:val="00FA2906"/>
    <w:rsid w:val="00FA292F"/>
    <w:rsid w:val="00FA295E"/>
    <w:rsid w:val="00FA29B0"/>
    <w:rsid w:val="00FA2B56"/>
    <w:rsid w:val="00FA2B71"/>
    <w:rsid w:val="00FA2C29"/>
    <w:rsid w:val="00FA2C86"/>
    <w:rsid w:val="00FA2D35"/>
    <w:rsid w:val="00FA2D5D"/>
    <w:rsid w:val="00FA2D76"/>
    <w:rsid w:val="00FA2E0F"/>
    <w:rsid w:val="00FA3039"/>
    <w:rsid w:val="00FA31C5"/>
    <w:rsid w:val="00FA31CC"/>
    <w:rsid w:val="00FA31CF"/>
    <w:rsid w:val="00FA31E8"/>
    <w:rsid w:val="00FA32C3"/>
    <w:rsid w:val="00FA3380"/>
    <w:rsid w:val="00FA350E"/>
    <w:rsid w:val="00FA36BB"/>
    <w:rsid w:val="00FA36F3"/>
    <w:rsid w:val="00FA3758"/>
    <w:rsid w:val="00FA37B4"/>
    <w:rsid w:val="00FA37EF"/>
    <w:rsid w:val="00FA38C2"/>
    <w:rsid w:val="00FA399C"/>
    <w:rsid w:val="00FA39F5"/>
    <w:rsid w:val="00FA3C7E"/>
    <w:rsid w:val="00FA3D6E"/>
    <w:rsid w:val="00FA3DC0"/>
    <w:rsid w:val="00FA3EC0"/>
    <w:rsid w:val="00FA40E3"/>
    <w:rsid w:val="00FA447F"/>
    <w:rsid w:val="00FA44B7"/>
    <w:rsid w:val="00FA4549"/>
    <w:rsid w:val="00FA45E2"/>
    <w:rsid w:val="00FA474B"/>
    <w:rsid w:val="00FA4758"/>
    <w:rsid w:val="00FA486E"/>
    <w:rsid w:val="00FA4987"/>
    <w:rsid w:val="00FA4998"/>
    <w:rsid w:val="00FA4B07"/>
    <w:rsid w:val="00FA4BF8"/>
    <w:rsid w:val="00FA4C48"/>
    <w:rsid w:val="00FA4D20"/>
    <w:rsid w:val="00FA4D67"/>
    <w:rsid w:val="00FA4DA1"/>
    <w:rsid w:val="00FA4F39"/>
    <w:rsid w:val="00FA4F86"/>
    <w:rsid w:val="00FA505C"/>
    <w:rsid w:val="00FA505E"/>
    <w:rsid w:val="00FA50E2"/>
    <w:rsid w:val="00FA518D"/>
    <w:rsid w:val="00FA5277"/>
    <w:rsid w:val="00FA531C"/>
    <w:rsid w:val="00FA539E"/>
    <w:rsid w:val="00FA5402"/>
    <w:rsid w:val="00FA5549"/>
    <w:rsid w:val="00FA554B"/>
    <w:rsid w:val="00FA5567"/>
    <w:rsid w:val="00FA55C0"/>
    <w:rsid w:val="00FA5601"/>
    <w:rsid w:val="00FA5671"/>
    <w:rsid w:val="00FA568C"/>
    <w:rsid w:val="00FA56B5"/>
    <w:rsid w:val="00FA5847"/>
    <w:rsid w:val="00FA587B"/>
    <w:rsid w:val="00FA596D"/>
    <w:rsid w:val="00FA598B"/>
    <w:rsid w:val="00FA5A92"/>
    <w:rsid w:val="00FA5B31"/>
    <w:rsid w:val="00FA5C29"/>
    <w:rsid w:val="00FA5CD7"/>
    <w:rsid w:val="00FA5D7A"/>
    <w:rsid w:val="00FA5E6F"/>
    <w:rsid w:val="00FA5ED2"/>
    <w:rsid w:val="00FA5F11"/>
    <w:rsid w:val="00FA5FBD"/>
    <w:rsid w:val="00FA60AB"/>
    <w:rsid w:val="00FA6133"/>
    <w:rsid w:val="00FA620A"/>
    <w:rsid w:val="00FA6290"/>
    <w:rsid w:val="00FA642B"/>
    <w:rsid w:val="00FA643B"/>
    <w:rsid w:val="00FA64A6"/>
    <w:rsid w:val="00FA64AD"/>
    <w:rsid w:val="00FA660A"/>
    <w:rsid w:val="00FA6804"/>
    <w:rsid w:val="00FA68B8"/>
    <w:rsid w:val="00FA6A31"/>
    <w:rsid w:val="00FA6C75"/>
    <w:rsid w:val="00FA6CEE"/>
    <w:rsid w:val="00FA6DDC"/>
    <w:rsid w:val="00FA6E35"/>
    <w:rsid w:val="00FA6EC9"/>
    <w:rsid w:val="00FA6F33"/>
    <w:rsid w:val="00FA6F79"/>
    <w:rsid w:val="00FA6FA1"/>
    <w:rsid w:val="00FA704F"/>
    <w:rsid w:val="00FA70FD"/>
    <w:rsid w:val="00FA718C"/>
    <w:rsid w:val="00FA71D8"/>
    <w:rsid w:val="00FA720D"/>
    <w:rsid w:val="00FA731E"/>
    <w:rsid w:val="00FA73DF"/>
    <w:rsid w:val="00FA74C4"/>
    <w:rsid w:val="00FA74DF"/>
    <w:rsid w:val="00FA7538"/>
    <w:rsid w:val="00FA75DE"/>
    <w:rsid w:val="00FA7604"/>
    <w:rsid w:val="00FA7619"/>
    <w:rsid w:val="00FA76A8"/>
    <w:rsid w:val="00FA7850"/>
    <w:rsid w:val="00FA7906"/>
    <w:rsid w:val="00FA7964"/>
    <w:rsid w:val="00FA7A3A"/>
    <w:rsid w:val="00FA7AAC"/>
    <w:rsid w:val="00FA7AC2"/>
    <w:rsid w:val="00FA7ACA"/>
    <w:rsid w:val="00FA7C22"/>
    <w:rsid w:val="00FA7C65"/>
    <w:rsid w:val="00FA7F5A"/>
    <w:rsid w:val="00FB00AB"/>
    <w:rsid w:val="00FB0251"/>
    <w:rsid w:val="00FB02A4"/>
    <w:rsid w:val="00FB02D1"/>
    <w:rsid w:val="00FB0354"/>
    <w:rsid w:val="00FB0369"/>
    <w:rsid w:val="00FB0374"/>
    <w:rsid w:val="00FB03C5"/>
    <w:rsid w:val="00FB03F3"/>
    <w:rsid w:val="00FB04C9"/>
    <w:rsid w:val="00FB055D"/>
    <w:rsid w:val="00FB0564"/>
    <w:rsid w:val="00FB056F"/>
    <w:rsid w:val="00FB0570"/>
    <w:rsid w:val="00FB05C4"/>
    <w:rsid w:val="00FB0767"/>
    <w:rsid w:val="00FB079D"/>
    <w:rsid w:val="00FB07CD"/>
    <w:rsid w:val="00FB07DB"/>
    <w:rsid w:val="00FB0820"/>
    <w:rsid w:val="00FB082B"/>
    <w:rsid w:val="00FB0959"/>
    <w:rsid w:val="00FB0964"/>
    <w:rsid w:val="00FB0A55"/>
    <w:rsid w:val="00FB0AA3"/>
    <w:rsid w:val="00FB0C55"/>
    <w:rsid w:val="00FB0C65"/>
    <w:rsid w:val="00FB0D69"/>
    <w:rsid w:val="00FB0DFC"/>
    <w:rsid w:val="00FB0F6F"/>
    <w:rsid w:val="00FB0F98"/>
    <w:rsid w:val="00FB0F9D"/>
    <w:rsid w:val="00FB108A"/>
    <w:rsid w:val="00FB10A3"/>
    <w:rsid w:val="00FB11D5"/>
    <w:rsid w:val="00FB11E3"/>
    <w:rsid w:val="00FB1222"/>
    <w:rsid w:val="00FB122F"/>
    <w:rsid w:val="00FB127B"/>
    <w:rsid w:val="00FB12F6"/>
    <w:rsid w:val="00FB1343"/>
    <w:rsid w:val="00FB143C"/>
    <w:rsid w:val="00FB1449"/>
    <w:rsid w:val="00FB173E"/>
    <w:rsid w:val="00FB17F5"/>
    <w:rsid w:val="00FB189B"/>
    <w:rsid w:val="00FB1945"/>
    <w:rsid w:val="00FB19AB"/>
    <w:rsid w:val="00FB1A7C"/>
    <w:rsid w:val="00FB1B1D"/>
    <w:rsid w:val="00FB1B91"/>
    <w:rsid w:val="00FB1D28"/>
    <w:rsid w:val="00FB1D42"/>
    <w:rsid w:val="00FB1D81"/>
    <w:rsid w:val="00FB1D8A"/>
    <w:rsid w:val="00FB1DEA"/>
    <w:rsid w:val="00FB1E66"/>
    <w:rsid w:val="00FB1E6F"/>
    <w:rsid w:val="00FB1F66"/>
    <w:rsid w:val="00FB1FAE"/>
    <w:rsid w:val="00FB1FB2"/>
    <w:rsid w:val="00FB20C6"/>
    <w:rsid w:val="00FB21C9"/>
    <w:rsid w:val="00FB2239"/>
    <w:rsid w:val="00FB2251"/>
    <w:rsid w:val="00FB2259"/>
    <w:rsid w:val="00FB23AB"/>
    <w:rsid w:val="00FB23AD"/>
    <w:rsid w:val="00FB23CF"/>
    <w:rsid w:val="00FB248C"/>
    <w:rsid w:val="00FB24E1"/>
    <w:rsid w:val="00FB25C5"/>
    <w:rsid w:val="00FB271E"/>
    <w:rsid w:val="00FB27F6"/>
    <w:rsid w:val="00FB2824"/>
    <w:rsid w:val="00FB2A11"/>
    <w:rsid w:val="00FB2A8C"/>
    <w:rsid w:val="00FB2B74"/>
    <w:rsid w:val="00FB2C97"/>
    <w:rsid w:val="00FB2E22"/>
    <w:rsid w:val="00FB2F13"/>
    <w:rsid w:val="00FB2F2F"/>
    <w:rsid w:val="00FB2F5B"/>
    <w:rsid w:val="00FB2FAA"/>
    <w:rsid w:val="00FB2FC1"/>
    <w:rsid w:val="00FB313C"/>
    <w:rsid w:val="00FB322F"/>
    <w:rsid w:val="00FB3248"/>
    <w:rsid w:val="00FB3282"/>
    <w:rsid w:val="00FB33D1"/>
    <w:rsid w:val="00FB34B7"/>
    <w:rsid w:val="00FB3703"/>
    <w:rsid w:val="00FB389B"/>
    <w:rsid w:val="00FB3B21"/>
    <w:rsid w:val="00FB3BE0"/>
    <w:rsid w:val="00FB3C31"/>
    <w:rsid w:val="00FB3C8A"/>
    <w:rsid w:val="00FB3CCA"/>
    <w:rsid w:val="00FB3D38"/>
    <w:rsid w:val="00FB3E5B"/>
    <w:rsid w:val="00FB3F34"/>
    <w:rsid w:val="00FB3FEB"/>
    <w:rsid w:val="00FB402B"/>
    <w:rsid w:val="00FB40FE"/>
    <w:rsid w:val="00FB4173"/>
    <w:rsid w:val="00FB417B"/>
    <w:rsid w:val="00FB4188"/>
    <w:rsid w:val="00FB419E"/>
    <w:rsid w:val="00FB4261"/>
    <w:rsid w:val="00FB42CE"/>
    <w:rsid w:val="00FB4307"/>
    <w:rsid w:val="00FB4312"/>
    <w:rsid w:val="00FB4327"/>
    <w:rsid w:val="00FB435C"/>
    <w:rsid w:val="00FB43CB"/>
    <w:rsid w:val="00FB43DC"/>
    <w:rsid w:val="00FB43EF"/>
    <w:rsid w:val="00FB44B3"/>
    <w:rsid w:val="00FB4570"/>
    <w:rsid w:val="00FB45CF"/>
    <w:rsid w:val="00FB45D7"/>
    <w:rsid w:val="00FB46BB"/>
    <w:rsid w:val="00FB46BC"/>
    <w:rsid w:val="00FB49C2"/>
    <w:rsid w:val="00FB4AB2"/>
    <w:rsid w:val="00FB4B63"/>
    <w:rsid w:val="00FB4BAD"/>
    <w:rsid w:val="00FB4BC4"/>
    <w:rsid w:val="00FB4BE0"/>
    <w:rsid w:val="00FB4C7A"/>
    <w:rsid w:val="00FB4CA9"/>
    <w:rsid w:val="00FB4D0F"/>
    <w:rsid w:val="00FB4D55"/>
    <w:rsid w:val="00FB4DA0"/>
    <w:rsid w:val="00FB4E76"/>
    <w:rsid w:val="00FB4ED9"/>
    <w:rsid w:val="00FB500B"/>
    <w:rsid w:val="00FB5025"/>
    <w:rsid w:val="00FB505B"/>
    <w:rsid w:val="00FB50CF"/>
    <w:rsid w:val="00FB5139"/>
    <w:rsid w:val="00FB5175"/>
    <w:rsid w:val="00FB51D3"/>
    <w:rsid w:val="00FB5208"/>
    <w:rsid w:val="00FB520A"/>
    <w:rsid w:val="00FB5227"/>
    <w:rsid w:val="00FB538B"/>
    <w:rsid w:val="00FB541A"/>
    <w:rsid w:val="00FB547F"/>
    <w:rsid w:val="00FB54E2"/>
    <w:rsid w:val="00FB55AB"/>
    <w:rsid w:val="00FB55B6"/>
    <w:rsid w:val="00FB55C4"/>
    <w:rsid w:val="00FB5611"/>
    <w:rsid w:val="00FB5629"/>
    <w:rsid w:val="00FB564B"/>
    <w:rsid w:val="00FB56F5"/>
    <w:rsid w:val="00FB5751"/>
    <w:rsid w:val="00FB57A8"/>
    <w:rsid w:val="00FB57AD"/>
    <w:rsid w:val="00FB5988"/>
    <w:rsid w:val="00FB5BB7"/>
    <w:rsid w:val="00FB5BBE"/>
    <w:rsid w:val="00FB5C76"/>
    <w:rsid w:val="00FB5D33"/>
    <w:rsid w:val="00FB5E03"/>
    <w:rsid w:val="00FB5E5F"/>
    <w:rsid w:val="00FB5ECE"/>
    <w:rsid w:val="00FB5EDF"/>
    <w:rsid w:val="00FB6088"/>
    <w:rsid w:val="00FB6205"/>
    <w:rsid w:val="00FB638D"/>
    <w:rsid w:val="00FB6390"/>
    <w:rsid w:val="00FB662F"/>
    <w:rsid w:val="00FB6676"/>
    <w:rsid w:val="00FB66B9"/>
    <w:rsid w:val="00FB66E0"/>
    <w:rsid w:val="00FB677C"/>
    <w:rsid w:val="00FB68A4"/>
    <w:rsid w:val="00FB696A"/>
    <w:rsid w:val="00FB6A9D"/>
    <w:rsid w:val="00FB6B63"/>
    <w:rsid w:val="00FB6C01"/>
    <w:rsid w:val="00FB6CBF"/>
    <w:rsid w:val="00FB6D44"/>
    <w:rsid w:val="00FB6D4D"/>
    <w:rsid w:val="00FB6D89"/>
    <w:rsid w:val="00FB6DB5"/>
    <w:rsid w:val="00FB6E07"/>
    <w:rsid w:val="00FB6F31"/>
    <w:rsid w:val="00FB7023"/>
    <w:rsid w:val="00FB7199"/>
    <w:rsid w:val="00FB71EC"/>
    <w:rsid w:val="00FB723D"/>
    <w:rsid w:val="00FB730D"/>
    <w:rsid w:val="00FB734B"/>
    <w:rsid w:val="00FB7445"/>
    <w:rsid w:val="00FB7449"/>
    <w:rsid w:val="00FB754C"/>
    <w:rsid w:val="00FB758E"/>
    <w:rsid w:val="00FB77A3"/>
    <w:rsid w:val="00FB77C7"/>
    <w:rsid w:val="00FB77DE"/>
    <w:rsid w:val="00FB78B1"/>
    <w:rsid w:val="00FB7912"/>
    <w:rsid w:val="00FB796E"/>
    <w:rsid w:val="00FB7977"/>
    <w:rsid w:val="00FB797B"/>
    <w:rsid w:val="00FB798D"/>
    <w:rsid w:val="00FB7B17"/>
    <w:rsid w:val="00FB7BAF"/>
    <w:rsid w:val="00FB7BE2"/>
    <w:rsid w:val="00FB7C4F"/>
    <w:rsid w:val="00FB7D2B"/>
    <w:rsid w:val="00FB7D8D"/>
    <w:rsid w:val="00FB7DD7"/>
    <w:rsid w:val="00FB7E38"/>
    <w:rsid w:val="00FB7F2C"/>
    <w:rsid w:val="00FB7F94"/>
    <w:rsid w:val="00FB7FAD"/>
    <w:rsid w:val="00FC0043"/>
    <w:rsid w:val="00FC00C5"/>
    <w:rsid w:val="00FC00D4"/>
    <w:rsid w:val="00FC018A"/>
    <w:rsid w:val="00FC032A"/>
    <w:rsid w:val="00FC0390"/>
    <w:rsid w:val="00FC03AD"/>
    <w:rsid w:val="00FC03B0"/>
    <w:rsid w:val="00FC03E5"/>
    <w:rsid w:val="00FC03FF"/>
    <w:rsid w:val="00FC0482"/>
    <w:rsid w:val="00FC0559"/>
    <w:rsid w:val="00FC057E"/>
    <w:rsid w:val="00FC0610"/>
    <w:rsid w:val="00FC0646"/>
    <w:rsid w:val="00FC0736"/>
    <w:rsid w:val="00FC0794"/>
    <w:rsid w:val="00FC0799"/>
    <w:rsid w:val="00FC08A6"/>
    <w:rsid w:val="00FC0945"/>
    <w:rsid w:val="00FC0964"/>
    <w:rsid w:val="00FC09E0"/>
    <w:rsid w:val="00FC0A4A"/>
    <w:rsid w:val="00FC0A4C"/>
    <w:rsid w:val="00FC0AAC"/>
    <w:rsid w:val="00FC0B1D"/>
    <w:rsid w:val="00FC0B9D"/>
    <w:rsid w:val="00FC0B9E"/>
    <w:rsid w:val="00FC0BBA"/>
    <w:rsid w:val="00FC0C32"/>
    <w:rsid w:val="00FC0CE7"/>
    <w:rsid w:val="00FC0D1A"/>
    <w:rsid w:val="00FC0E87"/>
    <w:rsid w:val="00FC0EB7"/>
    <w:rsid w:val="00FC0F58"/>
    <w:rsid w:val="00FC0FE9"/>
    <w:rsid w:val="00FC115D"/>
    <w:rsid w:val="00FC1342"/>
    <w:rsid w:val="00FC1447"/>
    <w:rsid w:val="00FC14C8"/>
    <w:rsid w:val="00FC1514"/>
    <w:rsid w:val="00FC15F1"/>
    <w:rsid w:val="00FC1622"/>
    <w:rsid w:val="00FC1898"/>
    <w:rsid w:val="00FC190F"/>
    <w:rsid w:val="00FC191B"/>
    <w:rsid w:val="00FC19C4"/>
    <w:rsid w:val="00FC1A25"/>
    <w:rsid w:val="00FC1A44"/>
    <w:rsid w:val="00FC1A51"/>
    <w:rsid w:val="00FC1A60"/>
    <w:rsid w:val="00FC1B98"/>
    <w:rsid w:val="00FC1BF1"/>
    <w:rsid w:val="00FC1C61"/>
    <w:rsid w:val="00FC1D45"/>
    <w:rsid w:val="00FC1E29"/>
    <w:rsid w:val="00FC1E6C"/>
    <w:rsid w:val="00FC2183"/>
    <w:rsid w:val="00FC2263"/>
    <w:rsid w:val="00FC22DB"/>
    <w:rsid w:val="00FC22EB"/>
    <w:rsid w:val="00FC2383"/>
    <w:rsid w:val="00FC23B5"/>
    <w:rsid w:val="00FC25B2"/>
    <w:rsid w:val="00FC26C1"/>
    <w:rsid w:val="00FC2759"/>
    <w:rsid w:val="00FC278C"/>
    <w:rsid w:val="00FC2818"/>
    <w:rsid w:val="00FC292E"/>
    <w:rsid w:val="00FC299A"/>
    <w:rsid w:val="00FC29F4"/>
    <w:rsid w:val="00FC2BCA"/>
    <w:rsid w:val="00FC2CCD"/>
    <w:rsid w:val="00FC2D33"/>
    <w:rsid w:val="00FC2D4B"/>
    <w:rsid w:val="00FC2D83"/>
    <w:rsid w:val="00FC2E14"/>
    <w:rsid w:val="00FC2F64"/>
    <w:rsid w:val="00FC306B"/>
    <w:rsid w:val="00FC3094"/>
    <w:rsid w:val="00FC3168"/>
    <w:rsid w:val="00FC316B"/>
    <w:rsid w:val="00FC31FD"/>
    <w:rsid w:val="00FC326C"/>
    <w:rsid w:val="00FC33AB"/>
    <w:rsid w:val="00FC3404"/>
    <w:rsid w:val="00FC3502"/>
    <w:rsid w:val="00FC3552"/>
    <w:rsid w:val="00FC362E"/>
    <w:rsid w:val="00FC385E"/>
    <w:rsid w:val="00FC386F"/>
    <w:rsid w:val="00FC3890"/>
    <w:rsid w:val="00FC38CC"/>
    <w:rsid w:val="00FC3980"/>
    <w:rsid w:val="00FC39A1"/>
    <w:rsid w:val="00FC3A68"/>
    <w:rsid w:val="00FC3AC3"/>
    <w:rsid w:val="00FC3B12"/>
    <w:rsid w:val="00FC3B55"/>
    <w:rsid w:val="00FC3BA4"/>
    <w:rsid w:val="00FC3D6A"/>
    <w:rsid w:val="00FC40C2"/>
    <w:rsid w:val="00FC41B8"/>
    <w:rsid w:val="00FC4299"/>
    <w:rsid w:val="00FC4341"/>
    <w:rsid w:val="00FC44BB"/>
    <w:rsid w:val="00FC451C"/>
    <w:rsid w:val="00FC453E"/>
    <w:rsid w:val="00FC45DF"/>
    <w:rsid w:val="00FC4683"/>
    <w:rsid w:val="00FC469B"/>
    <w:rsid w:val="00FC46F7"/>
    <w:rsid w:val="00FC47ED"/>
    <w:rsid w:val="00FC48E5"/>
    <w:rsid w:val="00FC492F"/>
    <w:rsid w:val="00FC49D0"/>
    <w:rsid w:val="00FC4A4E"/>
    <w:rsid w:val="00FC4AB3"/>
    <w:rsid w:val="00FC4B55"/>
    <w:rsid w:val="00FC4C90"/>
    <w:rsid w:val="00FC4D17"/>
    <w:rsid w:val="00FC4D40"/>
    <w:rsid w:val="00FC4EDD"/>
    <w:rsid w:val="00FC505E"/>
    <w:rsid w:val="00FC50BB"/>
    <w:rsid w:val="00FC5210"/>
    <w:rsid w:val="00FC5256"/>
    <w:rsid w:val="00FC52F4"/>
    <w:rsid w:val="00FC5335"/>
    <w:rsid w:val="00FC5436"/>
    <w:rsid w:val="00FC5512"/>
    <w:rsid w:val="00FC5558"/>
    <w:rsid w:val="00FC555F"/>
    <w:rsid w:val="00FC557D"/>
    <w:rsid w:val="00FC56CF"/>
    <w:rsid w:val="00FC56D6"/>
    <w:rsid w:val="00FC5700"/>
    <w:rsid w:val="00FC5713"/>
    <w:rsid w:val="00FC573A"/>
    <w:rsid w:val="00FC575A"/>
    <w:rsid w:val="00FC5791"/>
    <w:rsid w:val="00FC57A4"/>
    <w:rsid w:val="00FC58A0"/>
    <w:rsid w:val="00FC5962"/>
    <w:rsid w:val="00FC5A15"/>
    <w:rsid w:val="00FC5AB2"/>
    <w:rsid w:val="00FC5BE3"/>
    <w:rsid w:val="00FC5C60"/>
    <w:rsid w:val="00FC5CEA"/>
    <w:rsid w:val="00FC5DBD"/>
    <w:rsid w:val="00FC5DCC"/>
    <w:rsid w:val="00FC5DEF"/>
    <w:rsid w:val="00FC5E4F"/>
    <w:rsid w:val="00FC5F22"/>
    <w:rsid w:val="00FC5FC8"/>
    <w:rsid w:val="00FC6024"/>
    <w:rsid w:val="00FC6056"/>
    <w:rsid w:val="00FC6099"/>
    <w:rsid w:val="00FC619F"/>
    <w:rsid w:val="00FC61A2"/>
    <w:rsid w:val="00FC61AA"/>
    <w:rsid w:val="00FC61B8"/>
    <w:rsid w:val="00FC61E2"/>
    <w:rsid w:val="00FC6202"/>
    <w:rsid w:val="00FC62C6"/>
    <w:rsid w:val="00FC6328"/>
    <w:rsid w:val="00FC649C"/>
    <w:rsid w:val="00FC64DB"/>
    <w:rsid w:val="00FC6573"/>
    <w:rsid w:val="00FC66FB"/>
    <w:rsid w:val="00FC6815"/>
    <w:rsid w:val="00FC6829"/>
    <w:rsid w:val="00FC688F"/>
    <w:rsid w:val="00FC68FC"/>
    <w:rsid w:val="00FC68FE"/>
    <w:rsid w:val="00FC6919"/>
    <w:rsid w:val="00FC69A5"/>
    <w:rsid w:val="00FC6A24"/>
    <w:rsid w:val="00FC6A53"/>
    <w:rsid w:val="00FC6B95"/>
    <w:rsid w:val="00FC6CD0"/>
    <w:rsid w:val="00FC6CE0"/>
    <w:rsid w:val="00FC6F52"/>
    <w:rsid w:val="00FC704E"/>
    <w:rsid w:val="00FC7083"/>
    <w:rsid w:val="00FC716F"/>
    <w:rsid w:val="00FC71A4"/>
    <w:rsid w:val="00FC71BD"/>
    <w:rsid w:val="00FC720A"/>
    <w:rsid w:val="00FC73A5"/>
    <w:rsid w:val="00FC7408"/>
    <w:rsid w:val="00FC747F"/>
    <w:rsid w:val="00FC76C0"/>
    <w:rsid w:val="00FC7805"/>
    <w:rsid w:val="00FC78CA"/>
    <w:rsid w:val="00FC7969"/>
    <w:rsid w:val="00FC7A76"/>
    <w:rsid w:val="00FC7ACC"/>
    <w:rsid w:val="00FC7B90"/>
    <w:rsid w:val="00FC7BAF"/>
    <w:rsid w:val="00FC7C46"/>
    <w:rsid w:val="00FC7CA0"/>
    <w:rsid w:val="00FC7FC7"/>
    <w:rsid w:val="00FD0005"/>
    <w:rsid w:val="00FD0093"/>
    <w:rsid w:val="00FD038F"/>
    <w:rsid w:val="00FD03F3"/>
    <w:rsid w:val="00FD06DE"/>
    <w:rsid w:val="00FD07ED"/>
    <w:rsid w:val="00FD08E9"/>
    <w:rsid w:val="00FD0A75"/>
    <w:rsid w:val="00FD0AE9"/>
    <w:rsid w:val="00FD0BF8"/>
    <w:rsid w:val="00FD0E19"/>
    <w:rsid w:val="00FD0EF7"/>
    <w:rsid w:val="00FD0F74"/>
    <w:rsid w:val="00FD1095"/>
    <w:rsid w:val="00FD115A"/>
    <w:rsid w:val="00FD11EE"/>
    <w:rsid w:val="00FD1247"/>
    <w:rsid w:val="00FD1270"/>
    <w:rsid w:val="00FD1296"/>
    <w:rsid w:val="00FD1350"/>
    <w:rsid w:val="00FD140F"/>
    <w:rsid w:val="00FD14B0"/>
    <w:rsid w:val="00FD14FF"/>
    <w:rsid w:val="00FD150B"/>
    <w:rsid w:val="00FD157B"/>
    <w:rsid w:val="00FD1602"/>
    <w:rsid w:val="00FD1668"/>
    <w:rsid w:val="00FD172F"/>
    <w:rsid w:val="00FD1761"/>
    <w:rsid w:val="00FD18CD"/>
    <w:rsid w:val="00FD1A3D"/>
    <w:rsid w:val="00FD1B55"/>
    <w:rsid w:val="00FD1B7D"/>
    <w:rsid w:val="00FD1BB4"/>
    <w:rsid w:val="00FD1BDC"/>
    <w:rsid w:val="00FD1D71"/>
    <w:rsid w:val="00FD1F5F"/>
    <w:rsid w:val="00FD1F60"/>
    <w:rsid w:val="00FD2030"/>
    <w:rsid w:val="00FD2055"/>
    <w:rsid w:val="00FD2189"/>
    <w:rsid w:val="00FD22A3"/>
    <w:rsid w:val="00FD2325"/>
    <w:rsid w:val="00FD24BA"/>
    <w:rsid w:val="00FD26AC"/>
    <w:rsid w:val="00FD283E"/>
    <w:rsid w:val="00FD284B"/>
    <w:rsid w:val="00FD28A0"/>
    <w:rsid w:val="00FD28BA"/>
    <w:rsid w:val="00FD28FD"/>
    <w:rsid w:val="00FD2A53"/>
    <w:rsid w:val="00FD2B11"/>
    <w:rsid w:val="00FD2B48"/>
    <w:rsid w:val="00FD2BDF"/>
    <w:rsid w:val="00FD2BED"/>
    <w:rsid w:val="00FD2BF5"/>
    <w:rsid w:val="00FD2C6C"/>
    <w:rsid w:val="00FD2CA7"/>
    <w:rsid w:val="00FD2CE6"/>
    <w:rsid w:val="00FD2D02"/>
    <w:rsid w:val="00FD2DCC"/>
    <w:rsid w:val="00FD2DD8"/>
    <w:rsid w:val="00FD2E12"/>
    <w:rsid w:val="00FD2E42"/>
    <w:rsid w:val="00FD2EAA"/>
    <w:rsid w:val="00FD2F84"/>
    <w:rsid w:val="00FD302F"/>
    <w:rsid w:val="00FD3192"/>
    <w:rsid w:val="00FD31ED"/>
    <w:rsid w:val="00FD31FD"/>
    <w:rsid w:val="00FD3244"/>
    <w:rsid w:val="00FD325C"/>
    <w:rsid w:val="00FD327F"/>
    <w:rsid w:val="00FD332B"/>
    <w:rsid w:val="00FD33AF"/>
    <w:rsid w:val="00FD3440"/>
    <w:rsid w:val="00FD3477"/>
    <w:rsid w:val="00FD349A"/>
    <w:rsid w:val="00FD35E0"/>
    <w:rsid w:val="00FD3638"/>
    <w:rsid w:val="00FD3650"/>
    <w:rsid w:val="00FD375E"/>
    <w:rsid w:val="00FD38A6"/>
    <w:rsid w:val="00FD3935"/>
    <w:rsid w:val="00FD39F1"/>
    <w:rsid w:val="00FD3B6D"/>
    <w:rsid w:val="00FD3C34"/>
    <w:rsid w:val="00FD3CEC"/>
    <w:rsid w:val="00FD3D21"/>
    <w:rsid w:val="00FD3D2C"/>
    <w:rsid w:val="00FD3E77"/>
    <w:rsid w:val="00FD3EBE"/>
    <w:rsid w:val="00FD3ECE"/>
    <w:rsid w:val="00FD3F01"/>
    <w:rsid w:val="00FD3FC3"/>
    <w:rsid w:val="00FD4040"/>
    <w:rsid w:val="00FD420C"/>
    <w:rsid w:val="00FD4256"/>
    <w:rsid w:val="00FD42D9"/>
    <w:rsid w:val="00FD4364"/>
    <w:rsid w:val="00FD4487"/>
    <w:rsid w:val="00FD44F7"/>
    <w:rsid w:val="00FD4546"/>
    <w:rsid w:val="00FD462D"/>
    <w:rsid w:val="00FD4771"/>
    <w:rsid w:val="00FD4A11"/>
    <w:rsid w:val="00FD4A21"/>
    <w:rsid w:val="00FD4A77"/>
    <w:rsid w:val="00FD4AF3"/>
    <w:rsid w:val="00FD4BE1"/>
    <w:rsid w:val="00FD4CCE"/>
    <w:rsid w:val="00FD4D7C"/>
    <w:rsid w:val="00FD4DB2"/>
    <w:rsid w:val="00FD4EEA"/>
    <w:rsid w:val="00FD4F64"/>
    <w:rsid w:val="00FD4FB8"/>
    <w:rsid w:val="00FD4FD4"/>
    <w:rsid w:val="00FD5012"/>
    <w:rsid w:val="00FD5071"/>
    <w:rsid w:val="00FD5176"/>
    <w:rsid w:val="00FD517F"/>
    <w:rsid w:val="00FD5196"/>
    <w:rsid w:val="00FD532F"/>
    <w:rsid w:val="00FD5363"/>
    <w:rsid w:val="00FD5494"/>
    <w:rsid w:val="00FD54EF"/>
    <w:rsid w:val="00FD5689"/>
    <w:rsid w:val="00FD5700"/>
    <w:rsid w:val="00FD574A"/>
    <w:rsid w:val="00FD5828"/>
    <w:rsid w:val="00FD5882"/>
    <w:rsid w:val="00FD592F"/>
    <w:rsid w:val="00FD5953"/>
    <w:rsid w:val="00FD5979"/>
    <w:rsid w:val="00FD5994"/>
    <w:rsid w:val="00FD59C2"/>
    <w:rsid w:val="00FD5B57"/>
    <w:rsid w:val="00FD5B74"/>
    <w:rsid w:val="00FD5D65"/>
    <w:rsid w:val="00FD5D6E"/>
    <w:rsid w:val="00FD5E06"/>
    <w:rsid w:val="00FD5E4B"/>
    <w:rsid w:val="00FD601A"/>
    <w:rsid w:val="00FD6059"/>
    <w:rsid w:val="00FD607E"/>
    <w:rsid w:val="00FD609A"/>
    <w:rsid w:val="00FD60A3"/>
    <w:rsid w:val="00FD6197"/>
    <w:rsid w:val="00FD623D"/>
    <w:rsid w:val="00FD62CC"/>
    <w:rsid w:val="00FD6496"/>
    <w:rsid w:val="00FD651B"/>
    <w:rsid w:val="00FD6526"/>
    <w:rsid w:val="00FD659A"/>
    <w:rsid w:val="00FD65C0"/>
    <w:rsid w:val="00FD6641"/>
    <w:rsid w:val="00FD6652"/>
    <w:rsid w:val="00FD66C1"/>
    <w:rsid w:val="00FD6790"/>
    <w:rsid w:val="00FD67FE"/>
    <w:rsid w:val="00FD6886"/>
    <w:rsid w:val="00FD6B26"/>
    <w:rsid w:val="00FD6B43"/>
    <w:rsid w:val="00FD6BA0"/>
    <w:rsid w:val="00FD6BF7"/>
    <w:rsid w:val="00FD6C56"/>
    <w:rsid w:val="00FD6C7B"/>
    <w:rsid w:val="00FD6CBB"/>
    <w:rsid w:val="00FD6D7B"/>
    <w:rsid w:val="00FD6D8B"/>
    <w:rsid w:val="00FD6D98"/>
    <w:rsid w:val="00FD6EA3"/>
    <w:rsid w:val="00FD6EB6"/>
    <w:rsid w:val="00FD6EBB"/>
    <w:rsid w:val="00FD6F46"/>
    <w:rsid w:val="00FD6FF5"/>
    <w:rsid w:val="00FD7028"/>
    <w:rsid w:val="00FD716D"/>
    <w:rsid w:val="00FD718B"/>
    <w:rsid w:val="00FD729F"/>
    <w:rsid w:val="00FD73CC"/>
    <w:rsid w:val="00FD74A4"/>
    <w:rsid w:val="00FD74CF"/>
    <w:rsid w:val="00FD7644"/>
    <w:rsid w:val="00FD76C5"/>
    <w:rsid w:val="00FD789C"/>
    <w:rsid w:val="00FD7986"/>
    <w:rsid w:val="00FD79E8"/>
    <w:rsid w:val="00FD7A22"/>
    <w:rsid w:val="00FD7B41"/>
    <w:rsid w:val="00FD7BD2"/>
    <w:rsid w:val="00FE0005"/>
    <w:rsid w:val="00FE002F"/>
    <w:rsid w:val="00FE00D6"/>
    <w:rsid w:val="00FE0147"/>
    <w:rsid w:val="00FE036A"/>
    <w:rsid w:val="00FE03A6"/>
    <w:rsid w:val="00FE03FA"/>
    <w:rsid w:val="00FE042F"/>
    <w:rsid w:val="00FE0475"/>
    <w:rsid w:val="00FE04FC"/>
    <w:rsid w:val="00FE054E"/>
    <w:rsid w:val="00FE063E"/>
    <w:rsid w:val="00FE0643"/>
    <w:rsid w:val="00FE0707"/>
    <w:rsid w:val="00FE070F"/>
    <w:rsid w:val="00FE0786"/>
    <w:rsid w:val="00FE0795"/>
    <w:rsid w:val="00FE08E6"/>
    <w:rsid w:val="00FE0993"/>
    <w:rsid w:val="00FE09B5"/>
    <w:rsid w:val="00FE0B08"/>
    <w:rsid w:val="00FE0C70"/>
    <w:rsid w:val="00FE0CDB"/>
    <w:rsid w:val="00FE0EF9"/>
    <w:rsid w:val="00FE0F42"/>
    <w:rsid w:val="00FE0FFA"/>
    <w:rsid w:val="00FE1003"/>
    <w:rsid w:val="00FE10AB"/>
    <w:rsid w:val="00FE10FD"/>
    <w:rsid w:val="00FE1120"/>
    <w:rsid w:val="00FE11E0"/>
    <w:rsid w:val="00FE11E9"/>
    <w:rsid w:val="00FE123C"/>
    <w:rsid w:val="00FE12AD"/>
    <w:rsid w:val="00FE1356"/>
    <w:rsid w:val="00FE1665"/>
    <w:rsid w:val="00FE16E5"/>
    <w:rsid w:val="00FE17AE"/>
    <w:rsid w:val="00FE1896"/>
    <w:rsid w:val="00FE1B1E"/>
    <w:rsid w:val="00FE1BF9"/>
    <w:rsid w:val="00FE1CE1"/>
    <w:rsid w:val="00FE1D93"/>
    <w:rsid w:val="00FE1EEC"/>
    <w:rsid w:val="00FE1F9A"/>
    <w:rsid w:val="00FE20C6"/>
    <w:rsid w:val="00FE21D8"/>
    <w:rsid w:val="00FE2251"/>
    <w:rsid w:val="00FE22D1"/>
    <w:rsid w:val="00FE2386"/>
    <w:rsid w:val="00FE24AE"/>
    <w:rsid w:val="00FE2522"/>
    <w:rsid w:val="00FE253F"/>
    <w:rsid w:val="00FE2569"/>
    <w:rsid w:val="00FE25E3"/>
    <w:rsid w:val="00FE25F3"/>
    <w:rsid w:val="00FE266F"/>
    <w:rsid w:val="00FE26F3"/>
    <w:rsid w:val="00FE272E"/>
    <w:rsid w:val="00FE27DB"/>
    <w:rsid w:val="00FE2817"/>
    <w:rsid w:val="00FE2956"/>
    <w:rsid w:val="00FE297C"/>
    <w:rsid w:val="00FE29CB"/>
    <w:rsid w:val="00FE2A12"/>
    <w:rsid w:val="00FE2F69"/>
    <w:rsid w:val="00FE3076"/>
    <w:rsid w:val="00FE30B0"/>
    <w:rsid w:val="00FE3110"/>
    <w:rsid w:val="00FE3313"/>
    <w:rsid w:val="00FE3325"/>
    <w:rsid w:val="00FE3348"/>
    <w:rsid w:val="00FE347C"/>
    <w:rsid w:val="00FE3492"/>
    <w:rsid w:val="00FE35DA"/>
    <w:rsid w:val="00FE3607"/>
    <w:rsid w:val="00FE368E"/>
    <w:rsid w:val="00FE3702"/>
    <w:rsid w:val="00FE37A0"/>
    <w:rsid w:val="00FE37AC"/>
    <w:rsid w:val="00FE37B3"/>
    <w:rsid w:val="00FE37F8"/>
    <w:rsid w:val="00FE3813"/>
    <w:rsid w:val="00FE3830"/>
    <w:rsid w:val="00FE3887"/>
    <w:rsid w:val="00FE39A6"/>
    <w:rsid w:val="00FE39E1"/>
    <w:rsid w:val="00FE3A69"/>
    <w:rsid w:val="00FE3AA2"/>
    <w:rsid w:val="00FE3B07"/>
    <w:rsid w:val="00FE3B91"/>
    <w:rsid w:val="00FE3B97"/>
    <w:rsid w:val="00FE3C35"/>
    <w:rsid w:val="00FE3D08"/>
    <w:rsid w:val="00FE3DD4"/>
    <w:rsid w:val="00FE3DDF"/>
    <w:rsid w:val="00FE3F70"/>
    <w:rsid w:val="00FE40C9"/>
    <w:rsid w:val="00FE4134"/>
    <w:rsid w:val="00FE4331"/>
    <w:rsid w:val="00FE43A7"/>
    <w:rsid w:val="00FE44BA"/>
    <w:rsid w:val="00FE4576"/>
    <w:rsid w:val="00FE4645"/>
    <w:rsid w:val="00FE4736"/>
    <w:rsid w:val="00FE477C"/>
    <w:rsid w:val="00FE4786"/>
    <w:rsid w:val="00FE47BA"/>
    <w:rsid w:val="00FE47D5"/>
    <w:rsid w:val="00FE4853"/>
    <w:rsid w:val="00FE4880"/>
    <w:rsid w:val="00FE494D"/>
    <w:rsid w:val="00FE496F"/>
    <w:rsid w:val="00FE49B9"/>
    <w:rsid w:val="00FE49DC"/>
    <w:rsid w:val="00FE4AC8"/>
    <w:rsid w:val="00FE4AF4"/>
    <w:rsid w:val="00FE4AFD"/>
    <w:rsid w:val="00FE4B85"/>
    <w:rsid w:val="00FE4DA7"/>
    <w:rsid w:val="00FE4E4A"/>
    <w:rsid w:val="00FE4E9F"/>
    <w:rsid w:val="00FE4ECC"/>
    <w:rsid w:val="00FE4EFA"/>
    <w:rsid w:val="00FE4F9C"/>
    <w:rsid w:val="00FE501E"/>
    <w:rsid w:val="00FE5023"/>
    <w:rsid w:val="00FE5115"/>
    <w:rsid w:val="00FE518B"/>
    <w:rsid w:val="00FE5285"/>
    <w:rsid w:val="00FE52A2"/>
    <w:rsid w:val="00FE52D7"/>
    <w:rsid w:val="00FE53DC"/>
    <w:rsid w:val="00FE550B"/>
    <w:rsid w:val="00FE55CF"/>
    <w:rsid w:val="00FE5687"/>
    <w:rsid w:val="00FE56C7"/>
    <w:rsid w:val="00FE5727"/>
    <w:rsid w:val="00FE5866"/>
    <w:rsid w:val="00FE5889"/>
    <w:rsid w:val="00FE5960"/>
    <w:rsid w:val="00FE59AF"/>
    <w:rsid w:val="00FE5A46"/>
    <w:rsid w:val="00FE5A4C"/>
    <w:rsid w:val="00FE5B33"/>
    <w:rsid w:val="00FE5B8B"/>
    <w:rsid w:val="00FE5BCC"/>
    <w:rsid w:val="00FE5C74"/>
    <w:rsid w:val="00FE5D6F"/>
    <w:rsid w:val="00FE5EDC"/>
    <w:rsid w:val="00FE5F22"/>
    <w:rsid w:val="00FE5F24"/>
    <w:rsid w:val="00FE5F2A"/>
    <w:rsid w:val="00FE5F7F"/>
    <w:rsid w:val="00FE605F"/>
    <w:rsid w:val="00FE609E"/>
    <w:rsid w:val="00FE6142"/>
    <w:rsid w:val="00FE61D3"/>
    <w:rsid w:val="00FE6250"/>
    <w:rsid w:val="00FE62B8"/>
    <w:rsid w:val="00FE6308"/>
    <w:rsid w:val="00FE640C"/>
    <w:rsid w:val="00FE6484"/>
    <w:rsid w:val="00FE6542"/>
    <w:rsid w:val="00FE6597"/>
    <w:rsid w:val="00FE6610"/>
    <w:rsid w:val="00FE677E"/>
    <w:rsid w:val="00FE6858"/>
    <w:rsid w:val="00FE68D7"/>
    <w:rsid w:val="00FE6B0F"/>
    <w:rsid w:val="00FE6B55"/>
    <w:rsid w:val="00FE6B89"/>
    <w:rsid w:val="00FE6BAC"/>
    <w:rsid w:val="00FE6BB0"/>
    <w:rsid w:val="00FE6C21"/>
    <w:rsid w:val="00FE6C84"/>
    <w:rsid w:val="00FE6CAE"/>
    <w:rsid w:val="00FE6D72"/>
    <w:rsid w:val="00FE6E4B"/>
    <w:rsid w:val="00FE6E6E"/>
    <w:rsid w:val="00FE6F4C"/>
    <w:rsid w:val="00FE70AA"/>
    <w:rsid w:val="00FE7145"/>
    <w:rsid w:val="00FE719E"/>
    <w:rsid w:val="00FE73C6"/>
    <w:rsid w:val="00FE73EA"/>
    <w:rsid w:val="00FE7425"/>
    <w:rsid w:val="00FE747A"/>
    <w:rsid w:val="00FE75EA"/>
    <w:rsid w:val="00FE7674"/>
    <w:rsid w:val="00FE7729"/>
    <w:rsid w:val="00FE7874"/>
    <w:rsid w:val="00FE78A5"/>
    <w:rsid w:val="00FE795A"/>
    <w:rsid w:val="00FE7BE0"/>
    <w:rsid w:val="00FE7BE7"/>
    <w:rsid w:val="00FE7C0F"/>
    <w:rsid w:val="00FE7C5C"/>
    <w:rsid w:val="00FE7CCF"/>
    <w:rsid w:val="00FE7DE3"/>
    <w:rsid w:val="00FE7E49"/>
    <w:rsid w:val="00FF0011"/>
    <w:rsid w:val="00FF0113"/>
    <w:rsid w:val="00FF014C"/>
    <w:rsid w:val="00FF0186"/>
    <w:rsid w:val="00FF0381"/>
    <w:rsid w:val="00FF0383"/>
    <w:rsid w:val="00FF05BA"/>
    <w:rsid w:val="00FF0604"/>
    <w:rsid w:val="00FF0642"/>
    <w:rsid w:val="00FF065F"/>
    <w:rsid w:val="00FF06E9"/>
    <w:rsid w:val="00FF082E"/>
    <w:rsid w:val="00FF09A1"/>
    <w:rsid w:val="00FF09E0"/>
    <w:rsid w:val="00FF0AD4"/>
    <w:rsid w:val="00FF0B2F"/>
    <w:rsid w:val="00FF0B60"/>
    <w:rsid w:val="00FF0C8E"/>
    <w:rsid w:val="00FF0CA8"/>
    <w:rsid w:val="00FF0CAA"/>
    <w:rsid w:val="00FF0D0C"/>
    <w:rsid w:val="00FF0DB5"/>
    <w:rsid w:val="00FF0E17"/>
    <w:rsid w:val="00FF0F8A"/>
    <w:rsid w:val="00FF0FD5"/>
    <w:rsid w:val="00FF107A"/>
    <w:rsid w:val="00FF1082"/>
    <w:rsid w:val="00FF10F1"/>
    <w:rsid w:val="00FF117D"/>
    <w:rsid w:val="00FF1192"/>
    <w:rsid w:val="00FF1224"/>
    <w:rsid w:val="00FF1296"/>
    <w:rsid w:val="00FF1301"/>
    <w:rsid w:val="00FF1391"/>
    <w:rsid w:val="00FF13E5"/>
    <w:rsid w:val="00FF13F1"/>
    <w:rsid w:val="00FF1449"/>
    <w:rsid w:val="00FF1522"/>
    <w:rsid w:val="00FF168E"/>
    <w:rsid w:val="00FF1810"/>
    <w:rsid w:val="00FF1943"/>
    <w:rsid w:val="00FF1A44"/>
    <w:rsid w:val="00FF1A4E"/>
    <w:rsid w:val="00FF1A6F"/>
    <w:rsid w:val="00FF1B27"/>
    <w:rsid w:val="00FF1C54"/>
    <w:rsid w:val="00FF1CA9"/>
    <w:rsid w:val="00FF1DB3"/>
    <w:rsid w:val="00FF1E40"/>
    <w:rsid w:val="00FF1F1C"/>
    <w:rsid w:val="00FF1F32"/>
    <w:rsid w:val="00FF200C"/>
    <w:rsid w:val="00FF2029"/>
    <w:rsid w:val="00FF204A"/>
    <w:rsid w:val="00FF205B"/>
    <w:rsid w:val="00FF2098"/>
    <w:rsid w:val="00FF210E"/>
    <w:rsid w:val="00FF212B"/>
    <w:rsid w:val="00FF21E7"/>
    <w:rsid w:val="00FF22B1"/>
    <w:rsid w:val="00FF23B0"/>
    <w:rsid w:val="00FF23C6"/>
    <w:rsid w:val="00FF2400"/>
    <w:rsid w:val="00FF2415"/>
    <w:rsid w:val="00FF2448"/>
    <w:rsid w:val="00FF26A7"/>
    <w:rsid w:val="00FF26D1"/>
    <w:rsid w:val="00FF26F6"/>
    <w:rsid w:val="00FF2738"/>
    <w:rsid w:val="00FF2745"/>
    <w:rsid w:val="00FF277F"/>
    <w:rsid w:val="00FF280E"/>
    <w:rsid w:val="00FF2889"/>
    <w:rsid w:val="00FF2962"/>
    <w:rsid w:val="00FF2975"/>
    <w:rsid w:val="00FF2A49"/>
    <w:rsid w:val="00FF2BF3"/>
    <w:rsid w:val="00FF2D45"/>
    <w:rsid w:val="00FF2D51"/>
    <w:rsid w:val="00FF2E76"/>
    <w:rsid w:val="00FF2EE3"/>
    <w:rsid w:val="00FF3000"/>
    <w:rsid w:val="00FF3091"/>
    <w:rsid w:val="00FF30AF"/>
    <w:rsid w:val="00FF30BA"/>
    <w:rsid w:val="00FF30DE"/>
    <w:rsid w:val="00FF315E"/>
    <w:rsid w:val="00FF316C"/>
    <w:rsid w:val="00FF324D"/>
    <w:rsid w:val="00FF3378"/>
    <w:rsid w:val="00FF33D4"/>
    <w:rsid w:val="00FF3404"/>
    <w:rsid w:val="00FF3432"/>
    <w:rsid w:val="00FF34B7"/>
    <w:rsid w:val="00FF354E"/>
    <w:rsid w:val="00FF3623"/>
    <w:rsid w:val="00FF371A"/>
    <w:rsid w:val="00FF373D"/>
    <w:rsid w:val="00FF3747"/>
    <w:rsid w:val="00FF37C7"/>
    <w:rsid w:val="00FF37C8"/>
    <w:rsid w:val="00FF38DF"/>
    <w:rsid w:val="00FF3918"/>
    <w:rsid w:val="00FF393A"/>
    <w:rsid w:val="00FF3A1B"/>
    <w:rsid w:val="00FF3B6F"/>
    <w:rsid w:val="00FF3B9A"/>
    <w:rsid w:val="00FF3B9C"/>
    <w:rsid w:val="00FF3D97"/>
    <w:rsid w:val="00FF3E9E"/>
    <w:rsid w:val="00FF3F1A"/>
    <w:rsid w:val="00FF414A"/>
    <w:rsid w:val="00FF4279"/>
    <w:rsid w:val="00FF4306"/>
    <w:rsid w:val="00FF4331"/>
    <w:rsid w:val="00FF43A7"/>
    <w:rsid w:val="00FF43FB"/>
    <w:rsid w:val="00FF45D9"/>
    <w:rsid w:val="00FF46AE"/>
    <w:rsid w:val="00FF4759"/>
    <w:rsid w:val="00FF47C2"/>
    <w:rsid w:val="00FF47CE"/>
    <w:rsid w:val="00FF481A"/>
    <w:rsid w:val="00FF4965"/>
    <w:rsid w:val="00FF4975"/>
    <w:rsid w:val="00FF49B4"/>
    <w:rsid w:val="00FF49FB"/>
    <w:rsid w:val="00FF4B0D"/>
    <w:rsid w:val="00FF4BB2"/>
    <w:rsid w:val="00FF4C19"/>
    <w:rsid w:val="00FF4C24"/>
    <w:rsid w:val="00FF4C94"/>
    <w:rsid w:val="00FF504C"/>
    <w:rsid w:val="00FF5192"/>
    <w:rsid w:val="00FF5278"/>
    <w:rsid w:val="00FF5280"/>
    <w:rsid w:val="00FF5358"/>
    <w:rsid w:val="00FF5441"/>
    <w:rsid w:val="00FF5623"/>
    <w:rsid w:val="00FF5648"/>
    <w:rsid w:val="00FF5660"/>
    <w:rsid w:val="00FF5691"/>
    <w:rsid w:val="00FF56FA"/>
    <w:rsid w:val="00FF56FD"/>
    <w:rsid w:val="00FF5785"/>
    <w:rsid w:val="00FF580A"/>
    <w:rsid w:val="00FF580B"/>
    <w:rsid w:val="00FF590C"/>
    <w:rsid w:val="00FF59DA"/>
    <w:rsid w:val="00FF5C39"/>
    <w:rsid w:val="00FF5D60"/>
    <w:rsid w:val="00FF5D77"/>
    <w:rsid w:val="00FF5E0B"/>
    <w:rsid w:val="00FF5EC3"/>
    <w:rsid w:val="00FF5F51"/>
    <w:rsid w:val="00FF600E"/>
    <w:rsid w:val="00FF608B"/>
    <w:rsid w:val="00FF60A6"/>
    <w:rsid w:val="00FF610E"/>
    <w:rsid w:val="00FF6254"/>
    <w:rsid w:val="00FF6279"/>
    <w:rsid w:val="00FF633B"/>
    <w:rsid w:val="00FF635D"/>
    <w:rsid w:val="00FF6426"/>
    <w:rsid w:val="00FF6631"/>
    <w:rsid w:val="00FF665C"/>
    <w:rsid w:val="00FF667D"/>
    <w:rsid w:val="00FF677C"/>
    <w:rsid w:val="00FF683E"/>
    <w:rsid w:val="00FF68A9"/>
    <w:rsid w:val="00FF68FA"/>
    <w:rsid w:val="00FF69A4"/>
    <w:rsid w:val="00FF6A07"/>
    <w:rsid w:val="00FF6A3E"/>
    <w:rsid w:val="00FF6A59"/>
    <w:rsid w:val="00FF6CDD"/>
    <w:rsid w:val="00FF6DAC"/>
    <w:rsid w:val="00FF6F91"/>
    <w:rsid w:val="00FF704F"/>
    <w:rsid w:val="00FF7162"/>
    <w:rsid w:val="00FF7169"/>
    <w:rsid w:val="00FF717A"/>
    <w:rsid w:val="00FF7281"/>
    <w:rsid w:val="00FF72AE"/>
    <w:rsid w:val="00FF7392"/>
    <w:rsid w:val="00FF73AF"/>
    <w:rsid w:val="00FF741E"/>
    <w:rsid w:val="00FF754F"/>
    <w:rsid w:val="00FF7551"/>
    <w:rsid w:val="00FF757B"/>
    <w:rsid w:val="00FF7634"/>
    <w:rsid w:val="00FF77A2"/>
    <w:rsid w:val="00FF77E1"/>
    <w:rsid w:val="00FF7871"/>
    <w:rsid w:val="00FF7903"/>
    <w:rsid w:val="00FF7A4A"/>
    <w:rsid w:val="00FF7AA4"/>
    <w:rsid w:val="00FF7B6E"/>
    <w:rsid w:val="00FF7B82"/>
    <w:rsid w:val="00FF7C44"/>
    <w:rsid w:val="00FF7CB6"/>
    <w:rsid w:val="00FF7D02"/>
    <w:rsid w:val="00FF7D69"/>
    <w:rsid w:val="00FF7D91"/>
    <w:rsid w:val="00FF7D96"/>
    <w:rsid w:val="00FF7DED"/>
    <w:rsid w:val="00FF7E23"/>
    <w:rsid w:val="00FF7E82"/>
    <w:rsid w:val="00FF7EA6"/>
    <w:rsid w:val="00FF7EBF"/>
    <w:rsid w:val="00FF7F3E"/>
    <w:rsid w:val="00FF7F6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colormru v:ext="edit" colors="#33c,#33f,#006,#00c"/>
    </o:shapedefaults>
    <o:shapelayout v:ext="edit">
      <o:idmap v:ext="edit" data="1"/>
    </o:shapelayout>
  </w:shapeDefaults>
  <w:decimalSymbol w:val="."/>
  <w:listSeparator w:val=","/>
  <w15:docId w15:val="{0BFA3DCF-5A7B-4B36-87B5-4E9E0907F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157B"/>
    <w:rPr>
      <w:sz w:val="24"/>
      <w:szCs w:val="24"/>
      <w:lang w:eastAsia="es-ES"/>
    </w:rPr>
  </w:style>
  <w:style w:type="paragraph" w:styleId="Ttulo1">
    <w:name w:val="heading 1"/>
    <w:aliases w:val="num.                          1"/>
    <w:basedOn w:val="Normal"/>
    <w:link w:val="Ttulo1Car"/>
    <w:uiPriority w:val="9"/>
    <w:qFormat/>
    <w:rsid w:val="00412ED0"/>
    <w:pPr>
      <w:spacing w:before="100" w:beforeAutospacing="1" w:after="100" w:afterAutospacing="1"/>
      <w:outlineLvl w:val="0"/>
    </w:pPr>
    <w:rPr>
      <w:rFonts w:ascii="Arial" w:hAnsi="Arial" w:cs="Arial"/>
      <w:b/>
      <w:bCs/>
      <w:kern w:val="36"/>
      <w:sz w:val="48"/>
      <w:szCs w:val="48"/>
      <w:lang w:eastAsia="es-MX"/>
    </w:rPr>
  </w:style>
  <w:style w:type="paragraph" w:styleId="Ttulo2">
    <w:name w:val="heading 2"/>
    <w:basedOn w:val="Normal"/>
    <w:next w:val="Normal"/>
    <w:link w:val="Ttulo2Car"/>
    <w:uiPriority w:val="9"/>
    <w:qFormat/>
    <w:rsid w:val="002B0452"/>
    <w:pPr>
      <w:keepNext/>
      <w:spacing w:before="60" w:after="60"/>
      <w:jc w:val="center"/>
      <w:outlineLvl w:val="1"/>
    </w:pPr>
    <w:rPr>
      <w:b/>
      <w:bCs/>
      <w:sz w:val="16"/>
      <w:szCs w:val="26"/>
      <w:lang w:val="es-ES"/>
    </w:rPr>
  </w:style>
  <w:style w:type="paragraph" w:styleId="Ttulo3">
    <w:name w:val="heading 3"/>
    <w:aliases w:val="num.                                              3"/>
    <w:basedOn w:val="Normal"/>
    <w:next w:val="Normal"/>
    <w:link w:val="Ttulo3Car"/>
    <w:uiPriority w:val="9"/>
    <w:qFormat/>
    <w:rsid w:val="002B0452"/>
    <w:pPr>
      <w:keepNext/>
      <w:spacing w:after="120"/>
      <w:jc w:val="center"/>
      <w:outlineLvl w:val="2"/>
    </w:pPr>
    <w:rPr>
      <w:b/>
      <w:bCs/>
      <w:sz w:val="22"/>
      <w:szCs w:val="22"/>
      <w:lang w:val="es-ES"/>
    </w:rPr>
  </w:style>
  <w:style w:type="paragraph" w:styleId="Ttulo4">
    <w:name w:val="heading 4"/>
    <w:aliases w:val="num.                                               4"/>
    <w:basedOn w:val="Normal"/>
    <w:next w:val="Normal"/>
    <w:link w:val="Ttulo4Car"/>
    <w:uiPriority w:val="9"/>
    <w:qFormat/>
    <w:rsid w:val="002B0452"/>
    <w:pPr>
      <w:keepNext/>
      <w:jc w:val="center"/>
      <w:outlineLvl w:val="3"/>
    </w:pPr>
    <w:rPr>
      <w:b/>
      <w:bCs/>
      <w:caps/>
      <w:sz w:val="18"/>
      <w:szCs w:val="26"/>
      <w:lang w:val="es-ES"/>
    </w:rPr>
  </w:style>
  <w:style w:type="paragraph" w:styleId="Ttulo5">
    <w:name w:val="heading 5"/>
    <w:aliases w:val="num.                                       5"/>
    <w:basedOn w:val="Normal"/>
    <w:next w:val="Normal"/>
    <w:link w:val="Ttulo5Car"/>
    <w:uiPriority w:val="9"/>
    <w:qFormat/>
    <w:rsid w:val="002B0452"/>
    <w:pPr>
      <w:keepNext/>
      <w:jc w:val="center"/>
      <w:outlineLvl w:val="4"/>
    </w:pPr>
    <w:rPr>
      <w:b/>
      <w:bCs/>
      <w:sz w:val="20"/>
      <w:szCs w:val="22"/>
      <w:lang w:val="es-ES"/>
    </w:rPr>
  </w:style>
  <w:style w:type="paragraph" w:styleId="Ttulo6">
    <w:name w:val="heading 6"/>
    <w:basedOn w:val="Normal"/>
    <w:next w:val="Normal"/>
    <w:link w:val="Ttulo6Car"/>
    <w:uiPriority w:val="9"/>
    <w:qFormat/>
    <w:rsid w:val="002B0452"/>
    <w:pPr>
      <w:keepNext/>
      <w:spacing w:after="120"/>
      <w:jc w:val="center"/>
      <w:outlineLvl w:val="5"/>
    </w:pPr>
    <w:rPr>
      <w:b/>
      <w:sz w:val="26"/>
      <w:szCs w:val="26"/>
      <w:lang w:val="es-ES"/>
    </w:rPr>
  </w:style>
  <w:style w:type="paragraph" w:styleId="Ttulo7">
    <w:name w:val="heading 7"/>
    <w:basedOn w:val="Normal"/>
    <w:next w:val="Normal"/>
    <w:link w:val="Ttulo7Car"/>
    <w:uiPriority w:val="99"/>
    <w:qFormat/>
    <w:rsid w:val="002B0452"/>
    <w:pPr>
      <w:keepNext/>
      <w:spacing w:before="60"/>
      <w:jc w:val="center"/>
      <w:outlineLvl w:val="6"/>
    </w:pPr>
    <w:rPr>
      <w:b/>
      <w:bCs/>
      <w:sz w:val="14"/>
      <w:szCs w:val="26"/>
      <w:lang w:val="es-ES"/>
    </w:rPr>
  </w:style>
  <w:style w:type="paragraph" w:styleId="Ttulo8">
    <w:name w:val="heading 8"/>
    <w:basedOn w:val="Normal"/>
    <w:next w:val="Normal"/>
    <w:link w:val="Ttulo8Car"/>
    <w:uiPriority w:val="99"/>
    <w:qFormat/>
    <w:rsid w:val="00E74EAE"/>
    <w:pPr>
      <w:tabs>
        <w:tab w:val="num" w:pos="1440"/>
      </w:tabs>
      <w:spacing w:before="240" w:after="60"/>
      <w:ind w:left="1440" w:hanging="1440"/>
      <w:outlineLvl w:val="7"/>
    </w:pPr>
    <w:rPr>
      <w:i/>
      <w:iCs/>
    </w:rPr>
  </w:style>
  <w:style w:type="paragraph" w:styleId="Ttulo9">
    <w:name w:val="heading 9"/>
    <w:basedOn w:val="Normal"/>
    <w:next w:val="Normal"/>
    <w:link w:val="Ttulo9Car"/>
    <w:uiPriority w:val="99"/>
    <w:qFormat/>
    <w:rsid w:val="00E74EAE"/>
    <w:pPr>
      <w:tabs>
        <w:tab w:val="num" w:pos="1584"/>
      </w:tabs>
      <w:spacing w:before="240" w:after="60"/>
      <w:ind w:left="1584" w:hanging="1584"/>
      <w:outlineLvl w:val="8"/>
    </w:pPr>
    <w:rPr>
      <w:rFonts w:ascii="Arial" w:hAnsi="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F103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F6477D"/>
    <w:pPr>
      <w:tabs>
        <w:tab w:val="center" w:pos="4252"/>
        <w:tab w:val="right" w:pos="8504"/>
      </w:tabs>
    </w:pPr>
  </w:style>
  <w:style w:type="paragraph" w:styleId="Piedepgina">
    <w:name w:val="footer"/>
    <w:basedOn w:val="Normal"/>
    <w:link w:val="PiedepginaCar"/>
    <w:uiPriority w:val="99"/>
    <w:rsid w:val="00F6477D"/>
    <w:pPr>
      <w:tabs>
        <w:tab w:val="center" w:pos="4252"/>
        <w:tab w:val="right" w:pos="8504"/>
      </w:tabs>
    </w:pPr>
  </w:style>
  <w:style w:type="character" w:styleId="Nmerodepgina">
    <w:name w:val="page number"/>
    <w:basedOn w:val="Fuentedeprrafopredeter"/>
    <w:rsid w:val="00F6477D"/>
  </w:style>
  <w:style w:type="paragraph" w:styleId="Textonotapie">
    <w:name w:val="footnote text"/>
    <w:aliases w:val="Footnote Text Char1,Footnote Text Char1 Char,Footnote Text Char Char Char"/>
    <w:basedOn w:val="Normal"/>
    <w:link w:val="TextonotapieCar"/>
    <w:uiPriority w:val="99"/>
    <w:rsid w:val="00242B75"/>
    <w:rPr>
      <w:sz w:val="20"/>
      <w:szCs w:val="20"/>
      <w:lang w:val="es-ES"/>
    </w:rPr>
  </w:style>
  <w:style w:type="character" w:customStyle="1" w:styleId="TextonotapieCar">
    <w:name w:val="Texto nota pie Car"/>
    <w:aliases w:val="Footnote Text Char1 Car1,Footnote Text Char1 Char Car1,Footnote Text Char Char Char Car"/>
    <w:basedOn w:val="Fuentedeprrafopredeter"/>
    <w:link w:val="Textonotapie"/>
    <w:uiPriority w:val="99"/>
    <w:rsid w:val="00242B75"/>
    <w:rPr>
      <w:lang w:val="es-ES" w:eastAsia="es-ES" w:bidi="ar-SA"/>
    </w:rPr>
  </w:style>
  <w:style w:type="character" w:styleId="Refdenotaalpie">
    <w:name w:val="footnote reference"/>
    <w:aliases w:val="Ref,de nota al pie,註腳內容,de nota al pie + (Asian) MS Mincho,11 pt"/>
    <w:basedOn w:val="Fuentedeprrafopredeter"/>
    <w:uiPriority w:val="99"/>
    <w:rsid w:val="00242B75"/>
    <w:rPr>
      <w:vertAlign w:val="superscript"/>
    </w:rPr>
  </w:style>
  <w:style w:type="character" w:styleId="Hipervnculo">
    <w:name w:val="Hyperlink"/>
    <w:basedOn w:val="Fuentedeprrafopredeter"/>
    <w:uiPriority w:val="99"/>
    <w:rsid w:val="00242B75"/>
    <w:rPr>
      <w:color w:val="0000FF"/>
      <w:u w:val="single"/>
    </w:rPr>
  </w:style>
  <w:style w:type="table" w:customStyle="1" w:styleId="Tablaconcuadrcula160">
    <w:name w:val="Tabla con cuadrícula160"/>
    <w:basedOn w:val="Tablanormal"/>
    <w:next w:val="Tablaconcuadrcula"/>
    <w:rsid w:val="0011623A"/>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8B2BC9"/>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rsid w:val="00A426AC"/>
    <w:rPr>
      <w:color w:val="800080"/>
      <w:u w:val="single"/>
    </w:rPr>
  </w:style>
  <w:style w:type="table" w:customStyle="1" w:styleId="Tablaconcuadrcula2">
    <w:name w:val="Tabla con cuadrícula2"/>
    <w:basedOn w:val="Tablanormal"/>
    <w:next w:val="Tablaconcuadrcula"/>
    <w:rsid w:val="004D2A7C"/>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aliases w:val=" Car Car Car Car Car Car,Car Car Car Car Car Car"/>
    <w:basedOn w:val="Normal"/>
    <w:link w:val="TextoindependienteCar"/>
    <w:rsid w:val="00A63EA1"/>
    <w:pPr>
      <w:jc w:val="center"/>
    </w:pPr>
    <w:rPr>
      <w:sz w:val="20"/>
    </w:rPr>
  </w:style>
  <w:style w:type="paragraph" w:styleId="Textoindependiente2">
    <w:name w:val="Body Text 2"/>
    <w:basedOn w:val="Normal"/>
    <w:link w:val="Textoindependiente2Car"/>
    <w:uiPriority w:val="99"/>
    <w:rsid w:val="00A63EA1"/>
    <w:pPr>
      <w:spacing w:after="360" w:line="360" w:lineRule="auto"/>
      <w:ind w:right="-159"/>
      <w:jc w:val="both"/>
    </w:pPr>
    <w:rPr>
      <w:sz w:val="26"/>
    </w:rPr>
  </w:style>
  <w:style w:type="table" w:customStyle="1" w:styleId="Tablaconcuadrcula21">
    <w:name w:val="Tabla con cuadrícula21"/>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74955"/>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semiHidden/>
    <w:unhideWhenUsed/>
    <w:rsid w:val="00412ED0"/>
  </w:style>
  <w:style w:type="character" w:customStyle="1" w:styleId="Ttulo1Car">
    <w:name w:val="Título 1 Car"/>
    <w:aliases w:val="num.                          1 Car"/>
    <w:basedOn w:val="Fuentedeprrafopredeter"/>
    <w:link w:val="Ttulo1"/>
    <w:uiPriority w:val="9"/>
    <w:rsid w:val="00412ED0"/>
    <w:rPr>
      <w:rFonts w:ascii="Arial" w:hAnsi="Arial" w:cs="Arial"/>
      <w:b/>
      <w:bCs/>
      <w:kern w:val="36"/>
      <w:sz w:val="48"/>
      <w:szCs w:val="48"/>
      <w:lang w:val="es-MX" w:eastAsia="es-MX" w:bidi="ar-SA"/>
    </w:rPr>
  </w:style>
  <w:style w:type="table" w:customStyle="1" w:styleId="Tablaconcuadrcula3">
    <w:name w:val="Tabla con cuadrícula3"/>
    <w:basedOn w:val="Tablanormal"/>
    <w:next w:val="Tablaconcuadrcula"/>
    <w:rsid w:val="00412ED0"/>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
    <w:name w:val="Sin lista2"/>
    <w:next w:val="Sinlista"/>
    <w:semiHidden/>
    <w:unhideWhenUsed/>
    <w:rsid w:val="00A81FDB"/>
  </w:style>
  <w:style w:type="table" w:customStyle="1" w:styleId="Tablaconcuadrcula4">
    <w:name w:val="Tabla con cuadrícula4"/>
    <w:basedOn w:val="Tablanormal"/>
    <w:next w:val="Tablaconcuadrcula"/>
    <w:rsid w:val="00A81FD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bsica1">
    <w:name w:val="Table Simple 1"/>
    <w:basedOn w:val="Tablanormal"/>
    <w:rsid w:val="00A81FDB"/>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
    <w:name w:val="Sin lista11"/>
    <w:next w:val="Sinlista"/>
    <w:semiHidden/>
    <w:rsid w:val="00A81FDB"/>
  </w:style>
  <w:style w:type="table" w:customStyle="1" w:styleId="Tablaconcuadrcula11">
    <w:name w:val="Tabla con cuadrícula11"/>
    <w:basedOn w:val="Tablanormal"/>
    <w:next w:val="Tablaconcuadrcula"/>
    <w:rsid w:val="00A81F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B7994"/>
    <w:rPr>
      <w:rFonts w:ascii="Tahoma" w:hAnsi="Tahoma" w:cs="Tahoma"/>
      <w:sz w:val="16"/>
      <w:szCs w:val="16"/>
    </w:rPr>
  </w:style>
  <w:style w:type="paragraph" w:styleId="NormalWeb">
    <w:name w:val="Normal (Web)"/>
    <w:basedOn w:val="Normal"/>
    <w:rsid w:val="00C219FB"/>
    <w:pPr>
      <w:spacing w:before="100" w:beforeAutospacing="1" w:after="100" w:afterAutospacing="1"/>
    </w:pPr>
    <w:rPr>
      <w:color w:val="000000"/>
      <w:lang w:val="es-ES"/>
    </w:rPr>
  </w:style>
  <w:style w:type="table" w:styleId="Tablaconcuadrcula10">
    <w:name w:val="Table Grid 1"/>
    <w:basedOn w:val="Tablanormal"/>
    <w:rsid w:val="00C219F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Mapadeldocumento">
    <w:name w:val="Document Map"/>
    <w:basedOn w:val="Normal"/>
    <w:link w:val="MapadeldocumentoCar"/>
    <w:uiPriority w:val="99"/>
    <w:semiHidden/>
    <w:rsid w:val="00F10036"/>
    <w:pPr>
      <w:shd w:val="clear" w:color="auto" w:fill="000080"/>
    </w:pPr>
    <w:rPr>
      <w:rFonts w:ascii="Tahoma" w:hAnsi="Tahoma" w:cs="Tahoma"/>
      <w:sz w:val="20"/>
      <w:szCs w:val="20"/>
    </w:rPr>
  </w:style>
  <w:style w:type="paragraph" w:styleId="Textoindependiente3">
    <w:name w:val="Body Text 3"/>
    <w:basedOn w:val="Normal"/>
    <w:link w:val="Textoindependiente3Car"/>
    <w:uiPriority w:val="99"/>
    <w:rsid w:val="002B0452"/>
    <w:pPr>
      <w:spacing w:after="120"/>
      <w:jc w:val="both"/>
    </w:pPr>
    <w:rPr>
      <w:sz w:val="16"/>
      <w:szCs w:val="26"/>
      <w:lang w:val="es-ES"/>
    </w:rPr>
  </w:style>
  <w:style w:type="table" w:customStyle="1" w:styleId="Tablaconcuadrcula190">
    <w:name w:val="Tabla con cuadrícula190"/>
    <w:basedOn w:val="Tablanormal"/>
    <w:next w:val="Tablaconcuadrcula"/>
    <w:rsid w:val="005A74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cabezadoCar">
    <w:name w:val="Encabezado Car"/>
    <w:basedOn w:val="Fuentedeprrafopredeter"/>
    <w:link w:val="Encabezado"/>
    <w:uiPriority w:val="99"/>
    <w:rsid w:val="0018776F"/>
    <w:rPr>
      <w:sz w:val="24"/>
      <w:szCs w:val="24"/>
      <w:lang w:val="es-MX" w:eastAsia="es-ES" w:bidi="ar-SA"/>
    </w:rPr>
  </w:style>
  <w:style w:type="table" w:customStyle="1" w:styleId="Tablaconcuadrcula293">
    <w:name w:val="Tabla con cuadrícula293"/>
    <w:basedOn w:val="Tablanormal"/>
    <w:next w:val="Tablaconcuadrcula"/>
    <w:rsid w:val="000C68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idenciasubseccion">
    <w:name w:val="presidencia_subseccion"/>
    <w:basedOn w:val="Normal"/>
    <w:uiPriority w:val="99"/>
    <w:rsid w:val="00CA76AF"/>
    <w:rPr>
      <w:rFonts w:ascii="Verdana" w:hAnsi="Verdana"/>
      <w:b/>
      <w:bCs/>
      <w:color w:val="909179"/>
      <w:sz w:val="19"/>
      <w:szCs w:val="19"/>
      <w:lang w:val="es-ES"/>
    </w:rPr>
  </w:style>
  <w:style w:type="character" w:styleId="Textoennegrita">
    <w:name w:val="Strong"/>
    <w:basedOn w:val="Fuentedeprrafopredeter"/>
    <w:qFormat/>
    <w:rsid w:val="00CE3D4C"/>
    <w:rPr>
      <w:b/>
      <w:bCs/>
    </w:rPr>
  </w:style>
  <w:style w:type="table" w:customStyle="1" w:styleId="Tablaconcuadrcula5">
    <w:name w:val="Tabla con cuadrícula5"/>
    <w:basedOn w:val="Tablanormal"/>
    <w:next w:val="Tablaconcuadrcula"/>
    <w:rsid w:val="0076787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mes">
    <w:name w:val="times"/>
    <w:basedOn w:val="Normal"/>
    <w:uiPriority w:val="99"/>
    <w:rsid w:val="00AB3DB1"/>
    <w:pPr>
      <w:spacing w:before="100" w:beforeAutospacing="1" w:after="100" w:afterAutospacing="1"/>
    </w:pPr>
    <w:rPr>
      <w:lang w:val="es-ES"/>
    </w:rPr>
  </w:style>
  <w:style w:type="paragraph" w:customStyle="1" w:styleId="Texto">
    <w:name w:val="Texto"/>
    <w:basedOn w:val="Normal"/>
    <w:link w:val="TextoCar"/>
    <w:rsid w:val="002B2D6F"/>
    <w:pPr>
      <w:spacing w:after="101" w:line="216" w:lineRule="exact"/>
      <w:ind w:firstLine="288"/>
      <w:jc w:val="both"/>
    </w:pPr>
    <w:rPr>
      <w:rFonts w:ascii="Arial" w:hAnsi="Arial" w:cs="Arial"/>
      <w:sz w:val="18"/>
      <w:szCs w:val="18"/>
      <w:lang w:eastAsia="es-MX"/>
    </w:rPr>
  </w:style>
  <w:style w:type="character" w:customStyle="1" w:styleId="CarCar3">
    <w:name w:val="Car Car3"/>
    <w:basedOn w:val="Fuentedeprrafopredeter"/>
    <w:rsid w:val="003C0183"/>
    <w:rPr>
      <w:b/>
      <w:bCs/>
      <w:sz w:val="16"/>
      <w:szCs w:val="24"/>
      <w:lang w:eastAsia="es-ES"/>
    </w:rPr>
  </w:style>
  <w:style w:type="table" w:customStyle="1" w:styleId="Tablaconcuadrcula6">
    <w:name w:val="Tabla con cuadrícula6"/>
    <w:basedOn w:val="Tablanormal"/>
    <w:next w:val="Tablaconcuadrcula"/>
    <w:rsid w:val="003C018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uiPriority w:val="20"/>
    <w:qFormat/>
    <w:rsid w:val="003C0183"/>
    <w:rPr>
      <w:i/>
      <w:iCs/>
    </w:rPr>
  </w:style>
  <w:style w:type="paragraph" w:customStyle="1" w:styleId="Default">
    <w:name w:val="Default"/>
    <w:rsid w:val="00715D2D"/>
    <w:pPr>
      <w:autoSpaceDE w:val="0"/>
      <w:autoSpaceDN w:val="0"/>
      <w:adjustRightInd w:val="0"/>
    </w:pPr>
    <w:rPr>
      <w:color w:val="000000"/>
      <w:sz w:val="24"/>
      <w:szCs w:val="24"/>
      <w:lang w:val="es-ES" w:eastAsia="es-ES"/>
    </w:rPr>
  </w:style>
  <w:style w:type="numbering" w:customStyle="1" w:styleId="Sinlista3">
    <w:name w:val="Sin lista3"/>
    <w:next w:val="Sinlista"/>
    <w:semiHidden/>
    <w:unhideWhenUsed/>
    <w:rsid w:val="00020328"/>
  </w:style>
  <w:style w:type="table" w:customStyle="1" w:styleId="Tablaconcuadrcula7">
    <w:name w:val="Tabla con cuadrícula7"/>
    <w:basedOn w:val="Tablanormal"/>
    <w:next w:val="Tablaconcuadrcula"/>
    <w:rsid w:val="000203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ilite">
    <w:name w:val="hilite"/>
    <w:basedOn w:val="Fuentedeprrafopredeter"/>
    <w:rsid w:val="00F75492"/>
  </w:style>
  <w:style w:type="character" w:customStyle="1" w:styleId="TextoCar">
    <w:name w:val="Texto Car"/>
    <w:basedOn w:val="Fuentedeprrafopredeter"/>
    <w:link w:val="Texto"/>
    <w:rsid w:val="00983C63"/>
    <w:rPr>
      <w:rFonts w:ascii="Arial" w:hAnsi="Arial" w:cs="Arial"/>
      <w:sz w:val="18"/>
      <w:szCs w:val="18"/>
      <w:lang w:val="es-MX" w:eastAsia="es-MX" w:bidi="ar-SA"/>
    </w:rPr>
  </w:style>
  <w:style w:type="table" w:customStyle="1" w:styleId="Tablaconcuadrcula182">
    <w:name w:val="Tabla con cuadrícula182"/>
    <w:basedOn w:val="Tablanormal"/>
    <w:next w:val="Tablaconcuadrcula"/>
    <w:rsid w:val="00E74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loque">
    <w:name w:val="Block Text"/>
    <w:basedOn w:val="Normal"/>
    <w:uiPriority w:val="99"/>
    <w:rsid w:val="00E74EAE"/>
    <w:pPr>
      <w:spacing w:after="360" w:line="360" w:lineRule="auto"/>
      <w:ind w:left="397" w:right="-159" w:hanging="397"/>
      <w:jc w:val="both"/>
    </w:pPr>
    <w:rPr>
      <w:sz w:val="26"/>
      <w:szCs w:val="26"/>
    </w:rPr>
  </w:style>
  <w:style w:type="table" w:customStyle="1" w:styleId="Tablaconcuadrcula51">
    <w:name w:val="Tabla con cuadrícula51"/>
    <w:basedOn w:val="Tablanormal"/>
    <w:next w:val="Tablaconcuadrcula"/>
    <w:rsid w:val="00C677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semiHidden/>
    <w:rsid w:val="000E1F88"/>
  </w:style>
  <w:style w:type="table" w:customStyle="1" w:styleId="Tablaconcuadrcula1901">
    <w:name w:val="Tabla con cuadrícula1901"/>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31">
    <w:name w:val="f31"/>
    <w:basedOn w:val="Fuentedeprrafopredeter"/>
    <w:rsid w:val="00675BAE"/>
    <w:rPr>
      <w:rFonts w:ascii="Verdana" w:hAnsi="Verdana" w:hint="default"/>
      <w:sz w:val="18"/>
      <w:szCs w:val="18"/>
    </w:rPr>
  </w:style>
  <w:style w:type="paragraph" w:styleId="Puesto">
    <w:name w:val="Title"/>
    <w:aliases w:val="maripaz"/>
    <w:basedOn w:val="Normal"/>
    <w:link w:val="PuestoCar"/>
    <w:qFormat/>
    <w:rsid w:val="00AF6B01"/>
    <w:pPr>
      <w:spacing w:before="240" w:after="60"/>
      <w:jc w:val="center"/>
      <w:outlineLvl w:val="0"/>
    </w:pPr>
    <w:rPr>
      <w:rFonts w:ascii="Arial" w:hAnsi="Arial" w:cs="Arial"/>
      <w:b/>
      <w:bCs/>
      <w:kern w:val="28"/>
      <w:sz w:val="32"/>
      <w:szCs w:val="32"/>
    </w:rPr>
  </w:style>
  <w:style w:type="paragraph" w:customStyle="1" w:styleId="texto0">
    <w:name w:val="texto"/>
    <w:basedOn w:val="Normal"/>
    <w:link w:val="textoCar0"/>
    <w:rsid w:val="00375242"/>
    <w:pPr>
      <w:autoSpaceDE w:val="0"/>
      <w:autoSpaceDN w:val="0"/>
      <w:spacing w:line="360" w:lineRule="auto"/>
      <w:ind w:right="-232"/>
      <w:jc w:val="both"/>
    </w:pPr>
    <w:rPr>
      <w:sz w:val="26"/>
      <w:szCs w:val="26"/>
      <w:lang w:val="es-ES_tradnl"/>
    </w:rPr>
  </w:style>
  <w:style w:type="paragraph" w:styleId="Listaconvietas2">
    <w:name w:val="List Bullet 2"/>
    <w:basedOn w:val="Normal"/>
    <w:autoRedefine/>
    <w:uiPriority w:val="99"/>
    <w:rsid w:val="00375242"/>
    <w:pPr>
      <w:numPr>
        <w:numId w:val="2"/>
      </w:numPr>
    </w:pPr>
    <w:rPr>
      <w:lang w:val="es-ES"/>
    </w:rPr>
  </w:style>
  <w:style w:type="paragraph" w:styleId="Sangradetextonormal">
    <w:name w:val="Body Text Indent"/>
    <w:basedOn w:val="Normal"/>
    <w:link w:val="SangradetextonormalCar"/>
    <w:uiPriority w:val="99"/>
    <w:rsid w:val="00375242"/>
    <w:pPr>
      <w:spacing w:after="120"/>
      <w:ind w:left="360"/>
    </w:pPr>
    <w:rPr>
      <w:lang w:val="es-ES"/>
    </w:rPr>
  </w:style>
  <w:style w:type="paragraph" w:styleId="Sangranormal">
    <w:name w:val="Normal Indent"/>
    <w:basedOn w:val="Normal"/>
    <w:uiPriority w:val="99"/>
    <w:rsid w:val="00375242"/>
    <w:pPr>
      <w:ind w:left="708"/>
    </w:pPr>
    <w:rPr>
      <w:lang w:val="es-ES"/>
    </w:rPr>
  </w:style>
  <w:style w:type="paragraph" w:styleId="Sangra2detindependiente">
    <w:name w:val="Body Text Indent 2"/>
    <w:basedOn w:val="Normal"/>
    <w:link w:val="Sangra2detindependienteCar"/>
    <w:uiPriority w:val="99"/>
    <w:rsid w:val="00375242"/>
    <w:pPr>
      <w:spacing w:after="120" w:line="480" w:lineRule="auto"/>
      <w:ind w:left="360"/>
    </w:pPr>
    <w:rPr>
      <w:lang w:val="es-ES"/>
    </w:rPr>
  </w:style>
  <w:style w:type="paragraph" w:customStyle="1" w:styleId="ROMANOS">
    <w:name w:val="ROMANOS"/>
    <w:basedOn w:val="Normal"/>
    <w:link w:val="ROMANOSCar"/>
    <w:rsid w:val="006D745B"/>
    <w:pPr>
      <w:tabs>
        <w:tab w:val="left" w:pos="720"/>
      </w:tabs>
      <w:spacing w:after="101" w:line="216" w:lineRule="exact"/>
      <w:ind w:left="720" w:hanging="432"/>
      <w:jc w:val="both"/>
    </w:pPr>
    <w:rPr>
      <w:rFonts w:ascii="Arial" w:hAnsi="Arial" w:cs="Arial"/>
      <w:sz w:val="18"/>
      <w:szCs w:val="18"/>
      <w:lang w:eastAsia="es-MX"/>
    </w:rPr>
  </w:style>
  <w:style w:type="paragraph" w:customStyle="1" w:styleId="INCISO">
    <w:name w:val="INCISO"/>
    <w:basedOn w:val="Normal"/>
    <w:uiPriority w:val="99"/>
    <w:rsid w:val="006D745B"/>
    <w:pPr>
      <w:tabs>
        <w:tab w:val="left" w:pos="1080"/>
      </w:tabs>
      <w:spacing w:after="101" w:line="216" w:lineRule="exact"/>
      <w:ind w:left="1080" w:hanging="360"/>
      <w:jc w:val="both"/>
    </w:pPr>
    <w:rPr>
      <w:rFonts w:ascii="Arial" w:hAnsi="Arial" w:cs="Arial"/>
      <w:sz w:val="18"/>
      <w:szCs w:val="18"/>
      <w:lang w:eastAsia="es-MX"/>
    </w:rPr>
  </w:style>
  <w:style w:type="paragraph" w:customStyle="1" w:styleId="Titulo1">
    <w:name w:val="Titulo 1"/>
    <w:basedOn w:val="Normal"/>
    <w:uiPriority w:val="99"/>
    <w:rsid w:val="006D745B"/>
    <w:pPr>
      <w:pBdr>
        <w:bottom w:val="single" w:sz="12" w:space="1" w:color="auto"/>
      </w:pBdr>
      <w:spacing w:before="120"/>
      <w:jc w:val="both"/>
      <w:outlineLvl w:val="0"/>
    </w:pPr>
    <w:rPr>
      <w:b/>
      <w:sz w:val="18"/>
      <w:szCs w:val="18"/>
      <w:lang w:eastAsia="es-MX"/>
    </w:rPr>
  </w:style>
  <w:style w:type="paragraph" w:customStyle="1" w:styleId="Titulo2">
    <w:name w:val="Titulo 2"/>
    <w:basedOn w:val="Normal"/>
    <w:uiPriority w:val="99"/>
    <w:rsid w:val="006D745B"/>
    <w:pPr>
      <w:pBdr>
        <w:top w:val="double" w:sz="6" w:space="1" w:color="auto"/>
      </w:pBdr>
      <w:spacing w:after="101"/>
      <w:jc w:val="both"/>
      <w:outlineLvl w:val="1"/>
    </w:pPr>
    <w:rPr>
      <w:rFonts w:ascii="Arial" w:hAnsi="Arial" w:cs="Arial"/>
      <w:sz w:val="18"/>
      <w:szCs w:val="18"/>
      <w:lang w:eastAsia="es-MX"/>
    </w:rPr>
  </w:style>
  <w:style w:type="paragraph" w:customStyle="1" w:styleId="ANOTACION">
    <w:name w:val="ANOTACION"/>
    <w:basedOn w:val="Normal"/>
    <w:link w:val="ANOTACIONCar"/>
    <w:rsid w:val="006D745B"/>
    <w:pPr>
      <w:spacing w:before="101" w:after="101"/>
      <w:jc w:val="center"/>
    </w:pPr>
    <w:rPr>
      <w:b/>
      <w:sz w:val="18"/>
      <w:szCs w:val="18"/>
      <w:lang w:eastAsia="es-MX"/>
    </w:rPr>
  </w:style>
  <w:style w:type="paragraph" w:customStyle="1" w:styleId="Fechas">
    <w:name w:val="Fechas"/>
    <w:basedOn w:val="Normal"/>
    <w:uiPriority w:val="99"/>
    <w:rsid w:val="006D745B"/>
    <w:pPr>
      <w:pBdr>
        <w:bottom w:val="double" w:sz="6" w:space="1" w:color="auto"/>
      </w:pBdr>
      <w:tabs>
        <w:tab w:val="center" w:pos="4464"/>
        <w:tab w:val="right" w:pos="8582"/>
      </w:tabs>
      <w:ind w:left="288" w:right="288"/>
      <w:jc w:val="both"/>
    </w:pPr>
    <w:rPr>
      <w:sz w:val="18"/>
      <w:szCs w:val="18"/>
      <w:lang w:eastAsia="es-MX"/>
    </w:rPr>
  </w:style>
  <w:style w:type="paragraph" w:customStyle="1" w:styleId="CABEZA">
    <w:name w:val="CABEZA"/>
    <w:basedOn w:val="Normal"/>
    <w:uiPriority w:val="99"/>
    <w:rsid w:val="006D745B"/>
    <w:pPr>
      <w:jc w:val="center"/>
    </w:pPr>
    <w:rPr>
      <w:b/>
      <w:sz w:val="28"/>
      <w:szCs w:val="28"/>
      <w:lang w:eastAsia="es-MX"/>
    </w:rPr>
  </w:style>
  <w:style w:type="paragraph" w:customStyle="1" w:styleId="Textonormal">
    <w:name w:val="Texto normal"/>
    <w:basedOn w:val="Normal"/>
    <w:uiPriority w:val="99"/>
    <w:rsid w:val="006D745B"/>
    <w:pPr>
      <w:jc w:val="both"/>
    </w:pPr>
    <w:rPr>
      <w:rFonts w:ascii="Arial" w:hAnsi="Arial" w:cs="Arial"/>
      <w:sz w:val="22"/>
      <w:szCs w:val="20"/>
      <w:lang w:val="es-ES_tradnl"/>
    </w:rPr>
  </w:style>
  <w:style w:type="paragraph" w:customStyle="1" w:styleId="Textoindependiente31">
    <w:name w:val="Texto independiente 31"/>
    <w:basedOn w:val="Normal"/>
    <w:uiPriority w:val="99"/>
    <w:rsid w:val="006D745B"/>
    <w:pPr>
      <w:spacing w:after="480"/>
      <w:jc w:val="both"/>
    </w:pPr>
    <w:rPr>
      <w:rFonts w:ascii="Arial" w:hAnsi="Arial" w:cs="Arial"/>
      <w:color w:val="000000"/>
      <w:sz w:val="22"/>
      <w:szCs w:val="20"/>
      <w:lang w:val="es-ES_tradnl"/>
    </w:rPr>
  </w:style>
  <w:style w:type="paragraph" w:styleId="Prrafodelista">
    <w:name w:val="List Paragraph"/>
    <w:basedOn w:val="Normal"/>
    <w:uiPriority w:val="34"/>
    <w:qFormat/>
    <w:rsid w:val="006D745B"/>
    <w:pPr>
      <w:ind w:left="708"/>
    </w:pPr>
    <w:rPr>
      <w:rFonts w:ascii="Century Gothic" w:hAnsi="Century Gothic" w:cs="Century Gothic"/>
      <w:szCs w:val="20"/>
      <w:lang w:val="es-ES_tradnl"/>
    </w:rPr>
  </w:style>
  <w:style w:type="paragraph" w:customStyle="1" w:styleId="SUBIN">
    <w:name w:val="SUBIN"/>
    <w:basedOn w:val="Texto"/>
    <w:uiPriority w:val="99"/>
    <w:rsid w:val="006D745B"/>
    <w:pPr>
      <w:ind w:left="1987" w:hanging="720"/>
    </w:pPr>
    <w:rPr>
      <w:szCs w:val="20"/>
      <w:lang w:eastAsia="es-ES"/>
    </w:rPr>
  </w:style>
  <w:style w:type="paragraph" w:customStyle="1" w:styleId="tt">
    <w:name w:val="tt"/>
    <w:basedOn w:val="Texto"/>
    <w:uiPriority w:val="99"/>
    <w:rsid w:val="006D745B"/>
    <w:pPr>
      <w:tabs>
        <w:tab w:val="left" w:pos="1320"/>
        <w:tab w:val="left" w:pos="1629"/>
      </w:tabs>
      <w:ind w:left="1647" w:hanging="1440"/>
    </w:pPr>
    <w:rPr>
      <w:szCs w:val="20"/>
      <w:lang w:val="es-ES_tradnl" w:eastAsia="es-ES"/>
    </w:rPr>
  </w:style>
  <w:style w:type="paragraph" w:customStyle="1" w:styleId="sum">
    <w:name w:val="sum"/>
    <w:basedOn w:val="Texto"/>
    <w:uiPriority w:val="99"/>
    <w:rsid w:val="006D745B"/>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uiPriority w:val="99"/>
    <w:rsid w:val="006D745B"/>
    <w:pPr>
      <w:spacing w:after="101" w:line="216" w:lineRule="exact"/>
      <w:jc w:val="both"/>
    </w:pPr>
    <w:rPr>
      <w:rFonts w:ascii="Arial" w:hAnsi="Arial"/>
      <w:sz w:val="18"/>
      <w:szCs w:val="20"/>
      <w:lang w:eastAsia="es-MX"/>
    </w:rPr>
  </w:style>
  <w:style w:type="paragraph" w:customStyle="1" w:styleId="xl28">
    <w:name w:val="xl28"/>
    <w:basedOn w:val="Normal"/>
    <w:uiPriority w:val="99"/>
    <w:rsid w:val="006D745B"/>
    <w:pPr>
      <w:shd w:val="clear" w:color="auto" w:fill="FFFFFF"/>
      <w:spacing w:before="100" w:beforeAutospacing="1" w:after="100" w:afterAutospacing="1"/>
      <w:jc w:val="right"/>
    </w:pPr>
    <w:rPr>
      <w:rFonts w:ascii="Arial" w:eastAsia="Arial Unicode MS" w:hAnsi="Arial" w:cs="Arial"/>
      <w:lang w:val="es-ES"/>
    </w:rPr>
  </w:style>
  <w:style w:type="paragraph" w:customStyle="1" w:styleId="Sumario">
    <w:name w:val="Sumario"/>
    <w:basedOn w:val="Normal"/>
    <w:uiPriority w:val="99"/>
    <w:rsid w:val="006D745B"/>
    <w:pPr>
      <w:tabs>
        <w:tab w:val="right" w:leader="dot" w:pos="8107"/>
        <w:tab w:val="right" w:pos="8640"/>
      </w:tabs>
      <w:spacing w:line="260" w:lineRule="exact"/>
      <w:ind w:left="274" w:right="749"/>
      <w:jc w:val="both"/>
    </w:pPr>
    <w:rPr>
      <w:rFonts w:ascii="Arial" w:hAnsi="Arial"/>
      <w:sz w:val="18"/>
      <w:szCs w:val="18"/>
      <w:lang w:val="es-ES"/>
    </w:rPr>
  </w:style>
  <w:style w:type="numbering" w:customStyle="1" w:styleId="Sinlista5">
    <w:name w:val="Sin lista5"/>
    <w:next w:val="Sinlista"/>
    <w:semiHidden/>
    <w:unhideWhenUsed/>
    <w:rsid w:val="004A06CE"/>
  </w:style>
  <w:style w:type="numbering" w:customStyle="1" w:styleId="Sinlista12">
    <w:name w:val="Sin lista12"/>
    <w:next w:val="Sinlista"/>
    <w:semiHidden/>
    <w:rsid w:val="004A06CE"/>
  </w:style>
  <w:style w:type="character" w:customStyle="1" w:styleId="titulonoticia1">
    <w:name w:val="titulonoticia1"/>
    <w:basedOn w:val="Fuentedeprrafopredeter"/>
    <w:rsid w:val="00B558E2"/>
    <w:rPr>
      <w:b/>
      <w:bCs/>
      <w:color w:val="000000"/>
      <w:sz w:val="27"/>
      <w:szCs w:val="27"/>
    </w:rPr>
  </w:style>
  <w:style w:type="character" w:customStyle="1" w:styleId="fechaylugar1">
    <w:name w:val="fechaylugar1"/>
    <w:basedOn w:val="Fuentedeprrafopredeter"/>
    <w:rsid w:val="00B558E2"/>
    <w:rPr>
      <w:b w:val="0"/>
      <w:bCs w:val="0"/>
      <w:color w:val="666666"/>
      <w:sz w:val="17"/>
      <w:szCs w:val="17"/>
    </w:rPr>
  </w:style>
  <w:style w:type="paragraph" w:customStyle="1" w:styleId="Subtit">
    <w:name w:val="Subtit"/>
    <w:basedOn w:val="Normal"/>
    <w:uiPriority w:val="99"/>
    <w:rsid w:val="003020DA"/>
    <w:pPr>
      <w:spacing w:line="320" w:lineRule="exact"/>
      <w:ind w:right="-232"/>
      <w:jc w:val="both"/>
    </w:pPr>
    <w:rPr>
      <w:rFonts w:ascii="Arial" w:hAnsi="Arial" w:cs="Arial"/>
      <w:b/>
      <w:bCs/>
      <w:lang w:val="es-ES"/>
    </w:rPr>
  </w:style>
  <w:style w:type="paragraph" w:customStyle="1" w:styleId="Sangradetextonormal1">
    <w:name w:val="Sangría de texto normal1"/>
    <w:basedOn w:val="Normal"/>
    <w:uiPriority w:val="99"/>
    <w:rsid w:val="003020DA"/>
    <w:pPr>
      <w:spacing w:after="120" w:line="480" w:lineRule="auto"/>
    </w:pPr>
    <w:rPr>
      <w:sz w:val="20"/>
      <w:szCs w:val="20"/>
    </w:rPr>
  </w:style>
  <w:style w:type="character" w:customStyle="1" w:styleId="titu1">
    <w:name w:val="titu1"/>
    <w:basedOn w:val="Fuentedeprrafopredeter"/>
    <w:rsid w:val="003020DA"/>
    <w:rPr>
      <w:rFonts w:ascii="Verdana" w:hAnsi="Verdana" w:hint="default"/>
      <w:color w:val="000000"/>
      <w:sz w:val="18"/>
      <w:szCs w:val="18"/>
    </w:rPr>
  </w:style>
  <w:style w:type="character" w:customStyle="1" w:styleId="tit1">
    <w:name w:val="tit1"/>
    <w:basedOn w:val="Fuentedeprrafopredeter"/>
    <w:rsid w:val="003020DA"/>
    <w:rPr>
      <w:rFonts w:ascii="Verdana" w:hAnsi="Verdana" w:hint="default"/>
      <w:strike w:val="0"/>
      <w:dstrike w:val="0"/>
      <w:color w:val="000000"/>
      <w:sz w:val="16"/>
      <w:szCs w:val="16"/>
      <w:u w:val="none"/>
      <w:effect w:val="none"/>
    </w:rPr>
  </w:style>
  <w:style w:type="paragraph" w:styleId="Sangra3detindependiente">
    <w:name w:val="Body Text Indent 3"/>
    <w:basedOn w:val="Normal"/>
    <w:link w:val="Sangra3detindependienteCar"/>
    <w:uiPriority w:val="99"/>
    <w:rsid w:val="003020DA"/>
    <w:pPr>
      <w:widowControl w:val="0"/>
      <w:adjustRightInd w:val="0"/>
      <w:spacing w:after="120" w:line="360" w:lineRule="atLeast"/>
      <w:ind w:left="283"/>
      <w:jc w:val="both"/>
      <w:textAlignment w:val="baseline"/>
    </w:pPr>
    <w:rPr>
      <w:sz w:val="16"/>
      <w:szCs w:val="16"/>
      <w:lang w:val="en-GB" w:eastAsia="en-US"/>
    </w:rPr>
  </w:style>
  <w:style w:type="paragraph" w:customStyle="1" w:styleId="Fuente">
    <w:name w:val="Fuente"/>
    <w:basedOn w:val="Normal"/>
    <w:uiPriority w:val="99"/>
    <w:rsid w:val="003020DA"/>
    <w:pPr>
      <w:widowControl w:val="0"/>
      <w:adjustRightInd w:val="0"/>
      <w:spacing w:line="360" w:lineRule="auto"/>
      <w:jc w:val="both"/>
      <w:textAlignment w:val="baseline"/>
    </w:pPr>
    <w:rPr>
      <w:rFonts w:ascii="Garamond" w:hAnsi="Garamond"/>
      <w:sz w:val="22"/>
      <w:szCs w:val="20"/>
      <w:lang w:val="es-ES"/>
    </w:rPr>
  </w:style>
  <w:style w:type="paragraph" w:customStyle="1" w:styleId="2">
    <w:name w:val="2"/>
    <w:basedOn w:val="Normal"/>
    <w:next w:val="Sangradetextonormal"/>
    <w:uiPriority w:val="99"/>
    <w:rsid w:val="003020DA"/>
    <w:pPr>
      <w:widowControl w:val="0"/>
      <w:adjustRightInd w:val="0"/>
      <w:spacing w:line="360" w:lineRule="auto"/>
      <w:ind w:left="420"/>
      <w:jc w:val="both"/>
      <w:textAlignment w:val="baseline"/>
    </w:pPr>
    <w:rPr>
      <w:rFonts w:ascii="Garamond" w:hAnsi="Garamond"/>
      <w:szCs w:val="20"/>
      <w:lang w:val="es-ES"/>
    </w:rPr>
  </w:style>
  <w:style w:type="paragraph" w:customStyle="1" w:styleId="Textoindependiente21">
    <w:name w:val="Texto independiente 21"/>
    <w:basedOn w:val="Normal"/>
    <w:uiPriority w:val="99"/>
    <w:rsid w:val="003020DA"/>
    <w:pPr>
      <w:widowControl w:val="0"/>
      <w:adjustRightInd w:val="0"/>
      <w:spacing w:after="360" w:line="300" w:lineRule="exact"/>
      <w:ind w:firstLine="709"/>
      <w:jc w:val="both"/>
      <w:textAlignment w:val="baseline"/>
    </w:pPr>
    <w:rPr>
      <w:rFonts w:ascii="Arial" w:hAnsi="Arial"/>
      <w:sz w:val="22"/>
      <w:szCs w:val="20"/>
      <w:lang w:val="es-ES_tradnl"/>
    </w:rPr>
  </w:style>
  <w:style w:type="paragraph" w:customStyle="1" w:styleId="1">
    <w:name w:val="1"/>
    <w:basedOn w:val="Normal"/>
    <w:next w:val="Sangradetextonormal"/>
    <w:uiPriority w:val="99"/>
    <w:rsid w:val="003020DA"/>
    <w:pPr>
      <w:widowControl w:val="0"/>
      <w:autoSpaceDE w:val="0"/>
      <w:autoSpaceDN w:val="0"/>
      <w:adjustRightInd w:val="0"/>
      <w:spacing w:after="360" w:line="360" w:lineRule="atLeast"/>
      <w:ind w:left="454"/>
      <w:jc w:val="both"/>
      <w:textAlignment w:val="baseline"/>
    </w:pPr>
    <w:rPr>
      <w:sz w:val="26"/>
      <w:szCs w:val="26"/>
      <w:lang w:val="es-ES" w:eastAsia="en-US"/>
    </w:rPr>
  </w:style>
  <w:style w:type="paragraph" w:customStyle="1" w:styleId="dinamicostxtchico">
    <w:name w:val="dinamicos_txtchico"/>
    <w:basedOn w:val="Normal"/>
    <w:uiPriority w:val="99"/>
    <w:rsid w:val="003020DA"/>
    <w:pPr>
      <w:widowControl w:val="0"/>
      <w:adjustRightInd w:val="0"/>
      <w:spacing w:before="100" w:beforeAutospacing="1" w:after="100" w:afterAutospacing="1" w:line="360" w:lineRule="atLeast"/>
      <w:jc w:val="both"/>
      <w:textAlignment w:val="baseline"/>
    </w:pPr>
    <w:rPr>
      <w:rFonts w:ascii="Arial" w:eastAsia="Arial Unicode MS" w:hAnsi="Arial" w:cs="Arial"/>
      <w:color w:val="000000"/>
      <w:sz w:val="18"/>
      <w:szCs w:val="18"/>
      <w:lang w:val="es-ES"/>
    </w:rPr>
  </w:style>
  <w:style w:type="paragraph" w:customStyle="1" w:styleId="titulografica">
    <w:name w:val="titulo grafica"/>
    <w:basedOn w:val="Normal"/>
    <w:uiPriority w:val="99"/>
    <w:rsid w:val="003020DA"/>
    <w:pPr>
      <w:keepNext/>
      <w:widowControl w:val="0"/>
      <w:adjustRightInd w:val="0"/>
      <w:spacing w:line="360" w:lineRule="atLeast"/>
      <w:jc w:val="both"/>
      <w:textAlignment w:val="baseline"/>
    </w:pPr>
    <w:rPr>
      <w:rFonts w:ascii="Arial" w:hAnsi="Arial"/>
      <w:b/>
      <w:sz w:val="18"/>
      <w:szCs w:val="20"/>
      <w:lang w:val="es-ES"/>
    </w:rPr>
  </w:style>
  <w:style w:type="paragraph" w:customStyle="1" w:styleId="subtitulografica">
    <w:name w:val="subtitulo grafica"/>
    <w:basedOn w:val="Normal"/>
    <w:uiPriority w:val="99"/>
    <w:rsid w:val="003020DA"/>
    <w:pPr>
      <w:keepNext/>
      <w:widowControl w:val="0"/>
      <w:adjustRightInd w:val="0"/>
      <w:spacing w:line="360" w:lineRule="atLeast"/>
      <w:jc w:val="both"/>
      <w:textAlignment w:val="baseline"/>
    </w:pPr>
    <w:rPr>
      <w:rFonts w:ascii="Arial" w:hAnsi="Arial"/>
      <w:b/>
      <w:color w:val="0000FF"/>
      <w:sz w:val="16"/>
      <w:szCs w:val="20"/>
      <w:lang w:val="es-ES"/>
    </w:rPr>
  </w:style>
  <w:style w:type="paragraph" w:customStyle="1" w:styleId="sangra3detindependiente0">
    <w:name w:val="sangra3detindependiente"/>
    <w:basedOn w:val="Normal"/>
    <w:uiPriority w:val="99"/>
    <w:rsid w:val="003020DA"/>
    <w:pPr>
      <w:widowControl w:val="0"/>
      <w:adjustRightInd w:val="0"/>
      <w:spacing w:before="100" w:beforeAutospacing="1" w:after="100" w:afterAutospacing="1" w:line="360" w:lineRule="atLeast"/>
      <w:jc w:val="both"/>
      <w:textAlignment w:val="baseline"/>
    </w:pPr>
    <w:rPr>
      <w:rFonts w:ascii="Arial Unicode MS" w:eastAsia="Arial Unicode MS" w:hAnsi="Arial Unicode MS" w:cs="Arial Unicode MS"/>
      <w:color w:val="000000"/>
      <w:lang w:val="es-ES"/>
    </w:rPr>
  </w:style>
  <w:style w:type="paragraph" w:styleId="Descripcin">
    <w:name w:val="caption"/>
    <w:basedOn w:val="Normal"/>
    <w:next w:val="Normal"/>
    <w:uiPriority w:val="99"/>
    <w:qFormat/>
    <w:rsid w:val="003020DA"/>
    <w:pPr>
      <w:widowControl w:val="0"/>
      <w:autoSpaceDE w:val="0"/>
      <w:autoSpaceDN w:val="0"/>
      <w:adjustRightInd w:val="0"/>
      <w:spacing w:after="240" w:line="360" w:lineRule="auto"/>
      <w:jc w:val="both"/>
      <w:textAlignment w:val="baseline"/>
    </w:pPr>
    <w:rPr>
      <w:b/>
      <w:bCs/>
      <w:sz w:val="26"/>
      <w:szCs w:val="41"/>
      <w:lang w:val="es-ES"/>
    </w:rPr>
  </w:style>
  <w:style w:type="paragraph" w:customStyle="1" w:styleId="BodyText21">
    <w:name w:val="Body Text 21"/>
    <w:basedOn w:val="Normal"/>
    <w:uiPriority w:val="99"/>
    <w:rsid w:val="003020DA"/>
    <w:pPr>
      <w:widowControl w:val="0"/>
      <w:adjustRightInd w:val="0"/>
      <w:spacing w:line="360" w:lineRule="atLeast"/>
      <w:jc w:val="both"/>
      <w:textAlignment w:val="baseline"/>
    </w:pPr>
    <w:rPr>
      <w:rFonts w:ascii="Arial" w:hAnsi="Arial"/>
      <w:szCs w:val="20"/>
      <w:lang w:val="es-ES"/>
    </w:rPr>
  </w:style>
  <w:style w:type="paragraph" w:styleId="Lista">
    <w:name w:val="List"/>
    <w:basedOn w:val="Normal"/>
    <w:uiPriority w:val="99"/>
    <w:rsid w:val="003020DA"/>
    <w:pPr>
      <w:widowControl w:val="0"/>
      <w:adjustRightInd w:val="0"/>
      <w:spacing w:line="360" w:lineRule="atLeast"/>
      <w:ind w:left="283" w:hanging="283"/>
      <w:jc w:val="both"/>
      <w:textAlignment w:val="baseline"/>
    </w:pPr>
    <w:rPr>
      <w:lang w:val="en-GB" w:eastAsia="en-US"/>
    </w:rPr>
  </w:style>
  <w:style w:type="paragraph" w:styleId="Lista2">
    <w:name w:val="List 2"/>
    <w:basedOn w:val="Normal"/>
    <w:uiPriority w:val="99"/>
    <w:rsid w:val="003020DA"/>
    <w:pPr>
      <w:widowControl w:val="0"/>
      <w:adjustRightInd w:val="0"/>
      <w:spacing w:line="360" w:lineRule="atLeast"/>
      <w:ind w:left="566" w:hanging="283"/>
      <w:jc w:val="both"/>
      <w:textAlignment w:val="baseline"/>
    </w:pPr>
    <w:rPr>
      <w:lang w:val="en-GB" w:eastAsia="en-US"/>
    </w:rPr>
  </w:style>
  <w:style w:type="paragraph" w:styleId="Lista3">
    <w:name w:val="List 3"/>
    <w:basedOn w:val="Normal"/>
    <w:uiPriority w:val="99"/>
    <w:rsid w:val="003020DA"/>
    <w:pPr>
      <w:widowControl w:val="0"/>
      <w:adjustRightInd w:val="0"/>
      <w:spacing w:line="360" w:lineRule="atLeast"/>
      <w:ind w:left="849" w:hanging="283"/>
      <w:jc w:val="both"/>
      <w:textAlignment w:val="baseline"/>
    </w:pPr>
    <w:rPr>
      <w:lang w:val="en-GB" w:eastAsia="en-US"/>
    </w:rPr>
  </w:style>
  <w:style w:type="paragraph" w:styleId="Saludo">
    <w:name w:val="Salutation"/>
    <w:basedOn w:val="Normal"/>
    <w:next w:val="Normal"/>
    <w:link w:val="SaludoCar"/>
    <w:uiPriority w:val="99"/>
    <w:rsid w:val="003020DA"/>
    <w:pPr>
      <w:widowControl w:val="0"/>
      <w:adjustRightInd w:val="0"/>
      <w:spacing w:line="360" w:lineRule="atLeast"/>
      <w:jc w:val="both"/>
      <w:textAlignment w:val="baseline"/>
    </w:pPr>
    <w:rPr>
      <w:lang w:val="en-GB" w:eastAsia="en-US"/>
    </w:rPr>
  </w:style>
  <w:style w:type="paragraph" w:styleId="Fecha">
    <w:name w:val="Date"/>
    <w:basedOn w:val="Normal"/>
    <w:next w:val="Normal"/>
    <w:link w:val="FechaCar"/>
    <w:uiPriority w:val="99"/>
    <w:rsid w:val="003020DA"/>
    <w:pPr>
      <w:widowControl w:val="0"/>
      <w:adjustRightInd w:val="0"/>
      <w:spacing w:line="360" w:lineRule="atLeast"/>
      <w:jc w:val="both"/>
      <w:textAlignment w:val="baseline"/>
    </w:pPr>
    <w:rPr>
      <w:lang w:val="en-GB" w:eastAsia="en-US"/>
    </w:rPr>
  </w:style>
  <w:style w:type="paragraph" w:styleId="Listaconvietas">
    <w:name w:val="List Bullet"/>
    <w:basedOn w:val="Normal"/>
    <w:autoRedefine/>
    <w:uiPriority w:val="99"/>
    <w:rsid w:val="003020DA"/>
    <w:pPr>
      <w:widowControl w:val="0"/>
      <w:numPr>
        <w:numId w:val="3"/>
      </w:numPr>
      <w:adjustRightInd w:val="0"/>
      <w:spacing w:line="360" w:lineRule="atLeast"/>
      <w:jc w:val="both"/>
      <w:textAlignment w:val="baseline"/>
    </w:pPr>
    <w:rPr>
      <w:lang w:val="en-GB" w:eastAsia="en-US"/>
    </w:rPr>
  </w:style>
  <w:style w:type="paragraph" w:styleId="Continuarlista2">
    <w:name w:val="List Continue 2"/>
    <w:basedOn w:val="Normal"/>
    <w:uiPriority w:val="99"/>
    <w:rsid w:val="003020DA"/>
    <w:pPr>
      <w:widowControl w:val="0"/>
      <w:adjustRightInd w:val="0"/>
      <w:spacing w:after="120" w:line="360" w:lineRule="atLeast"/>
      <w:ind w:left="566"/>
      <w:jc w:val="both"/>
      <w:textAlignment w:val="baseline"/>
    </w:pPr>
    <w:rPr>
      <w:lang w:val="en-GB" w:eastAsia="en-US"/>
    </w:rPr>
  </w:style>
  <w:style w:type="paragraph" w:customStyle="1" w:styleId="Remiteabreviado">
    <w:name w:val="Remite abreviado"/>
    <w:basedOn w:val="Normal"/>
    <w:uiPriority w:val="99"/>
    <w:rsid w:val="003020DA"/>
    <w:pPr>
      <w:widowControl w:val="0"/>
      <w:adjustRightInd w:val="0"/>
      <w:spacing w:line="360" w:lineRule="atLeast"/>
      <w:jc w:val="both"/>
      <w:textAlignment w:val="baseline"/>
    </w:pPr>
    <w:rPr>
      <w:lang w:val="en-GB" w:eastAsia="en-US"/>
    </w:rPr>
  </w:style>
  <w:style w:type="paragraph" w:customStyle="1" w:styleId="Anotacion0">
    <w:name w:val="Anotacion"/>
    <w:basedOn w:val="Normal"/>
    <w:uiPriority w:val="99"/>
    <w:rsid w:val="003020DA"/>
    <w:pPr>
      <w:widowControl w:val="0"/>
      <w:adjustRightInd w:val="0"/>
      <w:spacing w:before="101" w:after="101" w:line="360" w:lineRule="atLeast"/>
      <w:jc w:val="center"/>
      <w:textAlignment w:val="baseline"/>
    </w:pPr>
    <w:rPr>
      <w:rFonts w:cs="Arial"/>
      <w:b/>
      <w:sz w:val="18"/>
      <w:szCs w:val="18"/>
      <w:lang w:val="es-ES"/>
    </w:rPr>
  </w:style>
  <w:style w:type="character" w:customStyle="1" w:styleId="INCISOCar">
    <w:name w:val="INCISO Car"/>
    <w:basedOn w:val="Fuentedeprrafopredeter"/>
    <w:rsid w:val="003020DA"/>
    <w:rPr>
      <w:rFonts w:ascii="Arial" w:hAnsi="Arial" w:cs="Arial"/>
      <w:sz w:val="18"/>
      <w:szCs w:val="18"/>
      <w:lang w:val="es-ES" w:eastAsia="es-ES" w:bidi="ar-SA"/>
    </w:rPr>
  </w:style>
  <w:style w:type="paragraph" w:customStyle="1" w:styleId="Cuadros">
    <w:name w:val="Cuadros"/>
    <w:basedOn w:val="texto0"/>
    <w:uiPriority w:val="99"/>
    <w:rsid w:val="003020DA"/>
    <w:pPr>
      <w:widowControl w:val="0"/>
      <w:autoSpaceDE/>
      <w:autoSpaceDN/>
      <w:adjustRightInd w:val="0"/>
      <w:spacing w:line="240" w:lineRule="auto"/>
      <w:ind w:right="-374"/>
      <w:jc w:val="left"/>
      <w:textAlignment w:val="baseline"/>
    </w:pPr>
    <w:rPr>
      <w:sz w:val="20"/>
      <w:szCs w:val="20"/>
    </w:rPr>
  </w:style>
  <w:style w:type="paragraph" w:customStyle="1" w:styleId="cuadro">
    <w:name w:val="cuadro"/>
    <w:basedOn w:val="texto0"/>
    <w:uiPriority w:val="99"/>
    <w:rsid w:val="003020DA"/>
    <w:pPr>
      <w:widowControl w:val="0"/>
      <w:autoSpaceDE/>
      <w:autoSpaceDN/>
      <w:adjustRightInd w:val="0"/>
      <w:spacing w:line="240" w:lineRule="auto"/>
      <w:textAlignment w:val="baseline"/>
    </w:pPr>
    <w:rPr>
      <w:sz w:val="18"/>
      <w:szCs w:val="20"/>
    </w:rPr>
  </w:style>
  <w:style w:type="paragraph" w:customStyle="1" w:styleId="xl24">
    <w:name w:val="xl24"/>
    <w:basedOn w:val="Normal"/>
    <w:uiPriority w:val="99"/>
    <w:rsid w:val="003020DA"/>
    <w:pPr>
      <w:widowControl w:val="0"/>
      <w:adjustRightInd w:val="0"/>
      <w:spacing w:before="100" w:beforeAutospacing="1" w:after="100" w:afterAutospacing="1" w:line="360" w:lineRule="atLeast"/>
      <w:jc w:val="both"/>
      <w:textAlignment w:val="baseline"/>
    </w:pPr>
    <w:rPr>
      <w:sz w:val="18"/>
      <w:szCs w:val="18"/>
      <w:lang w:val="es-ES"/>
    </w:rPr>
  </w:style>
  <w:style w:type="paragraph" w:customStyle="1" w:styleId="NotaGrfico">
    <w:name w:val="Nota Gráfico"/>
    <w:uiPriority w:val="99"/>
    <w:rsid w:val="003020DA"/>
    <w:pPr>
      <w:widowControl w:val="0"/>
      <w:adjustRightInd w:val="0"/>
      <w:spacing w:line="360" w:lineRule="atLeast"/>
      <w:jc w:val="both"/>
      <w:textAlignment w:val="baseline"/>
    </w:pPr>
    <w:rPr>
      <w:rFonts w:ascii="Arial" w:hAnsi="Arial"/>
      <w:sz w:val="14"/>
      <w:lang w:eastAsia="es-ES"/>
    </w:rPr>
  </w:style>
  <w:style w:type="paragraph" w:customStyle="1" w:styleId="Grfico">
    <w:name w:val="Gráfico"/>
    <w:basedOn w:val="Normal"/>
    <w:next w:val="Normal"/>
    <w:uiPriority w:val="99"/>
    <w:rsid w:val="003020DA"/>
    <w:pPr>
      <w:widowControl w:val="0"/>
      <w:adjustRightInd w:val="0"/>
      <w:spacing w:line="360" w:lineRule="auto"/>
      <w:jc w:val="both"/>
      <w:textAlignment w:val="baseline"/>
    </w:pPr>
    <w:rPr>
      <w:noProof/>
      <w:szCs w:val="20"/>
      <w:lang w:val="es-ES"/>
    </w:rPr>
  </w:style>
  <w:style w:type="paragraph" w:customStyle="1" w:styleId="paralargetext">
    <w:name w:val="paralarge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lang w:val="es-ES"/>
    </w:rPr>
  </w:style>
  <w:style w:type="paragraph" w:customStyle="1" w:styleId="paranormaltext">
    <w:name w:val="paranorma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20"/>
      <w:szCs w:val="20"/>
      <w:lang w:val="es-ES"/>
    </w:rPr>
  </w:style>
  <w:style w:type="paragraph" w:customStyle="1" w:styleId="paraboldtext">
    <w:name w:val="parabold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sz w:val="20"/>
      <w:szCs w:val="20"/>
      <w:lang w:val="es-ES"/>
    </w:rPr>
  </w:style>
  <w:style w:type="character" w:customStyle="1" w:styleId="parasmallcolourtext1">
    <w:name w:val="parasmallcolourtext1"/>
    <w:basedOn w:val="Fuentedeprrafopredeter"/>
    <w:rsid w:val="003020DA"/>
    <w:rPr>
      <w:rFonts w:ascii="Trebuchet MS" w:hAnsi="Trebuchet MS" w:hint="default"/>
      <w:b w:val="0"/>
      <w:bCs w:val="0"/>
      <w:i w:val="0"/>
      <w:iCs w:val="0"/>
      <w:color w:val="0080FF"/>
      <w:sz w:val="16"/>
      <w:szCs w:val="16"/>
    </w:rPr>
  </w:style>
  <w:style w:type="paragraph" w:styleId="Textonotaalfinal">
    <w:name w:val="endnote text"/>
    <w:basedOn w:val="Normal"/>
    <w:link w:val="TextonotaalfinalCar"/>
    <w:uiPriority w:val="99"/>
    <w:semiHidden/>
    <w:rsid w:val="003020DA"/>
    <w:pPr>
      <w:widowControl w:val="0"/>
      <w:adjustRightInd w:val="0"/>
      <w:spacing w:line="360" w:lineRule="atLeast"/>
      <w:jc w:val="both"/>
      <w:textAlignment w:val="baseline"/>
    </w:pPr>
    <w:rPr>
      <w:sz w:val="20"/>
      <w:szCs w:val="20"/>
      <w:lang w:val="es-ES"/>
    </w:rPr>
  </w:style>
  <w:style w:type="paragraph" w:customStyle="1" w:styleId="p0">
    <w:name w:val="p0"/>
    <w:basedOn w:val="Normal"/>
    <w:uiPriority w:val="99"/>
    <w:rsid w:val="003020DA"/>
    <w:pPr>
      <w:widowControl w:val="0"/>
      <w:adjustRightInd w:val="0"/>
      <w:spacing w:before="240" w:line="360" w:lineRule="atLeast"/>
      <w:ind w:left="1417" w:right="23" w:hanging="709"/>
      <w:jc w:val="both"/>
      <w:textAlignment w:val="baseline"/>
    </w:pPr>
    <w:rPr>
      <w:rFonts w:ascii="Arial" w:hAnsi="Arial"/>
      <w:color w:val="0000FF"/>
      <w:szCs w:val="20"/>
    </w:rPr>
  </w:style>
  <w:style w:type="paragraph" w:customStyle="1" w:styleId="subtit-1">
    <w:name w:val="subtit-1"/>
    <w:basedOn w:val="Normal"/>
    <w:uiPriority w:val="99"/>
    <w:rsid w:val="003020DA"/>
    <w:pPr>
      <w:widowControl w:val="0"/>
      <w:autoSpaceDE w:val="0"/>
      <w:autoSpaceDN w:val="0"/>
      <w:adjustRightInd w:val="0"/>
      <w:spacing w:line="360" w:lineRule="atLeast"/>
      <w:jc w:val="both"/>
      <w:textAlignment w:val="baseline"/>
    </w:pPr>
    <w:rPr>
      <w:bCs/>
      <w:spacing w:val="-4"/>
      <w:sz w:val="26"/>
      <w:szCs w:val="26"/>
      <w:lang w:val="es-ES_tradnl"/>
    </w:rPr>
  </w:style>
  <w:style w:type="paragraph" w:styleId="Subttulo">
    <w:name w:val="Subtitle"/>
    <w:basedOn w:val="Normal"/>
    <w:link w:val="SubttuloCar"/>
    <w:uiPriority w:val="99"/>
    <w:qFormat/>
    <w:rsid w:val="003020DA"/>
    <w:pPr>
      <w:widowControl w:val="0"/>
      <w:adjustRightInd w:val="0"/>
      <w:spacing w:before="60" w:after="60" w:line="360" w:lineRule="atLeast"/>
      <w:jc w:val="center"/>
      <w:textAlignment w:val="baseline"/>
    </w:pPr>
    <w:rPr>
      <w:b/>
      <w:bCs/>
      <w:sz w:val="20"/>
      <w:lang w:val="es-ES"/>
    </w:rPr>
  </w:style>
  <w:style w:type="paragraph" w:customStyle="1" w:styleId="kickertext">
    <w:name w:val="kickertext"/>
    <w:basedOn w:val="Normal"/>
    <w:uiPriority w:val="99"/>
    <w:rsid w:val="003020DA"/>
    <w:pPr>
      <w:widowControl w:val="0"/>
      <w:adjustRightInd w:val="0"/>
      <w:spacing w:before="100" w:beforeAutospacing="1" w:line="360" w:lineRule="atLeast"/>
      <w:jc w:val="both"/>
      <w:textAlignment w:val="baseline"/>
    </w:pPr>
    <w:rPr>
      <w:rFonts w:ascii="Trebuchet MS" w:hAnsi="Trebuchet MS"/>
      <w:sz w:val="20"/>
      <w:szCs w:val="20"/>
      <w:lang w:val="es-ES"/>
    </w:rPr>
  </w:style>
  <w:style w:type="paragraph" w:customStyle="1" w:styleId="pagetitletext">
    <w:name w:val="pagetitletext"/>
    <w:basedOn w:val="Normal"/>
    <w:uiPriority w:val="99"/>
    <w:rsid w:val="003020DA"/>
    <w:pPr>
      <w:widowControl w:val="0"/>
      <w:adjustRightInd w:val="0"/>
      <w:spacing w:after="100" w:afterAutospacing="1" w:line="360" w:lineRule="atLeast"/>
      <w:jc w:val="both"/>
      <w:textAlignment w:val="baseline"/>
    </w:pPr>
    <w:rPr>
      <w:rFonts w:ascii="Trebuchet MS" w:hAnsi="Trebuchet MS"/>
      <w:b/>
      <w:bCs/>
      <w:color w:val="0080FF"/>
      <w:sz w:val="36"/>
      <w:szCs w:val="36"/>
      <w:lang w:val="es-ES"/>
    </w:rPr>
  </w:style>
  <w:style w:type="paragraph" w:customStyle="1" w:styleId="paraboldcolourtext">
    <w:name w:val="parabold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FF"/>
      <w:sz w:val="20"/>
      <w:szCs w:val="20"/>
      <w:lang w:val="es-ES"/>
    </w:rPr>
  </w:style>
  <w:style w:type="paragraph" w:customStyle="1" w:styleId="paracolourtext">
    <w:name w:val="para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20"/>
      <w:szCs w:val="20"/>
      <w:lang w:val="es-ES"/>
    </w:rPr>
  </w:style>
  <w:style w:type="paragraph" w:customStyle="1" w:styleId="parasmallcolourtext">
    <w:name w:val="parasmall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16"/>
      <w:szCs w:val="16"/>
      <w:lang w:val="es-ES"/>
    </w:rPr>
  </w:style>
  <w:style w:type="character" w:customStyle="1" w:styleId="paraboldcolourtext1">
    <w:name w:val="paraboldcolourtext1"/>
    <w:basedOn w:val="Fuentedeprrafopredeter"/>
    <w:rsid w:val="003020DA"/>
    <w:rPr>
      <w:rFonts w:ascii="Trebuchet MS" w:hAnsi="Trebuchet MS" w:hint="default"/>
      <w:b/>
      <w:bCs/>
      <w:i w:val="0"/>
      <w:iCs w:val="0"/>
      <w:color w:val="0080FF"/>
      <w:sz w:val="20"/>
      <w:szCs w:val="20"/>
    </w:rPr>
  </w:style>
  <w:style w:type="paragraph" w:customStyle="1" w:styleId="parasmalltext">
    <w:name w:val="parasmal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16"/>
      <w:szCs w:val="16"/>
      <w:lang w:val="es-ES"/>
    </w:rPr>
  </w:style>
  <w:style w:type="character" w:customStyle="1" w:styleId="parasmalltext1">
    <w:name w:val="parasmalltext1"/>
    <w:basedOn w:val="Fuentedeprrafopredeter"/>
    <w:rsid w:val="003020DA"/>
    <w:rPr>
      <w:rFonts w:ascii="Trebuchet MS" w:hAnsi="Trebuchet MS" w:hint="default"/>
      <w:b w:val="0"/>
      <w:bCs w:val="0"/>
      <w:i w:val="0"/>
      <w:iCs w:val="0"/>
      <w:sz w:val="16"/>
      <w:szCs w:val="16"/>
    </w:rPr>
  </w:style>
  <w:style w:type="paragraph" w:styleId="z-Principiodelformulario">
    <w:name w:val="HTML Top of Form"/>
    <w:basedOn w:val="Normal"/>
    <w:next w:val="Normal"/>
    <w:link w:val="z-PrincipiodelformularioCar"/>
    <w:hidden/>
    <w:uiPriority w:val="99"/>
    <w:rsid w:val="003020DA"/>
    <w:pPr>
      <w:widowControl w:val="0"/>
      <w:pBdr>
        <w:bottom w:val="single" w:sz="6" w:space="1" w:color="auto"/>
      </w:pBdr>
      <w:adjustRightInd w:val="0"/>
      <w:spacing w:line="360" w:lineRule="atLeast"/>
      <w:jc w:val="center"/>
      <w:textAlignment w:val="baseline"/>
    </w:pPr>
    <w:rPr>
      <w:rFonts w:ascii="Arial" w:hAnsi="Arial" w:cs="Arial"/>
      <w:vanish/>
      <w:sz w:val="16"/>
      <w:szCs w:val="16"/>
      <w:lang w:val="es-ES"/>
    </w:rPr>
  </w:style>
  <w:style w:type="paragraph" w:styleId="z-Finaldelformulario">
    <w:name w:val="HTML Bottom of Form"/>
    <w:basedOn w:val="Normal"/>
    <w:next w:val="Normal"/>
    <w:link w:val="z-FinaldelformularioCar"/>
    <w:hidden/>
    <w:uiPriority w:val="99"/>
    <w:rsid w:val="003020DA"/>
    <w:pPr>
      <w:widowControl w:val="0"/>
      <w:pBdr>
        <w:top w:val="single" w:sz="6" w:space="1" w:color="auto"/>
      </w:pBdr>
      <w:adjustRightInd w:val="0"/>
      <w:spacing w:line="360" w:lineRule="atLeast"/>
      <w:jc w:val="center"/>
      <w:textAlignment w:val="baseline"/>
    </w:pPr>
    <w:rPr>
      <w:rFonts w:ascii="Arial" w:hAnsi="Arial" w:cs="Arial"/>
      <w:vanish/>
      <w:sz w:val="16"/>
      <w:szCs w:val="16"/>
      <w:lang w:val="es-ES"/>
    </w:rPr>
  </w:style>
  <w:style w:type="character" w:customStyle="1" w:styleId="parasmallgreytext1">
    <w:name w:val="parasmallgreytext1"/>
    <w:basedOn w:val="Fuentedeprrafopredeter"/>
    <w:rsid w:val="003020DA"/>
    <w:rPr>
      <w:rFonts w:ascii="Trebuchet MS" w:hAnsi="Trebuchet MS" w:hint="default"/>
      <w:b w:val="0"/>
      <w:bCs w:val="0"/>
      <w:i w:val="0"/>
      <w:iCs w:val="0"/>
      <w:color w:val="808080"/>
      <w:sz w:val="16"/>
      <w:szCs w:val="16"/>
    </w:rPr>
  </w:style>
  <w:style w:type="paragraph" w:styleId="HTMLconformatoprevio">
    <w:name w:val="HTML Preformatted"/>
    <w:basedOn w:val="Normal"/>
    <w:link w:val="HTMLconformatoprevioCar"/>
    <w:uiPriority w:val="99"/>
    <w:rsid w:val="00302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jc w:val="both"/>
      <w:textAlignment w:val="baseline"/>
    </w:pPr>
    <w:rPr>
      <w:rFonts w:ascii="Courier New" w:hAnsi="Courier New" w:cs="Courier New"/>
      <w:sz w:val="20"/>
      <w:szCs w:val="20"/>
      <w:lang w:val="es-ES"/>
    </w:rPr>
  </w:style>
  <w:style w:type="paragraph" w:customStyle="1" w:styleId="news1bodytext">
    <w:name w:val="news1bodytext"/>
    <w:basedOn w:val="Normal"/>
    <w:uiPriority w:val="99"/>
    <w:rsid w:val="003020DA"/>
    <w:pPr>
      <w:widowControl w:val="0"/>
      <w:adjustRightInd w:val="0"/>
      <w:spacing w:after="100" w:afterAutospacing="1" w:line="360" w:lineRule="atLeast"/>
      <w:jc w:val="both"/>
      <w:textAlignment w:val="baseline"/>
    </w:pPr>
    <w:rPr>
      <w:rFonts w:ascii="Trebuchet MS" w:hAnsi="Trebuchet MS"/>
      <w:lang w:val="es-ES"/>
    </w:rPr>
  </w:style>
  <w:style w:type="paragraph" w:customStyle="1" w:styleId="news1headlinetext">
    <w:name w:val="news1headlinetext"/>
    <w:basedOn w:val="Normal"/>
    <w:uiPriority w:val="99"/>
    <w:rsid w:val="003020DA"/>
    <w:pPr>
      <w:widowControl w:val="0"/>
      <w:adjustRightInd w:val="0"/>
      <w:spacing w:before="100" w:beforeAutospacing="1" w:line="360" w:lineRule="atLeast"/>
      <w:jc w:val="both"/>
      <w:textAlignment w:val="baseline"/>
    </w:pPr>
    <w:rPr>
      <w:rFonts w:ascii="Trebuchet MS" w:hAnsi="Trebuchet MS"/>
      <w:b/>
      <w:bCs/>
      <w:color w:val="0080FF"/>
      <w:sz w:val="36"/>
      <w:szCs w:val="36"/>
      <w:lang w:val="es-ES"/>
    </w:rPr>
  </w:style>
  <w:style w:type="paragraph" w:customStyle="1" w:styleId="Estilo3">
    <w:name w:val="Estilo3"/>
    <w:basedOn w:val="Ttulo1"/>
    <w:uiPriority w:val="99"/>
    <w:rsid w:val="003020DA"/>
    <w:pPr>
      <w:keepNext/>
      <w:widowControl w:val="0"/>
      <w:tabs>
        <w:tab w:val="num" w:pos="360"/>
      </w:tabs>
      <w:adjustRightInd w:val="0"/>
      <w:spacing w:before="240" w:beforeAutospacing="0" w:after="60" w:afterAutospacing="0" w:line="360" w:lineRule="atLeast"/>
      <w:jc w:val="both"/>
      <w:textAlignment w:val="baseline"/>
    </w:pPr>
    <w:rPr>
      <w:rFonts w:ascii="Lucida Sans Unicode" w:hAnsi="Lucida Sans Unicode"/>
      <w:color w:val="FF6600"/>
      <w:kern w:val="32"/>
      <w:sz w:val="28"/>
      <w:szCs w:val="28"/>
      <w:lang w:val="es-ES" w:eastAsia="es-ES"/>
    </w:rPr>
  </w:style>
  <w:style w:type="paragraph" w:customStyle="1" w:styleId="Estilo4">
    <w:name w:val="Estilo4"/>
    <w:basedOn w:val="Ttulo1"/>
    <w:uiPriority w:val="99"/>
    <w:rsid w:val="003020DA"/>
    <w:pPr>
      <w:keepNext/>
      <w:widowControl w:val="0"/>
      <w:tabs>
        <w:tab w:val="num" w:pos="360"/>
      </w:tabs>
      <w:adjustRightInd w:val="0"/>
      <w:spacing w:before="240" w:beforeAutospacing="0" w:after="60" w:afterAutospacing="0" w:line="360" w:lineRule="atLeast"/>
      <w:textAlignment w:val="baseline"/>
    </w:pPr>
    <w:rPr>
      <w:rFonts w:ascii="Lucida Sans Unicode" w:hAnsi="Lucida Sans Unicode"/>
      <w:kern w:val="32"/>
      <w:sz w:val="32"/>
      <w:szCs w:val="28"/>
      <w:lang w:val="es-ES" w:eastAsia="es-ES"/>
    </w:rPr>
  </w:style>
  <w:style w:type="paragraph" w:customStyle="1" w:styleId="Ttulo10">
    <w:name w:val="Tìtulo 1"/>
    <w:basedOn w:val="Normal"/>
    <w:uiPriority w:val="99"/>
    <w:rsid w:val="003020DA"/>
    <w:pPr>
      <w:keepNext/>
      <w:widowControl w:val="0"/>
      <w:adjustRightInd w:val="0"/>
      <w:spacing w:before="240" w:after="60" w:line="360" w:lineRule="atLeast"/>
      <w:jc w:val="both"/>
      <w:textAlignment w:val="baseline"/>
      <w:outlineLvl w:val="0"/>
    </w:pPr>
    <w:rPr>
      <w:rFonts w:ascii="Lucida Sans Unicode" w:hAnsi="Lucida Sans Unicode" w:cs="Arial"/>
      <w:bCs/>
      <w:color w:val="00FFFF"/>
      <w:kern w:val="32"/>
      <w:sz w:val="28"/>
      <w:szCs w:val="28"/>
      <w:lang w:val="es-ES"/>
    </w:rPr>
  </w:style>
  <w:style w:type="character" w:customStyle="1" w:styleId="copy1">
    <w:name w:val="copy1"/>
    <w:rsid w:val="003020DA"/>
    <w:rPr>
      <w:i/>
      <w:iCs/>
      <w:color w:val="000000"/>
      <w:sz w:val="22"/>
      <w:szCs w:val="22"/>
    </w:rPr>
  </w:style>
  <w:style w:type="paragraph" w:customStyle="1" w:styleId="cabeza0">
    <w:name w:val="cabeza"/>
    <w:basedOn w:val="Normal"/>
    <w:uiPriority w:val="99"/>
    <w:rsid w:val="003020DA"/>
    <w:pPr>
      <w:widowControl w:val="0"/>
      <w:adjustRightInd w:val="0"/>
      <w:spacing w:before="100" w:beforeAutospacing="1" w:after="100" w:afterAutospacing="1" w:line="360" w:lineRule="atLeast"/>
      <w:jc w:val="both"/>
      <w:textAlignment w:val="baseline"/>
    </w:pPr>
    <w:rPr>
      <w:rFonts w:ascii="Verdana" w:hAnsi="Verdana"/>
      <w:b/>
      <w:bCs/>
      <w:spacing w:val="-10"/>
      <w:sz w:val="31"/>
      <w:szCs w:val="31"/>
      <w:lang w:val="es-ES"/>
    </w:rPr>
  </w:style>
  <w:style w:type="character" w:customStyle="1" w:styleId="texto1">
    <w:name w:val="texto1"/>
    <w:basedOn w:val="Fuentedeprrafopredeter"/>
    <w:rsid w:val="003020DA"/>
    <w:rPr>
      <w:rFonts w:ascii="Arial" w:hAnsi="Arial" w:cs="Arial" w:hint="default"/>
      <w:color w:val="000000"/>
      <w:sz w:val="20"/>
      <w:szCs w:val="20"/>
    </w:rPr>
  </w:style>
  <w:style w:type="paragraph" w:customStyle="1" w:styleId="SubttuloGrfico">
    <w:name w:val="Subtítulo Gráfico"/>
    <w:basedOn w:val="Normal"/>
    <w:next w:val="Normal"/>
    <w:uiPriority w:val="99"/>
    <w:rsid w:val="003020DA"/>
    <w:pPr>
      <w:keepNext/>
      <w:widowControl w:val="0"/>
      <w:adjustRightInd w:val="0"/>
      <w:spacing w:line="360" w:lineRule="atLeast"/>
      <w:ind w:firstLine="1560"/>
      <w:jc w:val="both"/>
      <w:textAlignment w:val="baseline"/>
    </w:pPr>
    <w:rPr>
      <w:rFonts w:ascii="Arial" w:hAnsi="Arial"/>
      <w:color w:val="000080"/>
      <w:sz w:val="20"/>
      <w:szCs w:val="20"/>
    </w:rPr>
  </w:style>
  <w:style w:type="character" w:customStyle="1" w:styleId="paraboldgreytext1">
    <w:name w:val="paraboldgreytext1"/>
    <w:basedOn w:val="Fuentedeprrafopredeter"/>
    <w:rsid w:val="003020DA"/>
    <w:rPr>
      <w:rFonts w:ascii="Trebuchet MS" w:hAnsi="Trebuchet MS" w:hint="default"/>
      <w:b/>
      <w:bCs/>
      <w:i w:val="0"/>
      <w:iCs w:val="0"/>
      <w:color w:val="808080"/>
      <w:sz w:val="20"/>
      <w:szCs w:val="20"/>
    </w:rPr>
  </w:style>
  <w:style w:type="character" w:customStyle="1" w:styleId="CarCarCarCarCarCarCarCar">
    <w:name w:val="Car Car Car Car Car Car Car Car"/>
    <w:basedOn w:val="Fuentedeprrafopredeter"/>
    <w:rsid w:val="003020DA"/>
    <w:rPr>
      <w:rFonts w:ascii="Arial" w:hAnsi="Arial" w:cs="Arial"/>
      <w:sz w:val="26"/>
      <w:szCs w:val="26"/>
      <w:lang w:val="es-ES" w:eastAsia="es-ES" w:bidi="ar-SA"/>
    </w:rPr>
  </w:style>
  <w:style w:type="paragraph" w:styleId="Listaconvietas3">
    <w:name w:val="List Bullet 3"/>
    <w:basedOn w:val="Normal"/>
    <w:autoRedefine/>
    <w:uiPriority w:val="99"/>
    <w:rsid w:val="003020DA"/>
    <w:pPr>
      <w:widowControl w:val="0"/>
      <w:numPr>
        <w:numId w:val="4"/>
      </w:numPr>
      <w:adjustRightInd w:val="0"/>
      <w:spacing w:line="360" w:lineRule="atLeast"/>
      <w:jc w:val="both"/>
      <w:textAlignment w:val="baseline"/>
    </w:pPr>
    <w:rPr>
      <w:lang w:val="es-ES"/>
    </w:rPr>
  </w:style>
  <w:style w:type="paragraph" w:customStyle="1" w:styleId="Imagen">
    <w:name w:val="Imagen"/>
    <w:basedOn w:val="Normal"/>
    <w:uiPriority w:val="99"/>
    <w:rsid w:val="003020DA"/>
    <w:pPr>
      <w:widowControl w:val="0"/>
      <w:adjustRightInd w:val="0"/>
      <w:spacing w:line="360" w:lineRule="atLeast"/>
      <w:jc w:val="both"/>
      <w:textAlignment w:val="baseline"/>
    </w:pPr>
    <w:rPr>
      <w:lang w:val="es-ES"/>
    </w:rPr>
  </w:style>
  <w:style w:type="paragraph" w:customStyle="1" w:styleId="3">
    <w:name w:val="3"/>
    <w:basedOn w:val="Normal"/>
    <w:next w:val="Sangradetextonormal"/>
    <w:uiPriority w:val="99"/>
    <w:rsid w:val="003020DA"/>
    <w:pPr>
      <w:widowControl w:val="0"/>
      <w:adjustRightInd w:val="0"/>
      <w:spacing w:after="120" w:line="360" w:lineRule="atLeast"/>
      <w:ind w:left="283"/>
      <w:jc w:val="both"/>
      <w:textAlignment w:val="baseline"/>
    </w:pPr>
    <w:rPr>
      <w:rFonts w:ascii="Arial" w:hAnsi="Arial"/>
      <w:lang w:val="es-ES"/>
    </w:rPr>
  </w:style>
  <w:style w:type="character" w:customStyle="1" w:styleId="style5">
    <w:name w:val="style5"/>
    <w:basedOn w:val="Fuentedeprrafopredeter"/>
    <w:rsid w:val="003020DA"/>
  </w:style>
  <w:style w:type="paragraph" w:styleId="Continuarlista">
    <w:name w:val="List Continue"/>
    <w:basedOn w:val="Normal"/>
    <w:uiPriority w:val="99"/>
    <w:rsid w:val="003020DA"/>
    <w:pPr>
      <w:widowControl w:val="0"/>
      <w:adjustRightInd w:val="0"/>
      <w:spacing w:after="120" w:line="360" w:lineRule="atLeast"/>
      <w:ind w:left="283"/>
      <w:jc w:val="both"/>
      <w:textAlignment w:val="baseline"/>
    </w:pPr>
    <w:rPr>
      <w:lang w:val="es-ES"/>
    </w:rPr>
  </w:style>
  <w:style w:type="paragraph" w:customStyle="1" w:styleId="Direccininterior">
    <w:name w:val="Dirección interior"/>
    <w:basedOn w:val="Normal"/>
    <w:uiPriority w:val="99"/>
    <w:rsid w:val="003020DA"/>
    <w:pPr>
      <w:widowControl w:val="0"/>
      <w:adjustRightInd w:val="0"/>
      <w:spacing w:line="360" w:lineRule="atLeast"/>
      <w:jc w:val="both"/>
      <w:textAlignment w:val="baseline"/>
    </w:pPr>
    <w:rPr>
      <w:lang w:val="es-ES"/>
    </w:rPr>
  </w:style>
  <w:style w:type="paragraph" w:customStyle="1" w:styleId="Lneadeasunto">
    <w:name w:val="Línea de asunto"/>
    <w:basedOn w:val="Normal"/>
    <w:uiPriority w:val="99"/>
    <w:rsid w:val="003020DA"/>
    <w:pPr>
      <w:widowControl w:val="0"/>
      <w:adjustRightInd w:val="0"/>
      <w:spacing w:line="360" w:lineRule="atLeast"/>
      <w:jc w:val="both"/>
      <w:textAlignment w:val="baseline"/>
    </w:pPr>
    <w:rPr>
      <w:lang w:val="es-ES"/>
    </w:rPr>
  </w:style>
  <w:style w:type="paragraph" w:styleId="Textoindependienteprimerasangra2">
    <w:name w:val="Body Text First Indent 2"/>
    <w:basedOn w:val="Sangradetextonormal"/>
    <w:link w:val="Textoindependienteprimerasangra2Car"/>
    <w:uiPriority w:val="99"/>
    <w:rsid w:val="003020DA"/>
    <w:pPr>
      <w:widowControl w:val="0"/>
      <w:adjustRightInd w:val="0"/>
      <w:spacing w:line="360" w:lineRule="atLeast"/>
      <w:ind w:left="283" w:firstLine="210"/>
      <w:jc w:val="both"/>
      <w:textAlignment w:val="baseline"/>
    </w:pPr>
  </w:style>
  <w:style w:type="paragraph" w:customStyle="1" w:styleId="paralargecolourtext">
    <w:name w:val="paralarg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lang w:val="es-ES"/>
    </w:rPr>
  </w:style>
  <w:style w:type="paragraph" w:customStyle="1" w:styleId="subtitlecolourtext">
    <w:name w:val="subtitl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80"/>
      <w:lang w:val="es-ES"/>
    </w:rPr>
  </w:style>
  <w:style w:type="character" w:customStyle="1" w:styleId="TextoCar1">
    <w:name w:val="Texto Car1"/>
    <w:basedOn w:val="Fuentedeprrafopredeter"/>
    <w:rsid w:val="003020DA"/>
    <w:rPr>
      <w:rFonts w:ascii="Arial" w:hAnsi="Arial" w:cs="Arial"/>
      <w:sz w:val="18"/>
      <w:szCs w:val="18"/>
      <w:lang w:val="es-ES" w:eastAsia="es-ES" w:bidi="ar-SA"/>
    </w:rPr>
  </w:style>
  <w:style w:type="paragraph" w:customStyle="1" w:styleId="menudefaulttext">
    <w:name w:val="menudefaulttext"/>
    <w:basedOn w:val="Normal"/>
    <w:uiPriority w:val="99"/>
    <w:rsid w:val="003020DA"/>
    <w:pPr>
      <w:spacing w:before="100" w:beforeAutospacing="1" w:after="100" w:afterAutospacing="1"/>
    </w:pPr>
    <w:rPr>
      <w:b/>
      <w:bCs/>
      <w:color w:val="808080"/>
      <w:sz w:val="16"/>
      <w:szCs w:val="16"/>
      <w:lang w:val="es-ES"/>
    </w:rPr>
  </w:style>
  <w:style w:type="paragraph" w:customStyle="1" w:styleId="menubelongstext">
    <w:name w:val="menubelongstext"/>
    <w:basedOn w:val="Normal"/>
    <w:uiPriority w:val="99"/>
    <w:rsid w:val="003020DA"/>
    <w:pPr>
      <w:spacing w:before="100" w:beforeAutospacing="1" w:after="100" w:afterAutospacing="1"/>
    </w:pPr>
    <w:rPr>
      <w:b/>
      <w:bCs/>
      <w:color w:val="0080FF"/>
      <w:sz w:val="16"/>
      <w:szCs w:val="16"/>
      <w:lang w:val="es-ES"/>
    </w:rPr>
  </w:style>
  <w:style w:type="paragraph" w:customStyle="1" w:styleId="menulanguagetext">
    <w:name w:val="menulanguagetext"/>
    <w:basedOn w:val="Normal"/>
    <w:uiPriority w:val="99"/>
    <w:rsid w:val="003020DA"/>
    <w:pPr>
      <w:spacing w:before="100" w:beforeAutospacing="1" w:after="100" w:afterAutospacing="1"/>
    </w:pPr>
    <w:rPr>
      <w:color w:val="000080"/>
      <w:sz w:val="18"/>
      <w:szCs w:val="18"/>
      <w:lang w:val="es-ES"/>
    </w:rPr>
  </w:style>
  <w:style w:type="paragraph" w:customStyle="1" w:styleId="menuredtext">
    <w:name w:val="menuredtext"/>
    <w:basedOn w:val="Normal"/>
    <w:uiPriority w:val="99"/>
    <w:rsid w:val="003020DA"/>
    <w:pPr>
      <w:spacing w:before="100" w:beforeAutospacing="1" w:after="100" w:afterAutospacing="1"/>
    </w:pPr>
    <w:rPr>
      <w:b/>
      <w:bCs/>
      <w:color w:val="FF8040"/>
      <w:sz w:val="18"/>
      <w:szCs w:val="18"/>
      <w:lang w:val="es-ES"/>
    </w:rPr>
  </w:style>
  <w:style w:type="paragraph" w:customStyle="1" w:styleId="menubluetext">
    <w:name w:val="menubluetext"/>
    <w:basedOn w:val="Normal"/>
    <w:uiPriority w:val="99"/>
    <w:rsid w:val="003020DA"/>
    <w:pPr>
      <w:spacing w:before="100" w:beforeAutospacing="1" w:after="100" w:afterAutospacing="1"/>
    </w:pPr>
    <w:rPr>
      <w:b/>
      <w:bCs/>
      <w:color w:val="0080C0"/>
      <w:sz w:val="18"/>
      <w:szCs w:val="18"/>
      <w:lang w:val="es-ES"/>
    </w:rPr>
  </w:style>
  <w:style w:type="paragraph" w:customStyle="1" w:styleId="maintitletext">
    <w:name w:val="maintitletext"/>
    <w:basedOn w:val="Normal"/>
    <w:uiPriority w:val="99"/>
    <w:rsid w:val="003020DA"/>
    <w:pPr>
      <w:spacing w:before="100" w:beforeAutospacing="1" w:after="100" w:afterAutospacing="1"/>
    </w:pPr>
    <w:rPr>
      <w:b/>
      <w:bCs/>
      <w:color w:val="0080FF"/>
      <w:sz w:val="36"/>
      <w:szCs w:val="36"/>
      <w:lang w:val="es-ES"/>
    </w:rPr>
  </w:style>
  <w:style w:type="paragraph" w:customStyle="1" w:styleId="dropdownboxtext">
    <w:name w:val="dropdownboxtext"/>
    <w:basedOn w:val="Normal"/>
    <w:uiPriority w:val="99"/>
    <w:rsid w:val="003020DA"/>
    <w:pPr>
      <w:spacing w:before="100" w:beforeAutospacing="1" w:after="100" w:afterAutospacing="1"/>
    </w:pPr>
    <w:rPr>
      <w:color w:val="000000"/>
      <w:sz w:val="18"/>
      <w:szCs w:val="18"/>
      <w:lang w:val="es-ES"/>
    </w:rPr>
  </w:style>
  <w:style w:type="paragraph" w:customStyle="1" w:styleId="paragreytext">
    <w:name w:val="paragreytext"/>
    <w:basedOn w:val="Normal"/>
    <w:uiPriority w:val="99"/>
    <w:rsid w:val="003020DA"/>
    <w:pPr>
      <w:spacing w:before="100" w:beforeAutospacing="1" w:after="100" w:afterAutospacing="1"/>
    </w:pPr>
    <w:rPr>
      <w:color w:val="808080"/>
      <w:sz w:val="20"/>
      <w:szCs w:val="20"/>
      <w:lang w:val="es-ES"/>
    </w:rPr>
  </w:style>
  <w:style w:type="paragraph" w:customStyle="1" w:styleId="boldwhitetext">
    <w:name w:val="boldwhitetext"/>
    <w:basedOn w:val="Normal"/>
    <w:uiPriority w:val="99"/>
    <w:rsid w:val="003020DA"/>
    <w:pPr>
      <w:spacing w:before="100" w:beforeAutospacing="1" w:after="100" w:afterAutospacing="1"/>
    </w:pPr>
    <w:rPr>
      <w:b/>
      <w:bCs/>
      <w:color w:val="FFFFFF"/>
      <w:sz w:val="20"/>
      <w:szCs w:val="20"/>
      <w:lang w:val="es-ES"/>
    </w:rPr>
  </w:style>
  <w:style w:type="paragraph" w:customStyle="1" w:styleId="paraorangetext">
    <w:name w:val="paraorangetext"/>
    <w:basedOn w:val="Normal"/>
    <w:uiPriority w:val="99"/>
    <w:rsid w:val="003020DA"/>
    <w:pPr>
      <w:spacing w:before="100" w:beforeAutospacing="1" w:after="100" w:afterAutospacing="1"/>
    </w:pPr>
    <w:rPr>
      <w:color w:val="FF8040"/>
      <w:sz w:val="20"/>
      <w:szCs w:val="20"/>
      <w:lang w:val="es-ES"/>
    </w:rPr>
  </w:style>
  <w:style w:type="paragraph" w:customStyle="1" w:styleId="parasmallgreytext">
    <w:name w:val="parasmallgreytext"/>
    <w:basedOn w:val="Normal"/>
    <w:uiPriority w:val="99"/>
    <w:rsid w:val="003020DA"/>
    <w:pPr>
      <w:spacing w:before="100" w:beforeAutospacing="1" w:after="100" w:afterAutospacing="1"/>
    </w:pPr>
    <w:rPr>
      <w:color w:val="808080"/>
      <w:sz w:val="16"/>
      <w:szCs w:val="16"/>
      <w:lang w:val="es-ES"/>
    </w:rPr>
  </w:style>
  <w:style w:type="paragraph" w:customStyle="1" w:styleId="highlighttext">
    <w:name w:val="highlighttext"/>
    <w:basedOn w:val="Normal"/>
    <w:uiPriority w:val="99"/>
    <w:rsid w:val="003020DA"/>
    <w:pPr>
      <w:shd w:val="clear" w:color="auto" w:fill="FFFFFF"/>
      <w:spacing w:before="100" w:beforeAutospacing="1" w:after="100" w:afterAutospacing="1"/>
    </w:pPr>
    <w:rPr>
      <w:color w:val="000000"/>
      <w:sz w:val="20"/>
      <w:szCs w:val="20"/>
      <w:lang w:val="es-ES"/>
    </w:rPr>
  </w:style>
  <w:style w:type="paragraph" w:customStyle="1" w:styleId="parasmallredtext">
    <w:name w:val="parasmallredtext"/>
    <w:basedOn w:val="Normal"/>
    <w:uiPriority w:val="99"/>
    <w:rsid w:val="003020DA"/>
    <w:pPr>
      <w:spacing w:before="100" w:beforeAutospacing="1" w:after="100" w:afterAutospacing="1"/>
    </w:pPr>
    <w:rPr>
      <w:color w:val="FF0000"/>
      <w:sz w:val="16"/>
      <w:szCs w:val="16"/>
      <w:lang w:val="es-ES"/>
    </w:rPr>
  </w:style>
  <w:style w:type="paragraph" w:customStyle="1" w:styleId="parawhitetext">
    <w:name w:val="parawhitetext"/>
    <w:basedOn w:val="Normal"/>
    <w:uiPriority w:val="99"/>
    <w:rsid w:val="003020DA"/>
    <w:pPr>
      <w:spacing w:before="100" w:beforeAutospacing="1" w:after="100" w:afterAutospacing="1"/>
    </w:pPr>
    <w:rPr>
      <w:color w:val="FFFFFF"/>
      <w:sz w:val="20"/>
      <w:szCs w:val="20"/>
      <w:lang w:val="es-ES"/>
    </w:rPr>
  </w:style>
  <w:style w:type="paragraph" w:customStyle="1" w:styleId="paralargeboldtext">
    <w:name w:val="paralargeboldtext"/>
    <w:basedOn w:val="Normal"/>
    <w:uiPriority w:val="99"/>
    <w:rsid w:val="003020DA"/>
    <w:pPr>
      <w:spacing w:before="100" w:beforeAutospacing="1" w:after="100" w:afterAutospacing="1"/>
    </w:pPr>
    <w:rPr>
      <w:b/>
      <w:bCs/>
      <w:color w:val="000000"/>
      <w:lang w:val="es-ES"/>
    </w:rPr>
  </w:style>
  <w:style w:type="paragraph" w:customStyle="1" w:styleId="parasmallboldcolourtext">
    <w:name w:val="parasmallboldcolourtext"/>
    <w:basedOn w:val="Normal"/>
    <w:uiPriority w:val="99"/>
    <w:rsid w:val="003020DA"/>
    <w:pPr>
      <w:spacing w:before="100" w:beforeAutospacing="1" w:after="100" w:afterAutospacing="1"/>
    </w:pPr>
    <w:rPr>
      <w:b/>
      <w:bCs/>
      <w:color w:val="0080FF"/>
      <w:sz w:val="16"/>
      <w:szCs w:val="16"/>
      <w:lang w:val="es-ES"/>
    </w:rPr>
  </w:style>
  <w:style w:type="paragraph" w:customStyle="1" w:styleId="paraboldgreytext">
    <w:name w:val="paraboldgreytext"/>
    <w:basedOn w:val="Normal"/>
    <w:uiPriority w:val="99"/>
    <w:rsid w:val="003020DA"/>
    <w:pPr>
      <w:spacing w:before="100" w:beforeAutospacing="1" w:after="100" w:afterAutospacing="1"/>
    </w:pPr>
    <w:rPr>
      <w:b/>
      <w:bCs/>
      <w:color w:val="808080"/>
      <w:sz w:val="20"/>
      <w:szCs w:val="20"/>
      <w:lang w:val="es-ES"/>
    </w:rPr>
  </w:style>
  <w:style w:type="paragraph" w:customStyle="1" w:styleId="parasmalldarkredtext">
    <w:name w:val="parasmalldarkredtext"/>
    <w:basedOn w:val="Normal"/>
    <w:uiPriority w:val="99"/>
    <w:rsid w:val="003020DA"/>
    <w:pPr>
      <w:spacing w:before="100" w:beforeAutospacing="1" w:after="100" w:afterAutospacing="1"/>
    </w:pPr>
    <w:rPr>
      <w:color w:val="800000"/>
      <w:sz w:val="16"/>
      <w:szCs w:val="16"/>
      <w:lang w:val="es-ES"/>
    </w:rPr>
  </w:style>
  <w:style w:type="paragraph" w:customStyle="1" w:styleId="pararedtext">
    <w:name w:val="pararedtext"/>
    <w:basedOn w:val="Normal"/>
    <w:uiPriority w:val="99"/>
    <w:rsid w:val="003020DA"/>
    <w:pPr>
      <w:spacing w:before="100" w:beforeAutospacing="1" w:after="100" w:afterAutospacing="1"/>
    </w:pPr>
    <w:rPr>
      <w:color w:val="FF0000"/>
      <w:sz w:val="20"/>
      <w:szCs w:val="20"/>
      <w:lang w:val="es-ES"/>
    </w:rPr>
  </w:style>
  <w:style w:type="paragraph" w:customStyle="1" w:styleId="paradarkredtext">
    <w:name w:val="paradarkredtext"/>
    <w:basedOn w:val="Normal"/>
    <w:uiPriority w:val="99"/>
    <w:rsid w:val="003020DA"/>
    <w:pPr>
      <w:spacing w:before="100" w:beforeAutospacing="1" w:after="100" w:afterAutospacing="1"/>
    </w:pPr>
    <w:rPr>
      <w:color w:val="800000"/>
      <w:sz w:val="20"/>
      <w:szCs w:val="20"/>
      <w:lang w:val="es-ES"/>
    </w:rPr>
  </w:style>
  <w:style w:type="paragraph" w:customStyle="1" w:styleId="newsbodytext">
    <w:name w:val="newsbodytext"/>
    <w:basedOn w:val="Normal"/>
    <w:uiPriority w:val="99"/>
    <w:rsid w:val="003020DA"/>
    <w:pPr>
      <w:spacing w:after="100" w:afterAutospacing="1"/>
    </w:pPr>
    <w:rPr>
      <w:color w:val="000000"/>
      <w:sz w:val="20"/>
      <w:szCs w:val="20"/>
      <w:lang w:val="es-ES"/>
    </w:rPr>
  </w:style>
  <w:style w:type="paragraph" w:customStyle="1" w:styleId="newsheadlinetext">
    <w:name w:val="newsheadlinetext"/>
    <w:basedOn w:val="Normal"/>
    <w:uiPriority w:val="99"/>
    <w:rsid w:val="003020DA"/>
    <w:pPr>
      <w:spacing w:before="100" w:beforeAutospacing="1"/>
    </w:pPr>
    <w:rPr>
      <w:b/>
      <w:bCs/>
      <w:color w:val="0080FF"/>
      <w:sz w:val="20"/>
      <w:szCs w:val="20"/>
      <w:lang w:val="es-ES"/>
    </w:rPr>
  </w:style>
  <w:style w:type="paragraph" w:customStyle="1" w:styleId="docsonline">
    <w:name w:val="docsonline"/>
    <w:basedOn w:val="Normal"/>
    <w:uiPriority w:val="99"/>
    <w:rsid w:val="003020DA"/>
    <w:pPr>
      <w:shd w:val="clear" w:color="auto" w:fill="FDF7E3"/>
      <w:spacing w:before="100" w:beforeAutospacing="1" w:after="100" w:afterAutospacing="1"/>
    </w:pPr>
    <w:rPr>
      <w:b/>
      <w:bCs/>
      <w:color w:val="800000"/>
      <w:sz w:val="20"/>
      <w:szCs w:val="20"/>
      <w:lang w:val="es-ES"/>
    </w:rPr>
  </w:style>
  <w:style w:type="paragraph" w:customStyle="1" w:styleId="paradarkbluetext">
    <w:name w:val="paradarkbluetext"/>
    <w:basedOn w:val="Normal"/>
    <w:uiPriority w:val="99"/>
    <w:rsid w:val="003020DA"/>
    <w:pPr>
      <w:spacing w:before="100" w:beforeAutospacing="1" w:after="100" w:afterAutospacing="1"/>
    </w:pPr>
    <w:rPr>
      <w:color w:val="000080"/>
      <w:sz w:val="20"/>
      <w:szCs w:val="20"/>
      <w:lang w:val="es-ES"/>
    </w:rPr>
  </w:style>
  <w:style w:type="paragraph" w:customStyle="1" w:styleId="parasmalldarkbluetext">
    <w:name w:val="parasmalldarkbluetext"/>
    <w:basedOn w:val="Normal"/>
    <w:uiPriority w:val="99"/>
    <w:rsid w:val="003020DA"/>
    <w:pPr>
      <w:spacing w:before="100" w:beforeAutospacing="1" w:after="100" w:afterAutospacing="1"/>
    </w:pPr>
    <w:rPr>
      <w:color w:val="000080"/>
      <w:sz w:val="16"/>
      <w:szCs w:val="16"/>
      <w:lang w:val="es-ES"/>
    </w:rPr>
  </w:style>
  <w:style w:type="paragraph" w:customStyle="1" w:styleId="strippednormaltext">
    <w:name w:val="strippednormaltext"/>
    <w:basedOn w:val="Normal"/>
    <w:uiPriority w:val="99"/>
    <w:rsid w:val="003020DA"/>
    <w:rPr>
      <w:color w:val="000000"/>
      <w:sz w:val="20"/>
      <w:szCs w:val="20"/>
      <w:lang w:val="es-ES"/>
    </w:rPr>
  </w:style>
  <w:style w:type="paragraph" w:customStyle="1" w:styleId="strippedindent1text">
    <w:name w:val="strippedindent1text"/>
    <w:basedOn w:val="Normal"/>
    <w:uiPriority w:val="99"/>
    <w:rsid w:val="003020DA"/>
    <w:pPr>
      <w:ind w:left="198"/>
    </w:pPr>
    <w:rPr>
      <w:color w:val="000000"/>
      <w:sz w:val="20"/>
      <w:szCs w:val="20"/>
      <w:lang w:val="es-ES"/>
    </w:rPr>
  </w:style>
  <w:style w:type="paragraph" w:customStyle="1" w:styleId="paralargedarkredtext">
    <w:name w:val="paralargedarkredtext"/>
    <w:basedOn w:val="Normal"/>
    <w:uiPriority w:val="99"/>
    <w:rsid w:val="003020DA"/>
    <w:pPr>
      <w:spacing w:before="100" w:beforeAutospacing="1" w:after="100" w:afterAutospacing="1"/>
    </w:pPr>
    <w:rPr>
      <w:color w:val="800000"/>
      <w:lang w:val="es-ES"/>
    </w:rPr>
  </w:style>
  <w:style w:type="paragraph" w:customStyle="1" w:styleId="greaterlistitem">
    <w:name w:val="greaterlistitem"/>
    <w:basedOn w:val="Normal"/>
    <w:uiPriority w:val="99"/>
    <w:rsid w:val="003020DA"/>
    <w:pPr>
      <w:ind w:left="79" w:hanging="79"/>
    </w:pPr>
    <w:rPr>
      <w:color w:val="000000"/>
      <w:sz w:val="20"/>
      <w:szCs w:val="20"/>
      <w:lang w:val="es-ES"/>
    </w:rPr>
  </w:style>
  <w:style w:type="paragraph" w:customStyle="1" w:styleId="strippedgreytext">
    <w:name w:val="strippedgreytext"/>
    <w:basedOn w:val="Normal"/>
    <w:uiPriority w:val="99"/>
    <w:rsid w:val="003020DA"/>
    <w:rPr>
      <w:color w:val="808080"/>
      <w:sz w:val="20"/>
      <w:szCs w:val="20"/>
      <w:lang w:val="es-ES"/>
    </w:rPr>
  </w:style>
  <w:style w:type="paragraph" w:customStyle="1" w:styleId="paralargeorangetext">
    <w:name w:val="paralargeorangetext"/>
    <w:basedOn w:val="Normal"/>
    <w:uiPriority w:val="99"/>
    <w:rsid w:val="003020DA"/>
    <w:pPr>
      <w:spacing w:before="100" w:beforeAutospacing="1" w:after="100" w:afterAutospacing="1"/>
    </w:pPr>
    <w:rPr>
      <w:color w:val="FF8040"/>
      <w:lang w:val="es-ES"/>
    </w:rPr>
  </w:style>
  <w:style w:type="paragraph" w:customStyle="1" w:styleId="parasmallthewtobluetext">
    <w:name w:val="parasmallthewtobluetext"/>
    <w:basedOn w:val="Normal"/>
    <w:uiPriority w:val="99"/>
    <w:rsid w:val="003020DA"/>
    <w:pPr>
      <w:spacing w:before="100" w:beforeAutospacing="1" w:after="100" w:afterAutospacing="1"/>
    </w:pPr>
    <w:rPr>
      <w:color w:val="0080C0"/>
      <w:sz w:val="16"/>
      <w:szCs w:val="16"/>
      <w:lang w:val="es-ES"/>
    </w:rPr>
  </w:style>
  <w:style w:type="paragraph" w:customStyle="1" w:styleId="graytd">
    <w:name w:val="graytd"/>
    <w:basedOn w:val="Normal"/>
    <w:uiPriority w:val="99"/>
    <w:rsid w:val="003020DA"/>
    <w:pPr>
      <w:shd w:val="clear" w:color="auto" w:fill="E5E5E5"/>
      <w:spacing w:before="100" w:beforeAutospacing="1" w:after="100" w:afterAutospacing="1"/>
    </w:pPr>
    <w:rPr>
      <w:sz w:val="20"/>
      <w:szCs w:val="20"/>
      <w:lang w:val="es-ES"/>
    </w:rPr>
  </w:style>
  <w:style w:type="paragraph" w:customStyle="1" w:styleId="tocindent1">
    <w:name w:val="tocindent1"/>
    <w:basedOn w:val="Normal"/>
    <w:uiPriority w:val="99"/>
    <w:rsid w:val="003020DA"/>
    <w:pPr>
      <w:ind w:left="79"/>
    </w:pPr>
    <w:rPr>
      <w:sz w:val="20"/>
      <w:szCs w:val="20"/>
      <w:lang w:val="es-ES"/>
    </w:rPr>
  </w:style>
  <w:style w:type="paragraph" w:customStyle="1" w:styleId="tocindent2">
    <w:name w:val="tocindent2"/>
    <w:basedOn w:val="Normal"/>
    <w:uiPriority w:val="99"/>
    <w:rsid w:val="003020DA"/>
    <w:pPr>
      <w:ind w:left="158"/>
    </w:pPr>
    <w:rPr>
      <w:sz w:val="20"/>
      <w:szCs w:val="20"/>
      <w:lang w:val="es-ES"/>
    </w:rPr>
  </w:style>
  <w:style w:type="paragraph" w:customStyle="1" w:styleId="tocindent3">
    <w:name w:val="tocindent3"/>
    <w:basedOn w:val="Normal"/>
    <w:uiPriority w:val="99"/>
    <w:rsid w:val="003020DA"/>
    <w:pPr>
      <w:ind w:left="237"/>
    </w:pPr>
    <w:rPr>
      <w:sz w:val="20"/>
      <w:szCs w:val="20"/>
      <w:lang w:val="es-ES"/>
    </w:rPr>
  </w:style>
  <w:style w:type="paragraph" w:customStyle="1" w:styleId="tocindent4">
    <w:name w:val="tocindent4"/>
    <w:basedOn w:val="Normal"/>
    <w:uiPriority w:val="99"/>
    <w:rsid w:val="003020DA"/>
    <w:pPr>
      <w:ind w:left="316"/>
    </w:pPr>
    <w:rPr>
      <w:sz w:val="20"/>
      <w:szCs w:val="20"/>
      <w:lang w:val="es-ES"/>
    </w:rPr>
  </w:style>
  <w:style w:type="paragraph" w:customStyle="1" w:styleId="tocindent5">
    <w:name w:val="tocindent5"/>
    <w:basedOn w:val="Normal"/>
    <w:uiPriority w:val="99"/>
    <w:rsid w:val="003020DA"/>
    <w:pPr>
      <w:ind w:left="396"/>
    </w:pPr>
    <w:rPr>
      <w:sz w:val="20"/>
      <w:szCs w:val="20"/>
      <w:lang w:val="es-ES"/>
    </w:rPr>
  </w:style>
  <w:style w:type="paragraph" w:customStyle="1" w:styleId="tocindent6">
    <w:name w:val="tocindent6"/>
    <w:basedOn w:val="Normal"/>
    <w:uiPriority w:val="99"/>
    <w:rsid w:val="003020DA"/>
    <w:pPr>
      <w:ind w:left="475"/>
    </w:pPr>
    <w:rPr>
      <w:sz w:val="20"/>
      <w:szCs w:val="20"/>
      <w:lang w:val="es-ES"/>
    </w:rPr>
  </w:style>
  <w:style w:type="paragraph" w:customStyle="1" w:styleId="tocindent7">
    <w:name w:val="tocindent7"/>
    <w:basedOn w:val="Normal"/>
    <w:uiPriority w:val="99"/>
    <w:rsid w:val="003020DA"/>
    <w:pPr>
      <w:ind w:left="554"/>
    </w:pPr>
    <w:rPr>
      <w:sz w:val="20"/>
      <w:szCs w:val="20"/>
      <w:lang w:val="es-ES"/>
    </w:rPr>
  </w:style>
  <w:style w:type="paragraph" w:customStyle="1" w:styleId="tocindent8">
    <w:name w:val="tocindent8"/>
    <w:basedOn w:val="Normal"/>
    <w:uiPriority w:val="99"/>
    <w:rsid w:val="003020DA"/>
    <w:pPr>
      <w:ind w:left="633"/>
    </w:pPr>
    <w:rPr>
      <w:sz w:val="20"/>
      <w:szCs w:val="20"/>
      <w:lang w:val="es-ES"/>
    </w:rPr>
  </w:style>
  <w:style w:type="paragraph" w:customStyle="1" w:styleId="tocindent9">
    <w:name w:val="tocindent9"/>
    <w:basedOn w:val="Normal"/>
    <w:uiPriority w:val="99"/>
    <w:rsid w:val="003020DA"/>
    <w:pPr>
      <w:ind w:left="712"/>
    </w:pPr>
    <w:rPr>
      <w:sz w:val="20"/>
      <w:szCs w:val="20"/>
      <w:lang w:val="es-ES"/>
    </w:rPr>
  </w:style>
  <w:style w:type="paragraph" w:customStyle="1" w:styleId="tocindent10">
    <w:name w:val="tocindent10"/>
    <w:basedOn w:val="Normal"/>
    <w:uiPriority w:val="99"/>
    <w:rsid w:val="003020DA"/>
    <w:pPr>
      <w:ind w:left="791"/>
    </w:pPr>
    <w:rPr>
      <w:sz w:val="20"/>
      <w:szCs w:val="20"/>
      <w:lang w:val="es-ES"/>
    </w:rPr>
  </w:style>
  <w:style w:type="paragraph" w:customStyle="1" w:styleId="greaterlistitemindent1">
    <w:name w:val="greaterlistitemindent1"/>
    <w:basedOn w:val="Normal"/>
    <w:uiPriority w:val="99"/>
    <w:rsid w:val="003020DA"/>
    <w:pPr>
      <w:ind w:left="158" w:hanging="79"/>
    </w:pPr>
    <w:rPr>
      <w:sz w:val="20"/>
      <w:szCs w:val="20"/>
      <w:lang w:val="es-ES"/>
    </w:rPr>
  </w:style>
  <w:style w:type="paragraph" w:customStyle="1" w:styleId="scheduleweek">
    <w:name w:val="scheduleweek"/>
    <w:basedOn w:val="Normal"/>
    <w:uiPriority w:val="99"/>
    <w:rsid w:val="003020DA"/>
    <w:pPr>
      <w:spacing w:before="100" w:beforeAutospacing="1" w:after="100" w:afterAutospacing="1"/>
    </w:pPr>
    <w:rPr>
      <w:b/>
      <w:bCs/>
      <w:color w:val="0080FF"/>
      <w:sz w:val="16"/>
      <w:szCs w:val="16"/>
      <w:lang w:val="es-ES"/>
    </w:rPr>
  </w:style>
  <w:style w:type="paragraph" w:customStyle="1" w:styleId="schedulenote">
    <w:name w:val="schedulenote"/>
    <w:basedOn w:val="Normal"/>
    <w:uiPriority w:val="99"/>
    <w:rsid w:val="003020DA"/>
    <w:pPr>
      <w:spacing w:after="100" w:afterAutospacing="1"/>
    </w:pPr>
    <w:rPr>
      <w:color w:val="000000"/>
      <w:sz w:val="16"/>
      <w:szCs w:val="16"/>
      <w:lang w:val="es-ES"/>
    </w:rPr>
  </w:style>
  <w:style w:type="paragraph" w:customStyle="1" w:styleId="scheduleday">
    <w:name w:val="scheduleday"/>
    <w:basedOn w:val="Normal"/>
    <w:uiPriority w:val="99"/>
    <w:rsid w:val="003020DA"/>
    <w:pPr>
      <w:spacing w:before="100" w:beforeAutospacing="1"/>
    </w:pPr>
    <w:rPr>
      <w:color w:val="0080FF"/>
      <w:sz w:val="16"/>
      <w:szCs w:val="16"/>
      <w:lang w:val="es-ES"/>
    </w:rPr>
  </w:style>
  <w:style w:type="paragraph" w:customStyle="1" w:styleId="scheduletime">
    <w:name w:val="scheduletime"/>
    <w:basedOn w:val="Normal"/>
    <w:uiPriority w:val="99"/>
    <w:rsid w:val="003020DA"/>
    <w:rPr>
      <w:b/>
      <w:bCs/>
      <w:color w:val="000000"/>
      <w:sz w:val="16"/>
      <w:szCs w:val="16"/>
      <w:lang w:val="es-ES"/>
    </w:rPr>
  </w:style>
  <w:style w:type="paragraph" w:customStyle="1" w:styleId="schedulemeeting">
    <w:name w:val="schedulemeeting"/>
    <w:basedOn w:val="Normal"/>
    <w:uiPriority w:val="99"/>
    <w:rsid w:val="003020DA"/>
    <w:rPr>
      <w:color w:val="000000"/>
      <w:sz w:val="16"/>
      <w:szCs w:val="16"/>
      <w:lang w:val="es-ES"/>
    </w:rPr>
  </w:style>
  <w:style w:type="paragraph" w:customStyle="1" w:styleId="tooltiptext">
    <w:name w:val="tooltiptext"/>
    <w:basedOn w:val="Normal"/>
    <w:uiPriority w:val="99"/>
    <w:rsid w:val="003020DA"/>
    <w:pPr>
      <w:pBdr>
        <w:top w:val="single" w:sz="2" w:space="0" w:color="808080"/>
        <w:left w:val="single" w:sz="2" w:space="0" w:color="808080"/>
        <w:bottom w:val="single" w:sz="2" w:space="0" w:color="808080"/>
        <w:right w:val="single" w:sz="2" w:space="0" w:color="808080"/>
      </w:pBdr>
      <w:shd w:val="clear" w:color="auto" w:fill="FFFFE8"/>
      <w:spacing w:before="100" w:beforeAutospacing="1" w:after="100" w:afterAutospacing="1"/>
    </w:pPr>
    <w:rPr>
      <w:color w:val="808080"/>
      <w:sz w:val="16"/>
      <w:szCs w:val="16"/>
      <w:lang w:val="es-ES"/>
    </w:rPr>
  </w:style>
  <w:style w:type="paragraph" w:customStyle="1" w:styleId="colourtable">
    <w:name w:val="colourtable"/>
    <w:basedOn w:val="Normal"/>
    <w:uiPriority w:val="99"/>
    <w:rsid w:val="003020DA"/>
    <w:pPr>
      <w:shd w:val="clear" w:color="auto" w:fill="E5E5E5"/>
      <w:spacing w:before="100" w:beforeAutospacing="1" w:after="100" w:afterAutospacing="1"/>
    </w:pPr>
    <w:rPr>
      <w:rFonts w:ascii="Trebuchet MS" w:hAnsi="Trebuchet MS"/>
      <w:sz w:val="20"/>
      <w:szCs w:val="20"/>
      <w:lang w:val="es-ES"/>
    </w:rPr>
  </w:style>
  <w:style w:type="paragraph" w:customStyle="1" w:styleId="smallgreaterlistitem">
    <w:name w:val="smallgreaterlistitem"/>
    <w:basedOn w:val="Normal"/>
    <w:uiPriority w:val="99"/>
    <w:rsid w:val="003020DA"/>
    <w:pPr>
      <w:ind w:left="79" w:hanging="79"/>
    </w:pPr>
    <w:rPr>
      <w:rFonts w:ascii="Trebuchet MS" w:hAnsi="Trebuchet MS"/>
      <w:sz w:val="16"/>
      <w:szCs w:val="16"/>
      <w:lang w:val="es-ES"/>
    </w:rPr>
  </w:style>
  <w:style w:type="paragraph" w:customStyle="1" w:styleId="cellheadingblacktext">
    <w:name w:val="cellheadingblacktext"/>
    <w:basedOn w:val="Normal"/>
    <w:uiPriority w:val="99"/>
    <w:rsid w:val="003020DA"/>
    <w:pPr>
      <w:spacing w:line="180" w:lineRule="atLeast"/>
    </w:pPr>
    <w:rPr>
      <w:b/>
      <w:bCs/>
      <w:color w:val="000000"/>
      <w:sz w:val="18"/>
      <w:szCs w:val="18"/>
      <w:lang w:val="es-ES"/>
    </w:rPr>
  </w:style>
  <w:style w:type="paragraph" w:customStyle="1" w:styleId="cellheadingwhitetext">
    <w:name w:val="cellheadingwhitetext"/>
    <w:basedOn w:val="Normal"/>
    <w:uiPriority w:val="99"/>
    <w:rsid w:val="003020DA"/>
    <w:pPr>
      <w:shd w:val="clear" w:color="auto" w:fill="0080FF"/>
      <w:spacing w:line="180" w:lineRule="atLeast"/>
    </w:pPr>
    <w:rPr>
      <w:b/>
      <w:bCs/>
      <w:color w:val="FFFFFF"/>
      <w:sz w:val="18"/>
      <w:szCs w:val="18"/>
      <w:lang w:val="es-ES"/>
    </w:rPr>
  </w:style>
  <w:style w:type="paragraph" w:customStyle="1" w:styleId="subnormalboldcolourtext">
    <w:name w:val="subnormalboldcolourtext"/>
    <w:basedOn w:val="Normal"/>
    <w:uiPriority w:val="99"/>
    <w:rsid w:val="003020DA"/>
    <w:pPr>
      <w:spacing w:before="100" w:beforeAutospacing="1"/>
    </w:pPr>
    <w:rPr>
      <w:b/>
      <w:bCs/>
      <w:color w:val="0080FF"/>
      <w:sz w:val="18"/>
      <w:szCs w:val="18"/>
      <w:lang w:val="es-ES"/>
    </w:rPr>
  </w:style>
  <w:style w:type="paragraph" w:customStyle="1" w:styleId="4">
    <w:name w:val="4"/>
    <w:basedOn w:val="Normal"/>
    <w:next w:val="Sangradetextonormal"/>
    <w:uiPriority w:val="99"/>
    <w:rsid w:val="003020DA"/>
    <w:pPr>
      <w:spacing w:after="120"/>
      <w:ind w:left="283"/>
    </w:pPr>
    <w:rPr>
      <w:rFonts w:ascii="Arial" w:hAnsi="Arial"/>
      <w:lang w:val="es-ES"/>
    </w:rPr>
  </w:style>
  <w:style w:type="paragraph" w:styleId="Revisin">
    <w:name w:val="Revision"/>
    <w:hidden/>
    <w:uiPriority w:val="99"/>
    <w:semiHidden/>
    <w:rsid w:val="003020DA"/>
    <w:rPr>
      <w:sz w:val="24"/>
      <w:szCs w:val="24"/>
      <w:lang w:val="es-ES" w:eastAsia="es-ES"/>
    </w:rPr>
  </w:style>
  <w:style w:type="character" w:customStyle="1" w:styleId="FootnoteCharacters">
    <w:name w:val="Footnote Characters"/>
    <w:rsid w:val="003020DA"/>
    <w:rPr>
      <w:vertAlign w:val="superscript"/>
    </w:rPr>
  </w:style>
  <w:style w:type="character" w:customStyle="1" w:styleId="NumberingSymbols">
    <w:name w:val="Numbering Symbols"/>
    <w:rsid w:val="003020DA"/>
  </w:style>
  <w:style w:type="character" w:customStyle="1" w:styleId="Bullets">
    <w:name w:val="Bullets"/>
    <w:rsid w:val="003020DA"/>
    <w:rPr>
      <w:rFonts w:ascii="StarSymbol" w:eastAsia="StarSymbol" w:hAnsi="StarSymbol" w:cs="Helvetica"/>
      <w:sz w:val="18"/>
      <w:szCs w:val="18"/>
    </w:rPr>
  </w:style>
  <w:style w:type="character" w:customStyle="1" w:styleId="EndnoteCharacters">
    <w:name w:val="Endnote Characters"/>
    <w:rsid w:val="003020DA"/>
    <w:rPr>
      <w:vertAlign w:val="superscript"/>
    </w:rPr>
  </w:style>
  <w:style w:type="character" w:customStyle="1" w:styleId="WW8Num2z0">
    <w:name w:val="WW8Num2z0"/>
    <w:rsid w:val="003020DA"/>
    <w:rPr>
      <w:rFonts w:ascii="Symbol" w:hAnsi="Symbol"/>
    </w:rPr>
  </w:style>
  <w:style w:type="character" w:customStyle="1" w:styleId="WW8Num2z1">
    <w:name w:val="WW8Num2z1"/>
    <w:rsid w:val="003020DA"/>
    <w:rPr>
      <w:rFonts w:ascii="Courier New" w:hAnsi="Courier New"/>
    </w:rPr>
  </w:style>
  <w:style w:type="character" w:customStyle="1" w:styleId="WW8Num2z2">
    <w:name w:val="WW8Num2z2"/>
    <w:rsid w:val="003020DA"/>
    <w:rPr>
      <w:rFonts w:ascii="Wingdings" w:hAnsi="Wingdings"/>
    </w:rPr>
  </w:style>
  <w:style w:type="character" w:customStyle="1" w:styleId="WW8Num2z3">
    <w:name w:val="WW8Num2z3"/>
    <w:rsid w:val="003020DA"/>
    <w:rPr>
      <w:rFonts w:ascii="Wingdings" w:hAnsi="Wingdings" w:cs="Helvetica"/>
      <w:sz w:val="18"/>
      <w:szCs w:val="18"/>
    </w:rPr>
  </w:style>
  <w:style w:type="character" w:customStyle="1" w:styleId="DefaultParagraphFont1">
    <w:name w:val="Default Paragraph Font1"/>
    <w:rsid w:val="003020DA"/>
  </w:style>
  <w:style w:type="character" w:customStyle="1" w:styleId="WW-DefaultParagraphFont">
    <w:name w:val="WW-Default Paragraph Font"/>
    <w:rsid w:val="003020DA"/>
  </w:style>
  <w:style w:type="character" w:customStyle="1" w:styleId="WW-DefaultParagraphFont1">
    <w:name w:val="WW-Default Paragraph Font1"/>
    <w:rsid w:val="003020DA"/>
  </w:style>
  <w:style w:type="character" w:customStyle="1" w:styleId="WW-FootnoteReference">
    <w:name w:val="WW-Footnote Reference"/>
    <w:rsid w:val="003020DA"/>
    <w:rPr>
      <w:vertAlign w:val="superscript"/>
    </w:rPr>
  </w:style>
  <w:style w:type="character" w:styleId="Refdenotaalfinal">
    <w:name w:val="endnote reference"/>
    <w:uiPriority w:val="99"/>
    <w:semiHidden/>
    <w:rsid w:val="003020DA"/>
    <w:rPr>
      <w:vertAlign w:val="superscript"/>
    </w:rPr>
  </w:style>
  <w:style w:type="character" w:customStyle="1" w:styleId="Absatz-Standardschriftart">
    <w:name w:val="Absatz-Standardschriftart"/>
    <w:rsid w:val="003020DA"/>
  </w:style>
  <w:style w:type="character" w:customStyle="1" w:styleId="WW-Absatz-Standardschriftart">
    <w:name w:val="WW-Absatz-Standardschriftart"/>
    <w:rsid w:val="003020DA"/>
  </w:style>
  <w:style w:type="character" w:customStyle="1" w:styleId="WW-Absatz-Standardschriftart1">
    <w:name w:val="WW-Absatz-Standardschriftart1"/>
    <w:rsid w:val="003020DA"/>
  </w:style>
  <w:style w:type="character" w:customStyle="1" w:styleId="WW-Absatz-Standardschriftart11">
    <w:name w:val="WW-Absatz-Standardschriftart11"/>
    <w:rsid w:val="003020DA"/>
  </w:style>
  <w:style w:type="character" w:customStyle="1" w:styleId="WW-DefaultParagraphFont11">
    <w:name w:val="WW-Default Paragraph Font11"/>
    <w:rsid w:val="003020DA"/>
  </w:style>
  <w:style w:type="character" w:customStyle="1" w:styleId="WW-FootnoteReference1">
    <w:name w:val="WW-Footnote Reference1"/>
    <w:rsid w:val="003020DA"/>
    <w:rPr>
      <w:vertAlign w:val="superscript"/>
    </w:rPr>
  </w:style>
  <w:style w:type="character" w:customStyle="1" w:styleId="WW8Num2z4">
    <w:name w:val="WW8Num2z4"/>
    <w:rsid w:val="003020DA"/>
    <w:rPr>
      <w:rFonts w:ascii="Courier New" w:hAnsi="Courier New" w:cs="Courier New"/>
    </w:rPr>
  </w:style>
  <w:style w:type="character" w:customStyle="1" w:styleId="WW8Num3z0">
    <w:name w:val="WW8Num3z0"/>
    <w:rsid w:val="003020DA"/>
    <w:rPr>
      <w:rFonts w:ascii="Courier New" w:hAnsi="Courier New"/>
    </w:rPr>
  </w:style>
  <w:style w:type="character" w:customStyle="1" w:styleId="WW8Num3z1">
    <w:name w:val="WW8Num3z1"/>
    <w:rsid w:val="003020DA"/>
    <w:rPr>
      <w:rFonts w:ascii="Courier New" w:hAnsi="Courier New" w:cs="Helvetica"/>
    </w:rPr>
  </w:style>
  <w:style w:type="character" w:customStyle="1" w:styleId="WW8Num3z2">
    <w:name w:val="WW8Num3z2"/>
    <w:rsid w:val="003020DA"/>
    <w:rPr>
      <w:rFonts w:ascii="Wingdings" w:hAnsi="Wingdings"/>
    </w:rPr>
  </w:style>
  <w:style w:type="character" w:customStyle="1" w:styleId="WW8Num4z0">
    <w:name w:val="WW8Num4z0"/>
    <w:rsid w:val="003020DA"/>
    <w:rPr>
      <w:rFonts w:ascii="Symbol" w:hAnsi="Symbol"/>
      <w:color w:val="000000"/>
    </w:rPr>
  </w:style>
  <w:style w:type="character" w:customStyle="1" w:styleId="WW8Num4z1">
    <w:name w:val="WW8Num4z1"/>
    <w:rsid w:val="003020DA"/>
    <w:rPr>
      <w:rFonts w:ascii="Courier New" w:hAnsi="Courier New" w:cs="Courier New"/>
    </w:rPr>
  </w:style>
  <w:style w:type="character" w:customStyle="1" w:styleId="WW8Num4z2">
    <w:name w:val="WW8Num4z2"/>
    <w:rsid w:val="003020DA"/>
    <w:rPr>
      <w:rFonts w:ascii="Wingdings" w:hAnsi="Wingdings"/>
    </w:rPr>
  </w:style>
  <w:style w:type="character" w:customStyle="1" w:styleId="WW8Num4z3">
    <w:name w:val="WW8Num4z3"/>
    <w:rsid w:val="003020DA"/>
    <w:rPr>
      <w:rFonts w:ascii="Symbol" w:hAnsi="Symbol"/>
    </w:rPr>
  </w:style>
  <w:style w:type="character" w:customStyle="1" w:styleId="WW8Num5z0">
    <w:name w:val="WW8Num5z0"/>
    <w:rsid w:val="003020DA"/>
    <w:rPr>
      <w:rFonts w:ascii="Wingdings" w:hAnsi="Wingdings"/>
      <w:color w:val="000000"/>
    </w:rPr>
  </w:style>
  <w:style w:type="character" w:customStyle="1" w:styleId="WW8Num5z1">
    <w:name w:val="WW8Num5z1"/>
    <w:rsid w:val="003020DA"/>
    <w:rPr>
      <w:rFonts w:ascii="Courier New" w:hAnsi="Courier New" w:cs="Courier New"/>
    </w:rPr>
  </w:style>
  <w:style w:type="character" w:customStyle="1" w:styleId="WW8Num5z2">
    <w:name w:val="WW8Num5z2"/>
    <w:rsid w:val="003020DA"/>
    <w:rPr>
      <w:rFonts w:ascii="Wingdings" w:hAnsi="Wingdings"/>
    </w:rPr>
  </w:style>
  <w:style w:type="character" w:customStyle="1" w:styleId="WW8Num5z3">
    <w:name w:val="WW8Num5z3"/>
    <w:rsid w:val="003020DA"/>
    <w:rPr>
      <w:rFonts w:ascii="Symbol" w:hAnsi="Symbol"/>
    </w:rPr>
  </w:style>
  <w:style w:type="character" w:customStyle="1" w:styleId="WW8Num6z0">
    <w:name w:val="WW8Num6z0"/>
    <w:rsid w:val="003020DA"/>
    <w:rPr>
      <w:rFonts w:ascii="Symbol" w:hAnsi="Symbol"/>
      <w:color w:val="000000"/>
    </w:rPr>
  </w:style>
  <w:style w:type="character" w:customStyle="1" w:styleId="WW8Num6z1">
    <w:name w:val="WW8Num6z1"/>
    <w:rsid w:val="003020DA"/>
    <w:rPr>
      <w:rFonts w:ascii="Courier New" w:hAnsi="Courier New" w:cs="Courier New"/>
    </w:rPr>
  </w:style>
  <w:style w:type="character" w:customStyle="1" w:styleId="WW8Num6z2">
    <w:name w:val="WW8Num6z2"/>
    <w:rsid w:val="003020DA"/>
    <w:rPr>
      <w:rFonts w:ascii="Wingdings" w:hAnsi="Wingdings"/>
    </w:rPr>
  </w:style>
  <w:style w:type="character" w:customStyle="1" w:styleId="WW8Num6z3">
    <w:name w:val="WW8Num6z3"/>
    <w:rsid w:val="003020DA"/>
    <w:rPr>
      <w:rFonts w:ascii="Symbol" w:hAnsi="Symbol"/>
    </w:rPr>
  </w:style>
  <w:style w:type="character" w:customStyle="1" w:styleId="WW8Num7z0">
    <w:name w:val="WW8Num7z0"/>
    <w:rsid w:val="003020DA"/>
    <w:rPr>
      <w:sz w:val="14"/>
    </w:rPr>
  </w:style>
  <w:style w:type="character" w:customStyle="1" w:styleId="WW8Num8z0">
    <w:name w:val="WW8Num8z0"/>
    <w:rsid w:val="003020DA"/>
    <w:rPr>
      <w:rFonts w:ascii="Symbol" w:hAnsi="Symbol"/>
    </w:rPr>
  </w:style>
  <w:style w:type="character" w:customStyle="1" w:styleId="WW8Num11z0">
    <w:name w:val="WW8Num11z0"/>
    <w:rsid w:val="003020DA"/>
    <w:rPr>
      <w:rFonts w:ascii="Wingdings" w:hAnsi="Wingdings"/>
      <w:color w:val="000000"/>
    </w:rPr>
  </w:style>
  <w:style w:type="character" w:customStyle="1" w:styleId="WW8Num11z1">
    <w:name w:val="WW8Num11z1"/>
    <w:rsid w:val="003020DA"/>
    <w:rPr>
      <w:rFonts w:ascii="Courier New" w:hAnsi="Courier New" w:cs="Courier New"/>
    </w:rPr>
  </w:style>
  <w:style w:type="character" w:customStyle="1" w:styleId="WW8Num11z2">
    <w:name w:val="WW8Num11z2"/>
    <w:rsid w:val="003020DA"/>
    <w:rPr>
      <w:rFonts w:ascii="Wingdings" w:hAnsi="Wingdings"/>
    </w:rPr>
  </w:style>
  <w:style w:type="character" w:customStyle="1" w:styleId="WW8Num11z3">
    <w:name w:val="WW8Num11z3"/>
    <w:rsid w:val="003020DA"/>
    <w:rPr>
      <w:rFonts w:ascii="Symbol" w:hAnsi="Symbol"/>
    </w:rPr>
  </w:style>
  <w:style w:type="character" w:customStyle="1" w:styleId="WW8Num12z0">
    <w:name w:val="WW8Num12z0"/>
    <w:rsid w:val="003020DA"/>
    <w:rPr>
      <w:rFonts w:ascii="Symbol" w:hAnsi="Symbol"/>
    </w:rPr>
  </w:style>
  <w:style w:type="character" w:customStyle="1" w:styleId="WW8Num12z1">
    <w:name w:val="WW8Num12z1"/>
    <w:rsid w:val="003020DA"/>
    <w:rPr>
      <w:rFonts w:ascii="Courier New" w:hAnsi="Courier New" w:cs="Courier New"/>
    </w:rPr>
  </w:style>
  <w:style w:type="character" w:customStyle="1" w:styleId="WW8Num12z2">
    <w:name w:val="WW8Num12z2"/>
    <w:rsid w:val="003020DA"/>
    <w:rPr>
      <w:rFonts w:ascii="Wingdings" w:hAnsi="Wingdings"/>
    </w:rPr>
  </w:style>
  <w:style w:type="character" w:customStyle="1" w:styleId="WW8Num14z0">
    <w:name w:val="WW8Num14z0"/>
    <w:rsid w:val="003020DA"/>
    <w:rPr>
      <w:rFonts w:ascii="Symbol" w:hAnsi="Symbol"/>
      <w:color w:val="000000"/>
    </w:rPr>
  </w:style>
  <w:style w:type="character" w:customStyle="1" w:styleId="WW8Num14z1">
    <w:name w:val="WW8Num14z1"/>
    <w:rsid w:val="003020DA"/>
    <w:rPr>
      <w:rFonts w:ascii="Courier New" w:hAnsi="Courier New" w:cs="Courier New"/>
    </w:rPr>
  </w:style>
  <w:style w:type="character" w:customStyle="1" w:styleId="WW8Num14z2">
    <w:name w:val="WW8Num14z2"/>
    <w:rsid w:val="003020DA"/>
    <w:rPr>
      <w:rFonts w:ascii="Wingdings" w:hAnsi="Wingdings"/>
    </w:rPr>
  </w:style>
  <w:style w:type="character" w:customStyle="1" w:styleId="WW8Num14z3">
    <w:name w:val="WW8Num14z3"/>
    <w:rsid w:val="003020DA"/>
    <w:rPr>
      <w:rFonts w:ascii="Symbol" w:hAnsi="Symbol"/>
    </w:rPr>
  </w:style>
  <w:style w:type="character" w:customStyle="1" w:styleId="WW8Num17z0">
    <w:name w:val="WW8Num17z0"/>
    <w:rsid w:val="003020DA"/>
    <w:rPr>
      <w:sz w:val="14"/>
    </w:rPr>
  </w:style>
  <w:style w:type="character" w:customStyle="1" w:styleId="WW8Num20z0">
    <w:name w:val="WW8Num20z0"/>
    <w:rsid w:val="003020DA"/>
    <w:rPr>
      <w:rFonts w:ascii="Symbol" w:hAnsi="Symbol"/>
    </w:rPr>
  </w:style>
  <w:style w:type="character" w:customStyle="1" w:styleId="WW8Num20z1">
    <w:name w:val="WW8Num20z1"/>
    <w:rsid w:val="003020DA"/>
    <w:rPr>
      <w:rFonts w:ascii="Courier New" w:hAnsi="Courier New" w:cs="Tahoma"/>
    </w:rPr>
  </w:style>
  <w:style w:type="character" w:customStyle="1" w:styleId="WW8Num20z2">
    <w:name w:val="WW8Num20z2"/>
    <w:rsid w:val="003020DA"/>
    <w:rPr>
      <w:rFonts w:ascii="Wingdings" w:hAnsi="Wingdings"/>
    </w:rPr>
  </w:style>
  <w:style w:type="character" w:customStyle="1" w:styleId="WW8Num21z0">
    <w:name w:val="WW8Num21z0"/>
    <w:rsid w:val="003020DA"/>
    <w:rPr>
      <w:rFonts w:ascii="Symbol" w:hAnsi="Symbol"/>
    </w:rPr>
  </w:style>
  <w:style w:type="character" w:customStyle="1" w:styleId="WW8Num21z2">
    <w:name w:val="WW8Num21z2"/>
    <w:rsid w:val="003020DA"/>
    <w:rPr>
      <w:rFonts w:ascii="Wingdings" w:hAnsi="Wingdings"/>
    </w:rPr>
  </w:style>
  <w:style w:type="character" w:customStyle="1" w:styleId="WW8Num21z4">
    <w:name w:val="WW8Num21z4"/>
    <w:rsid w:val="003020DA"/>
    <w:rPr>
      <w:rFonts w:ascii="Courier New" w:hAnsi="Courier New" w:cs="Courier New"/>
    </w:rPr>
  </w:style>
  <w:style w:type="character" w:customStyle="1" w:styleId="WW8Num22z0">
    <w:name w:val="WW8Num22z0"/>
    <w:rsid w:val="003020DA"/>
    <w:rPr>
      <w:rFonts w:ascii="Symbol" w:hAnsi="Symbol"/>
    </w:rPr>
  </w:style>
  <w:style w:type="character" w:customStyle="1" w:styleId="WW8Num22z2">
    <w:name w:val="WW8Num22z2"/>
    <w:rsid w:val="003020DA"/>
    <w:rPr>
      <w:rFonts w:ascii="Wingdings" w:hAnsi="Wingdings"/>
    </w:rPr>
  </w:style>
  <w:style w:type="character" w:customStyle="1" w:styleId="WW8Num22z4">
    <w:name w:val="WW8Num22z4"/>
    <w:rsid w:val="003020DA"/>
    <w:rPr>
      <w:rFonts w:ascii="Courier New" w:hAnsi="Courier New" w:cs="Courier New"/>
    </w:rPr>
  </w:style>
  <w:style w:type="character" w:customStyle="1" w:styleId="WW8Num23z0">
    <w:name w:val="WW8Num23z0"/>
    <w:rsid w:val="003020DA"/>
    <w:rPr>
      <w:rFonts w:ascii="Symbol" w:hAnsi="Symbol"/>
      <w:color w:val="000000"/>
    </w:rPr>
  </w:style>
  <w:style w:type="character" w:customStyle="1" w:styleId="WW8Num23z1">
    <w:name w:val="WW8Num23z1"/>
    <w:rsid w:val="003020DA"/>
    <w:rPr>
      <w:rFonts w:ascii="Courier New" w:hAnsi="Courier New" w:cs="Courier New"/>
    </w:rPr>
  </w:style>
  <w:style w:type="character" w:customStyle="1" w:styleId="WW8Num23z2">
    <w:name w:val="WW8Num23z2"/>
    <w:rsid w:val="003020DA"/>
    <w:rPr>
      <w:rFonts w:ascii="Wingdings" w:hAnsi="Wingdings"/>
    </w:rPr>
  </w:style>
  <w:style w:type="character" w:customStyle="1" w:styleId="WW8Num23z3">
    <w:name w:val="WW8Num23z3"/>
    <w:rsid w:val="003020DA"/>
    <w:rPr>
      <w:rFonts w:ascii="Symbol" w:hAnsi="Symbol"/>
    </w:rPr>
  </w:style>
  <w:style w:type="character" w:customStyle="1" w:styleId="WW8Num24z0">
    <w:name w:val="WW8Num24z0"/>
    <w:rsid w:val="003020DA"/>
    <w:rPr>
      <w:rFonts w:ascii="Symbol" w:hAnsi="Symbol"/>
      <w:color w:val="000000"/>
    </w:rPr>
  </w:style>
  <w:style w:type="character" w:customStyle="1" w:styleId="WW8Num24z1">
    <w:name w:val="WW8Num24z1"/>
    <w:rsid w:val="003020DA"/>
    <w:rPr>
      <w:rFonts w:ascii="Courier New" w:hAnsi="Courier New" w:cs="Courier New"/>
    </w:rPr>
  </w:style>
  <w:style w:type="character" w:customStyle="1" w:styleId="WW8Num24z2">
    <w:name w:val="WW8Num24z2"/>
    <w:rsid w:val="003020DA"/>
    <w:rPr>
      <w:rFonts w:ascii="Wingdings" w:hAnsi="Wingdings"/>
    </w:rPr>
  </w:style>
  <w:style w:type="character" w:customStyle="1" w:styleId="WW8Num24z3">
    <w:name w:val="WW8Num24z3"/>
    <w:rsid w:val="003020DA"/>
    <w:rPr>
      <w:rFonts w:ascii="Symbol" w:hAnsi="Symbol"/>
    </w:rPr>
  </w:style>
  <w:style w:type="character" w:customStyle="1" w:styleId="WW-FootnoteReference11">
    <w:name w:val="WW-Footnote Reference11"/>
    <w:rsid w:val="003020DA"/>
    <w:rPr>
      <w:vertAlign w:val="superscript"/>
    </w:rPr>
  </w:style>
  <w:style w:type="character" w:customStyle="1" w:styleId="WW8Num3z3">
    <w:name w:val="WW8Num3z3"/>
    <w:rsid w:val="003020DA"/>
    <w:rPr>
      <w:rFonts w:ascii="Symbol" w:hAnsi="Symbol"/>
    </w:rPr>
  </w:style>
  <w:style w:type="character" w:customStyle="1" w:styleId="WW-DefaultParagraphFont111">
    <w:name w:val="WW-Default Paragraph Font111"/>
    <w:rsid w:val="003020DA"/>
  </w:style>
  <w:style w:type="character" w:customStyle="1" w:styleId="FootnoteReference1">
    <w:name w:val="Footnote Reference1"/>
    <w:rsid w:val="003020DA"/>
    <w:rPr>
      <w:vertAlign w:val="superscript"/>
    </w:rPr>
  </w:style>
  <w:style w:type="character" w:customStyle="1" w:styleId="WW-FootnoteReference111">
    <w:name w:val="WW-Footnote Reference111"/>
    <w:rsid w:val="003020DA"/>
    <w:rPr>
      <w:vertAlign w:val="superscript"/>
    </w:rPr>
  </w:style>
  <w:style w:type="character" w:customStyle="1" w:styleId="WW8Dropcap0">
    <w:name w:val="WW8Dropcap0"/>
    <w:rsid w:val="003020DA"/>
    <w:rPr>
      <w:color w:val="CC9900"/>
      <w:sz w:val="123"/>
    </w:rPr>
  </w:style>
  <w:style w:type="character" w:customStyle="1" w:styleId="WW-EndnoteCharacters">
    <w:name w:val="WW-Endnote Characters"/>
    <w:rsid w:val="003020DA"/>
  </w:style>
  <w:style w:type="character" w:customStyle="1" w:styleId="WW-EndnoteReference">
    <w:name w:val="WW-Endnote Reference"/>
    <w:rsid w:val="003020DA"/>
    <w:rPr>
      <w:vertAlign w:val="superscript"/>
    </w:rPr>
  </w:style>
  <w:style w:type="character" w:customStyle="1" w:styleId="BulletlistshortChar">
    <w:name w:val="Bullet list (short) Char"/>
    <w:basedOn w:val="WW-DefaultParagraphFont"/>
    <w:rsid w:val="003020DA"/>
    <w:rPr>
      <w:sz w:val="22"/>
      <w:szCs w:val="24"/>
      <w:lang w:val="en-US" w:eastAsia="ar-SA" w:bidi="ar-SA"/>
    </w:rPr>
  </w:style>
  <w:style w:type="character" w:customStyle="1" w:styleId="ReferencesChar">
    <w:name w:val="References Char"/>
    <w:basedOn w:val="WW-DefaultParagraphFont"/>
    <w:rsid w:val="003020DA"/>
    <w:rPr>
      <w:sz w:val="22"/>
      <w:szCs w:val="24"/>
      <w:lang w:val="en-US" w:eastAsia="ar-SA" w:bidi="ar-SA"/>
    </w:rPr>
  </w:style>
  <w:style w:type="character" w:customStyle="1" w:styleId="BodycopyChar">
    <w:name w:val="Body copy Char"/>
    <w:basedOn w:val="WW-DefaultParagraphFont"/>
    <w:rsid w:val="003020DA"/>
    <w:rPr>
      <w:sz w:val="22"/>
      <w:lang w:val="en-US" w:eastAsia="ar-SA" w:bidi="ar-SA"/>
    </w:rPr>
  </w:style>
  <w:style w:type="character" w:customStyle="1" w:styleId="BodycopyChar1">
    <w:name w:val="Body copy Char1"/>
    <w:basedOn w:val="WW-DefaultParagraphFont"/>
    <w:rsid w:val="003020DA"/>
    <w:rPr>
      <w:sz w:val="22"/>
      <w:lang w:val="en-US" w:eastAsia="ar-SA" w:bidi="ar-SA"/>
    </w:rPr>
  </w:style>
  <w:style w:type="character" w:customStyle="1" w:styleId="FootnotetextChar">
    <w:name w:val="Footnote text Char"/>
    <w:basedOn w:val="WW-DefaultParagraphFont"/>
    <w:rsid w:val="003020DA"/>
    <w:rPr>
      <w:sz w:val="22"/>
      <w:lang w:val="en-US" w:eastAsia="ar-SA" w:bidi="ar-SA"/>
    </w:rPr>
  </w:style>
  <w:style w:type="character" w:customStyle="1" w:styleId="medium-bold">
    <w:name w:val="medium-bold"/>
    <w:basedOn w:val="WW-DefaultParagraphFont"/>
    <w:rsid w:val="003020DA"/>
  </w:style>
  <w:style w:type="character" w:customStyle="1" w:styleId="medium-normal">
    <w:name w:val="medium-normal"/>
    <w:basedOn w:val="WW-DefaultParagraphFont"/>
    <w:rsid w:val="003020DA"/>
  </w:style>
  <w:style w:type="character" w:customStyle="1" w:styleId="CaptionChar">
    <w:name w:val="Caption Char"/>
    <w:basedOn w:val="WW-DefaultParagraphFont"/>
    <w:rsid w:val="003020DA"/>
    <w:rPr>
      <w:rFonts w:ascii="Arial Black" w:hAnsi="Arial Black"/>
      <w:sz w:val="18"/>
      <w:lang w:val="en-US" w:eastAsia="ar-SA" w:bidi="ar-SA"/>
    </w:rPr>
  </w:style>
  <w:style w:type="character" w:customStyle="1" w:styleId="CaptionChar1">
    <w:name w:val="Caption Char1"/>
    <w:basedOn w:val="WW-DefaultParagraphFont"/>
    <w:rsid w:val="003020DA"/>
    <w:rPr>
      <w:rFonts w:ascii="Arial Black" w:hAnsi="Arial Black"/>
      <w:sz w:val="18"/>
      <w:lang w:val="en-US" w:eastAsia="ar-SA" w:bidi="ar-SA"/>
    </w:rPr>
  </w:style>
  <w:style w:type="character" w:customStyle="1" w:styleId="WW8Dropcap1">
    <w:name w:val="WW8Dropcap1"/>
    <w:rsid w:val="003020DA"/>
    <w:rPr>
      <w:color w:val="CC9900"/>
      <w:sz w:val="118"/>
    </w:rPr>
  </w:style>
  <w:style w:type="character" w:customStyle="1" w:styleId="WW8Dropcap2">
    <w:name w:val="WW8Dropcap2"/>
    <w:rsid w:val="003020DA"/>
    <w:rPr>
      <w:color w:val="CC9900"/>
      <w:sz w:val="112"/>
    </w:rPr>
  </w:style>
  <w:style w:type="character" w:customStyle="1" w:styleId="WW8Dropcap3">
    <w:name w:val="WW8Dropcap3"/>
    <w:rsid w:val="003020DA"/>
    <w:rPr>
      <w:color w:val="CC9900"/>
      <w:sz w:val="118"/>
    </w:rPr>
  </w:style>
  <w:style w:type="character" w:customStyle="1" w:styleId="WW8Dropcap4">
    <w:name w:val="WW8Dropcap4"/>
    <w:rsid w:val="003020DA"/>
    <w:rPr>
      <w:color w:val="CC9900"/>
      <w:sz w:val="118"/>
    </w:rPr>
  </w:style>
  <w:style w:type="character" w:customStyle="1" w:styleId="WW-EndnoteReference1">
    <w:name w:val="WW-Endnote Reference1"/>
    <w:rsid w:val="003020DA"/>
    <w:rPr>
      <w:vertAlign w:val="superscript"/>
    </w:rPr>
  </w:style>
  <w:style w:type="character" w:customStyle="1" w:styleId="INS">
    <w:name w:val="INS"/>
    <w:rsid w:val="003020DA"/>
  </w:style>
  <w:style w:type="character" w:customStyle="1" w:styleId="RTFNum21">
    <w:name w:val="RTF_Num 2 1"/>
    <w:rsid w:val="003020DA"/>
    <w:rPr>
      <w:rFonts w:cs="Times New Roman"/>
      <w:b w:val="0"/>
      <w:bCs w:val="0"/>
      <w:i w:val="0"/>
      <w:iCs w:val="0"/>
      <w:sz w:val="16"/>
      <w:szCs w:val="16"/>
    </w:rPr>
  </w:style>
  <w:style w:type="character" w:customStyle="1" w:styleId="RTFNum22">
    <w:name w:val="RTF_Num 2 2"/>
    <w:rsid w:val="003020DA"/>
    <w:rPr>
      <w:rFonts w:ascii="Symbol" w:eastAsia="Symbol" w:hAnsi="Symbol" w:cs="Symbol"/>
      <w:sz w:val="16"/>
      <w:szCs w:val="16"/>
    </w:rPr>
  </w:style>
  <w:style w:type="character" w:customStyle="1" w:styleId="RTFNum23">
    <w:name w:val="RTF_Num 2 3"/>
    <w:rsid w:val="003020DA"/>
    <w:rPr>
      <w:rFonts w:cs="Times New Roman"/>
      <w:b w:val="0"/>
      <w:bCs w:val="0"/>
      <w:i w:val="0"/>
      <w:iCs w:val="0"/>
      <w:sz w:val="16"/>
      <w:szCs w:val="16"/>
    </w:rPr>
  </w:style>
  <w:style w:type="character" w:customStyle="1" w:styleId="RTFNum24">
    <w:name w:val="RTF_Num 2 4"/>
    <w:rsid w:val="003020DA"/>
    <w:rPr>
      <w:rFonts w:cs="Times New Roman"/>
    </w:rPr>
  </w:style>
  <w:style w:type="character" w:customStyle="1" w:styleId="RTFNum25">
    <w:name w:val="RTF_Num 2 5"/>
    <w:rsid w:val="003020DA"/>
    <w:rPr>
      <w:rFonts w:cs="Times New Roman"/>
    </w:rPr>
  </w:style>
  <w:style w:type="character" w:customStyle="1" w:styleId="RTFNum26">
    <w:name w:val="RTF_Num 2 6"/>
    <w:rsid w:val="003020DA"/>
    <w:rPr>
      <w:rFonts w:cs="Times New Roman"/>
    </w:rPr>
  </w:style>
  <w:style w:type="character" w:customStyle="1" w:styleId="RTFNum27">
    <w:name w:val="RTF_Num 2 7"/>
    <w:rsid w:val="003020DA"/>
    <w:rPr>
      <w:rFonts w:cs="Times New Roman"/>
    </w:rPr>
  </w:style>
  <w:style w:type="character" w:customStyle="1" w:styleId="RTFNum28">
    <w:name w:val="RTF_Num 2 8"/>
    <w:rsid w:val="003020DA"/>
    <w:rPr>
      <w:rFonts w:cs="Times New Roman"/>
    </w:rPr>
  </w:style>
  <w:style w:type="character" w:customStyle="1" w:styleId="RTFNum29">
    <w:name w:val="RTF_Num 2 9"/>
    <w:rsid w:val="003020DA"/>
    <w:rPr>
      <w:rFonts w:cs="Times New Roman"/>
    </w:rPr>
  </w:style>
  <w:style w:type="character" w:customStyle="1" w:styleId="Refdenotaalfinal1">
    <w:name w:val="Ref. de nota al final1"/>
    <w:rsid w:val="003020DA"/>
    <w:rPr>
      <w:position w:val="1"/>
      <w:sz w:val="14"/>
    </w:rPr>
  </w:style>
  <w:style w:type="character" w:customStyle="1" w:styleId="Heading2Char">
    <w:name w:val="Heading 2 Char"/>
    <w:basedOn w:val="WW-DefaultParagraphFont1"/>
    <w:rsid w:val="003020DA"/>
    <w:rPr>
      <w:rFonts w:ascii="Arial Black" w:hAnsi="Arial Black"/>
      <w:sz w:val="22"/>
      <w:szCs w:val="24"/>
      <w:lang w:val="en-US" w:eastAsia="ar-SA" w:bidi="ar-SA"/>
    </w:rPr>
  </w:style>
  <w:style w:type="character" w:customStyle="1" w:styleId="WW8Dropcap5">
    <w:name w:val="WW8Dropcap5"/>
    <w:rsid w:val="003020DA"/>
    <w:rPr>
      <w:color w:val="0066CC"/>
      <w:sz w:val="74"/>
    </w:rPr>
  </w:style>
  <w:style w:type="character" w:customStyle="1" w:styleId="WW-EndnoteReference12">
    <w:name w:val="WW-Endnote Reference12"/>
    <w:rsid w:val="003020DA"/>
    <w:rPr>
      <w:vertAlign w:val="superscript"/>
    </w:rPr>
  </w:style>
  <w:style w:type="paragraph" w:customStyle="1" w:styleId="Heading">
    <w:name w:val="Heading"/>
    <w:basedOn w:val="Normal"/>
    <w:next w:val="Textoindependiente"/>
    <w:uiPriority w:val="99"/>
    <w:rsid w:val="003020DA"/>
    <w:pPr>
      <w:keepNext/>
      <w:widowControl w:val="0"/>
      <w:suppressAutoHyphens/>
      <w:spacing w:before="240" w:after="120"/>
    </w:pPr>
    <w:rPr>
      <w:rFonts w:ascii="Arial" w:eastAsia="MS Mincho" w:hAnsi="Arial" w:cs="Arial Unicode MS"/>
      <w:sz w:val="28"/>
      <w:szCs w:val="28"/>
      <w:lang w:val="es-ES_tradnl" w:eastAsia="ar-SA"/>
    </w:rPr>
  </w:style>
  <w:style w:type="paragraph" w:customStyle="1" w:styleId="TableContents">
    <w:name w:val="Table Contents"/>
    <w:basedOn w:val="Normal"/>
    <w:uiPriority w:val="99"/>
    <w:rsid w:val="003020DA"/>
    <w:pPr>
      <w:widowControl w:val="0"/>
      <w:suppressLineNumbers/>
      <w:suppressAutoHyphens/>
    </w:pPr>
    <w:rPr>
      <w:rFonts w:eastAsia="Arial Unicode MS"/>
      <w:lang w:val="es-ES_tradnl" w:eastAsia="ar-SA"/>
    </w:rPr>
  </w:style>
  <w:style w:type="paragraph" w:customStyle="1" w:styleId="TableHeading">
    <w:name w:val="Table Heading"/>
    <w:basedOn w:val="TableContents"/>
    <w:uiPriority w:val="99"/>
    <w:rsid w:val="003020DA"/>
    <w:pPr>
      <w:jc w:val="center"/>
    </w:pPr>
    <w:rPr>
      <w:b/>
      <w:bCs/>
      <w:i/>
      <w:iCs/>
    </w:rPr>
  </w:style>
  <w:style w:type="paragraph" w:customStyle="1" w:styleId="Framecontents">
    <w:name w:val="Frame contents"/>
    <w:basedOn w:val="Textoindependiente"/>
    <w:uiPriority w:val="99"/>
    <w:rsid w:val="003020DA"/>
    <w:pPr>
      <w:widowControl w:val="0"/>
      <w:suppressAutoHyphens/>
      <w:spacing w:after="120" w:line="288" w:lineRule="auto"/>
      <w:ind w:firstLine="720"/>
      <w:jc w:val="both"/>
    </w:pPr>
    <w:rPr>
      <w:rFonts w:eastAsia="Arial Unicode MS"/>
      <w:sz w:val="24"/>
      <w:lang w:val="es-ES_tradnl" w:eastAsia="ar-SA"/>
    </w:rPr>
  </w:style>
  <w:style w:type="paragraph" w:customStyle="1" w:styleId="Index">
    <w:name w:val="Index"/>
    <w:basedOn w:val="Normal"/>
    <w:uiPriority w:val="99"/>
    <w:rsid w:val="003020DA"/>
    <w:pPr>
      <w:widowControl w:val="0"/>
      <w:suppressLineNumbers/>
      <w:suppressAutoHyphens/>
    </w:pPr>
    <w:rPr>
      <w:rFonts w:eastAsia="Arial Unicode MS" w:cs="Arial Unicode MS"/>
      <w:lang w:val="es-ES_tradnl" w:eastAsia="ar-SA"/>
    </w:rPr>
  </w:style>
  <w:style w:type="paragraph" w:customStyle="1" w:styleId="Bibliography1">
    <w:name w:val="Bibliography 1"/>
    <w:basedOn w:val="Normal"/>
    <w:uiPriority w:val="99"/>
    <w:rsid w:val="003020DA"/>
    <w:pPr>
      <w:widowControl w:val="0"/>
      <w:suppressLineNumbers/>
      <w:tabs>
        <w:tab w:val="right" w:leader="dot" w:pos="10404"/>
      </w:tabs>
      <w:suppressAutoHyphens/>
      <w:spacing w:before="173"/>
      <w:ind w:left="432" w:hanging="432"/>
    </w:pPr>
    <w:rPr>
      <w:rFonts w:eastAsia="Arial Unicode MS" w:cs="Arial Unicode MS"/>
      <w:lang w:val="es-ES_tradnl" w:eastAsia="ar-SA"/>
    </w:rPr>
  </w:style>
  <w:style w:type="paragraph" w:customStyle="1" w:styleId="-subsectionheader">
    <w:name w:val="- subsection header"/>
    <w:basedOn w:val="Normal"/>
    <w:uiPriority w:val="99"/>
    <w:rsid w:val="003020DA"/>
    <w:pPr>
      <w:widowControl w:val="0"/>
      <w:suppressAutoHyphens/>
      <w:spacing w:before="86" w:after="43"/>
    </w:pPr>
    <w:rPr>
      <w:rFonts w:eastAsia="Arial Unicode MS"/>
      <w:b/>
      <w:bCs/>
      <w:i/>
      <w:sz w:val="22"/>
      <w:szCs w:val="22"/>
      <w:lang w:val="es-ES_tradnl" w:eastAsia="ar-SA"/>
    </w:rPr>
  </w:style>
  <w:style w:type="paragraph" w:customStyle="1" w:styleId="-subsectionheaderII">
    <w:name w:val="- subsection header II"/>
    <w:basedOn w:val="-subsectionheader"/>
    <w:uiPriority w:val="99"/>
    <w:rsid w:val="003020DA"/>
    <w:rPr>
      <w:b w:val="0"/>
      <w:bCs w:val="0"/>
    </w:rPr>
  </w:style>
  <w:style w:type="paragraph" w:customStyle="1" w:styleId="-subheading">
    <w:name w:val="- subheading"/>
    <w:basedOn w:val="Textoindependiente"/>
    <w:uiPriority w:val="99"/>
    <w:rsid w:val="003020DA"/>
    <w:pPr>
      <w:widowControl w:val="0"/>
      <w:suppressAutoHyphens/>
      <w:spacing w:after="29" w:line="288" w:lineRule="auto"/>
      <w:ind w:firstLine="720"/>
      <w:jc w:val="both"/>
    </w:pPr>
    <w:rPr>
      <w:rFonts w:ascii="Arial Black" w:eastAsia="Arial Unicode MS" w:hAnsi="Arial Black"/>
      <w:bCs/>
      <w:i/>
      <w:iCs/>
      <w:sz w:val="22"/>
      <w:szCs w:val="22"/>
      <w:lang w:val="es-ES_tradnl" w:eastAsia="ar-SA"/>
    </w:rPr>
  </w:style>
  <w:style w:type="paragraph" w:customStyle="1" w:styleId="Bodycopy">
    <w:name w:val="Body copy"/>
    <w:basedOn w:val="Normal"/>
    <w:uiPriority w:val="99"/>
    <w:rsid w:val="003020DA"/>
    <w:pPr>
      <w:spacing w:before="120" w:after="120" w:line="100" w:lineRule="atLeast"/>
      <w:ind w:firstLine="360"/>
      <w:jc w:val="both"/>
    </w:pPr>
    <w:rPr>
      <w:sz w:val="22"/>
      <w:lang w:val="es-ES_tradnl" w:eastAsia="ar-SA"/>
    </w:rPr>
  </w:style>
  <w:style w:type="paragraph" w:customStyle="1" w:styleId="Bulletlistshort">
    <w:name w:val="Bullet list (short)"/>
    <w:basedOn w:val="Bodycopy"/>
    <w:next w:val="Bodycopy"/>
    <w:uiPriority w:val="99"/>
    <w:rsid w:val="003020DA"/>
    <w:pPr>
      <w:ind w:firstLine="0"/>
    </w:pPr>
  </w:style>
  <w:style w:type="paragraph" w:customStyle="1" w:styleId="Bulletsublist">
    <w:name w:val="Bullet sublist"/>
    <w:basedOn w:val="Bulletlistshort"/>
    <w:uiPriority w:val="99"/>
    <w:rsid w:val="003020DA"/>
  </w:style>
  <w:style w:type="paragraph" w:customStyle="1" w:styleId="Firstparagraph">
    <w:name w:val="First paragraph"/>
    <w:basedOn w:val="Bodycopy"/>
    <w:next w:val="Bodycopy"/>
    <w:uiPriority w:val="99"/>
    <w:rsid w:val="003020DA"/>
    <w:pPr>
      <w:ind w:firstLine="0"/>
    </w:pPr>
  </w:style>
  <w:style w:type="paragraph" w:customStyle="1" w:styleId="Textonotapie1">
    <w:name w:val="Texto nota pie1"/>
    <w:basedOn w:val="Firstparagraph"/>
    <w:uiPriority w:val="99"/>
    <w:rsid w:val="003020DA"/>
    <w:pPr>
      <w:spacing w:before="0" w:after="60"/>
    </w:pPr>
    <w:rPr>
      <w:sz w:val="20"/>
    </w:rPr>
  </w:style>
  <w:style w:type="paragraph" w:customStyle="1" w:styleId="Tabletext">
    <w:name w:val="Table text"/>
    <w:basedOn w:val="Bodycopy"/>
    <w:uiPriority w:val="99"/>
    <w:rsid w:val="003020DA"/>
    <w:pPr>
      <w:tabs>
        <w:tab w:val="left" w:pos="360"/>
        <w:tab w:val="left" w:pos="720"/>
      </w:tabs>
      <w:spacing w:before="40" w:after="40"/>
      <w:ind w:firstLine="0"/>
    </w:pPr>
    <w:rPr>
      <w:sz w:val="20"/>
    </w:rPr>
  </w:style>
  <w:style w:type="paragraph" w:customStyle="1" w:styleId="Sourcenotes">
    <w:name w:val="Source/notes"/>
    <w:basedOn w:val="Tabletext"/>
    <w:next w:val="Normal"/>
    <w:uiPriority w:val="99"/>
    <w:rsid w:val="003020DA"/>
    <w:pPr>
      <w:spacing w:before="80" w:after="0"/>
    </w:pPr>
  </w:style>
  <w:style w:type="paragraph" w:customStyle="1" w:styleId="Tablecellcaption">
    <w:name w:val="Table cell caption"/>
    <w:basedOn w:val="Tabletext"/>
    <w:uiPriority w:val="99"/>
    <w:rsid w:val="003020DA"/>
    <w:rPr>
      <w:rFonts w:ascii="Arial Black" w:hAnsi="Arial Black"/>
      <w:sz w:val="18"/>
      <w:lang w:val="en-GB"/>
    </w:rPr>
  </w:style>
  <w:style w:type="paragraph" w:customStyle="1" w:styleId="Tabletextindent">
    <w:name w:val="Table text indent"/>
    <w:basedOn w:val="Tabletext"/>
    <w:uiPriority w:val="99"/>
    <w:rsid w:val="003020DA"/>
    <w:pPr>
      <w:ind w:firstLine="360"/>
    </w:pPr>
  </w:style>
  <w:style w:type="paragraph" w:customStyle="1" w:styleId="References">
    <w:name w:val="References"/>
    <w:basedOn w:val="Firstparagraph"/>
    <w:uiPriority w:val="99"/>
    <w:rsid w:val="003020DA"/>
    <w:pPr>
      <w:ind w:left="720" w:hanging="720"/>
      <w:jc w:val="left"/>
    </w:pPr>
  </w:style>
  <w:style w:type="paragraph" w:customStyle="1" w:styleId="Boxtext">
    <w:name w:val="Box text"/>
    <w:basedOn w:val="Normal"/>
    <w:uiPriority w:val="99"/>
    <w:rsid w:val="003020DA"/>
    <w:pPr>
      <w:keepLines/>
      <w:spacing w:after="120"/>
    </w:pPr>
    <w:rPr>
      <w:sz w:val="20"/>
      <w:szCs w:val="20"/>
      <w:lang w:val="es-ES_tradnl" w:eastAsia="ar-SA"/>
    </w:rPr>
  </w:style>
  <w:style w:type="paragraph" w:customStyle="1" w:styleId="Chapterhead">
    <w:name w:val="Chapter head"/>
    <w:basedOn w:val="Normal"/>
    <w:uiPriority w:val="99"/>
    <w:rsid w:val="003020DA"/>
    <w:pPr>
      <w:spacing w:before="480" w:after="240"/>
      <w:jc w:val="center"/>
    </w:pPr>
    <w:rPr>
      <w:rFonts w:ascii="Arial Black" w:hAnsi="Arial Black"/>
      <w:sz w:val="44"/>
      <w:szCs w:val="20"/>
      <w:lang w:val="es-ES_tradnl" w:eastAsia="ar-SA"/>
    </w:rPr>
  </w:style>
  <w:style w:type="paragraph" w:customStyle="1" w:styleId="ChapterTitle">
    <w:name w:val="Chapter Title"/>
    <w:basedOn w:val="Normal"/>
    <w:uiPriority w:val="99"/>
    <w:rsid w:val="003020DA"/>
    <w:pPr>
      <w:spacing w:before="240" w:after="60"/>
      <w:jc w:val="center"/>
    </w:pPr>
    <w:rPr>
      <w:rFonts w:ascii="Arial" w:hAnsi="Arial" w:cs="Arial"/>
      <w:color w:val="CC9900"/>
      <w:kern w:val="1"/>
      <w:sz w:val="44"/>
      <w:szCs w:val="32"/>
      <w:lang w:val="es-ES_tradnl" w:eastAsia="ar-SA"/>
    </w:rPr>
  </w:style>
  <w:style w:type="paragraph" w:customStyle="1" w:styleId="Textonotaalfinal1">
    <w:name w:val="Texto nota al final1"/>
    <w:basedOn w:val="Normal"/>
    <w:uiPriority w:val="99"/>
    <w:rsid w:val="003020DA"/>
    <w:pPr>
      <w:widowControl w:val="0"/>
      <w:suppressAutoHyphens/>
    </w:pPr>
    <w:rPr>
      <w:rFonts w:eastAsia="Arial Unicode MS"/>
      <w:sz w:val="20"/>
      <w:szCs w:val="20"/>
      <w:lang w:val="es-ES_tradnl" w:eastAsia="ar-SA"/>
    </w:rPr>
  </w:style>
  <w:style w:type="paragraph" w:customStyle="1" w:styleId="Comment">
    <w:name w:val="Comment"/>
    <w:basedOn w:val="Ttulo2"/>
    <w:uiPriority w:val="99"/>
    <w:rsid w:val="003020DA"/>
    <w:pPr>
      <w:tabs>
        <w:tab w:val="left" w:pos="0"/>
      </w:tabs>
      <w:spacing w:before="0" w:after="187"/>
      <w:jc w:val="left"/>
    </w:pPr>
    <w:rPr>
      <w:rFonts w:ascii="Arial Narrow" w:hAnsi="Arial Narrow"/>
      <w:b w:val="0"/>
      <w:bCs w:val="0"/>
      <w:i/>
      <w:iCs/>
      <w:sz w:val="22"/>
      <w:szCs w:val="24"/>
      <w:lang w:val="en-US" w:eastAsia="ar-SA"/>
    </w:rPr>
  </w:style>
  <w:style w:type="paragraph" w:customStyle="1" w:styleId="Heading2wComment">
    <w:name w:val="Heading 2 w Comment"/>
    <w:basedOn w:val="Ttulo2"/>
    <w:uiPriority w:val="99"/>
    <w:rsid w:val="003020DA"/>
    <w:pPr>
      <w:tabs>
        <w:tab w:val="left" w:pos="0"/>
      </w:tabs>
      <w:spacing w:before="245" w:after="0"/>
      <w:jc w:val="left"/>
    </w:pPr>
    <w:rPr>
      <w:rFonts w:ascii="Arial Black" w:hAnsi="Arial Black"/>
      <w:b w:val="0"/>
      <w:bCs w:val="0"/>
      <w:sz w:val="22"/>
      <w:szCs w:val="24"/>
      <w:lang w:val="en-US" w:eastAsia="ar-SA"/>
    </w:rPr>
  </w:style>
  <w:style w:type="paragraph" w:customStyle="1" w:styleId="Bigletterpara">
    <w:name w:val="Big letter para"/>
    <w:basedOn w:val="Firstparagraph"/>
    <w:uiPriority w:val="99"/>
    <w:rsid w:val="003020DA"/>
    <w:pPr>
      <w:spacing w:before="240"/>
    </w:pPr>
  </w:style>
  <w:style w:type="character" w:styleId="Refdecomentario">
    <w:name w:val="annotation reference"/>
    <w:basedOn w:val="Fuentedeprrafopredeter"/>
    <w:uiPriority w:val="99"/>
    <w:semiHidden/>
    <w:rsid w:val="003020DA"/>
    <w:rPr>
      <w:sz w:val="16"/>
      <w:szCs w:val="16"/>
    </w:rPr>
  </w:style>
  <w:style w:type="paragraph" w:styleId="Textocomentario">
    <w:name w:val="annotation text"/>
    <w:basedOn w:val="Normal"/>
    <w:link w:val="TextocomentarioCar"/>
    <w:uiPriority w:val="99"/>
    <w:rsid w:val="003020DA"/>
    <w:pPr>
      <w:widowControl w:val="0"/>
      <w:suppressAutoHyphens/>
    </w:pPr>
    <w:rPr>
      <w:rFonts w:eastAsia="Arial Unicode MS"/>
      <w:sz w:val="20"/>
      <w:szCs w:val="20"/>
      <w:lang w:val="es-ES_tradnl" w:eastAsia="ar-SA"/>
    </w:rPr>
  </w:style>
  <w:style w:type="paragraph" w:styleId="Asuntodelcomentario">
    <w:name w:val="annotation subject"/>
    <w:basedOn w:val="Textocomentario"/>
    <w:next w:val="Textocomentario"/>
    <w:link w:val="AsuntodelcomentarioCar"/>
    <w:uiPriority w:val="99"/>
    <w:semiHidden/>
    <w:rsid w:val="003020DA"/>
    <w:rPr>
      <w:b/>
      <w:bCs/>
    </w:rPr>
  </w:style>
  <w:style w:type="character" w:customStyle="1" w:styleId="contenido1">
    <w:name w:val="contenido1"/>
    <w:basedOn w:val="Fuentedeprrafopredeter"/>
    <w:rsid w:val="003020DA"/>
    <w:rPr>
      <w:rFonts w:ascii="Verdana" w:hAnsi="Verdana" w:hint="default"/>
      <w:color w:val="333333"/>
      <w:sz w:val="9"/>
      <w:szCs w:val="9"/>
    </w:rPr>
  </w:style>
  <w:style w:type="paragraph" w:customStyle="1" w:styleId="contenido">
    <w:name w:val="contenido"/>
    <w:basedOn w:val="Normal"/>
    <w:uiPriority w:val="99"/>
    <w:rsid w:val="003020DA"/>
    <w:pPr>
      <w:spacing w:before="100" w:beforeAutospacing="1" w:after="100" w:afterAutospacing="1"/>
    </w:pPr>
    <w:rPr>
      <w:rFonts w:ascii="Verdana" w:hAnsi="Verdana"/>
      <w:color w:val="333333"/>
      <w:sz w:val="9"/>
      <w:szCs w:val="9"/>
      <w:lang w:val="es-ES"/>
    </w:rPr>
  </w:style>
  <w:style w:type="numbering" w:customStyle="1" w:styleId="Sinlista6">
    <w:name w:val="Sin lista6"/>
    <w:next w:val="Sinlista"/>
    <w:semiHidden/>
    <w:unhideWhenUsed/>
    <w:rsid w:val="00B83D8B"/>
  </w:style>
  <w:style w:type="paragraph" w:customStyle="1" w:styleId="CarCarCarCarCarCarCar">
    <w:name w:val="Car Car Car Car Car Car Car"/>
    <w:basedOn w:val="Normal"/>
    <w:rsid w:val="00B83D8B"/>
    <w:pPr>
      <w:spacing w:after="160" w:line="240" w:lineRule="exact"/>
    </w:pPr>
    <w:rPr>
      <w:rFonts w:ascii="Tahoma" w:hAnsi="Tahoma"/>
      <w:sz w:val="20"/>
      <w:szCs w:val="20"/>
      <w:lang w:val="en-US" w:eastAsia="en-US"/>
    </w:rPr>
  </w:style>
  <w:style w:type="table" w:customStyle="1" w:styleId="Tablaconcuadrcula9">
    <w:name w:val="Tabla con cuadrícula9"/>
    <w:basedOn w:val="Tablanormal"/>
    <w:next w:val="Tablaconcuadrcula"/>
    <w:rsid w:val="00B83D8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
    <w:name w:val="Sin lista7"/>
    <w:next w:val="Sinlista"/>
    <w:semiHidden/>
    <w:unhideWhenUsed/>
    <w:rsid w:val="000D4BB7"/>
  </w:style>
  <w:style w:type="table" w:customStyle="1" w:styleId="Tablaconcuadrcula100">
    <w:name w:val="Tabla con cuadrícula10"/>
    <w:basedOn w:val="Tablanormal"/>
    <w:next w:val="Tablaconcuadrcula"/>
    <w:rsid w:val="000D4BB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
    <w:name w:val="Tabla con cuadrícula12"/>
    <w:basedOn w:val="Tablanormal"/>
    <w:next w:val="Tablaconcuadrcula"/>
    <w:rsid w:val="000D4B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rsid w:val="00D8741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semiHidden/>
    <w:unhideWhenUsed/>
    <w:rsid w:val="00A51645"/>
  </w:style>
  <w:style w:type="table" w:customStyle="1" w:styleId="Tablaconcuadrcula14">
    <w:name w:val="Tabla con cuadrícula14"/>
    <w:basedOn w:val="Tablanormal"/>
    <w:next w:val="Tablaconcuadrcula"/>
    <w:rsid w:val="00A5164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
    <w:name w:val="Sin lista9"/>
    <w:next w:val="Sinlista"/>
    <w:semiHidden/>
    <w:rsid w:val="00EF6A8F"/>
  </w:style>
  <w:style w:type="paragraph" w:customStyle="1" w:styleId="WebHeadline">
    <w:name w:val="_WebHeadline"/>
    <w:basedOn w:val="Normal"/>
    <w:next w:val="Normal"/>
    <w:uiPriority w:val="99"/>
    <w:rsid w:val="00336F7F"/>
    <w:pPr>
      <w:autoSpaceDE w:val="0"/>
      <w:autoSpaceDN w:val="0"/>
      <w:adjustRightInd w:val="0"/>
      <w:spacing w:after="240"/>
    </w:pPr>
    <w:rPr>
      <w:rFonts w:ascii="Arial" w:hAnsi="Arial"/>
      <w:lang w:val="es-ES"/>
    </w:rPr>
  </w:style>
  <w:style w:type="character" w:customStyle="1" w:styleId="A1">
    <w:name w:val="A1"/>
    <w:rsid w:val="0085605D"/>
    <w:rPr>
      <w:rFonts w:cs="Frutiger LT Std 45 Light"/>
      <w:b/>
      <w:bCs/>
      <w:color w:val="000000"/>
      <w:sz w:val="20"/>
      <w:szCs w:val="20"/>
    </w:rPr>
  </w:style>
  <w:style w:type="character" w:customStyle="1" w:styleId="A18">
    <w:name w:val="A18"/>
    <w:rsid w:val="0085605D"/>
    <w:rPr>
      <w:rFonts w:cs="Frutiger LT Std 45 Light"/>
      <w:color w:val="000000"/>
    </w:rPr>
  </w:style>
  <w:style w:type="numbering" w:customStyle="1" w:styleId="Sinlista10">
    <w:name w:val="Sin lista10"/>
    <w:next w:val="Sinlista"/>
    <w:semiHidden/>
    <w:unhideWhenUsed/>
    <w:rsid w:val="00447456"/>
  </w:style>
  <w:style w:type="numbering" w:customStyle="1" w:styleId="Sinlista13">
    <w:name w:val="Sin lista13"/>
    <w:next w:val="Sinlista"/>
    <w:semiHidden/>
    <w:rsid w:val="00447456"/>
  </w:style>
  <w:style w:type="table" w:customStyle="1" w:styleId="Tablaconcuadrcula52">
    <w:name w:val="Tabla con cuadrícula52"/>
    <w:basedOn w:val="Tablanormal"/>
    <w:next w:val="Tablaconcuadrcula"/>
    <w:rsid w:val="005158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rsid w:val="0048699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
    <w:name w:val="Sin lista14"/>
    <w:next w:val="Sinlista"/>
    <w:semiHidden/>
    <w:rsid w:val="00D117DF"/>
  </w:style>
  <w:style w:type="table" w:customStyle="1" w:styleId="Tablaconcuadrcula16">
    <w:name w:val="Tabla con cuadrícula16"/>
    <w:basedOn w:val="Tablanormal"/>
    <w:next w:val="Tablaconcuadrcula"/>
    <w:rsid w:val="00D117D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semiHidden/>
    <w:rsid w:val="00F571F5"/>
  </w:style>
  <w:style w:type="table" w:customStyle="1" w:styleId="Tablaconcuadrcula17">
    <w:name w:val="Tabla con cuadrícula17"/>
    <w:basedOn w:val="Tablanormal"/>
    <w:next w:val="Tablaconcuadrcula"/>
    <w:rsid w:val="00F571F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
    <w:name w:val="Sin lista16"/>
    <w:next w:val="Sinlista"/>
    <w:semiHidden/>
    <w:rsid w:val="00236012"/>
  </w:style>
  <w:style w:type="table" w:customStyle="1" w:styleId="Tablaconcuadrcula18">
    <w:name w:val="Tabla con cuadrícula18"/>
    <w:basedOn w:val="Tablanormal"/>
    <w:next w:val="Tablaconcuadrcula"/>
    <w:rsid w:val="0023601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rsid w:val="00B246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07">
    <w:name w:val="Pa0+7"/>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7">
    <w:name w:val="A0+7"/>
    <w:rsid w:val="006B6EB3"/>
    <w:rPr>
      <w:rFonts w:cs="Lucida Sans"/>
      <w:b/>
      <w:bCs/>
      <w:color w:val="000000"/>
      <w:sz w:val="32"/>
      <w:szCs w:val="32"/>
    </w:rPr>
  </w:style>
  <w:style w:type="character" w:customStyle="1" w:styleId="A17">
    <w:name w:val="A1+7"/>
    <w:rsid w:val="006B6EB3"/>
    <w:rPr>
      <w:rFonts w:cs="Lucida Sans"/>
      <w:color w:val="000000"/>
      <w:sz w:val="28"/>
      <w:szCs w:val="28"/>
    </w:rPr>
  </w:style>
  <w:style w:type="paragraph" w:customStyle="1" w:styleId="Pa91">
    <w:name w:val="Pa9+1"/>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1">
    <w:name w:val="A0+1"/>
    <w:rsid w:val="006B6EB3"/>
    <w:rPr>
      <w:rFonts w:cs="Lucida Sans"/>
      <w:b/>
      <w:bCs/>
      <w:color w:val="000000"/>
      <w:sz w:val="32"/>
      <w:szCs w:val="32"/>
    </w:rPr>
  </w:style>
  <w:style w:type="paragraph" w:customStyle="1" w:styleId="waiarticlechapeau1">
    <w:name w:val="wai_article_chapeau1"/>
    <w:basedOn w:val="Normal"/>
    <w:uiPriority w:val="99"/>
    <w:rsid w:val="00F75F76"/>
    <w:pPr>
      <w:spacing w:before="100" w:beforeAutospacing="1" w:after="100" w:afterAutospacing="1"/>
    </w:pPr>
    <w:rPr>
      <w:b/>
      <w:bCs/>
      <w:lang w:val="es-ES"/>
    </w:rPr>
  </w:style>
  <w:style w:type="paragraph" w:customStyle="1" w:styleId="Ttulo11">
    <w:name w:val="Título1"/>
    <w:basedOn w:val="Normal"/>
    <w:uiPriority w:val="99"/>
    <w:rsid w:val="00896463"/>
    <w:pPr>
      <w:spacing w:before="100" w:beforeAutospacing="1" w:after="100" w:afterAutospacing="1"/>
    </w:pPr>
    <w:rPr>
      <w:color w:val="000000"/>
      <w:lang w:val="es-ES"/>
    </w:rPr>
  </w:style>
  <w:style w:type="paragraph" w:customStyle="1" w:styleId="separadorherramientas">
    <w:name w:val="separador_herramientas"/>
    <w:basedOn w:val="Normal"/>
    <w:uiPriority w:val="99"/>
    <w:rsid w:val="00C60E4B"/>
    <w:pPr>
      <w:spacing w:before="100" w:beforeAutospacing="1" w:after="100" w:afterAutospacing="1"/>
    </w:pPr>
    <w:rPr>
      <w:rFonts w:ascii="Verdana" w:hAnsi="Verdana"/>
      <w:b/>
      <w:bCs/>
      <w:color w:val="00B5CC"/>
      <w:sz w:val="9"/>
      <w:szCs w:val="9"/>
      <w:lang w:val="es-ES"/>
    </w:rPr>
  </w:style>
  <w:style w:type="paragraph" w:customStyle="1" w:styleId="formobservaciones">
    <w:name w:val="form_observaciones"/>
    <w:basedOn w:val="Normal"/>
    <w:uiPriority w:val="99"/>
    <w:rsid w:val="00C60E4B"/>
    <w:pPr>
      <w:spacing w:before="100" w:beforeAutospacing="1" w:after="100" w:afterAutospacing="1"/>
    </w:pPr>
    <w:rPr>
      <w:lang w:val="es-ES"/>
    </w:rPr>
  </w:style>
  <w:style w:type="paragraph" w:customStyle="1" w:styleId="menuprincipal">
    <w:name w:val="menu_principal"/>
    <w:basedOn w:val="Normal"/>
    <w:uiPriority w:val="99"/>
    <w:rsid w:val="00C60E4B"/>
    <w:pPr>
      <w:shd w:val="clear" w:color="auto" w:fill="C7DBF3"/>
    </w:pPr>
    <w:rPr>
      <w:lang w:val="es-ES"/>
    </w:rPr>
  </w:style>
  <w:style w:type="paragraph" w:customStyle="1" w:styleId="titulonotasecundaria1">
    <w:name w:val="titulo_notasecundaria1"/>
    <w:basedOn w:val="Normal"/>
    <w:uiPriority w:val="99"/>
    <w:rsid w:val="00C60E4B"/>
    <w:pPr>
      <w:spacing w:before="100" w:beforeAutospacing="1" w:after="100" w:afterAutospacing="1"/>
    </w:pPr>
    <w:rPr>
      <w:rFonts w:ascii="Verdana" w:hAnsi="Verdana"/>
      <w:b/>
      <w:bCs/>
      <w:color w:val="5D98D3"/>
      <w:sz w:val="12"/>
      <w:szCs w:val="12"/>
      <w:lang w:val="es-ES"/>
    </w:rPr>
  </w:style>
  <w:style w:type="paragraph" w:customStyle="1" w:styleId="tituloseccioninterior">
    <w:name w:val="titulo_seccioninterior"/>
    <w:basedOn w:val="Normal"/>
    <w:uiPriority w:val="99"/>
    <w:rsid w:val="00C60E4B"/>
    <w:pPr>
      <w:spacing w:before="100" w:beforeAutospacing="1" w:after="100" w:afterAutospacing="1"/>
    </w:pPr>
    <w:rPr>
      <w:rFonts w:ascii="Verdana" w:hAnsi="Verdana"/>
      <w:b/>
      <w:bCs/>
      <w:color w:val="00B5CC"/>
      <w:sz w:val="14"/>
      <w:szCs w:val="14"/>
      <w:lang w:val="es-ES"/>
    </w:rPr>
  </w:style>
  <w:style w:type="paragraph" w:customStyle="1" w:styleId="subtituloseccioninterior">
    <w:name w:val="subtitulo_seccioninterior"/>
    <w:basedOn w:val="Normal"/>
    <w:uiPriority w:val="99"/>
    <w:rsid w:val="00C60E4B"/>
    <w:pPr>
      <w:spacing w:before="100" w:beforeAutospacing="1" w:after="100" w:afterAutospacing="1"/>
    </w:pPr>
    <w:rPr>
      <w:rFonts w:ascii="Verdana" w:hAnsi="Verdana"/>
      <w:b/>
      <w:bCs/>
      <w:color w:val="0768A9"/>
      <w:sz w:val="12"/>
      <w:szCs w:val="12"/>
      <w:lang w:val="es-ES"/>
    </w:rPr>
  </w:style>
  <w:style w:type="paragraph" w:customStyle="1" w:styleId="enlaceslabel">
    <w:name w:val="enlaceslabel"/>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fechaportal">
    <w:name w:val="fecha_portal"/>
    <w:basedOn w:val="Normal"/>
    <w:uiPriority w:val="99"/>
    <w:rsid w:val="00C60E4B"/>
    <w:pPr>
      <w:spacing w:before="100" w:beforeAutospacing="1" w:after="100" w:afterAutospacing="1"/>
    </w:pPr>
    <w:rPr>
      <w:rFonts w:ascii="Verdana" w:hAnsi="Verdana"/>
      <w:color w:val="FFFFFF"/>
      <w:sz w:val="10"/>
      <w:szCs w:val="10"/>
      <w:lang w:val="es-ES"/>
    </w:rPr>
  </w:style>
  <w:style w:type="paragraph" w:customStyle="1" w:styleId="fechanoticias">
    <w:name w:val="fecha_noticias"/>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imprimirenviar">
    <w:name w:val="imprimir_enviar"/>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separador">
    <w:name w:val="separador"/>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breadcrumb">
    <w:name w:val="breadcrumb"/>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txt">
    <w:name w:val="txt"/>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txtgab">
    <w:name w:val="txtgab"/>
    <w:basedOn w:val="Normal"/>
    <w:uiPriority w:val="99"/>
    <w:rsid w:val="00C60E4B"/>
    <w:pPr>
      <w:spacing w:before="100" w:beforeAutospacing="1" w:after="100" w:afterAutospacing="1"/>
      <w:ind w:firstLine="100"/>
    </w:pPr>
    <w:rPr>
      <w:rFonts w:ascii="Verdana" w:hAnsi="Verdana"/>
      <w:color w:val="595959"/>
      <w:sz w:val="10"/>
      <w:szCs w:val="10"/>
      <w:lang w:val="es-ES"/>
    </w:rPr>
  </w:style>
  <w:style w:type="paragraph" w:customStyle="1" w:styleId="txtblanco">
    <w:name w:val="txt_blanco"/>
    <w:basedOn w:val="Normal"/>
    <w:uiPriority w:val="99"/>
    <w:rsid w:val="00C60E4B"/>
    <w:pPr>
      <w:spacing w:before="100" w:beforeAutospacing="1" w:after="100" w:afterAutospacing="1"/>
    </w:pPr>
    <w:rPr>
      <w:rFonts w:ascii="Verdana" w:hAnsi="Verdana"/>
      <w:b/>
      <w:bCs/>
      <w:color w:val="FFFFFF"/>
      <w:sz w:val="12"/>
      <w:szCs w:val="12"/>
      <w:lang w:val="es-ES"/>
    </w:rPr>
  </w:style>
  <w:style w:type="paragraph" w:customStyle="1" w:styleId="txtblanco2">
    <w:name w:val="txt_blanco2"/>
    <w:basedOn w:val="Normal"/>
    <w:uiPriority w:val="99"/>
    <w:rsid w:val="00C60E4B"/>
    <w:pPr>
      <w:spacing w:before="100" w:beforeAutospacing="1" w:after="100" w:afterAutospacing="1"/>
    </w:pPr>
    <w:rPr>
      <w:rFonts w:ascii="Verdana" w:hAnsi="Verdana"/>
      <w:b/>
      <w:bCs/>
      <w:color w:val="FFFFFF"/>
      <w:sz w:val="10"/>
      <w:szCs w:val="10"/>
      <w:lang w:val="es-ES"/>
    </w:rPr>
  </w:style>
  <w:style w:type="paragraph" w:customStyle="1" w:styleId="txtazul">
    <w:name w:val="txt_azul"/>
    <w:basedOn w:val="Normal"/>
    <w:uiPriority w:val="99"/>
    <w:rsid w:val="00C60E4B"/>
    <w:pPr>
      <w:spacing w:before="100" w:beforeAutospacing="1" w:after="100" w:afterAutospacing="1"/>
    </w:pPr>
    <w:rPr>
      <w:rFonts w:ascii="Verdana" w:hAnsi="Verdana"/>
      <w:color w:val="1E6AC2"/>
      <w:sz w:val="10"/>
      <w:szCs w:val="10"/>
      <w:lang w:val="es-ES"/>
    </w:rPr>
  </w:style>
  <w:style w:type="paragraph" w:customStyle="1" w:styleId="titleazul">
    <w:name w:val="title_azul"/>
    <w:basedOn w:val="Normal"/>
    <w:uiPriority w:val="99"/>
    <w:rsid w:val="00C60E4B"/>
    <w:pPr>
      <w:spacing w:before="100" w:beforeAutospacing="1" w:after="100" w:afterAutospacing="1"/>
    </w:pPr>
    <w:rPr>
      <w:rFonts w:ascii="Verdana" w:hAnsi="Verdana"/>
      <w:b/>
      <w:bCs/>
      <w:color w:val="1E6AC2"/>
      <w:sz w:val="12"/>
      <w:szCs w:val="12"/>
      <w:lang w:val="es-ES"/>
    </w:rPr>
  </w:style>
  <w:style w:type="paragraph" w:customStyle="1" w:styleId="subtitleazul">
    <w:name w:val="subtitle_azul"/>
    <w:basedOn w:val="Normal"/>
    <w:uiPriority w:val="99"/>
    <w:rsid w:val="00C60E4B"/>
    <w:pPr>
      <w:spacing w:before="100" w:beforeAutospacing="1" w:after="100" w:afterAutospacing="1"/>
    </w:pPr>
    <w:rPr>
      <w:rFonts w:ascii="Verdana" w:hAnsi="Verdana"/>
      <w:b/>
      <w:bCs/>
      <w:color w:val="1E6AC2"/>
      <w:sz w:val="10"/>
      <w:szCs w:val="10"/>
      <w:lang w:val="es-ES"/>
    </w:rPr>
  </w:style>
  <w:style w:type="paragraph" w:customStyle="1" w:styleId="txtgral">
    <w:name w:val="txt_gral"/>
    <w:basedOn w:val="Normal"/>
    <w:uiPriority w:val="99"/>
    <w:rsid w:val="00C60E4B"/>
    <w:pPr>
      <w:spacing w:before="100" w:beforeAutospacing="1" w:after="100" w:afterAutospacing="1"/>
    </w:pPr>
    <w:rPr>
      <w:rFonts w:ascii="Verdana" w:hAnsi="Verdana"/>
      <w:color w:val="595959"/>
      <w:sz w:val="11"/>
      <w:szCs w:val="11"/>
      <w:lang w:val="es-ES"/>
    </w:rPr>
  </w:style>
  <w:style w:type="paragraph" w:customStyle="1" w:styleId="actualizacion">
    <w:name w:val="actualizacion"/>
    <w:basedOn w:val="Normal"/>
    <w:uiPriority w:val="99"/>
    <w:rsid w:val="00C60E4B"/>
    <w:pPr>
      <w:spacing w:before="100" w:beforeAutospacing="1" w:after="100" w:afterAutospacing="1"/>
    </w:pPr>
    <w:rPr>
      <w:rFonts w:ascii="Verdana" w:hAnsi="Verdana"/>
      <w:color w:val="808080"/>
      <w:sz w:val="9"/>
      <w:szCs w:val="9"/>
      <w:lang w:val="es-ES"/>
    </w:rPr>
  </w:style>
  <w:style w:type="paragraph" w:customStyle="1" w:styleId="Piedepgina1">
    <w:name w:val="Pie de página1"/>
    <w:basedOn w:val="Normal"/>
    <w:rsid w:val="00C60E4B"/>
    <w:pPr>
      <w:spacing w:before="100" w:beforeAutospacing="1" w:after="100" w:afterAutospacing="1"/>
    </w:pPr>
    <w:rPr>
      <w:rFonts w:ascii="Verdana" w:hAnsi="Verdana"/>
      <w:color w:val="FFFFFF"/>
      <w:sz w:val="9"/>
      <w:szCs w:val="9"/>
      <w:lang w:val="es-ES"/>
    </w:rPr>
  </w:style>
  <w:style w:type="paragraph" w:customStyle="1" w:styleId="footer2">
    <w:name w:val="footer2"/>
    <w:basedOn w:val="Normal"/>
    <w:rsid w:val="00C60E4B"/>
    <w:pPr>
      <w:spacing w:before="100" w:beforeAutospacing="1" w:after="100" w:afterAutospacing="1"/>
    </w:pPr>
    <w:rPr>
      <w:rFonts w:ascii="Verdana" w:hAnsi="Verdana"/>
      <w:color w:val="BABABA"/>
      <w:sz w:val="9"/>
      <w:szCs w:val="9"/>
      <w:lang w:val="es-ES"/>
    </w:rPr>
  </w:style>
  <w:style w:type="paragraph" w:customStyle="1" w:styleId="menusuperiorinicio">
    <w:name w:val="menu_superior_inicio"/>
    <w:basedOn w:val="Normal"/>
    <w:uiPriority w:val="99"/>
    <w:rsid w:val="00C60E4B"/>
    <w:pPr>
      <w:spacing w:before="100" w:beforeAutospacing="1" w:after="100" w:afterAutospacing="1"/>
    </w:pPr>
    <w:rPr>
      <w:lang w:val="es-ES"/>
    </w:rPr>
  </w:style>
  <w:style w:type="paragraph" w:customStyle="1" w:styleId="menusuperiormapadelsitio">
    <w:name w:val="menu_superior_mapadelsitio"/>
    <w:basedOn w:val="Normal"/>
    <w:uiPriority w:val="99"/>
    <w:rsid w:val="00C60E4B"/>
    <w:pPr>
      <w:spacing w:before="100" w:beforeAutospacing="1" w:after="100" w:afterAutospacing="1"/>
    </w:pPr>
    <w:rPr>
      <w:lang w:val="es-ES"/>
    </w:rPr>
  </w:style>
  <w:style w:type="paragraph" w:customStyle="1" w:styleId="menusuperiorcontacto">
    <w:name w:val="menu_superior_contacto"/>
    <w:basedOn w:val="Normal"/>
    <w:uiPriority w:val="99"/>
    <w:rsid w:val="00C60E4B"/>
    <w:pPr>
      <w:spacing w:before="100" w:beforeAutospacing="1" w:after="100" w:afterAutospacing="1"/>
    </w:pPr>
    <w:rPr>
      <w:lang w:val="es-ES"/>
    </w:rPr>
  </w:style>
  <w:style w:type="paragraph" w:customStyle="1" w:styleId="menusuperiorespaniol">
    <w:name w:val="menu_superior_espaniol"/>
    <w:basedOn w:val="Normal"/>
    <w:uiPriority w:val="99"/>
    <w:rsid w:val="00C60E4B"/>
    <w:pPr>
      <w:spacing w:before="100" w:beforeAutospacing="1" w:after="100" w:afterAutospacing="1"/>
    </w:pPr>
    <w:rPr>
      <w:lang w:val="es-ES"/>
    </w:rPr>
  </w:style>
  <w:style w:type="paragraph" w:customStyle="1" w:styleId="menusuperioringles">
    <w:name w:val="menu_superior_ingles"/>
    <w:basedOn w:val="Normal"/>
    <w:uiPriority w:val="99"/>
    <w:rsid w:val="00C60E4B"/>
    <w:pPr>
      <w:spacing w:before="100" w:beforeAutospacing="1" w:after="100" w:afterAutospacing="1"/>
    </w:pPr>
    <w:rPr>
      <w:lang w:val="es-ES"/>
    </w:rPr>
  </w:style>
  <w:style w:type="paragraph" w:customStyle="1" w:styleId="form">
    <w:name w:val="form"/>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2">
    <w:name w:val="form2"/>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3">
    <w:name w:val="form3"/>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4">
    <w:name w:val="form4"/>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5">
    <w:name w:val="form5"/>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6">
    <w:name w:val="form6"/>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7">
    <w:name w:val="form7"/>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8">
    <w:name w:val="form8"/>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combo">
    <w:name w:val="combo"/>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breadcrum">
    <w:name w:val="breadcrum"/>
    <w:basedOn w:val="Normal"/>
    <w:uiPriority w:val="99"/>
    <w:rsid w:val="00C60E4B"/>
    <w:pPr>
      <w:spacing w:before="100" w:beforeAutospacing="1" w:after="100" w:afterAutospacing="1"/>
    </w:pPr>
    <w:rPr>
      <w:rFonts w:ascii="Verdana" w:hAnsi="Verdana"/>
      <w:color w:val="67A7D7"/>
      <w:sz w:val="10"/>
      <w:szCs w:val="10"/>
      <w:lang w:val="es-ES"/>
    </w:rPr>
  </w:style>
  <w:style w:type="paragraph" w:customStyle="1" w:styleId="titulo20">
    <w:name w:val="titulo_2"/>
    <w:basedOn w:val="Normal"/>
    <w:uiPriority w:val="99"/>
    <w:rsid w:val="00C60E4B"/>
    <w:pPr>
      <w:pBdr>
        <w:top w:val="single" w:sz="6" w:space="0" w:color="000000"/>
      </w:pBdr>
      <w:spacing w:before="100" w:beforeAutospacing="1" w:after="101"/>
      <w:jc w:val="both"/>
    </w:pPr>
    <w:rPr>
      <w:rFonts w:ascii="Arial" w:hAnsi="Arial" w:cs="Arial"/>
      <w:sz w:val="18"/>
      <w:szCs w:val="18"/>
      <w:lang w:val="es-ES"/>
    </w:rPr>
  </w:style>
  <w:style w:type="paragraph" w:customStyle="1" w:styleId="romanos0">
    <w:name w:val="romanos"/>
    <w:basedOn w:val="Normal"/>
    <w:uiPriority w:val="99"/>
    <w:rsid w:val="00C60E4B"/>
    <w:pPr>
      <w:spacing w:before="100" w:beforeAutospacing="1" w:after="101"/>
      <w:ind w:left="720" w:hanging="432"/>
      <w:jc w:val="both"/>
    </w:pPr>
    <w:rPr>
      <w:rFonts w:ascii="Arial" w:hAnsi="Arial" w:cs="Arial"/>
      <w:sz w:val="18"/>
      <w:szCs w:val="18"/>
      <w:lang w:val="es-ES"/>
    </w:rPr>
  </w:style>
  <w:style w:type="paragraph" w:customStyle="1" w:styleId="fechas0">
    <w:name w:val="fechas"/>
    <w:basedOn w:val="Normal"/>
    <w:uiPriority w:val="99"/>
    <w:rsid w:val="00C60E4B"/>
    <w:pPr>
      <w:pBdr>
        <w:bottom w:val="single" w:sz="6" w:space="0" w:color="000000"/>
      </w:pBdr>
      <w:spacing w:before="100" w:beforeAutospacing="1" w:after="101"/>
      <w:ind w:left="288" w:right="288"/>
      <w:jc w:val="both"/>
    </w:pPr>
    <w:rPr>
      <w:rFonts w:ascii="Arial" w:hAnsi="Arial" w:cs="Arial"/>
      <w:sz w:val="18"/>
      <w:szCs w:val="18"/>
      <w:lang w:val="es-ES"/>
    </w:rPr>
  </w:style>
  <w:style w:type="paragraph" w:customStyle="1" w:styleId="inciso0">
    <w:name w:val="inciso"/>
    <w:basedOn w:val="Normal"/>
    <w:uiPriority w:val="99"/>
    <w:rsid w:val="00C60E4B"/>
    <w:pPr>
      <w:spacing w:before="100" w:beforeAutospacing="1" w:after="101"/>
      <w:ind w:left="1080" w:hanging="360"/>
      <w:jc w:val="both"/>
    </w:pPr>
    <w:rPr>
      <w:rFonts w:ascii="Arial" w:hAnsi="Arial" w:cs="Arial"/>
      <w:sz w:val="18"/>
      <w:szCs w:val="18"/>
      <w:lang w:val="es-ES"/>
    </w:rPr>
  </w:style>
  <w:style w:type="paragraph" w:customStyle="1" w:styleId="titulo10">
    <w:name w:val="titulo_1"/>
    <w:basedOn w:val="Normal"/>
    <w:uiPriority w:val="99"/>
    <w:rsid w:val="00C60E4B"/>
    <w:pPr>
      <w:pBdr>
        <w:bottom w:val="single" w:sz="12" w:space="0" w:color="000000"/>
      </w:pBdr>
      <w:spacing w:before="120"/>
      <w:jc w:val="both"/>
    </w:pPr>
    <w:rPr>
      <w:b/>
      <w:bCs/>
      <w:sz w:val="18"/>
      <w:szCs w:val="18"/>
      <w:lang w:val="es-ES"/>
    </w:rPr>
  </w:style>
  <w:style w:type="paragraph" w:customStyle="1" w:styleId="anotacion1">
    <w:name w:val="anotacion"/>
    <w:basedOn w:val="Normal"/>
    <w:uiPriority w:val="99"/>
    <w:rsid w:val="00C60E4B"/>
    <w:pPr>
      <w:spacing w:before="101" w:after="101"/>
      <w:jc w:val="center"/>
    </w:pPr>
    <w:rPr>
      <w:b/>
      <w:bCs/>
      <w:sz w:val="18"/>
      <w:szCs w:val="18"/>
      <w:lang w:val="es-ES"/>
    </w:rPr>
  </w:style>
  <w:style w:type="paragraph" w:customStyle="1" w:styleId="Normal1">
    <w:name w:val="Normal1"/>
    <w:basedOn w:val="Normal"/>
    <w:uiPriority w:val="99"/>
    <w:rsid w:val="00C60E4B"/>
    <w:pPr>
      <w:spacing w:before="100" w:beforeAutospacing="1" w:after="100" w:afterAutospacing="1"/>
    </w:pPr>
    <w:rPr>
      <w:lang w:val="es-ES"/>
    </w:rPr>
  </w:style>
  <w:style w:type="paragraph" w:customStyle="1" w:styleId="Encabezado1">
    <w:name w:val="Encabezado1"/>
    <w:basedOn w:val="Normal"/>
    <w:rsid w:val="00C60E4B"/>
    <w:pPr>
      <w:spacing w:before="100" w:beforeAutospacing="1" w:after="100" w:afterAutospacing="1"/>
    </w:pPr>
    <w:rPr>
      <w:lang w:val="es-ES"/>
    </w:rPr>
  </w:style>
  <w:style w:type="paragraph" w:customStyle="1" w:styleId="combos">
    <w:name w:val="combos"/>
    <w:basedOn w:val="Normal"/>
    <w:uiPriority w:val="99"/>
    <w:rsid w:val="00C60E4B"/>
    <w:pPr>
      <w:spacing w:before="100" w:beforeAutospacing="1" w:after="100" w:afterAutospacing="1"/>
    </w:pPr>
    <w:rPr>
      <w:lang w:val="es-ES"/>
    </w:rPr>
  </w:style>
  <w:style w:type="paragraph" w:customStyle="1" w:styleId="previousdays">
    <w:name w:val="previousdays"/>
    <w:basedOn w:val="Normal"/>
    <w:uiPriority w:val="99"/>
    <w:rsid w:val="00C60E4B"/>
    <w:pPr>
      <w:spacing w:before="100" w:beforeAutospacing="1" w:after="100" w:afterAutospacing="1"/>
    </w:pPr>
    <w:rPr>
      <w:lang w:val="es-ES"/>
    </w:rPr>
  </w:style>
  <w:style w:type="paragraph" w:customStyle="1" w:styleId="actualdays">
    <w:name w:val="actualdays"/>
    <w:basedOn w:val="Normal"/>
    <w:uiPriority w:val="99"/>
    <w:rsid w:val="00C60E4B"/>
    <w:pPr>
      <w:spacing w:before="100" w:beforeAutospacing="1" w:after="100" w:afterAutospacing="1"/>
    </w:pPr>
    <w:rPr>
      <w:lang w:val="es-ES"/>
    </w:rPr>
  </w:style>
  <w:style w:type="paragraph" w:customStyle="1" w:styleId="actualdayslink">
    <w:name w:val="actualdayslink"/>
    <w:basedOn w:val="Normal"/>
    <w:uiPriority w:val="99"/>
    <w:rsid w:val="00C60E4B"/>
    <w:pPr>
      <w:spacing w:before="100" w:beforeAutospacing="1" w:after="100" w:afterAutospacing="1"/>
    </w:pPr>
    <w:rPr>
      <w:lang w:val="es-ES"/>
    </w:rPr>
  </w:style>
  <w:style w:type="paragraph" w:customStyle="1" w:styleId="today">
    <w:name w:val="today"/>
    <w:basedOn w:val="Normal"/>
    <w:uiPriority w:val="99"/>
    <w:rsid w:val="00C60E4B"/>
    <w:pPr>
      <w:spacing w:before="100" w:beforeAutospacing="1" w:after="100" w:afterAutospacing="1"/>
    </w:pPr>
    <w:rPr>
      <w:lang w:val="es-ES"/>
    </w:rPr>
  </w:style>
  <w:style w:type="paragraph" w:customStyle="1" w:styleId="nextdays">
    <w:name w:val="nextdays"/>
    <w:basedOn w:val="Normal"/>
    <w:uiPriority w:val="99"/>
    <w:rsid w:val="00C60E4B"/>
    <w:pPr>
      <w:spacing w:before="100" w:beforeAutospacing="1" w:after="100" w:afterAutospacing="1"/>
    </w:pPr>
    <w:rPr>
      <w:lang w:val="es-ES"/>
    </w:rPr>
  </w:style>
  <w:style w:type="paragraph" w:customStyle="1" w:styleId="header1">
    <w:name w:val="header1"/>
    <w:basedOn w:val="Normal"/>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combos1">
    <w:name w:val="combos1"/>
    <w:basedOn w:val="Normal"/>
    <w:uiPriority w:val="99"/>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previousdays1">
    <w:name w:val="previous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paragraph" w:customStyle="1" w:styleId="actualdays1">
    <w:name w:val="actualdays1"/>
    <w:basedOn w:val="Normal"/>
    <w:uiPriority w:val="99"/>
    <w:rsid w:val="00C60E4B"/>
    <w:pPr>
      <w:spacing w:before="100" w:beforeAutospacing="1" w:after="100" w:afterAutospacing="1"/>
      <w:jc w:val="center"/>
    </w:pPr>
    <w:rPr>
      <w:rFonts w:ascii="Verdana" w:hAnsi="Verdana"/>
      <w:color w:val="58595A"/>
      <w:sz w:val="10"/>
      <w:szCs w:val="10"/>
      <w:lang w:val="es-ES"/>
    </w:rPr>
  </w:style>
  <w:style w:type="paragraph" w:customStyle="1" w:styleId="actualdayslink1">
    <w:name w:val="actualdayslink1"/>
    <w:basedOn w:val="Normal"/>
    <w:uiPriority w:val="99"/>
    <w:rsid w:val="00C60E4B"/>
    <w:pPr>
      <w:spacing w:before="100" w:beforeAutospacing="1" w:after="100" w:afterAutospacing="1"/>
      <w:jc w:val="center"/>
    </w:pPr>
    <w:rPr>
      <w:rFonts w:ascii="Verdana" w:hAnsi="Verdana"/>
      <w:sz w:val="10"/>
      <w:szCs w:val="10"/>
      <w:lang w:val="es-ES"/>
    </w:rPr>
  </w:style>
  <w:style w:type="paragraph" w:customStyle="1" w:styleId="today1">
    <w:name w:val="today1"/>
    <w:basedOn w:val="Normal"/>
    <w:uiPriority w:val="99"/>
    <w:rsid w:val="00C60E4B"/>
    <w:pPr>
      <w:shd w:val="clear" w:color="auto" w:fill="E9E9E9"/>
      <w:spacing w:before="100" w:beforeAutospacing="1" w:after="100" w:afterAutospacing="1"/>
      <w:jc w:val="center"/>
    </w:pPr>
    <w:rPr>
      <w:rFonts w:ascii="Verdana" w:hAnsi="Verdana"/>
      <w:b/>
      <w:bCs/>
      <w:color w:val="FF0000"/>
      <w:sz w:val="10"/>
      <w:szCs w:val="10"/>
      <w:lang w:val="es-ES"/>
    </w:rPr>
  </w:style>
  <w:style w:type="paragraph" w:customStyle="1" w:styleId="nextdays1">
    <w:name w:val="next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numbering" w:customStyle="1" w:styleId="Sinlista17">
    <w:name w:val="Sin lista17"/>
    <w:next w:val="Sinlista"/>
    <w:semiHidden/>
    <w:rsid w:val="002A4BE1"/>
  </w:style>
  <w:style w:type="table" w:customStyle="1" w:styleId="Tablaconcuadrcula20">
    <w:name w:val="Tabla con cuadrícula20"/>
    <w:basedOn w:val="Tablanormal"/>
    <w:next w:val="Tablaconcuadrcula"/>
    <w:rsid w:val="002A4BE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
    <w:name w:val="Sin lista18"/>
    <w:next w:val="Sinlista"/>
    <w:semiHidden/>
    <w:rsid w:val="002A4BE1"/>
  </w:style>
  <w:style w:type="table" w:customStyle="1" w:styleId="Tablaconcuadrcula110">
    <w:name w:val="Tabla con cuadrícula110"/>
    <w:basedOn w:val="Tablanormal"/>
    <w:next w:val="Tablaconcuadrcula"/>
    <w:rsid w:val="002A4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inlista"/>
    <w:rsid w:val="002A4BE1"/>
  </w:style>
  <w:style w:type="numbering" w:customStyle="1" w:styleId="Sinlista19">
    <w:name w:val="Sin lista19"/>
    <w:next w:val="Sinlista"/>
    <w:semiHidden/>
    <w:unhideWhenUsed/>
    <w:rsid w:val="008E5F5C"/>
  </w:style>
  <w:style w:type="table" w:customStyle="1" w:styleId="Tablaconcuadrcula207">
    <w:name w:val="Tabla con cuadrícula207"/>
    <w:basedOn w:val="Tablanormal"/>
    <w:next w:val="Tablaconcuadrcula"/>
    <w:rsid w:val="008E5F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rsid w:val="008E5F5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pskipnav">
    <w:name w:val="ep_skipnav"/>
    <w:basedOn w:val="Normal"/>
    <w:uiPriority w:val="99"/>
    <w:rsid w:val="005900B0"/>
    <w:pPr>
      <w:spacing w:before="100" w:beforeAutospacing="1" w:after="100" w:afterAutospacing="1"/>
    </w:pPr>
    <w:rPr>
      <w:vanish/>
      <w:sz w:val="31"/>
      <w:szCs w:val="31"/>
      <w:lang w:val="es-ES"/>
    </w:rPr>
  </w:style>
  <w:style w:type="character" w:customStyle="1" w:styleId="Ttulo2Car">
    <w:name w:val="Título 2 Car"/>
    <w:basedOn w:val="Fuentedeprrafopredeter"/>
    <w:link w:val="Ttulo2"/>
    <w:uiPriority w:val="9"/>
    <w:rsid w:val="00413240"/>
    <w:rPr>
      <w:b/>
      <w:bCs/>
      <w:sz w:val="16"/>
      <w:szCs w:val="26"/>
      <w:lang w:val="es-ES" w:eastAsia="es-ES" w:bidi="ar-SA"/>
    </w:rPr>
  </w:style>
  <w:style w:type="table" w:customStyle="1" w:styleId="Tablaconcuadrcula25">
    <w:name w:val="Tabla con cuadrícula25"/>
    <w:basedOn w:val="Tablanormal"/>
    <w:next w:val="Tablaconcuadrcula"/>
    <w:rsid w:val="0043085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
    <w:name w:val="Tabla con cuadrícula26"/>
    <w:basedOn w:val="Tablanormal"/>
    <w:next w:val="Tablaconcuadrcula"/>
    <w:rsid w:val="006C4C3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PR1stpagetitle">
    <w:name w:val="TPR1st page title"/>
    <w:basedOn w:val="Normal"/>
    <w:uiPriority w:val="99"/>
    <w:rsid w:val="002418CB"/>
    <w:pPr>
      <w:tabs>
        <w:tab w:val="left" w:pos="720"/>
      </w:tabs>
      <w:jc w:val="center"/>
    </w:pPr>
    <w:rPr>
      <w:b/>
      <w:kern w:val="36"/>
      <w:sz w:val="36"/>
      <w:szCs w:val="20"/>
      <w:lang w:val="es-ES" w:eastAsia="en-US"/>
    </w:rPr>
  </w:style>
  <w:style w:type="paragraph" w:customStyle="1" w:styleId="bodytext">
    <w:name w:val="bodytext"/>
    <w:basedOn w:val="Normal"/>
    <w:uiPriority w:val="99"/>
    <w:rsid w:val="004E651E"/>
    <w:pPr>
      <w:spacing w:before="100" w:beforeAutospacing="1" w:after="100" w:afterAutospacing="1"/>
    </w:pPr>
    <w:rPr>
      <w:lang w:val="es-ES"/>
    </w:rPr>
  </w:style>
  <w:style w:type="table" w:customStyle="1" w:styleId="Tablaconcuadrcula27">
    <w:name w:val="Tabla con cuadrícula27"/>
    <w:basedOn w:val="Tablanormal"/>
    <w:next w:val="Tablaconcuadrcula"/>
    <w:rsid w:val="0073496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rsid w:val="008B10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
    <w:name w:val="Sin lista20"/>
    <w:next w:val="Sinlista"/>
    <w:semiHidden/>
    <w:rsid w:val="004900C9"/>
  </w:style>
  <w:style w:type="character" w:customStyle="1" w:styleId="red1">
    <w:name w:val="red1"/>
    <w:basedOn w:val="Fuentedeprrafopredeter"/>
    <w:rsid w:val="004900C9"/>
    <w:rPr>
      <w:color w:val="993300"/>
    </w:rPr>
  </w:style>
  <w:style w:type="table" w:customStyle="1" w:styleId="Tablaconcuadrcula29">
    <w:name w:val="Tabla con cuadrícula29"/>
    <w:basedOn w:val="Tablanormal"/>
    <w:next w:val="Tablaconcuadrcula"/>
    <w:rsid w:val="004900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rsid w:val="00E07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 11"/>
    <w:basedOn w:val="Tablanormal"/>
    <w:next w:val="Tablaconcuadrcula10"/>
    <w:rsid w:val="00025A3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
    <w:name w:val="Sin lista21"/>
    <w:next w:val="Sinlista"/>
    <w:semiHidden/>
    <w:rsid w:val="00EA6632"/>
  </w:style>
  <w:style w:type="table" w:customStyle="1" w:styleId="Tablaconcuadrcula120">
    <w:name w:val="Tabla con cuadrícula 12"/>
    <w:basedOn w:val="Tablanormal"/>
    <w:next w:val="Tablaconcuadrcula10"/>
    <w:rsid w:val="00EA663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0">
    <w:name w:val="Tabla con cuadrícula 13"/>
    <w:basedOn w:val="Tablanormal"/>
    <w:next w:val="Tablaconcuadrcula10"/>
    <w:rsid w:val="00E2779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
    <w:name w:val="Tabla con cuadrícula31"/>
    <w:basedOn w:val="Tablanormal"/>
    <w:next w:val="Tablaconcuadrcula"/>
    <w:rsid w:val="004967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rsid w:val="00B67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next w:val="Tablaconcuadrcula"/>
    <w:rsid w:val="002B6D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
    <w:name w:val="Tabla con cuadrícula 14"/>
    <w:basedOn w:val="Tablanormal"/>
    <w:next w:val="Tablaconcuadrcula10"/>
    <w:rsid w:val="002B6DE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
    <w:name w:val="Tabla con cuadrícula34"/>
    <w:basedOn w:val="Tablanormal"/>
    <w:next w:val="Tablaconcuadrcula"/>
    <w:rsid w:val="009D68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
    <w:name w:val="Tabla con cuadrícula 15"/>
    <w:basedOn w:val="Tablanormal"/>
    <w:next w:val="Tablaconcuadrcula10"/>
    <w:rsid w:val="005E0A4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
    <w:name w:val="Tabla con cuadrícula35"/>
    <w:basedOn w:val="Tablanormal"/>
    <w:next w:val="Tablaconcuadrcula"/>
    <w:rsid w:val="002E77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rsid w:val="00A53CD8"/>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rsid w:val="005F670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semiHidden/>
    <w:rsid w:val="00FA0260"/>
  </w:style>
  <w:style w:type="numbering" w:customStyle="1" w:styleId="Sinlista23">
    <w:name w:val="Sin lista23"/>
    <w:next w:val="Sinlista"/>
    <w:semiHidden/>
    <w:rsid w:val="001972BE"/>
  </w:style>
  <w:style w:type="table" w:customStyle="1" w:styleId="Tablaconcuadrcula38">
    <w:name w:val="Tabla con cuadrícula38"/>
    <w:basedOn w:val="Tablanormal"/>
    <w:next w:val="Tablaconcuadrcula"/>
    <w:rsid w:val="001972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rsid w:val="00D437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semiHidden/>
    <w:rsid w:val="004A5C94"/>
  </w:style>
  <w:style w:type="numbering" w:customStyle="1" w:styleId="Sinlista25">
    <w:name w:val="Sin lista25"/>
    <w:next w:val="Sinlista"/>
    <w:semiHidden/>
    <w:rsid w:val="0022559F"/>
  </w:style>
  <w:style w:type="numbering" w:customStyle="1" w:styleId="Sinlista26">
    <w:name w:val="Sin lista26"/>
    <w:next w:val="Sinlista"/>
    <w:semiHidden/>
    <w:rsid w:val="00A601A8"/>
  </w:style>
  <w:style w:type="table" w:customStyle="1" w:styleId="Tablaconcuadrcula40">
    <w:name w:val="Tabla con cuadrícula40"/>
    <w:basedOn w:val="Tablanormal"/>
    <w:next w:val="Tablaconcuadrcula"/>
    <w:rsid w:val="00A601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
    <w:name w:val="Sin lista27"/>
    <w:next w:val="Sinlista"/>
    <w:semiHidden/>
    <w:rsid w:val="004F6E1D"/>
  </w:style>
  <w:style w:type="table" w:customStyle="1" w:styleId="Tablaconcuadrcula41">
    <w:name w:val="Tabla con cuadrícula41"/>
    <w:basedOn w:val="Tablanormal"/>
    <w:next w:val="Tablaconcuadrcula"/>
    <w:rsid w:val="004F6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rsid w:val="000778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rsid w:val="009D04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rsid w:val="002F0F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 16"/>
    <w:basedOn w:val="Tablanormal"/>
    <w:next w:val="Tablaconcuadrcula10"/>
    <w:rsid w:val="0071070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
    <w:name w:val="Tabla con cuadrícula45"/>
    <w:basedOn w:val="Tablanormal"/>
    <w:next w:val="Tablaconcuadrcula"/>
    <w:rsid w:val="00087A4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rsid w:val="00EC2D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next w:val="Tablaconcuadrcula"/>
    <w:rsid w:val="00F13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next w:val="Tablaconcuadrcula"/>
    <w:rsid w:val="004A7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next w:val="Tablaconcuadrcula"/>
    <w:rsid w:val="003B3D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semiHidden/>
    <w:rsid w:val="003924DE"/>
  </w:style>
  <w:style w:type="paragraph" w:customStyle="1" w:styleId="Textoindependiente4">
    <w:name w:val="Texto independiente 4"/>
    <w:basedOn w:val="Normal"/>
    <w:uiPriority w:val="99"/>
    <w:rsid w:val="003924DE"/>
    <w:pPr>
      <w:tabs>
        <w:tab w:val="num" w:pos="2160"/>
      </w:tabs>
      <w:spacing w:after="240"/>
      <w:ind w:left="2160" w:hanging="720"/>
      <w:jc w:val="both"/>
    </w:pPr>
    <w:rPr>
      <w:rFonts w:eastAsia="Times New Roman"/>
      <w:sz w:val="22"/>
      <w:szCs w:val="22"/>
      <w:lang w:val="es-ES"/>
    </w:rPr>
  </w:style>
  <w:style w:type="table" w:customStyle="1" w:styleId="Tablaconcuadrcula50">
    <w:name w:val="Tabla con cuadrícula50"/>
    <w:basedOn w:val="Tablanormal"/>
    <w:next w:val="Tablaconcuadrcula"/>
    <w:rsid w:val="003924DE"/>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
    <w:name w:val="Tabla con cuadrícula501"/>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
    <w:name w:val="Tabla con cuadrícula 17"/>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0">
    <w:name w:val="Tabla con cuadrícula 18"/>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
    <w:name w:val="Tabla con cuadrícula53"/>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
    <w:name w:val="Tabla con cuadrícula502"/>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
    <w:name w:val="Sin lista29"/>
    <w:next w:val="Sinlista"/>
    <w:semiHidden/>
    <w:rsid w:val="000A5FF6"/>
  </w:style>
  <w:style w:type="table" w:customStyle="1" w:styleId="Tablaconcuadrcula54">
    <w:name w:val="Tabla con cuadrícula54"/>
    <w:basedOn w:val="Tablanormal"/>
    <w:next w:val="Tablaconcuadrcula"/>
    <w:rsid w:val="00BB59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uiestudiosfecha">
    <w:name w:val="data ui_estudios_fecha"/>
    <w:basedOn w:val="Normal"/>
    <w:uiPriority w:val="99"/>
    <w:rsid w:val="003B6C44"/>
    <w:pPr>
      <w:spacing w:before="100" w:beforeAutospacing="1" w:after="100" w:afterAutospacing="1"/>
    </w:pPr>
    <w:rPr>
      <w:rFonts w:eastAsia="Times New Roman"/>
      <w:lang w:val="es-ES"/>
    </w:rPr>
  </w:style>
  <w:style w:type="table" w:customStyle="1" w:styleId="Tablaconcuadrcula55">
    <w:name w:val="Tabla con cuadrícula55"/>
    <w:basedOn w:val="Tablanormal"/>
    <w:next w:val="Tablaconcuadrcula"/>
    <w:rsid w:val="003B6C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 19"/>
    <w:basedOn w:val="Tablanormal"/>
    <w:next w:val="Tablaconcuadrcula10"/>
    <w:rsid w:val="0084258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
    <w:name w:val="Tabla con cuadrícula56"/>
    <w:basedOn w:val="Tablanormal"/>
    <w:next w:val="Tablaconcuadrcula"/>
    <w:rsid w:val="00C4476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
    <w:name w:val="Sin lista30"/>
    <w:next w:val="Sinlista"/>
    <w:semiHidden/>
    <w:rsid w:val="00E945D8"/>
  </w:style>
  <w:style w:type="table" w:customStyle="1" w:styleId="Tablaconcuadrcula1100">
    <w:name w:val="Tabla con cuadrícula 110"/>
    <w:basedOn w:val="Tablanormal"/>
    <w:next w:val="Tablaconcuadrcula10"/>
    <w:rsid w:val="00F0097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
    <w:name w:val="Sin lista31"/>
    <w:next w:val="Sinlista"/>
    <w:semiHidden/>
    <w:rsid w:val="00CA7C6B"/>
  </w:style>
  <w:style w:type="table" w:customStyle="1" w:styleId="Tablaconcuadrcula57">
    <w:name w:val="Tabla con cuadrícula57"/>
    <w:basedOn w:val="Tablanormal"/>
    <w:next w:val="Tablaconcuadrcula"/>
    <w:rsid w:val="00CA7C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
    <w:name w:val="Tabla con cuadrícula58"/>
    <w:basedOn w:val="Tablanormal"/>
    <w:next w:val="Tablaconcuadrcula"/>
    <w:rsid w:val="008C4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
    <w:name w:val="Tabla con cuadrícula59"/>
    <w:basedOn w:val="Tablanormal"/>
    <w:next w:val="Tablaconcuadrcula"/>
    <w:rsid w:val="009C2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
    <w:name w:val="Tabla con cuadrícula60"/>
    <w:basedOn w:val="Tablanormal"/>
    <w:next w:val="Tablaconcuadrcula"/>
    <w:rsid w:val="00E367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rsid w:val="00A83A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rsid w:val="002F1B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semiHidden/>
    <w:rsid w:val="001B51E5"/>
  </w:style>
  <w:style w:type="table" w:customStyle="1" w:styleId="Tablaconcuadrcula63">
    <w:name w:val="Tabla con cuadrícula63"/>
    <w:basedOn w:val="Tablanormal"/>
    <w:next w:val="Tablaconcuadrcula"/>
    <w:rsid w:val="001B51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next w:val="Tablaconcuadrcula"/>
    <w:rsid w:val="00100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semiHidden/>
    <w:unhideWhenUsed/>
    <w:rsid w:val="00E878FA"/>
  </w:style>
  <w:style w:type="table" w:customStyle="1" w:styleId="Tablaconcuadrcula65">
    <w:name w:val="Tabla con cuadrícula65"/>
    <w:basedOn w:val="Tablanormal"/>
    <w:next w:val="Tablaconcuadrcula"/>
    <w:rsid w:val="00E878F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
    <w:name w:val="Sin lista34"/>
    <w:next w:val="Sinlista"/>
    <w:semiHidden/>
    <w:rsid w:val="00D84E42"/>
  </w:style>
  <w:style w:type="numbering" w:customStyle="1" w:styleId="Sinlista35">
    <w:name w:val="Sin lista35"/>
    <w:next w:val="Sinlista"/>
    <w:semiHidden/>
    <w:rsid w:val="004475AF"/>
  </w:style>
  <w:style w:type="table" w:customStyle="1" w:styleId="Tablaconcuadrcula66">
    <w:name w:val="Tabla con cuadrícula66"/>
    <w:basedOn w:val="Tablanormal"/>
    <w:next w:val="Tablaconcuadrcula"/>
    <w:rsid w:val="004475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
    <w:name w:val="Sin lista36"/>
    <w:next w:val="Sinlista"/>
    <w:semiHidden/>
    <w:rsid w:val="00731ED8"/>
  </w:style>
  <w:style w:type="table" w:customStyle="1" w:styleId="Tablaconcuadrcula67">
    <w:name w:val="Tabla con cuadrícula67"/>
    <w:basedOn w:val="Tablanormal"/>
    <w:next w:val="Tablaconcuadrcula"/>
    <w:rsid w:val="00731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
    <w:name w:val="Sin lista37"/>
    <w:next w:val="Sinlista"/>
    <w:semiHidden/>
    <w:rsid w:val="00CB70E2"/>
  </w:style>
  <w:style w:type="table" w:customStyle="1" w:styleId="Tablaconcuadrcula68">
    <w:name w:val="Tabla con cuadrícula68"/>
    <w:basedOn w:val="Tablanormal"/>
    <w:next w:val="Tablaconcuadrcula"/>
    <w:rsid w:val="00CB70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
    <w:name w:val="Sin lista38"/>
    <w:next w:val="Sinlista"/>
    <w:semiHidden/>
    <w:rsid w:val="00DD7E51"/>
  </w:style>
  <w:style w:type="table" w:customStyle="1" w:styleId="Tablaconcuadrcula69">
    <w:name w:val="Tabla con cuadrícula69"/>
    <w:basedOn w:val="Tablanormal"/>
    <w:next w:val="Tablaconcuadrcula"/>
    <w:rsid w:val="00DD7E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
    <w:name w:val="Sin lista39"/>
    <w:next w:val="Sinlista"/>
    <w:semiHidden/>
    <w:rsid w:val="001A050E"/>
  </w:style>
  <w:style w:type="table" w:customStyle="1" w:styleId="Tablaconcuadrcula70">
    <w:name w:val="Tabla con cuadrícula70"/>
    <w:basedOn w:val="Tablanormal"/>
    <w:next w:val="Tablaconcuadrcula"/>
    <w:rsid w:val="001A0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rsid w:val="007725F5"/>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
    <w:name w:val="Sin lista40"/>
    <w:next w:val="Sinlista"/>
    <w:semiHidden/>
    <w:rsid w:val="0045343E"/>
  </w:style>
  <w:style w:type="table" w:customStyle="1" w:styleId="Tablaconcuadrcula72">
    <w:name w:val="Tabla con cuadrícula72"/>
    <w:basedOn w:val="Tablanormal"/>
    <w:next w:val="Tablaconcuadrcula"/>
    <w:rsid w:val="004534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semiHidden/>
    <w:rsid w:val="00186AC2"/>
  </w:style>
  <w:style w:type="table" w:customStyle="1" w:styleId="Tablaconcuadrcula73">
    <w:name w:val="Tabla con cuadrícula73"/>
    <w:basedOn w:val="Tablanormal"/>
    <w:next w:val="Tablaconcuadrcula"/>
    <w:rsid w:val="00186A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next w:val="Tablaconcuadrcula"/>
    <w:rsid w:val="00537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next w:val="Tablaconcuadrcula"/>
    <w:rsid w:val="003C17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semiHidden/>
    <w:rsid w:val="008D09B1"/>
  </w:style>
  <w:style w:type="table" w:customStyle="1" w:styleId="Tablaconcuadrcula76">
    <w:name w:val="Tabla con cuadrícula76"/>
    <w:basedOn w:val="Tablanormal"/>
    <w:next w:val="Tablaconcuadrcula"/>
    <w:rsid w:val="002A7B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
    <w:name w:val="Tabla con cuadrícula77"/>
    <w:basedOn w:val="Tablanormal"/>
    <w:next w:val="Tablaconcuadrcula"/>
    <w:rsid w:val="00862C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semiHidden/>
    <w:rsid w:val="009672B9"/>
  </w:style>
  <w:style w:type="table" w:customStyle="1" w:styleId="Tablaconcuadrcula78">
    <w:name w:val="Tabla con cuadrícula78"/>
    <w:basedOn w:val="Tablanormal"/>
    <w:next w:val="Tablaconcuadrcula"/>
    <w:rsid w:val="009672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
    <w:name w:val="Tabla con cuadrícula79"/>
    <w:basedOn w:val="Tablanormal"/>
    <w:next w:val="Tablaconcuadrcula"/>
    <w:rsid w:val="00451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0"/>
    <w:basedOn w:val="Tablanormal"/>
    <w:next w:val="Tablaconcuadrcula"/>
    <w:rsid w:val="00FB1D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semiHidden/>
    <w:rsid w:val="00E52E8A"/>
  </w:style>
  <w:style w:type="table" w:customStyle="1" w:styleId="Tablaconcuadrcula81">
    <w:name w:val="Tabla con cuadrícula81"/>
    <w:basedOn w:val="Tablanormal"/>
    <w:next w:val="Tablaconcuadrcula"/>
    <w:rsid w:val="00E52E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rsid w:val="00AE5A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
    <w:name w:val="Sin lista45"/>
    <w:next w:val="Sinlista"/>
    <w:semiHidden/>
    <w:rsid w:val="00AB2382"/>
  </w:style>
  <w:style w:type="table" w:customStyle="1" w:styleId="Tablaconcuadrcula83">
    <w:name w:val="Tabla con cuadrícula83"/>
    <w:basedOn w:val="Tablanormal"/>
    <w:next w:val="Tablaconcuadrcula"/>
    <w:rsid w:val="00AB2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
    <w:name w:val="Sin lista46"/>
    <w:next w:val="Sinlista"/>
    <w:semiHidden/>
    <w:rsid w:val="00CF064F"/>
  </w:style>
  <w:style w:type="table" w:customStyle="1" w:styleId="Tablaconcuadrcula84">
    <w:name w:val="Tabla con cuadrícula84"/>
    <w:basedOn w:val="Tablanormal"/>
    <w:next w:val="Tablaconcuadrcula"/>
    <w:rsid w:val="00CF06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next w:val="Tablaconcuadrcula"/>
    <w:rsid w:val="007666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
    <w:name w:val="Tabla con cuadrícula86"/>
    <w:basedOn w:val="Tablanormal"/>
    <w:next w:val="Tablaconcuadrcula"/>
    <w:rsid w:val="006D29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
    <w:name w:val="Sin lista47"/>
    <w:next w:val="Sinlista"/>
    <w:semiHidden/>
    <w:rsid w:val="008C25B4"/>
  </w:style>
  <w:style w:type="table" w:customStyle="1" w:styleId="Tablaconcuadrcula87">
    <w:name w:val="Tabla con cuadrícula87"/>
    <w:basedOn w:val="Tablanormal"/>
    <w:next w:val="Tablaconcuadrcula"/>
    <w:rsid w:val="00E34A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
    <w:name w:val="Tabla con cuadrícula88"/>
    <w:basedOn w:val="Tablanormal"/>
    <w:next w:val="Tablaconcuadrcula"/>
    <w:rsid w:val="003F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
    <w:name w:val="Sin lista48"/>
    <w:next w:val="Sinlista"/>
    <w:semiHidden/>
    <w:rsid w:val="00420F12"/>
  </w:style>
  <w:style w:type="table" w:customStyle="1" w:styleId="Tablaconcuadrcula89">
    <w:name w:val="Tabla con cuadrícula89"/>
    <w:basedOn w:val="Tablanormal"/>
    <w:next w:val="Tablaconcuadrcula"/>
    <w:rsid w:val="00420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
    <w:name w:val="Tabla con cuadrícula90"/>
    <w:basedOn w:val="Tablanormal"/>
    <w:next w:val="Tablaconcuadrcula"/>
    <w:rsid w:val="00CD7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rsid w:val="006850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
    <w:name w:val="Sin lista49"/>
    <w:next w:val="Sinlista"/>
    <w:semiHidden/>
    <w:rsid w:val="00A50640"/>
  </w:style>
  <w:style w:type="table" w:customStyle="1" w:styleId="Tablaconcuadrcula92">
    <w:name w:val="Tabla con cuadrícula92"/>
    <w:basedOn w:val="Tablanormal"/>
    <w:next w:val="Tablaconcuadrcula"/>
    <w:rsid w:val="007323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gress1">
    <w:name w:val="ingress1"/>
    <w:basedOn w:val="Normal"/>
    <w:uiPriority w:val="99"/>
    <w:rsid w:val="009D78DB"/>
    <w:pPr>
      <w:spacing w:before="100" w:beforeAutospacing="1" w:after="180"/>
    </w:pPr>
    <w:rPr>
      <w:rFonts w:eastAsia="Times New Roman"/>
      <w:b/>
      <w:bCs/>
      <w:color w:val="333333"/>
      <w:lang w:val="es-ES"/>
    </w:rPr>
  </w:style>
  <w:style w:type="numbering" w:customStyle="1" w:styleId="Sinlista50">
    <w:name w:val="Sin lista50"/>
    <w:next w:val="Sinlista"/>
    <w:semiHidden/>
    <w:rsid w:val="00B8080B"/>
  </w:style>
  <w:style w:type="table" w:customStyle="1" w:styleId="Tablaconcuadrcula93">
    <w:name w:val="Tabla con cuadrícula93"/>
    <w:basedOn w:val="Tablanormal"/>
    <w:next w:val="Tablaconcuadrcula"/>
    <w:rsid w:val="00B808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rsid w:val="005E4C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
    <w:name w:val="Sin lista51"/>
    <w:next w:val="Sinlista"/>
    <w:semiHidden/>
    <w:rsid w:val="00202DB4"/>
  </w:style>
  <w:style w:type="table" w:customStyle="1" w:styleId="Tablaconcuadrcula95">
    <w:name w:val="Tabla con cuadrícula95"/>
    <w:basedOn w:val="Tablanormal"/>
    <w:next w:val="Tablaconcuadrcula"/>
    <w:rsid w:val="00202D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
    <w:name w:val="Tabla con cuadrícula96"/>
    <w:basedOn w:val="Tablanormal"/>
    <w:next w:val="Tablaconcuadrcula"/>
    <w:rsid w:val="008542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
    <w:name w:val="Sin lista52"/>
    <w:next w:val="Sinlista"/>
    <w:semiHidden/>
    <w:rsid w:val="00AD691E"/>
  </w:style>
  <w:style w:type="numbering" w:customStyle="1" w:styleId="Sinlista53">
    <w:name w:val="Sin lista53"/>
    <w:next w:val="Sinlista"/>
    <w:semiHidden/>
    <w:rsid w:val="00F9628C"/>
  </w:style>
  <w:style w:type="table" w:customStyle="1" w:styleId="Tablaconcuadrcula97">
    <w:name w:val="Tabla con cuadrícula97"/>
    <w:basedOn w:val="Tablanormal"/>
    <w:next w:val="Tablaconcuadrcula"/>
    <w:rsid w:val="00732FD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
    <w:name w:val="Sin lista54"/>
    <w:next w:val="Sinlista"/>
    <w:semiHidden/>
    <w:rsid w:val="00B96C72"/>
  </w:style>
  <w:style w:type="table" w:customStyle="1" w:styleId="Tablaconcuadrcula98">
    <w:name w:val="Tabla con cuadrícula98"/>
    <w:basedOn w:val="Tablanormal"/>
    <w:next w:val="Tablaconcuadrcula"/>
    <w:rsid w:val="006106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
    <w:name w:val="Tabla con cuadrícula99"/>
    <w:basedOn w:val="Tablanormal"/>
    <w:next w:val="Tablaconcuadrcula"/>
    <w:rsid w:val="009A3A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
    <w:name w:val="Sin lista55"/>
    <w:next w:val="Sinlista"/>
    <w:semiHidden/>
    <w:rsid w:val="005C23F4"/>
  </w:style>
  <w:style w:type="table" w:customStyle="1" w:styleId="Tablaconcuadrcula1000">
    <w:name w:val="Tabla con cuadrícula100"/>
    <w:basedOn w:val="Tablanormal"/>
    <w:next w:val="Tablaconcuadrcula"/>
    <w:rsid w:val="00E33DC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next w:val="Tablaconcuadrcula10"/>
    <w:rsid w:val="000E775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
    <w:name w:val="Sin lista56"/>
    <w:next w:val="Sinlista"/>
    <w:semiHidden/>
    <w:rsid w:val="00392B76"/>
  </w:style>
  <w:style w:type="table" w:customStyle="1" w:styleId="Tablaconcuadrcula101">
    <w:name w:val="Tabla con cuadrícula101"/>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oogle-src-text1">
    <w:name w:val="google-src-text1"/>
    <w:basedOn w:val="Fuentedeprrafopredeter"/>
    <w:rsid w:val="00392B76"/>
    <w:rPr>
      <w:vanish/>
      <w:webHidden w:val="0"/>
      <w:specVanish w:val="0"/>
    </w:rPr>
  </w:style>
  <w:style w:type="table" w:customStyle="1" w:styleId="Tablaconcuadrcula102">
    <w:name w:val="Tabla con cuadrícula102"/>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next w:val="Tablaconcuadrcula"/>
    <w:rsid w:val="00604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
    <w:name w:val="Sin lista57"/>
    <w:next w:val="Sinlista"/>
    <w:semiHidden/>
    <w:rsid w:val="002E0702"/>
  </w:style>
  <w:style w:type="table" w:customStyle="1" w:styleId="Tablaconcuadrcula112">
    <w:name w:val="Tabla con cuadrícula 112"/>
    <w:basedOn w:val="Tablanormal"/>
    <w:next w:val="Tablaconcuadrcula10"/>
    <w:rsid w:val="006827C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
    <w:name w:val="Tabla con cuadrícula104"/>
    <w:basedOn w:val="Tablanormal"/>
    <w:next w:val="Tablaconcuadrcula"/>
    <w:rsid w:val="007E32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
    <w:name w:val="Sin lista58"/>
    <w:next w:val="Sinlista"/>
    <w:semiHidden/>
    <w:rsid w:val="00DA3F44"/>
  </w:style>
  <w:style w:type="table" w:customStyle="1" w:styleId="Tablaconcuadrcula105">
    <w:name w:val="Tabla con cuadrícula105"/>
    <w:basedOn w:val="Tablanormal"/>
    <w:next w:val="Tablaconcuadrcula"/>
    <w:rsid w:val="00DA3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
    <w:name w:val="Sin lista59"/>
    <w:next w:val="Sinlista"/>
    <w:semiHidden/>
    <w:rsid w:val="000255E0"/>
  </w:style>
  <w:style w:type="table" w:customStyle="1" w:styleId="Tablaconcuadrcula106">
    <w:name w:val="Tabla con cuadrícula106"/>
    <w:basedOn w:val="Tablanormal"/>
    <w:next w:val="Tablaconcuadrcula"/>
    <w:rsid w:val="0055173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
    <w:name w:val="Tabla con cuadrícula107"/>
    <w:basedOn w:val="Tablanormal"/>
    <w:next w:val="Tablaconcuadrcula"/>
    <w:rsid w:val="007E1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
    <w:name w:val="Tabla con cuadrícula108"/>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
    <w:name w:val="Tabla con cuadrícula109"/>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112"/>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
    <w:name w:val="Sin lista60"/>
    <w:next w:val="Sinlista"/>
    <w:semiHidden/>
    <w:rsid w:val="00475800"/>
  </w:style>
  <w:style w:type="table" w:customStyle="1" w:styleId="Tablaconcuadrcula113">
    <w:name w:val="Tabla con cuadrícula113"/>
    <w:basedOn w:val="Tablanormal"/>
    <w:next w:val="Tablaconcuadrcula"/>
    <w:rsid w:val="00475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
    <w:name w:val="Sin lista61"/>
    <w:next w:val="Sinlista"/>
    <w:semiHidden/>
    <w:rsid w:val="00232E03"/>
  </w:style>
  <w:style w:type="table" w:customStyle="1" w:styleId="Tablaconcuadrcula114">
    <w:name w:val="Tabla con cuadrícula114"/>
    <w:basedOn w:val="Tablanormal"/>
    <w:next w:val="Tablaconcuadrcula"/>
    <w:rsid w:val="00232E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rsid w:val="009E3C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
    <w:name w:val="Sin lista62"/>
    <w:next w:val="Sinlista"/>
    <w:semiHidden/>
    <w:rsid w:val="006D6FD6"/>
  </w:style>
  <w:style w:type="table" w:customStyle="1" w:styleId="Tablaconcuadrcula116">
    <w:name w:val="Tabla con cuadrícula116"/>
    <w:basedOn w:val="Tablanormal"/>
    <w:next w:val="Tablaconcuadrcula"/>
    <w:rsid w:val="006D6F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0">
    <w:name w:val="Tabla con cuadrícula 113"/>
    <w:basedOn w:val="Tablanormal"/>
    <w:next w:val="Tablaconcuadrcula10"/>
    <w:rsid w:val="0061162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
    <w:name w:val="Sin lista63"/>
    <w:next w:val="Sinlista"/>
    <w:semiHidden/>
    <w:rsid w:val="00544AC2"/>
  </w:style>
  <w:style w:type="paragraph" w:customStyle="1" w:styleId="xl66">
    <w:name w:val="xl66"/>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67">
    <w:name w:val="xl67"/>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68">
    <w:name w:val="xl68"/>
    <w:basedOn w:val="Normal"/>
    <w:uiPriority w:val="99"/>
    <w:rsid w:val="001A41F9"/>
    <w:pPr>
      <w:spacing w:before="100" w:beforeAutospacing="1" w:after="100" w:afterAutospacing="1"/>
      <w:jc w:val="center"/>
    </w:pPr>
    <w:rPr>
      <w:rFonts w:ascii="Arial" w:eastAsia="Times New Roman" w:hAnsi="Arial" w:cs="Arial"/>
      <w:b/>
      <w:bCs/>
      <w:sz w:val="16"/>
      <w:szCs w:val="16"/>
      <w:lang w:val="es-ES"/>
    </w:rPr>
  </w:style>
  <w:style w:type="paragraph" w:customStyle="1" w:styleId="xl69">
    <w:name w:val="xl69"/>
    <w:basedOn w:val="Normal"/>
    <w:uiPriority w:val="99"/>
    <w:rsid w:val="001A41F9"/>
    <w:pPr>
      <w:spacing w:before="100" w:beforeAutospacing="1" w:after="100" w:afterAutospacing="1"/>
    </w:pPr>
    <w:rPr>
      <w:rFonts w:ascii="Arial" w:eastAsia="Times New Roman" w:hAnsi="Arial" w:cs="Arial"/>
      <w:b/>
      <w:bCs/>
      <w:sz w:val="16"/>
      <w:szCs w:val="16"/>
      <w:lang w:val="es-ES"/>
    </w:rPr>
  </w:style>
  <w:style w:type="paragraph" w:customStyle="1" w:styleId="xl70">
    <w:name w:val="xl70"/>
    <w:basedOn w:val="Normal"/>
    <w:uiPriority w:val="99"/>
    <w:rsid w:val="001A41F9"/>
    <w:pPr>
      <w:spacing w:before="100" w:beforeAutospacing="1" w:after="100" w:afterAutospacing="1"/>
    </w:pPr>
    <w:rPr>
      <w:rFonts w:ascii="Arial" w:eastAsia="Times New Roman" w:hAnsi="Arial" w:cs="Arial"/>
      <w:lang w:val="es-ES"/>
    </w:rPr>
  </w:style>
  <w:style w:type="paragraph" w:customStyle="1" w:styleId="xl71">
    <w:name w:val="xl71"/>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72">
    <w:name w:val="xl72"/>
    <w:basedOn w:val="Normal"/>
    <w:uiPriority w:val="99"/>
    <w:rsid w:val="001A41F9"/>
    <w:pPr>
      <w:spacing w:before="100" w:beforeAutospacing="1" w:after="100" w:afterAutospacing="1"/>
      <w:jc w:val="center"/>
    </w:pPr>
    <w:rPr>
      <w:rFonts w:ascii="Arial" w:eastAsia="Times New Roman" w:hAnsi="Arial" w:cs="Arial"/>
      <w:b/>
      <w:bCs/>
      <w:sz w:val="14"/>
      <w:szCs w:val="14"/>
      <w:lang w:val="es-ES"/>
    </w:rPr>
  </w:style>
  <w:style w:type="paragraph" w:customStyle="1" w:styleId="xl73">
    <w:name w:val="xl73"/>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74">
    <w:name w:val="xl74"/>
    <w:basedOn w:val="Normal"/>
    <w:uiPriority w:val="99"/>
    <w:rsid w:val="001A41F9"/>
    <w:pPr>
      <w:pBdr>
        <w:top w:val="single" w:sz="8" w:space="0" w:color="auto"/>
        <w:left w:val="single" w:sz="8" w:space="0" w:color="auto"/>
        <w:bottom w:val="single" w:sz="8" w:space="0" w:color="auto"/>
      </w:pBdr>
      <w:spacing w:before="100" w:beforeAutospacing="1" w:after="100" w:afterAutospacing="1"/>
      <w:jc w:val="center"/>
    </w:pPr>
    <w:rPr>
      <w:rFonts w:ascii="Arial" w:eastAsia="Times New Roman" w:hAnsi="Arial" w:cs="Arial"/>
      <w:b/>
      <w:bCs/>
      <w:lang w:val="es-ES"/>
    </w:rPr>
  </w:style>
  <w:style w:type="paragraph" w:customStyle="1" w:styleId="xl75">
    <w:name w:val="xl75"/>
    <w:basedOn w:val="Normal"/>
    <w:uiPriority w:val="99"/>
    <w:rsid w:val="001A41F9"/>
    <w:pPr>
      <w:pBdr>
        <w:top w:val="single" w:sz="8" w:space="0" w:color="auto"/>
        <w:bottom w:val="single" w:sz="8" w:space="0" w:color="auto"/>
      </w:pBdr>
      <w:spacing w:before="100" w:beforeAutospacing="1" w:after="100" w:afterAutospacing="1"/>
      <w:jc w:val="center"/>
    </w:pPr>
    <w:rPr>
      <w:rFonts w:eastAsia="Times New Roman"/>
      <w:lang w:val="es-ES"/>
    </w:rPr>
  </w:style>
  <w:style w:type="paragraph" w:customStyle="1" w:styleId="xl76">
    <w:name w:val="xl76"/>
    <w:basedOn w:val="Normal"/>
    <w:uiPriority w:val="99"/>
    <w:rsid w:val="001A41F9"/>
    <w:pPr>
      <w:pBdr>
        <w:top w:val="single" w:sz="8" w:space="0" w:color="auto"/>
        <w:bottom w:val="single" w:sz="8" w:space="0" w:color="auto"/>
        <w:right w:val="single" w:sz="8" w:space="0" w:color="auto"/>
      </w:pBdr>
      <w:spacing w:before="100" w:beforeAutospacing="1" w:after="100" w:afterAutospacing="1"/>
      <w:jc w:val="center"/>
    </w:pPr>
    <w:rPr>
      <w:rFonts w:eastAsia="Times New Roman"/>
      <w:lang w:val="es-ES"/>
    </w:rPr>
  </w:style>
  <w:style w:type="table" w:customStyle="1" w:styleId="Tablaconcuadrcula117">
    <w:name w:val="Tabla con cuadrícula117"/>
    <w:basedOn w:val="Tablanormal"/>
    <w:next w:val="Tablaconcuadrcula"/>
    <w:rsid w:val="006E68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
    <w:name w:val="Sin lista64"/>
    <w:next w:val="Sinlista"/>
    <w:semiHidden/>
    <w:rsid w:val="00021617"/>
  </w:style>
  <w:style w:type="table" w:customStyle="1" w:styleId="Tablaconcuadrcula118">
    <w:name w:val="Tabla con cuadrícula118"/>
    <w:basedOn w:val="Tablanormal"/>
    <w:next w:val="Tablaconcuadrcula"/>
    <w:rsid w:val="000216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
    <w:name w:val="Sin lista65"/>
    <w:next w:val="Sinlista"/>
    <w:semiHidden/>
    <w:rsid w:val="000718D5"/>
  </w:style>
  <w:style w:type="table" w:customStyle="1" w:styleId="Tablaconcuadrcula119">
    <w:name w:val="Tabla con cuadrícula119"/>
    <w:basedOn w:val="Tablanormal"/>
    <w:next w:val="Tablaconcuadrcula"/>
    <w:rsid w:val="001131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
    <w:name w:val="Sin lista66"/>
    <w:next w:val="Sinlista"/>
    <w:semiHidden/>
    <w:rsid w:val="002008A7"/>
  </w:style>
  <w:style w:type="table" w:customStyle="1" w:styleId="Tablaconcuadrcula1200">
    <w:name w:val="Tabla con cuadrícula120"/>
    <w:basedOn w:val="Tablanormal"/>
    <w:next w:val="Tablaconcuadrcula"/>
    <w:rsid w:val="002008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
    <w:name w:val="Sin lista67"/>
    <w:next w:val="Sinlista"/>
    <w:semiHidden/>
    <w:rsid w:val="00353D07"/>
  </w:style>
  <w:style w:type="numbering" w:customStyle="1" w:styleId="Sinlista68">
    <w:name w:val="Sin lista68"/>
    <w:next w:val="Sinlista"/>
    <w:semiHidden/>
    <w:rsid w:val="000A0412"/>
  </w:style>
  <w:style w:type="table" w:customStyle="1" w:styleId="Tablaconcuadrcula121">
    <w:name w:val="Tabla con cuadrícula121"/>
    <w:basedOn w:val="Tablanormal"/>
    <w:next w:val="Tablaconcuadrcula"/>
    <w:rsid w:val="000A04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rsid w:val="008D68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rsid w:val="00CC06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
    <w:name w:val="Sin lista69"/>
    <w:next w:val="Sinlista"/>
    <w:semiHidden/>
    <w:rsid w:val="009F0276"/>
  </w:style>
  <w:style w:type="table" w:customStyle="1" w:styleId="Tablaconcuadrcula124">
    <w:name w:val="Tabla con cuadrícula124"/>
    <w:basedOn w:val="Tablanormal"/>
    <w:next w:val="Tablaconcuadrcula"/>
    <w:rsid w:val="002178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next w:val="Tablaconcuadrcula"/>
    <w:rsid w:val="00A956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next w:val="Tablaconcuadrcula"/>
    <w:rsid w:val="00DA7D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
    <w:name w:val="Tabla con cuadrícula127"/>
    <w:basedOn w:val="Tablanormal"/>
    <w:next w:val="Tablaconcuadrcula"/>
    <w:rsid w:val="002D59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next w:val="Tablaconcuadrcula"/>
    <w:rsid w:val="00C124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
    <w:name w:val="Sin lista70"/>
    <w:next w:val="Sinlista"/>
    <w:semiHidden/>
    <w:rsid w:val="00C124B0"/>
  </w:style>
  <w:style w:type="numbering" w:customStyle="1" w:styleId="Sinlista71">
    <w:name w:val="Sin lista71"/>
    <w:next w:val="Sinlista"/>
    <w:semiHidden/>
    <w:rsid w:val="002C60C0"/>
  </w:style>
  <w:style w:type="table" w:customStyle="1" w:styleId="Tablaconcuadrcula129">
    <w:name w:val="Tabla con cuadrícula129"/>
    <w:basedOn w:val="Tablanormal"/>
    <w:next w:val="Tablaconcuadrcula"/>
    <w:rsid w:val="002C6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
    <w:name w:val="Sin lista72"/>
    <w:next w:val="Sinlista"/>
    <w:semiHidden/>
    <w:rsid w:val="00CB4B12"/>
  </w:style>
  <w:style w:type="table" w:customStyle="1" w:styleId="Tablaconcuadrcula1300">
    <w:name w:val="Tabla con cuadrícula130"/>
    <w:basedOn w:val="Tablanormal"/>
    <w:next w:val="Tablaconcuadrcula"/>
    <w:rsid w:val="00CB4B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rsid w:val="00A40F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
    <w:name w:val="Sin lista73"/>
    <w:next w:val="Sinlista"/>
    <w:semiHidden/>
    <w:rsid w:val="00D1607E"/>
  </w:style>
  <w:style w:type="table" w:customStyle="1" w:styleId="Tablaconcuadrcula133">
    <w:name w:val="Tabla con cuadrícula133"/>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next w:val="Tablaconcuadrcula"/>
    <w:rsid w:val="00FA59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next w:val="Tablaconcuadrcula"/>
    <w:rsid w:val="00A25D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
    <w:name w:val="Sin lista74"/>
    <w:next w:val="Sinlista"/>
    <w:semiHidden/>
    <w:rsid w:val="00D85EC0"/>
  </w:style>
  <w:style w:type="table" w:customStyle="1" w:styleId="Tablaconcuadrcula136">
    <w:name w:val="Tabla con cuadrícula136"/>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next w:val="Tablaconcuadrcula"/>
    <w:rsid w:val="00D85EC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0">
    <w:name w:val="Tabla con cuadrícula140"/>
    <w:basedOn w:val="Tablanormal"/>
    <w:next w:val="Tablaconcuadrcula"/>
    <w:rsid w:val="007D0A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FB734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rsid w:val="002749F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rsid w:val="006A5F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rsid w:val="006A5FE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
    <w:name w:val="Sin lista75"/>
    <w:next w:val="Sinlista"/>
    <w:semiHidden/>
    <w:rsid w:val="006616BE"/>
  </w:style>
  <w:style w:type="table" w:customStyle="1" w:styleId="Tablaconcuadrcula145">
    <w:name w:val="Tabla con cuadrícula145"/>
    <w:basedOn w:val="Tablanormal"/>
    <w:next w:val="Tablaconcuadrcula"/>
    <w:rsid w:val="006616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
    <w:name w:val="Sin lista76"/>
    <w:next w:val="Sinlista"/>
    <w:semiHidden/>
    <w:rsid w:val="00A16993"/>
  </w:style>
  <w:style w:type="table" w:customStyle="1" w:styleId="Tablaconcuadrcula146">
    <w:name w:val="Tabla con cuadrícula146"/>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0">
    <w:name w:val="Tabla con cuadrícula 114"/>
    <w:basedOn w:val="Tablanormal"/>
    <w:next w:val="Tablaconcuadrcula10"/>
    <w:rsid w:val="006A438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
    <w:name w:val="Tabla con cuadrícula147"/>
    <w:basedOn w:val="Tablanormal"/>
    <w:next w:val="Tablaconcuadrcula"/>
    <w:rsid w:val="002833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0">
    <w:name w:val="Tabla con cuadrícula 115"/>
    <w:basedOn w:val="Tablanormal"/>
    <w:next w:val="Tablaconcuadrcula10"/>
    <w:rsid w:val="007F120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
    <w:name w:val="Tabla con cuadrícula148"/>
    <w:basedOn w:val="Tablanormal"/>
    <w:next w:val="Tablaconcuadrcula"/>
    <w:rsid w:val="000816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next w:val="Tablaconcuadrcula"/>
    <w:rsid w:val="006861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0">
    <w:name w:val="Tabla con cuadrícula150"/>
    <w:basedOn w:val="Tablanormal"/>
    <w:next w:val="Tablaconcuadrcula"/>
    <w:rsid w:val="004A325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
    <w:name w:val="Sin lista77"/>
    <w:next w:val="Sinlista"/>
    <w:semiHidden/>
    <w:rsid w:val="00AF04A7"/>
  </w:style>
  <w:style w:type="table" w:customStyle="1" w:styleId="Tablaconcuadrcula151">
    <w:name w:val="Tabla con cuadrícula151"/>
    <w:basedOn w:val="Tablanormal"/>
    <w:next w:val="Tablaconcuadrcula"/>
    <w:rsid w:val="00AF04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next w:val="Tablaconcuadrcula"/>
    <w:rsid w:val="00C52D1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
    <w:name w:val="Tabla con cuadrícula153"/>
    <w:basedOn w:val="Tablanormal"/>
    <w:next w:val="Tablaconcuadrcula"/>
    <w:rsid w:val="00DE13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
    <w:name w:val="Tabla con cuadrícula154"/>
    <w:basedOn w:val="Tablanormal"/>
    <w:next w:val="Tablaconcuadrcula"/>
    <w:rsid w:val="00377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ulonoticia">
    <w:name w:val="titulonoticia"/>
    <w:basedOn w:val="Normal"/>
    <w:uiPriority w:val="99"/>
    <w:rsid w:val="000D35D2"/>
    <w:pPr>
      <w:spacing w:before="100" w:beforeAutospacing="1" w:after="100" w:afterAutospacing="1"/>
      <w:jc w:val="both"/>
    </w:pPr>
    <w:rPr>
      <w:rFonts w:ascii="Arial" w:eastAsia="Times New Roman" w:hAnsi="Arial" w:cs="Arial"/>
      <w:b/>
      <w:bCs/>
      <w:color w:val="285480"/>
      <w:sz w:val="27"/>
      <w:szCs w:val="27"/>
      <w:lang w:val="es-ES"/>
    </w:rPr>
  </w:style>
  <w:style w:type="numbering" w:customStyle="1" w:styleId="Sinlista78">
    <w:name w:val="Sin lista78"/>
    <w:next w:val="Sinlista"/>
    <w:semiHidden/>
    <w:rsid w:val="00C02A88"/>
  </w:style>
  <w:style w:type="table" w:customStyle="1" w:styleId="Tablaconcuadrcula1160">
    <w:name w:val="Tabla con cuadrícula 116"/>
    <w:basedOn w:val="Tablanormal"/>
    <w:next w:val="Tablaconcuadrcula10"/>
    <w:rsid w:val="004A1FA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0">
    <w:name w:val="Tabla con cuadrícula 117"/>
    <w:basedOn w:val="Tablanormal"/>
    <w:next w:val="Tablaconcuadrcula10"/>
    <w:rsid w:val="00E741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0">
    <w:name w:val="Tabla con cuadrícula 118"/>
    <w:basedOn w:val="Tablanormal"/>
    <w:next w:val="Tablaconcuadrcula10"/>
    <w:rsid w:val="00376C5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
    <w:name w:val="Sin lista79"/>
    <w:next w:val="Sinlista"/>
    <w:semiHidden/>
    <w:rsid w:val="005D5F76"/>
  </w:style>
  <w:style w:type="table" w:customStyle="1" w:styleId="Tablaconcuadrcula155">
    <w:name w:val="Tabla con cuadrícula155"/>
    <w:basedOn w:val="Tablanormal"/>
    <w:next w:val="Tablaconcuadrcula"/>
    <w:rsid w:val="005D5F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
    <w:name w:val="Sin lista80"/>
    <w:next w:val="Sinlista"/>
    <w:semiHidden/>
    <w:rsid w:val="001F1386"/>
  </w:style>
  <w:style w:type="table" w:customStyle="1" w:styleId="Tablaconcuadrcula156">
    <w:name w:val="Tabla con cuadrícula156"/>
    <w:basedOn w:val="Tablanormal"/>
    <w:next w:val="Tablaconcuadrcula"/>
    <w:rsid w:val="001F13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
    <w:name w:val="Tabla con cuadrícula157"/>
    <w:basedOn w:val="Tablanormal"/>
    <w:next w:val="Tablaconcuadrcula"/>
    <w:rsid w:val="00E770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
    <w:name w:val="Sin lista81"/>
    <w:next w:val="Sinlista"/>
    <w:semiHidden/>
    <w:rsid w:val="006427BF"/>
  </w:style>
  <w:style w:type="table" w:customStyle="1" w:styleId="Tablaconcuadrcula158">
    <w:name w:val="Tabla con cuadrícula158"/>
    <w:basedOn w:val="Tablanormal"/>
    <w:next w:val="Tablaconcuadrcula"/>
    <w:rsid w:val="006427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
    <w:name w:val="Sin lista82"/>
    <w:next w:val="Sinlista"/>
    <w:semiHidden/>
    <w:rsid w:val="00510851"/>
  </w:style>
  <w:style w:type="table" w:customStyle="1" w:styleId="Tablaconcuadrcula159">
    <w:name w:val="Tabla con cuadrícula159"/>
    <w:basedOn w:val="Tablanormal"/>
    <w:next w:val="Tablaconcuadrcula"/>
    <w:rsid w:val="005108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
    <w:name w:val="Sin lista83"/>
    <w:next w:val="Sinlista"/>
    <w:semiHidden/>
    <w:rsid w:val="00267A81"/>
  </w:style>
  <w:style w:type="table" w:customStyle="1" w:styleId="Tablaconcuadrcula1610">
    <w:name w:val="Tabla con cuadrícula161"/>
    <w:basedOn w:val="Tablanormal"/>
    <w:next w:val="Tablaconcuadrcula"/>
    <w:rsid w:val="00267A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next w:val="Tablaconcuadrcula"/>
    <w:rsid w:val="00652C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next w:val="Tablaconcuadrcula"/>
    <w:rsid w:val="00A708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next w:val="Tablaconcuadrcula"/>
    <w:rsid w:val="004466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4">
    <w:name w:val="List 4"/>
    <w:basedOn w:val="Normal"/>
    <w:uiPriority w:val="99"/>
    <w:rsid w:val="00F92304"/>
    <w:pPr>
      <w:ind w:left="1132" w:hanging="283"/>
    </w:pPr>
  </w:style>
  <w:style w:type="paragraph" w:styleId="Lista5">
    <w:name w:val="List 5"/>
    <w:basedOn w:val="Normal"/>
    <w:uiPriority w:val="99"/>
    <w:rsid w:val="00F92304"/>
    <w:pPr>
      <w:ind w:left="1415" w:hanging="283"/>
    </w:pPr>
  </w:style>
  <w:style w:type="paragraph" w:styleId="Listaconvietas4">
    <w:name w:val="List Bullet 4"/>
    <w:basedOn w:val="Normal"/>
    <w:uiPriority w:val="99"/>
    <w:rsid w:val="00F92304"/>
    <w:pPr>
      <w:numPr>
        <w:numId w:val="8"/>
      </w:numPr>
    </w:pPr>
  </w:style>
  <w:style w:type="paragraph" w:styleId="Continuarlista3">
    <w:name w:val="List Continue 3"/>
    <w:basedOn w:val="Normal"/>
    <w:uiPriority w:val="99"/>
    <w:rsid w:val="00F92304"/>
    <w:pPr>
      <w:spacing w:after="120"/>
      <w:ind w:left="849"/>
    </w:pPr>
  </w:style>
  <w:style w:type="paragraph" w:styleId="Continuarlista4">
    <w:name w:val="List Continue 4"/>
    <w:basedOn w:val="Normal"/>
    <w:uiPriority w:val="99"/>
    <w:rsid w:val="00F92304"/>
    <w:pPr>
      <w:spacing w:after="120"/>
      <w:ind w:left="1132"/>
    </w:pPr>
  </w:style>
  <w:style w:type="paragraph" w:styleId="Textoindependienteprimerasangra">
    <w:name w:val="Body Text First Indent"/>
    <w:basedOn w:val="Textoindependiente"/>
    <w:link w:val="TextoindependienteprimerasangraCar"/>
    <w:uiPriority w:val="99"/>
    <w:rsid w:val="00F92304"/>
    <w:pPr>
      <w:spacing w:after="120"/>
      <w:ind w:firstLine="210"/>
      <w:jc w:val="left"/>
    </w:pPr>
    <w:rPr>
      <w:sz w:val="24"/>
    </w:rPr>
  </w:style>
  <w:style w:type="numbering" w:customStyle="1" w:styleId="Sinlista84">
    <w:name w:val="Sin lista84"/>
    <w:next w:val="Sinlista"/>
    <w:semiHidden/>
    <w:rsid w:val="00F92304"/>
  </w:style>
  <w:style w:type="table" w:customStyle="1" w:styleId="Tablaconcuadrcula165">
    <w:name w:val="Tabla con cuadrícula165"/>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
    <w:name w:val="Sin lista85"/>
    <w:next w:val="Sinlista"/>
    <w:semiHidden/>
    <w:rsid w:val="003133EA"/>
  </w:style>
  <w:style w:type="table" w:customStyle="1" w:styleId="Tablaconcuadrcula167">
    <w:name w:val="Tabla con cuadrícula167"/>
    <w:basedOn w:val="Tablanormal"/>
    <w:next w:val="Tablaconcuadrcula"/>
    <w:rsid w:val="007978D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
    <w:name w:val="Sin lista86"/>
    <w:next w:val="Sinlista"/>
    <w:semiHidden/>
    <w:rsid w:val="00F03DE9"/>
  </w:style>
  <w:style w:type="table" w:customStyle="1" w:styleId="Tablaconcuadrcula168">
    <w:name w:val="Tabla con cuadrícula168"/>
    <w:basedOn w:val="Tablanormal"/>
    <w:next w:val="Tablaconcuadrcula"/>
    <w:rsid w:val="00F03D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next w:val="Tablaconcuadrcula"/>
    <w:rsid w:val="00A539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0">
    <w:name w:val="Tabla con cuadrícula170"/>
    <w:basedOn w:val="Tablanormal"/>
    <w:next w:val="Tablaconcuadrcula"/>
    <w:rsid w:val="002D66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rsid w:val="00B10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
    <w:name w:val="Sin lista87"/>
    <w:next w:val="Sinlista"/>
    <w:semiHidden/>
    <w:rsid w:val="00CF6179"/>
  </w:style>
  <w:style w:type="table" w:customStyle="1" w:styleId="Tablaconcuadrcula172">
    <w:name w:val="Tabla con cuadrícula172"/>
    <w:basedOn w:val="Tablanormal"/>
    <w:next w:val="Tablaconcuadrcula"/>
    <w:rsid w:val="00CF617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
    <w:name w:val="Sin lista88"/>
    <w:next w:val="Sinlista"/>
    <w:semiHidden/>
    <w:rsid w:val="00D17197"/>
  </w:style>
  <w:style w:type="table" w:customStyle="1" w:styleId="Tablaconcuadrcula173">
    <w:name w:val="Tabla con cuadrícula173"/>
    <w:basedOn w:val="Tablanormal"/>
    <w:next w:val="Tablaconcuadrcula"/>
    <w:rsid w:val="00D1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
    <w:name w:val="Tabla con cuadrícula174"/>
    <w:basedOn w:val="Tablanormal"/>
    <w:next w:val="Tablaconcuadrcula"/>
    <w:rsid w:val="009607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
    <w:name w:val="Sin lista89"/>
    <w:next w:val="Sinlista"/>
    <w:semiHidden/>
    <w:rsid w:val="00337B64"/>
  </w:style>
  <w:style w:type="table" w:customStyle="1" w:styleId="Tablaconcuadrcula175">
    <w:name w:val="Tabla con cuadrícula175"/>
    <w:basedOn w:val="Tablanormal"/>
    <w:next w:val="Tablaconcuadrcula"/>
    <w:rsid w:val="000D21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
    <w:name w:val="Tabla con cuadrícula176"/>
    <w:basedOn w:val="Tablanormal"/>
    <w:next w:val="Tablaconcuadrcula"/>
    <w:rsid w:val="00DC33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
    <w:name w:val="Sin lista90"/>
    <w:next w:val="Sinlista"/>
    <w:semiHidden/>
    <w:rsid w:val="00B17245"/>
  </w:style>
  <w:style w:type="character" w:customStyle="1" w:styleId="publicationtitle1">
    <w:name w:val="publication_title1"/>
    <w:basedOn w:val="Fuentedeprrafopredeter"/>
    <w:rsid w:val="00B17245"/>
    <w:rPr>
      <w:b/>
      <w:bCs/>
      <w:i w:val="0"/>
      <w:iCs w:val="0"/>
      <w:color w:val="990000"/>
      <w:sz w:val="21"/>
      <w:szCs w:val="21"/>
    </w:rPr>
  </w:style>
  <w:style w:type="table" w:customStyle="1" w:styleId="Tablaconcuadrcula177">
    <w:name w:val="Tabla con cuadrícula177"/>
    <w:basedOn w:val="Tablanormal"/>
    <w:next w:val="Tablaconcuadrcula"/>
    <w:rsid w:val="00EB56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
    <w:name w:val="Tabla con cuadrícula178"/>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
    <w:name w:val="Tabla con cuadrícula179"/>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0">
    <w:name w:val="Tabla con cuadrícula180"/>
    <w:basedOn w:val="Tablanormal"/>
    <w:next w:val="Tablaconcuadrcula"/>
    <w:rsid w:val="000326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
    <w:name w:val="Sin lista91"/>
    <w:next w:val="Sinlista"/>
    <w:semiHidden/>
    <w:rsid w:val="00771FED"/>
  </w:style>
  <w:style w:type="table" w:customStyle="1" w:styleId="Tablaconcuadrcula181">
    <w:name w:val="Tabla con cuadrícula181"/>
    <w:basedOn w:val="Tablanormal"/>
    <w:next w:val="Tablaconcuadrcula"/>
    <w:rsid w:val="00771F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
    <w:name w:val="Sin lista92"/>
    <w:next w:val="Sinlista"/>
    <w:semiHidden/>
    <w:rsid w:val="00DE41E9"/>
  </w:style>
  <w:style w:type="numbering" w:customStyle="1" w:styleId="Sinlista93">
    <w:name w:val="Sin lista93"/>
    <w:next w:val="Sinlista"/>
    <w:semiHidden/>
    <w:rsid w:val="00620CD5"/>
  </w:style>
  <w:style w:type="table" w:customStyle="1" w:styleId="Tablaconcuadrcula183">
    <w:name w:val="Tabla con cuadrícula183"/>
    <w:basedOn w:val="Tablanormal"/>
    <w:next w:val="Tablaconcuadrcula"/>
    <w:rsid w:val="00F07A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
    <w:name w:val="Sin lista94"/>
    <w:next w:val="Sinlista"/>
    <w:semiHidden/>
    <w:rsid w:val="009F4003"/>
  </w:style>
  <w:style w:type="numbering" w:customStyle="1" w:styleId="Sinlista95">
    <w:name w:val="Sin lista95"/>
    <w:next w:val="Sinlista"/>
    <w:semiHidden/>
    <w:rsid w:val="008B40C0"/>
  </w:style>
  <w:style w:type="table" w:customStyle="1" w:styleId="Tablaconcuadrcula184">
    <w:name w:val="Tabla con cuadrícula184"/>
    <w:basedOn w:val="Tablanormal"/>
    <w:next w:val="Tablaconcuadrcula"/>
    <w:rsid w:val="008B4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0">
    <w:name w:val="Tabla con cuadrícula 119"/>
    <w:basedOn w:val="Tablanormal"/>
    <w:next w:val="Tablaconcuadrcula10"/>
    <w:rsid w:val="008B40C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
    <w:name w:val="Tabla con cuadrícula185"/>
    <w:basedOn w:val="Tablanormal"/>
    <w:next w:val="Tablaconcuadrcula"/>
    <w:rsid w:val="00C805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
    <w:name w:val="Sin lista96"/>
    <w:next w:val="Sinlista"/>
    <w:semiHidden/>
    <w:rsid w:val="00F140FF"/>
  </w:style>
  <w:style w:type="table" w:customStyle="1" w:styleId="Tablaconcuadrcula186">
    <w:name w:val="Tabla con cuadrícula186"/>
    <w:basedOn w:val="Tablanormal"/>
    <w:next w:val="Tablaconcuadrcula"/>
    <w:rsid w:val="00F140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
    <w:name w:val="Tabla con cuadrícula 120"/>
    <w:basedOn w:val="Tablanormal"/>
    <w:next w:val="Tablaconcuadrcula10"/>
    <w:rsid w:val="00ED266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0">
    <w:name w:val="Tabla con cuadrícula 121"/>
    <w:basedOn w:val="Tablanormal"/>
    <w:next w:val="Tablaconcuadrcula10"/>
    <w:rsid w:val="00DE0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
    <w:name w:val="Sin lista97"/>
    <w:next w:val="Sinlista"/>
    <w:semiHidden/>
    <w:rsid w:val="00B10C66"/>
  </w:style>
  <w:style w:type="table" w:customStyle="1" w:styleId="Tablaconcuadrcula187">
    <w:name w:val="Tabla con cuadrícula187"/>
    <w:basedOn w:val="Tablanormal"/>
    <w:next w:val="Tablaconcuadrcula"/>
    <w:rsid w:val="00B10C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
    <w:name w:val="Sin lista98"/>
    <w:next w:val="Sinlista"/>
    <w:semiHidden/>
    <w:rsid w:val="004E177E"/>
  </w:style>
  <w:style w:type="table" w:customStyle="1" w:styleId="Tablaconcuadrcula188">
    <w:name w:val="Tabla con cuadrícula188"/>
    <w:basedOn w:val="Tablanormal"/>
    <w:next w:val="Tablaconcuadrcula"/>
    <w:rsid w:val="004E17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
    <w:name w:val="Sin lista99"/>
    <w:next w:val="Sinlista"/>
    <w:semiHidden/>
    <w:rsid w:val="00750BCC"/>
  </w:style>
  <w:style w:type="table" w:customStyle="1" w:styleId="Tablaconcuadrcula189">
    <w:name w:val="Tabla con cuadrícula189"/>
    <w:basedOn w:val="Tablanormal"/>
    <w:next w:val="Tablaconcuadrcula"/>
    <w:rsid w:val="00750B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
    <w:name w:val="Sin lista100"/>
    <w:next w:val="Sinlista"/>
    <w:semiHidden/>
    <w:rsid w:val="00C15F87"/>
  </w:style>
  <w:style w:type="numbering" w:customStyle="1" w:styleId="Sinlista101">
    <w:name w:val="Sin lista101"/>
    <w:next w:val="Sinlista"/>
    <w:semiHidden/>
    <w:rsid w:val="00AF002F"/>
  </w:style>
  <w:style w:type="table" w:customStyle="1" w:styleId="Tablaconcuadrcula1910">
    <w:name w:val="Tabla con cuadrícula191"/>
    <w:basedOn w:val="Tablanormal"/>
    <w:next w:val="Tablaconcuadrcula"/>
    <w:rsid w:val="00AF00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
    <w:name w:val="Sin lista102"/>
    <w:next w:val="Sinlista"/>
    <w:semiHidden/>
    <w:rsid w:val="00B145F3"/>
  </w:style>
  <w:style w:type="table" w:customStyle="1" w:styleId="Tablaconcuadrcula192">
    <w:name w:val="Tabla con cuadrícula192"/>
    <w:basedOn w:val="Tablanormal"/>
    <w:next w:val="Tablaconcuadrcula"/>
    <w:rsid w:val="00B145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
    <w:name w:val="Sin lista103"/>
    <w:next w:val="Sinlista"/>
    <w:semiHidden/>
    <w:rsid w:val="00E8734B"/>
  </w:style>
  <w:style w:type="table" w:customStyle="1" w:styleId="Tablaconcuadrcula193">
    <w:name w:val="Tabla con cuadrícula193"/>
    <w:basedOn w:val="Tablanormal"/>
    <w:next w:val="Tablaconcuadrcula"/>
    <w:rsid w:val="00E873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next w:val="Tablaconcuadrcula"/>
    <w:rsid w:val="00EE21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next w:val="Tablaconcuadrcula"/>
    <w:rsid w:val="00D727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
    <w:name w:val="Sin lista104"/>
    <w:next w:val="Sinlista"/>
    <w:semiHidden/>
    <w:rsid w:val="00B8310B"/>
  </w:style>
  <w:style w:type="table" w:customStyle="1" w:styleId="Tablaconcuadrcula196">
    <w:name w:val="Tabla con cuadrícula196"/>
    <w:basedOn w:val="Tablanormal"/>
    <w:next w:val="Tablaconcuadrcula"/>
    <w:rsid w:val="00B831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
    <w:name w:val="Tabla con cuadrícula197"/>
    <w:basedOn w:val="Tablanormal"/>
    <w:next w:val="Tablaconcuadrcula"/>
    <w:rsid w:val="00F473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
    <w:name w:val="Sin lista105"/>
    <w:next w:val="Sinlista"/>
    <w:semiHidden/>
    <w:rsid w:val="00C54DB9"/>
  </w:style>
  <w:style w:type="table" w:customStyle="1" w:styleId="Tablaconcuadrcula198">
    <w:name w:val="Tabla con cuadrícula198"/>
    <w:basedOn w:val="Tablanormal"/>
    <w:next w:val="Tablaconcuadrcula"/>
    <w:rsid w:val="00C54D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
    <w:name w:val="Sin lista106"/>
    <w:next w:val="Sinlista"/>
    <w:semiHidden/>
    <w:rsid w:val="00362B64"/>
  </w:style>
  <w:style w:type="table" w:customStyle="1" w:styleId="Tablaconcuadrcula199">
    <w:name w:val="Tabla con cuadrícula199"/>
    <w:basedOn w:val="Tablanormal"/>
    <w:next w:val="Tablaconcuadrcula"/>
    <w:rsid w:val="00362B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
    <w:name w:val="Sin lista107"/>
    <w:next w:val="Sinlista"/>
    <w:semiHidden/>
    <w:rsid w:val="0082460B"/>
  </w:style>
  <w:style w:type="paragraph" w:styleId="Encabezadodemensaje">
    <w:name w:val="Message Header"/>
    <w:basedOn w:val="Normal"/>
    <w:link w:val="EncabezadodemensajeCar"/>
    <w:uiPriority w:val="99"/>
    <w:rsid w:val="00987C6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table" w:customStyle="1" w:styleId="Tablaconcuadrcula200">
    <w:name w:val="Tabla con cuadrícula200"/>
    <w:basedOn w:val="Tablanormal"/>
    <w:next w:val="Tablaconcuadrcula"/>
    <w:rsid w:val="006B65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next w:val="Tablaconcuadrcula"/>
    <w:rsid w:val="00DA60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
    <w:name w:val="Tabla con cuadrícula202"/>
    <w:basedOn w:val="Tablanormal"/>
    <w:next w:val="Tablaconcuadrcula"/>
    <w:rsid w:val="00BA6D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
    <w:name w:val="Tabla con cuadrícula203"/>
    <w:basedOn w:val="Tablanormal"/>
    <w:next w:val="Tablaconcuadrcula"/>
    <w:rsid w:val="00AC1B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
    <w:name w:val="Sin lista108"/>
    <w:next w:val="Sinlista"/>
    <w:semiHidden/>
    <w:rsid w:val="00324F0F"/>
  </w:style>
  <w:style w:type="table" w:customStyle="1" w:styleId="Tablaconcuadrcula204">
    <w:name w:val="Tabla con cuadrícula204"/>
    <w:basedOn w:val="Tablanormal"/>
    <w:next w:val="Tablaconcuadrcula"/>
    <w:rsid w:val="00324F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
    <w:name w:val="Sin lista109"/>
    <w:next w:val="Sinlista"/>
    <w:semiHidden/>
    <w:rsid w:val="00B02B63"/>
  </w:style>
  <w:style w:type="table" w:customStyle="1" w:styleId="Tablaconcuadrcula205">
    <w:name w:val="Tabla con cuadrícula205"/>
    <w:basedOn w:val="Tablanormal"/>
    <w:next w:val="Tablaconcuadrcula"/>
    <w:rsid w:val="00B02B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
    <w:name w:val="Sin lista110"/>
    <w:next w:val="Sinlista"/>
    <w:semiHidden/>
    <w:rsid w:val="00370036"/>
  </w:style>
  <w:style w:type="table" w:customStyle="1" w:styleId="Tablaconcuadrcula206">
    <w:name w:val="Tabla con cuadrícula206"/>
    <w:basedOn w:val="Tablanormal"/>
    <w:next w:val="Tablaconcuadrcula"/>
    <w:rsid w:val="003700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
    <w:name w:val="Tabla con cuadrícula208"/>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
    <w:name w:val="Tabla con cuadrícula209"/>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0">
    <w:name w:val="Tabla con cuadrícula 122"/>
    <w:basedOn w:val="Tablanormal"/>
    <w:next w:val="Tablaconcuadrcula10"/>
    <w:rsid w:val="003179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
    <w:name w:val="Sin lista111"/>
    <w:next w:val="Sinlista"/>
    <w:semiHidden/>
    <w:rsid w:val="00F7217E"/>
  </w:style>
  <w:style w:type="table" w:customStyle="1" w:styleId="Tablaconcuadrcula210">
    <w:name w:val="Tabla con cuadrícula210"/>
    <w:basedOn w:val="Tablanormal"/>
    <w:next w:val="Tablaconcuadrcula"/>
    <w:rsid w:val="00F721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
    <w:name w:val="Sin lista112"/>
    <w:next w:val="Sinlista"/>
    <w:semiHidden/>
    <w:rsid w:val="00F85738"/>
  </w:style>
  <w:style w:type="table" w:customStyle="1" w:styleId="Tablaconcuadrcula211">
    <w:name w:val="Tabla con cuadrícula211"/>
    <w:basedOn w:val="Tablanormal"/>
    <w:next w:val="Tablaconcuadrcula"/>
    <w:rsid w:val="00F857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next w:val="Tablaconcuadrcula"/>
    <w:rsid w:val="00486B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next w:val="Tablaconcuadrcula"/>
    <w:rsid w:val="003C50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
    <w:name w:val="Sin lista113"/>
    <w:next w:val="Sinlista"/>
    <w:semiHidden/>
    <w:rsid w:val="00164211"/>
  </w:style>
  <w:style w:type="table" w:customStyle="1" w:styleId="Tablaconcuadrcula214">
    <w:name w:val="Tabla con cuadrícula214"/>
    <w:basedOn w:val="Tablanormal"/>
    <w:next w:val="Tablaconcuadrcula"/>
    <w:rsid w:val="001642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5">
    <w:name w:val="Style 15"/>
    <w:basedOn w:val="Normal"/>
    <w:uiPriority w:val="99"/>
    <w:rsid w:val="00164211"/>
    <w:pPr>
      <w:widowControl w:val="0"/>
      <w:autoSpaceDE w:val="0"/>
      <w:autoSpaceDN w:val="0"/>
      <w:spacing w:before="72"/>
    </w:pPr>
    <w:rPr>
      <w:rFonts w:eastAsia="Times New Roman"/>
      <w:lang w:val="en-US"/>
    </w:rPr>
  </w:style>
  <w:style w:type="table" w:customStyle="1" w:styleId="Tablaconcuadrcula1230">
    <w:name w:val="Tabla con cuadrícula 123"/>
    <w:basedOn w:val="Tablanormal"/>
    <w:next w:val="Tablaconcuadrcula10"/>
    <w:rsid w:val="0016421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20">
    <w:name w:val="Style 20"/>
    <w:basedOn w:val="Normal"/>
    <w:uiPriority w:val="99"/>
    <w:rsid w:val="00164211"/>
    <w:pPr>
      <w:widowControl w:val="0"/>
      <w:autoSpaceDE w:val="0"/>
      <w:autoSpaceDN w:val="0"/>
      <w:spacing w:before="72"/>
      <w:ind w:right="792"/>
      <w:jc w:val="right"/>
    </w:pPr>
    <w:rPr>
      <w:rFonts w:eastAsia="Times New Roman"/>
      <w:lang w:val="en-US"/>
    </w:rPr>
  </w:style>
  <w:style w:type="paragraph" w:customStyle="1" w:styleId="Style39">
    <w:name w:val="Style 39"/>
    <w:basedOn w:val="Normal"/>
    <w:uiPriority w:val="99"/>
    <w:rsid w:val="00164211"/>
    <w:pPr>
      <w:widowControl w:val="0"/>
      <w:autoSpaceDE w:val="0"/>
      <w:autoSpaceDN w:val="0"/>
      <w:spacing w:before="252"/>
      <w:ind w:left="1512" w:hanging="432"/>
      <w:jc w:val="both"/>
    </w:pPr>
    <w:rPr>
      <w:rFonts w:eastAsia="Times New Roman"/>
      <w:lang w:val="en-US"/>
    </w:rPr>
  </w:style>
  <w:style w:type="paragraph" w:customStyle="1" w:styleId="Style48">
    <w:name w:val="Style 48"/>
    <w:basedOn w:val="Normal"/>
    <w:uiPriority w:val="99"/>
    <w:rsid w:val="00164211"/>
    <w:pPr>
      <w:widowControl w:val="0"/>
      <w:autoSpaceDE w:val="0"/>
      <w:autoSpaceDN w:val="0"/>
      <w:spacing w:before="108"/>
      <w:ind w:left="1584" w:hanging="504"/>
      <w:jc w:val="both"/>
    </w:pPr>
    <w:rPr>
      <w:rFonts w:eastAsia="Times New Roman"/>
      <w:lang w:val="en-US"/>
    </w:rPr>
  </w:style>
  <w:style w:type="paragraph" w:customStyle="1" w:styleId="Style26">
    <w:name w:val="Style 26"/>
    <w:basedOn w:val="Normal"/>
    <w:uiPriority w:val="99"/>
    <w:rsid w:val="00164211"/>
    <w:pPr>
      <w:widowControl w:val="0"/>
      <w:tabs>
        <w:tab w:val="decimal" w:pos="792"/>
      </w:tabs>
      <w:autoSpaceDE w:val="0"/>
      <w:autoSpaceDN w:val="0"/>
      <w:spacing w:before="72"/>
    </w:pPr>
    <w:rPr>
      <w:rFonts w:eastAsia="Times New Roman"/>
      <w:lang w:val="en-US"/>
    </w:rPr>
  </w:style>
  <w:style w:type="paragraph" w:customStyle="1" w:styleId="Style27">
    <w:name w:val="Style 27"/>
    <w:basedOn w:val="Normal"/>
    <w:uiPriority w:val="99"/>
    <w:rsid w:val="00164211"/>
    <w:pPr>
      <w:widowControl w:val="0"/>
      <w:tabs>
        <w:tab w:val="decimal" w:pos="684"/>
      </w:tabs>
      <w:autoSpaceDE w:val="0"/>
      <w:autoSpaceDN w:val="0"/>
      <w:spacing w:before="108" w:after="72"/>
    </w:pPr>
    <w:rPr>
      <w:rFonts w:eastAsia="Times New Roman"/>
      <w:lang w:val="en-US"/>
    </w:rPr>
  </w:style>
  <w:style w:type="paragraph" w:customStyle="1" w:styleId="Style28">
    <w:name w:val="Style 28"/>
    <w:basedOn w:val="Normal"/>
    <w:uiPriority w:val="99"/>
    <w:rsid w:val="00164211"/>
    <w:pPr>
      <w:widowControl w:val="0"/>
      <w:tabs>
        <w:tab w:val="decimal" w:pos="684"/>
      </w:tabs>
      <w:autoSpaceDE w:val="0"/>
      <w:autoSpaceDN w:val="0"/>
      <w:spacing w:before="72" w:after="72"/>
    </w:pPr>
    <w:rPr>
      <w:rFonts w:eastAsia="Times New Roman"/>
      <w:lang w:val="en-US"/>
    </w:rPr>
  </w:style>
  <w:style w:type="paragraph" w:customStyle="1" w:styleId="Style30">
    <w:name w:val="Style 30"/>
    <w:basedOn w:val="Normal"/>
    <w:uiPriority w:val="99"/>
    <w:rsid w:val="00164211"/>
    <w:pPr>
      <w:widowControl w:val="0"/>
      <w:tabs>
        <w:tab w:val="decimal" w:pos="252"/>
      </w:tabs>
      <w:autoSpaceDE w:val="0"/>
      <w:autoSpaceDN w:val="0"/>
      <w:spacing w:before="72" w:after="72"/>
    </w:pPr>
    <w:rPr>
      <w:rFonts w:eastAsia="Times New Roman"/>
      <w:lang w:val="en-US"/>
    </w:rPr>
  </w:style>
  <w:style w:type="paragraph" w:customStyle="1" w:styleId="Style29">
    <w:name w:val="Style 29"/>
    <w:basedOn w:val="Normal"/>
    <w:uiPriority w:val="99"/>
    <w:rsid w:val="00164211"/>
    <w:pPr>
      <w:widowControl w:val="0"/>
      <w:autoSpaceDE w:val="0"/>
      <w:autoSpaceDN w:val="0"/>
      <w:spacing w:before="72" w:after="72"/>
      <w:ind w:right="216"/>
      <w:jc w:val="right"/>
    </w:pPr>
    <w:rPr>
      <w:rFonts w:eastAsia="Times New Roman"/>
      <w:lang w:val="en-US"/>
    </w:rPr>
  </w:style>
  <w:style w:type="paragraph" w:customStyle="1" w:styleId="Style32">
    <w:name w:val="Style 32"/>
    <w:basedOn w:val="Normal"/>
    <w:uiPriority w:val="99"/>
    <w:rsid w:val="00164211"/>
    <w:pPr>
      <w:widowControl w:val="0"/>
      <w:autoSpaceDE w:val="0"/>
      <w:autoSpaceDN w:val="0"/>
      <w:adjustRightInd w:val="0"/>
    </w:pPr>
    <w:rPr>
      <w:rFonts w:eastAsia="Times New Roman"/>
      <w:lang w:val="en-US"/>
    </w:rPr>
  </w:style>
  <w:style w:type="paragraph" w:customStyle="1" w:styleId="Style33">
    <w:name w:val="Style 33"/>
    <w:basedOn w:val="Normal"/>
    <w:uiPriority w:val="99"/>
    <w:rsid w:val="00164211"/>
    <w:pPr>
      <w:widowControl w:val="0"/>
      <w:tabs>
        <w:tab w:val="left" w:pos="720"/>
      </w:tabs>
      <w:autoSpaceDE w:val="0"/>
      <w:autoSpaceDN w:val="0"/>
      <w:spacing w:line="360" w:lineRule="auto"/>
    </w:pPr>
    <w:rPr>
      <w:rFonts w:eastAsia="Times New Roman"/>
      <w:lang w:val="en-US"/>
    </w:rPr>
  </w:style>
  <w:style w:type="character" w:customStyle="1" w:styleId="titularesestilo5">
    <w:name w:val="titulares estilo5"/>
    <w:basedOn w:val="Fuentedeprrafopredeter"/>
    <w:rsid w:val="0070456B"/>
  </w:style>
  <w:style w:type="numbering" w:customStyle="1" w:styleId="Sinlista114">
    <w:name w:val="Sin lista114"/>
    <w:next w:val="Sinlista"/>
    <w:semiHidden/>
    <w:rsid w:val="0070752D"/>
  </w:style>
  <w:style w:type="paragraph" w:customStyle="1" w:styleId="Estilo1">
    <w:name w:val="Estilo1"/>
    <w:basedOn w:val="Textonotapie"/>
    <w:uiPriority w:val="99"/>
    <w:rsid w:val="0070752D"/>
    <w:pPr>
      <w:autoSpaceDE w:val="0"/>
      <w:autoSpaceDN w:val="0"/>
      <w:adjustRightInd w:val="0"/>
      <w:jc w:val="both"/>
    </w:pPr>
    <w:rPr>
      <w:rFonts w:eastAsia="Times New Roman"/>
    </w:rPr>
  </w:style>
  <w:style w:type="table" w:customStyle="1" w:styleId="Tablaconcuadrcula215">
    <w:name w:val="Tabla con cuadrícula215"/>
    <w:basedOn w:val="Tablanormal"/>
    <w:next w:val="Tablaconcuadrcula"/>
    <w:rsid w:val="007075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
    <w:name w:val="Sin lista115"/>
    <w:next w:val="Sinlista"/>
    <w:semiHidden/>
    <w:rsid w:val="00AD142F"/>
  </w:style>
  <w:style w:type="numbering" w:customStyle="1" w:styleId="Sinlista116">
    <w:name w:val="Sin lista116"/>
    <w:next w:val="Sinlista"/>
    <w:semiHidden/>
    <w:rsid w:val="00E23BB8"/>
  </w:style>
  <w:style w:type="table" w:customStyle="1" w:styleId="Tablaconcuadrcula216">
    <w:name w:val="Tabla con cuadrícula216"/>
    <w:basedOn w:val="Tablanormal"/>
    <w:next w:val="Tablaconcuadrcula"/>
    <w:rsid w:val="00E23B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
    <w:name w:val="Tabla con cuadrícula217"/>
    <w:basedOn w:val="Tablanormal"/>
    <w:next w:val="Tablaconcuadrcula"/>
    <w:rsid w:val="003A13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
    <w:name w:val="Sin lista117"/>
    <w:next w:val="Sinlista"/>
    <w:semiHidden/>
    <w:rsid w:val="00B9303D"/>
  </w:style>
  <w:style w:type="table" w:customStyle="1" w:styleId="Tablaconcuadrcula218">
    <w:name w:val="Tabla con cuadrícula218"/>
    <w:basedOn w:val="Tablanormal"/>
    <w:next w:val="Tablaconcuadrcula"/>
    <w:rsid w:val="00B930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
    <w:name w:val="Sin lista118"/>
    <w:next w:val="Sinlista"/>
    <w:semiHidden/>
    <w:rsid w:val="00377A24"/>
  </w:style>
  <w:style w:type="table" w:customStyle="1" w:styleId="Tablaconcuadrcula219">
    <w:name w:val="Tabla con cuadrícula219"/>
    <w:basedOn w:val="Tablanormal"/>
    <w:next w:val="Tablaconcuadrcula"/>
    <w:rsid w:val="00377A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
    <w:name w:val="Tabla con cuadrícula220"/>
    <w:basedOn w:val="Tablanormal"/>
    <w:next w:val="Tablaconcuadrcula"/>
    <w:rsid w:val="00167E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
    <w:name w:val="Sin lista119"/>
    <w:next w:val="Sinlista"/>
    <w:semiHidden/>
    <w:rsid w:val="009635D1"/>
  </w:style>
  <w:style w:type="table" w:customStyle="1" w:styleId="Tablaconcuadrcula221">
    <w:name w:val="Tabla con cuadrícula221"/>
    <w:basedOn w:val="Tablanormal"/>
    <w:next w:val="Tablaconcuadrcula"/>
    <w:rsid w:val="009635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0">
    <w:name w:val="Style 40"/>
    <w:basedOn w:val="Normal"/>
    <w:uiPriority w:val="99"/>
    <w:rsid w:val="009635D1"/>
    <w:pPr>
      <w:widowControl w:val="0"/>
      <w:autoSpaceDE w:val="0"/>
      <w:autoSpaceDN w:val="0"/>
      <w:jc w:val="right"/>
    </w:pPr>
    <w:rPr>
      <w:rFonts w:eastAsia="Times New Roman"/>
      <w:lang w:val="en-US"/>
    </w:rPr>
  </w:style>
  <w:style w:type="table" w:customStyle="1" w:styleId="Tablaconcuadrcula222">
    <w:name w:val="Tabla con cuadrícula222"/>
    <w:basedOn w:val="Tablanormal"/>
    <w:next w:val="Tablaconcuadrcula"/>
    <w:rsid w:val="008A00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
    <w:name w:val="Sin lista120"/>
    <w:next w:val="Sinlista"/>
    <w:semiHidden/>
    <w:rsid w:val="003336F0"/>
  </w:style>
  <w:style w:type="numbering" w:customStyle="1" w:styleId="Sinlista121">
    <w:name w:val="Sin lista121"/>
    <w:next w:val="Sinlista"/>
    <w:semiHidden/>
    <w:rsid w:val="00E312DA"/>
  </w:style>
  <w:style w:type="table" w:customStyle="1" w:styleId="Tablaconcuadrcula223">
    <w:name w:val="Tabla con cuadrícula223"/>
    <w:basedOn w:val="Tablanormal"/>
    <w:next w:val="Tablaconcuadrcula"/>
    <w:rsid w:val="00E312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semiHidden/>
    <w:rsid w:val="00E10B82"/>
  </w:style>
  <w:style w:type="table" w:customStyle="1" w:styleId="Tablaconcuadrcula224">
    <w:name w:val="Tabla con cuadrícula224"/>
    <w:basedOn w:val="Tablanormal"/>
    <w:next w:val="Tablaconcuadrcula"/>
    <w:rsid w:val="00E10B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semiHidden/>
    <w:rsid w:val="00CD2583"/>
  </w:style>
  <w:style w:type="paragraph" w:customStyle="1" w:styleId="xl32">
    <w:name w:val="xl32"/>
    <w:basedOn w:val="Normal"/>
    <w:uiPriority w:val="99"/>
    <w:rsid w:val="00CD2583"/>
    <w:pPr>
      <w:pBdr>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33">
    <w:name w:val="xl33"/>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4">
    <w:name w:val="xl34"/>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5">
    <w:name w:val="xl35"/>
    <w:basedOn w:val="Normal"/>
    <w:uiPriority w:val="99"/>
    <w:rsid w:val="00CD2583"/>
    <w:pPr>
      <w:pBdr>
        <w:bottom w:val="single" w:sz="8" w:space="0" w:color="auto"/>
      </w:pBdr>
      <w:spacing w:before="100" w:beforeAutospacing="1" w:after="100" w:afterAutospacing="1"/>
      <w:jc w:val="center"/>
    </w:pPr>
    <w:rPr>
      <w:rFonts w:eastAsia="Times New Roman"/>
      <w:b/>
      <w:bCs/>
      <w:color w:val="000080"/>
      <w:sz w:val="16"/>
      <w:szCs w:val="16"/>
      <w:lang w:val="es-ES"/>
    </w:rPr>
  </w:style>
  <w:style w:type="paragraph" w:customStyle="1" w:styleId="xl36">
    <w:name w:val="xl36"/>
    <w:basedOn w:val="Normal"/>
    <w:uiPriority w:val="99"/>
    <w:rsid w:val="00CD2583"/>
    <w:pPr>
      <w:spacing w:before="100" w:beforeAutospacing="1" w:after="100" w:afterAutospacing="1"/>
    </w:pPr>
    <w:rPr>
      <w:rFonts w:eastAsia="Times New Roman"/>
      <w:sz w:val="16"/>
      <w:szCs w:val="16"/>
      <w:lang w:val="es-ES"/>
    </w:rPr>
  </w:style>
  <w:style w:type="paragraph" w:customStyle="1" w:styleId="xl37">
    <w:name w:val="xl37"/>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38">
    <w:name w:val="xl38"/>
    <w:basedOn w:val="Normal"/>
    <w:uiPriority w:val="99"/>
    <w:rsid w:val="00CD2583"/>
    <w:pPr>
      <w:spacing w:before="100" w:beforeAutospacing="1" w:after="100" w:afterAutospacing="1"/>
    </w:pPr>
    <w:rPr>
      <w:rFonts w:eastAsia="Times New Roman"/>
      <w:sz w:val="16"/>
      <w:szCs w:val="16"/>
      <w:lang w:val="es-ES"/>
    </w:rPr>
  </w:style>
  <w:style w:type="paragraph" w:customStyle="1" w:styleId="xl39">
    <w:name w:val="xl39"/>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0">
    <w:name w:val="xl40"/>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1">
    <w:name w:val="xl41"/>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2">
    <w:name w:val="xl42"/>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3">
    <w:name w:val="xl4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4">
    <w:name w:val="xl44"/>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5">
    <w:name w:val="xl45"/>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46">
    <w:name w:val="xl46"/>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7">
    <w:name w:val="xl47"/>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8">
    <w:name w:val="xl48"/>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9">
    <w:name w:val="xl49"/>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0">
    <w:name w:val="xl50"/>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51">
    <w:name w:val="xl51"/>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2">
    <w:name w:val="xl52"/>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3">
    <w:name w:val="xl5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54">
    <w:name w:val="xl54"/>
    <w:basedOn w:val="Normal"/>
    <w:uiPriority w:val="99"/>
    <w:rsid w:val="00CD2583"/>
    <w:pPr>
      <w:pBdr>
        <w:top w:val="single" w:sz="8" w:space="0" w:color="auto"/>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55">
    <w:name w:val="xl55"/>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6">
    <w:name w:val="xl56"/>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7">
    <w:name w:val="xl57"/>
    <w:basedOn w:val="Normal"/>
    <w:uiPriority w:val="99"/>
    <w:rsid w:val="00CD2583"/>
    <w:pPr>
      <w:pBdr>
        <w:top w:val="single" w:sz="8" w:space="0" w:color="auto"/>
        <w:bottom w:val="single" w:sz="8" w:space="0" w:color="auto"/>
      </w:pBdr>
      <w:spacing w:before="100" w:beforeAutospacing="1" w:after="100" w:afterAutospacing="1"/>
      <w:jc w:val="center"/>
    </w:pPr>
    <w:rPr>
      <w:rFonts w:eastAsia="Times New Roman"/>
      <w:b/>
      <w:bCs/>
      <w:color w:val="000080"/>
      <w:sz w:val="16"/>
      <w:szCs w:val="16"/>
      <w:lang w:val="es-ES"/>
    </w:rPr>
  </w:style>
  <w:style w:type="table" w:customStyle="1" w:styleId="Tablaconcuadrcula1240">
    <w:name w:val="Tabla con cuadrícula 124"/>
    <w:basedOn w:val="Tablanormal"/>
    <w:next w:val="Tablaconcuadrcula10"/>
    <w:rsid w:val="00CD25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
    <w:name w:val="Tabla con cuadrícula225"/>
    <w:basedOn w:val="Tablanormal"/>
    <w:next w:val="Tablaconcuadrcula"/>
    <w:rsid w:val="00CD25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
    <w:name w:val="Tabla con cuadrícula226"/>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
    <w:name w:val="Tabla con cuadrícula227"/>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
    <w:name w:val="Tabla con cuadrícula228"/>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
    <w:name w:val="Tabla con cuadrícula229"/>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
    <w:name w:val="Tabla con cuadrícula230"/>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
    <w:name w:val="Sin lista124"/>
    <w:next w:val="Sinlista"/>
    <w:semiHidden/>
    <w:rsid w:val="00D30EBB"/>
  </w:style>
  <w:style w:type="table" w:customStyle="1" w:styleId="Tablaconcuadrcula231">
    <w:name w:val="Tabla con cuadrícula231"/>
    <w:basedOn w:val="Tablanormal"/>
    <w:next w:val="Tablaconcuadrcula"/>
    <w:rsid w:val="00D30E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0">
    <w:name w:val="Tabla con cuadrícula 125"/>
    <w:basedOn w:val="Tablanormal"/>
    <w:next w:val="Tablaconcuadrcula10"/>
    <w:rsid w:val="00A449B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
    <w:name w:val="Sin lista125"/>
    <w:next w:val="Sinlista"/>
    <w:semiHidden/>
    <w:rsid w:val="00976D73"/>
  </w:style>
  <w:style w:type="table" w:customStyle="1" w:styleId="Tablaconcuadrcula232">
    <w:name w:val="Tabla con cuadrícula232"/>
    <w:basedOn w:val="Tablanormal"/>
    <w:next w:val="Tablaconcuadrcula"/>
    <w:rsid w:val="00976D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
    <w:name w:val="Tabla con cuadrícula233"/>
    <w:basedOn w:val="Tablanormal"/>
    <w:next w:val="Tablaconcuadrcula"/>
    <w:rsid w:val="009227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0">
    <w:name w:val="Tabla con cuadrícula 126"/>
    <w:basedOn w:val="Tablanormal"/>
    <w:next w:val="Tablaconcuadrcula10"/>
    <w:rsid w:val="00EC29A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
    <w:name w:val="Tabla con cuadrícula234"/>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
    <w:name w:val="Tabla con cuadrícula235"/>
    <w:basedOn w:val="Tablanormal"/>
    <w:next w:val="Tablaconcuadrcula"/>
    <w:rsid w:val="00222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noticias">
    <w:name w:val="textonoticias"/>
    <w:basedOn w:val="Normal"/>
    <w:uiPriority w:val="99"/>
    <w:rsid w:val="00226AE9"/>
    <w:pPr>
      <w:spacing w:before="100" w:beforeAutospacing="1" w:after="100" w:afterAutospacing="1"/>
    </w:pPr>
    <w:rPr>
      <w:rFonts w:ascii="Verdana" w:eastAsia="Times New Roman" w:hAnsi="Verdana"/>
      <w:color w:val="000000"/>
      <w:sz w:val="21"/>
      <w:szCs w:val="21"/>
      <w:lang w:val="es-ES"/>
    </w:rPr>
  </w:style>
  <w:style w:type="table" w:customStyle="1" w:styleId="Tablaconcuadrcula236">
    <w:name w:val="Tabla con cuadrícula236"/>
    <w:basedOn w:val="Tablanormal"/>
    <w:next w:val="Tablaconcuadrcula"/>
    <w:rsid w:val="000508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
    <w:name w:val="Sin lista126"/>
    <w:next w:val="Sinlista"/>
    <w:semiHidden/>
    <w:rsid w:val="00643F24"/>
  </w:style>
  <w:style w:type="table" w:customStyle="1" w:styleId="Tablaconcuadrcula237">
    <w:name w:val="Tabla con cuadrícula237"/>
    <w:basedOn w:val="Tablanormal"/>
    <w:next w:val="Tablaconcuadrcula"/>
    <w:rsid w:val="00643F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0">
    <w:name w:val="Tabla con cuadrícula 127"/>
    <w:basedOn w:val="Tablanormal"/>
    <w:next w:val="Tablaconcuadrcula10"/>
    <w:rsid w:val="00643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8">
    <w:name w:val="Style 8"/>
    <w:basedOn w:val="Normal"/>
    <w:uiPriority w:val="99"/>
    <w:rsid w:val="00643F24"/>
    <w:pPr>
      <w:widowControl w:val="0"/>
      <w:autoSpaceDE w:val="0"/>
      <w:autoSpaceDN w:val="0"/>
      <w:spacing w:before="288"/>
      <w:ind w:right="396"/>
      <w:jc w:val="right"/>
    </w:pPr>
    <w:rPr>
      <w:rFonts w:eastAsia="Times New Roman"/>
      <w:lang w:val="en-US"/>
    </w:rPr>
  </w:style>
  <w:style w:type="table" w:customStyle="1" w:styleId="Tablaconcuadrcula238">
    <w:name w:val="Tabla con cuadrícula238"/>
    <w:basedOn w:val="Tablanormal"/>
    <w:next w:val="Tablaconcuadrcula"/>
    <w:rsid w:val="00CD4C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
    <w:name w:val="Tabla con cuadrícula239"/>
    <w:basedOn w:val="Tablanormal"/>
    <w:next w:val="Tablaconcuadrcula"/>
    <w:rsid w:val="00C05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
    <w:name w:val="Tabla con cuadrícula240"/>
    <w:basedOn w:val="Tablanormal"/>
    <w:next w:val="Tablaconcuadrcula"/>
    <w:rsid w:val="004761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
    <w:name w:val="Sin lista127"/>
    <w:next w:val="Sinlista"/>
    <w:semiHidden/>
    <w:rsid w:val="00A25582"/>
  </w:style>
  <w:style w:type="table" w:customStyle="1" w:styleId="Tablaconcuadrcula241">
    <w:name w:val="Tabla con cuadrícula241"/>
    <w:basedOn w:val="Tablanormal"/>
    <w:next w:val="Tablaconcuadrcula"/>
    <w:rsid w:val="00A25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
    <w:name w:val="Sin lista128"/>
    <w:next w:val="Sinlista"/>
    <w:semiHidden/>
    <w:rsid w:val="00DD485C"/>
  </w:style>
  <w:style w:type="paragraph" w:customStyle="1" w:styleId="feedbackbox">
    <w:name w:val="feedbackbox"/>
    <w:basedOn w:val="Normal"/>
    <w:uiPriority w:val="99"/>
    <w:rsid w:val="00DD485C"/>
    <w:pPr>
      <w:spacing w:before="100" w:beforeAutospacing="1" w:after="100" w:afterAutospacing="1"/>
    </w:pPr>
    <w:rPr>
      <w:rFonts w:eastAsia="Times New Roman"/>
      <w:color w:val="FFFFFF"/>
      <w:lang w:val="es-ES"/>
    </w:rPr>
  </w:style>
  <w:style w:type="paragraph" w:customStyle="1" w:styleId="feedbackinputline">
    <w:name w:val="feedbackinputline"/>
    <w:basedOn w:val="Normal"/>
    <w:uiPriority w:val="99"/>
    <w:rsid w:val="00DD485C"/>
    <w:pPr>
      <w:shd w:val="clear" w:color="auto" w:fill="FFFFFF"/>
      <w:spacing w:before="100" w:beforeAutospacing="1" w:after="100" w:afterAutospacing="1" w:line="210" w:lineRule="atLeast"/>
      <w:textAlignment w:val="center"/>
    </w:pPr>
    <w:rPr>
      <w:rFonts w:eastAsia="Times New Roman"/>
      <w:color w:val="333333"/>
      <w:lang w:val="es-ES"/>
    </w:rPr>
  </w:style>
  <w:style w:type="paragraph" w:customStyle="1" w:styleId="feedbackinputbox">
    <w:name w:val="feedbackinputbox"/>
    <w:basedOn w:val="Normal"/>
    <w:uiPriority w:val="99"/>
    <w:rsid w:val="00DD485C"/>
    <w:pPr>
      <w:shd w:val="clear" w:color="auto" w:fill="FFFFFF"/>
      <w:spacing w:before="100" w:beforeAutospacing="1" w:after="100" w:afterAutospacing="1"/>
    </w:pPr>
    <w:rPr>
      <w:rFonts w:eastAsia="Times New Roman"/>
      <w:color w:val="333333"/>
      <w:sz w:val="29"/>
      <w:szCs w:val="29"/>
      <w:lang w:val="es-ES"/>
    </w:rPr>
  </w:style>
  <w:style w:type="paragraph" w:customStyle="1" w:styleId="sendform">
    <w:name w:val="sendform"/>
    <w:basedOn w:val="Normal"/>
    <w:uiPriority w:val="99"/>
    <w:rsid w:val="00DD485C"/>
    <w:pPr>
      <w:pBdr>
        <w:top w:val="single" w:sz="6" w:space="0" w:color="666666"/>
        <w:left w:val="single" w:sz="6" w:space="0" w:color="666666"/>
        <w:bottom w:val="single" w:sz="6" w:space="0" w:color="666666"/>
        <w:right w:val="single" w:sz="6" w:space="0" w:color="666666"/>
      </w:pBdr>
      <w:spacing w:before="100" w:beforeAutospacing="1" w:after="100" w:afterAutospacing="1"/>
    </w:pPr>
    <w:rPr>
      <w:rFonts w:eastAsia="Times New Roman"/>
      <w:sz w:val="17"/>
      <w:szCs w:val="17"/>
      <w:lang w:val="es-ES"/>
    </w:rPr>
  </w:style>
  <w:style w:type="paragraph" w:customStyle="1" w:styleId="orgname">
    <w:name w:val="orgname"/>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ntact">
    <w:name w:val="contact"/>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contactname">
    <w:name w:val="contact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country">
    <w:name w:val="country"/>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typo">
    <w:name w:val="typo"/>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address">
    <w:name w:val="address"/>
    <w:basedOn w:val="Normal"/>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addressname">
    <w:name w:val="address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website">
    <w:name w:val="website"/>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websitename">
    <w:name w:val="website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email">
    <w:name w:val="email"/>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untryname">
    <w:name w:val="countryname"/>
    <w:basedOn w:val="Normal"/>
    <w:uiPriority w:val="99"/>
    <w:rsid w:val="00DD485C"/>
    <w:pPr>
      <w:spacing w:before="100" w:beforeAutospacing="1" w:after="100" w:afterAutospacing="1"/>
    </w:pPr>
    <w:rPr>
      <w:rFonts w:ascii="Arial" w:eastAsia="Times New Roman" w:hAnsi="Arial" w:cs="Arial"/>
      <w:b/>
      <w:bCs/>
      <w:color w:val="000000"/>
      <w:sz w:val="20"/>
      <w:szCs w:val="20"/>
      <w:lang w:val="es-ES"/>
    </w:rPr>
  </w:style>
  <w:style w:type="paragraph" w:customStyle="1" w:styleId="selectedtop">
    <w:name w:val="selected_to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nr">
    <w:name w:val="selected_n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gp">
    <w:name w:val="selected_g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rp">
    <w:name w:val="selected_r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r">
    <w:name w:val="selected_p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tools">
    <w:name w:val="selected_tool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ubs">
    <w:name w:val="selected_pub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su">
    <w:name w:val="selected_su"/>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firstlevelbuttonsright">
    <w:name w:val="firstlevelbuttonsright"/>
    <w:basedOn w:val="Normal"/>
    <w:uiPriority w:val="99"/>
    <w:rsid w:val="00DD485C"/>
    <w:pPr>
      <w:shd w:val="clear" w:color="auto" w:fill="336699"/>
      <w:spacing w:before="100" w:beforeAutospacing="1" w:after="100" w:afterAutospacing="1" w:line="240" w:lineRule="atLeast"/>
    </w:pPr>
    <w:rPr>
      <w:rFonts w:eastAsia="Times New Roman"/>
      <w:b/>
      <w:bCs/>
      <w:color w:val="FFFFFF"/>
      <w:lang w:val="es-ES"/>
    </w:rPr>
  </w:style>
  <w:style w:type="paragraph" w:customStyle="1" w:styleId="topmenuinputbox">
    <w:name w:val="topmenuinputbox"/>
    <w:basedOn w:val="Normal"/>
    <w:uiPriority w:val="99"/>
    <w:rsid w:val="00DD485C"/>
    <w:pPr>
      <w:pBdr>
        <w:top w:val="single" w:sz="6" w:space="0" w:color="000000"/>
        <w:left w:val="single" w:sz="6" w:space="0" w:color="000000"/>
        <w:bottom w:val="single" w:sz="6" w:space="0" w:color="000000"/>
        <w:right w:val="single" w:sz="6" w:space="0" w:color="000000"/>
      </w:pBdr>
      <w:shd w:val="clear" w:color="auto" w:fill="FFFFFF"/>
      <w:ind w:left="150" w:right="75"/>
      <w:textAlignment w:val="top"/>
    </w:pPr>
    <w:rPr>
      <w:rFonts w:eastAsia="Times New Roman"/>
      <w:color w:val="336699"/>
      <w:sz w:val="15"/>
      <w:szCs w:val="15"/>
      <w:lang w:val="es-ES"/>
    </w:rPr>
  </w:style>
  <w:style w:type="paragraph" w:customStyle="1" w:styleId="logobanner">
    <w:name w:val="logobanner"/>
    <w:basedOn w:val="Normal"/>
    <w:uiPriority w:val="99"/>
    <w:rsid w:val="00DD485C"/>
    <w:pPr>
      <w:pBdr>
        <w:top w:val="single" w:sz="6" w:space="0" w:color="FFFFFF"/>
        <w:bottom w:val="single" w:sz="6" w:space="0" w:color="FFFFFF"/>
        <w:right w:val="single" w:sz="6" w:space="0" w:color="FFFFFF"/>
      </w:pBdr>
      <w:shd w:val="clear" w:color="auto" w:fill="D9EBF9"/>
      <w:spacing w:before="100" w:beforeAutospacing="1" w:after="100" w:afterAutospacing="1"/>
    </w:pPr>
    <w:rPr>
      <w:rFonts w:eastAsia="Times New Roman"/>
      <w:lang w:val="es-ES"/>
    </w:rPr>
  </w:style>
  <w:style w:type="paragraph" w:customStyle="1" w:styleId="secondlevel">
    <w:name w:val="secondlevel"/>
    <w:basedOn w:val="Normal"/>
    <w:uiPriority w:val="99"/>
    <w:rsid w:val="00DD485C"/>
    <w:pPr>
      <w:pBdr>
        <w:top w:val="single" w:sz="6" w:space="0" w:color="FFFFFF"/>
      </w:pBdr>
      <w:shd w:val="clear" w:color="auto" w:fill="336699"/>
      <w:spacing w:before="100" w:beforeAutospacing="1" w:after="100" w:afterAutospacing="1"/>
    </w:pPr>
    <w:rPr>
      <w:rFonts w:eastAsia="Times New Roman"/>
      <w:color w:val="FFFFFF"/>
      <w:lang w:val="es-ES"/>
    </w:rPr>
  </w:style>
  <w:style w:type="paragraph" w:customStyle="1" w:styleId="crumbtrailnr">
    <w:name w:val="crumbtrail_nr"/>
    <w:basedOn w:val="Normal"/>
    <w:uiPriority w:val="99"/>
    <w:rsid w:val="00DD485C"/>
    <w:pPr>
      <w:spacing w:before="100" w:beforeAutospacing="1" w:after="100" w:afterAutospacing="1"/>
    </w:pPr>
    <w:rPr>
      <w:rFonts w:eastAsia="Times New Roman"/>
      <w:lang w:val="es-ES"/>
    </w:rPr>
  </w:style>
  <w:style w:type="paragraph" w:customStyle="1" w:styleId="crumbtrailgp">
    <w:name w:val="crumbtrail_gp"/>
    <w:basedOn w:val="Normal"/>
    <w:uiPriority w:val="99"/>
    <w:rsid w:val="00DD485C"/>
    <w:pPr>
      <w:spacing w:before="100" w:beforeAutospacing="1" w:after="100" w:afterAutospacing="1"/>
    </w:pPr>
    <w:rPr>
      <w:rFonts w:eastAsia="Times New Roman"/>
      <w:lang w:val="es-ES"/>
    </w:rPr>
  </w:style>
  <w:style w:type="paragraph" w:customStyle="1" w:styleId="crumbtrailrp">
    <w:name w:val="crumbtrail_rp"/>
    <w:basedOn w:val="Normal"/>
    <w:uiPriority w:val="99"/>
    <w:rsid w:val="00DD485C"/>
    <w:pPr>
      <w:spacing w:before="100" w:beforeAutospacing="1" w:after="100" w:afterAutospacing="1"/>
    </w:pPr>
    <w:rPr>
      <w:rFonts w:eastAsia="Times New Roman"/>
      <w:lang w:val="es-ES"/>
    </w:rPr>
  </w:style>
  <w:style w:type="paragraph" w:customStyle="1" w:styleId="crumbtrailpr">
    <w:name w:val="crumbtrail_pr"/>
    <w:basedOn w:val="Normal"/>
    <w:uiPriority w:val="99"/>
    <w:rsid w:val="00DD485C"/>
    <w:pPr>
      <w:spacing w:before="100" w:beforeAutospacing="1" w:after="100" w:afterAutospacing="1"/>
    </w:pPr>
    <w:rPr>
      <w:rFonts w:eastAsia="Times New Roman"/>
      <w:lang w:val="es-ES"/>
    </w:rPr>
  </w:style>
  <w:style w:type="paragraph" w:customStyle="1" w:styleId="crumbtrailtools">
    <w:name w:val="crumbtrail_tools"/>
    <w:basedOn w:val="Normal"/>
    <w:uiPriority w:val="99"/>
    <w:rsid w:val="00DD485C"/>
    <w:pPr>
      <w:spacing w:before="100" w:beforeAutospacing="1" w:after="100" w:afterAutospacing="1"/>
    </w:pPr>
    <w:rPr>
      <w:rFonts w:eastAsia="Times New Roman"/>
      <w:lang w:val="es-ES"/>
    </w:rPr>
  </w:style>
  <w:style w:type="paragraph" w:customStyle="1" w:styleId="crumbtrailpubs">
    <w:name w:val="crumbtrail_pubs"/>
    <w:basedOn w:val="Normal"/>
    <w:uiPriority w:val="99"/>
    <w:rsid w:val="00DD485C"/>
    <w:pPr>
      <w:spacing w:before="100" w:beforeAutospacing="1" w:after="100" w:afterAutospacing="1"/>
    </w:pPr>
    <w:rPr>
      <w:rFonts w:eastAsia="Times New Roman"/>
      <w:lang w:val="es-ES"/>
    </w:rPr>
  </w:style>
  <w:style w:type="paragraph" w:customStyle="1" w:styleId="crumbtrailau">
    <w:name w:val="crumbtrail_au"/>
    <w:basedOn w:val="Normal"/>
    <w:uiPriority w:val="99"/>
    <w:rsid w:val="00DD485C"/>
    <w:pPr>
      <w:spacing w:before="100" w:beforeAutospacing="1" w:after="100" w:afterAutospacing="1"/>
    </w:pPr>
    <w:rPr>
      <w:rFonts w:eastAsia="Times New Roman"/>
      <w:lang w:val="es-ES"/>
    </w:rPr>
  </w:style>
  <w:style w:type="paragraph" w:customStyle="1" w:styleId="crumbtrailcu">
    <w:name w:val="crumbtrail_cu"/>
    <w:basedOn w:val="Normal"/>
    <w:uiPriority w:val="99"/>
    <w:rsid w:val="00DD485C"/>
    <w:pPr>
      <w:spacing w:before="100" w:beforeAutospacing="1" w:after="100" w:afterAutospacing="1"/>
    </w:pPr>
    <w:rPr>
      <w:rFonts w:eastAsia="Times New Roman"/>
      <w:lang w:val="es-ES"/>
    </w:rPr>
  </w:style>
  <w:style w:type="paragraph" w:customStyle="1" w:styleId="crumbtrailsu">
    <w:name w:val="crumbtrail_su"/>
    <w:basedOn w:val="Normal"/>
    <w:uiPriority w:val="99"/>
    <w:rsid w:val="00DD485C"/>
    <w:pPr>
      <w:spacing w:before="100" w:beforeAutospacing="1" w:after="100" w:afterAutospacing="1"/>
    </w:pPr>
    <w:rPr>
      <w:rFonts w:eastAsia="Times New Roman"/>
      <w:lang w:val="es-ES"/>
    </w:rPr>
  </w:style>
  <w:style w:type="paragraph" w:customStyle="1" w:styleId="contenttitle">
    <w:name w:val="content_title"/>
    <w:basedOn w:val="Normal"/>
    <w:uiPriority w:val="99"/>
    <w:rsid w:val="00DD485C"/>
    <w:pPr>
      <w:spacing w:before="100" w:beforeAutospacing="1" w:after="100" w:afterAutospacing="1" w:line="255" w:lineRule="atLeast"/>
    </w:pPr>
    <w:rPr>
      <w:rFonts w:eastAsia="Times New Roman"/>
      <w:b/>
      <w:bCs/>
      <w:color w:val="333333"/>
      <w:lang w:val="es-ES"/>
    </w:rPr>
  </w:style>
  <w:style w:type="paragraph" w:customStyle="1" w:styleId="contentprintme">
    <w:name w:val="content_printme"/>
    <w:basedOn w:val="Normal"/>
    <w:uiPriority w:val="99"/>
    <w:rsid w:val="00DD485C"/>
    <w:pPr>
      <w:spacing w:before="100" w:beforeAutospacing="1" w:after="100" w:afterAutospacing="1" w:line="225" w:lineRule="atLeast"/>
    </w:pPr>
    <w:rPr>
      <w:rFonts w:eastAsia="Times New Roman"/>
      <w:color w:val="333333"/>
      <w:lang w:val="es-ES"/>
    </w:rPr>
  </w:style>
  <w:style w:type="paragraph" w:customStyle="1" w:styleId="headlinetxtnr">
    <w:name w:val="headline_txt_nr"/>
    <w:basedOn w:val="Normal"/>
    <w:uiPriority w:val="99"/>
    <w:rsid w:val="00DD485C"/>
    <w:pPr>
      <w:shd w:val="clear" w:color="auto" w:fill="CC0000"/>
      <w:spacing w:before="100" w:beforeAutospacing="1" w:after="100" w:afterAutospacing="1" w:line="255" w:lineRule="atLeast"/>
      <w:jc w:val="center"/>
    </w:pPr>
    <w:rPr>
      <w:rFonts w:eastAsia="Times New Roman"/>
      <w:b/>
      <w:bCs/>
      <w:color w:val="FFFFFF"/>
      <w:lang w:val="es-ES"/>
    </w:rPr>
  </w:style>
  <w:style w:type="paragraph" w:customStyle="1" w:styleId="headlinetxtgp">
    <w:name w:val="headline_txt_gp"/>
    <w:basedOn w:val="Normal"/>
    <w:uiPriority w:val="99"/>
    <w:rsid w:val="00DD485C"/>
    <w:pPr>
      <w:shd w:val="clear" w:color="auto" w:fill="FF9933"/>
      <w:spacing w:before="100" w:beforeAutospacing="1" w:after="100" w:afterAutospacing="1" w:line="255" w:lineRule="atLeast"/>
      <w:jc w:val="center"/>
    </w:pPr>
    <w:rPr>
      <w:rFonts w:eastAsia="Times New Roman"/>
      <w:b/>
      <w:bCs/>
      <w:color w:val="FFFFFF"/>
      <w:lang w:val="es-ES"/>
    </w:rPr>
  </w:style>
  <w:style w:type="paragraph" w:customStyle="1" w:styleId="headlinetxtrp">
    <w:name w:val="headline_txt_rp"/>
    <w:basedOn w:val="Normal"/>
    <w:uiPriority w:val="99"/>
    <w:rsid w:val="00DD485C"/>
    <w:pPr>
      <w:shd w:val="clear" w:color="auto" w:fill="66CC66"/>
      <w:spacing w:before="100" w:beforeAutospacing="1" w:after="100" w:afterAutospacing="1" w:line="255" w:lineRule="atLeast"/>
      <w:jc w:val="center"/>
    </w:pPr>
    <w:rPr>
      <w:rFonts w:eastAsia="Times New Roman"/>
      <w:b/>
      <w:bCs/>
      <w:color w:val="FFFFFF"/>
      <w:lang w:val="es-ES"/>
    </w:rPr>
  </w:style>
  <w:style w:type="paragraph" w:customStyle="1" w:styleId="headlinetxtpr">
    <w:name w:val="headline_txt_pr"/>
    <w:basedOn w:val="Normal"/>
    <w:uiPriority w:val="99"/>
    <w:rsid w:val="00DD485C"/>
    <w:pPr>
      <w:shd w:val="clear" w:color="auto" w:fill="339999"/>
      <w:spacing w:before="100" w:beforeAutospacing="1" w:after="100" w:afterAutospacing="1" w:line="255" w:lineRule="atLeast"/>
      <w:jc w:val="center"/>
    </w:pPr>
    <w:rPr>
      <w:rFonts w:eastAsia="Times New Roman"/>
      <w:b/>
      <w:bCs/>
      <w:color w:val="FFFFFF"/>
      <w:lang w:val="es-ES"/>
    </w:rPr>
  </w:style>
  <w:style w:type="paragraph" w:customStyle="1" w:styleId="headlinetxttools">
    <w:name w:val="headline_txt_tools"/>
    <w:basedOn w:val="Normal"/>
    <w:uiPriority w:val="99"/>
    <w:rsid w:val="00DD485C"/>
    <w:pPr>
      <w:shd w:val="clear" w:color="auto" w:fill="CCCC99"/>
      <w:spacing w:before="100" w:beforeAutospacing="1" w:after="100" w:afterAutospacing="1" w:line="255" w:lineRule="atLeast"/>
      <w:jc w:val="center"/>
    </w:pPr>
    <w:rPr>
      <w:rFonts w:eastAsia="Times New Roman"/>
      <w:b/>
      <w:bCs/>
      <w:color w:val="FFFFFF"/>
      <w:lang w:val="es-ES"/>
    </w:rPr>
  </w:style>
  <w:style w:type="paragraph" w:customStyle="1" w:styleId="headlinetxtpubs">
    <w:name w:val="headline_txt_pubs"/>
    <w:basedOn w:val="Normal"/>
    <w:uiPriority w:val="99"/>
    <w:rsid w:val="00DD485C"/>
    <w:pPr>
      <w:shd w:val="clear" w:color="auto" w:fill="996699"/>
      <w:spacing w:before="100" w:beforeAutospacing="1" w:after="100" w:afterAutospacing="1" w:line="255" w:lineRule="atLeast"/>
      <w:jc w:val="center"/>
    </w:pPr>
    <w:rPr>
      <w:rFonts w:eastAsia="Times New Roman"/>
      <w:b/>
      <w:bCs/>
      <w:color w:val="FFFFFF"/>
      <w:lang w:val="es-ES"/>
    </w:rPr>
  </w:style>
  <w:style w:type="paragraph" w:customStyle="1" w:styleId="headlinetxtsu">
    <w:name w:val="headline_txt_su"/>
    <w:basedOn w:val="Normal"/>
    <w:uiPriority w:val="99"/>
    <w:rsid w:val="00DD485C"/>
    <w:pPr>
      <w:shd w:val="clear" w:color="auto" w:fill="6699CC"/>
      <w:spacing w:before="100" w:beforeAutospacing="1" w:after="100" w:afterAutospacing="1" w:line="255" w:lineRule="atLeast"/>
      <w:jc w:val="center"/>
    </w:pPr>
    <w:rPr>
      <w:rFonts w:eastAsia="Times New Roman"/>
      <w:b/>
      <w:bCs/>
      <w:color w:val="FFFFFF"/>
      <w:lang w:val="es-ES"/>
    </w:rPr>
  </w:style>
  <w:style w:type="paragraph" w:customStyle="1" w:styleId="headline">
    <w:name w:val="headline"/>
    <w:basedOn w:val="Normal"/>
    <w:uiPriority w:val="99"/>
    <w:rsid w:val="00DD485C"/>
    <w:pPr>
      <w:spacing w:before="100" w:beforeAutospacing="1" w:after="100" w:afterAutospacing="1"/>
    </w:pPr>
    <w:rPr>
      <w:rFonts w:eastAsia="Times New Roman"/>
      <w:lang w:val="es-ES"/>
    </w:rPr>
  </w:style>
  <w:style w:type="paragraph" w:customStyle="1" w:styleId="infoboxblue">
    <w:name w:val="infobox_blue"/>
    <w:basedOn w:val="Normal"/>
    <w:uiPriority w:val="99"/>
    <w:rsid w:val="00DD485C"/>
    <w:pPr>
      <w:pBdr>
        <w:bottom w:val="single" w:sz="6" w:space="0" w:color="003366"/>
      </w:pBdr>
      <w:shd w:val="clear" w:color="auto" w:fill="D9EBF9"/>
      <w:spacing w:before="100" w:beforeAutospacing="1" w:after="100" w:afterAutospacing="1"/>
    </w:pPr>
    <w:rPr>
      <w:rFonts w:eastAsia="Times New Roman"/>
      <w:color w:val="003366"/>
      <w:lang w:val="es-ES"/>
    </w:rPr>
  </w:style>
  <w:style w:type="paragraph" w:customStyle="1" w:styleId="infoboxgrey">
    <w:name w:val="infobox_grey"/>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red">
    <w:name w:val="infobox_red"/>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si">
    <w:name w:val="infobox_si"/>
    <w:basedOn w:val="Normal"/>
    <w:uiPriority w:val="99"/>
    <w:rsid w:val="00DD485C"/>
    <w:pPr>
      <w:spacing w:before="100" w:beforeAutospacing="1" w:after="100" w:afterAutospacing="1"/>
    </w:pPr>
    <w:rPr>
      <w:rFonts w:eastAsia="Times New Roman"/>
      <w:color w:val="003366"/>
      <w:lang w:val="es-ES"/>
    </w:rPr>
  </w:style>
  <w:style w:type="paragraph" w:customStyle="1" w:styleId="infoboxsitop">
    <w:name w:val="infobox_si_top"/>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sibottom">
    <w:name w:val="infobox_si_bottom"/>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catwtop">
    <w:name w:val="infobox_catw_top"/>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foboxcatwbottom">
    <w:name w:val="infobox_catw_bottom"/>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naviboxnewsletter">
    <w:name w:val="navibox_newsletter"/>
    <w:basedOn w:val="Normal"/>
    <w:uiPriority w:val="99"/>
    <w:rsid w:val="00DD485C"/>
    <w:pPr>
      <w:pBdr>
        <w:top w:val="single" w:sz="6" w:space="0" w:color="666666"/>
        <w:left w:val="single" w:sz="6" w:space="0" w:color="666666"/>
        <w:bottom w:val="single" w:sz="6" w:space="0" w:color="666666"/>
        <w:right w:val="single" w:sz="6" w:space="0" w:color="666666"/>
      </w:pBdr>
      <w:spacing w:line="288" w:lineRule="atLeast"/>
    </w:pPr>
    <w:rPr>
      <w:rFonts w:eastAsia="Times New Roman"/>
      <w:color w:val="333333"/>
      <w:lang w:val="es-ES"/>
    </w:rPr>
  </w:style>
  <w:style w:type="paragraph" w:customStyle="1" w:styleId="navibox">
    <w:name w:val="navibox"/>
    <w:basedOn w:val="Normal"/>
    <w:uiPriority w:val="99"/>
    <w:rsid w:val="00DD485C"/>
    <w:pPr>
      <w:pBdr>
        <w:top w:val="single" w:sz="6" w:space="4" w:color="666666"/>
        <w:left w:val="single" w:sz="6" w:space="4" w:color="666666"/>
        <w:bottom w:val="single" w:sz="6" w:space="4" w:color="666666"/>
        <w:right w:val="single" w:sz="6" w:space="4" w:color="666666"/>
      </w:pBdr>
      <w:spacing w:before="100" w:beforeAutospacing="1" w:after="100" w:afterAutospacing="1" w:line="288" w:lineRule="atLeast"/>
    </w:pPr>
    <w:rPr>
      <w:rFonts w:eastAsia="Times New Roman"/>
      <w:color w:val="333333"/>
      <w:lang w:val="es-ES"/>
    </w:rPr>
  </w:style>
  <w:style w:type="paragraph" w:customStyle="1" w:styleId="thirdlevelulnr">
    <w:name w:val="thirdlevel_ul_nr"/>
    <w:basedOn w:val="Normal"/>
    <w:uiPriority w:val="99"/>
    <w:rsid w:val="00DD485C"/>
    <w:rPr>
      <w:rFonts w:eastAsia="Times New Roman"/>
      <w:lang w:val="es-ES"/>
    </w:rPr>
  </w:style>
  <w:style w:type="paragraph" w:customStyle="1" w:styleId="thirdlevelulgp">
    <w:name w:val="thirdlevel_ul_gp"/>
    <w:basedOn w:val="Normal"/>
    <w:uiPriority w:val="99"/>
    <w:rsid w:val="00DD485C"/>
    <w:rPr>
      <w:rFonts w:eastAsia="Times New Roman"/>
      <w:lang w:val="es-ES"/>
    </w:rPr>
  </w:style>
  <w:style w:type="paragraph" w:customStyle="1" w:styleId="thirdlevelulrp">
    <w:name w:val="thirdlevel_ul_rp"/>
    <w:basedOn w:val="Normal"/>
    <w:uiPriority w:val="99"/>
    <w:rsid w:val="00DD485C"/>
    <w:rPr>
      <w:rFonts w:eastAsia="Times New Roman"/>
      <w:lang w:val="es-ES"/>
    </w:rPr>
  </w:style>
  <w:style w:type="paragraph" w:customStyle="1" w:styleId="thirdlevelulpr">
    <w:name w:val="thirdlevel_ul_pr"/>
    <w:basedOn w:val="Normal"/>
    <w:uiPriority w:val="99"/>
    <w:rsid w:val="00DD485C"/>
    <w:rPr>
      <w:rFonts w:eastAsia="Times New Roman"/>
      <w:lang w:val="es-ES"/>
    </w:rPr>
  </w:style>
  <w:style w:type="paragraph" w:customStyle="1" w:styleId="thirdlevelultools">
    <w:name w:val="thirdlevel_ul_tools"/>
    <w:basedOn w:val="Normal"/>
    <w:uiPriority w:val="99"/>
    <w:rsid w:val="00DD485C"/>
    <w:rPr>
      <w:rFonts w:eastAsia="Times New Roman"/>
      <w:lang w:val="es-ES"/>
    </w:rPr>
  </w:style>
  <w:style w:type="paragraph" w:customStyle="1" w:styleId="thirdlevelulpubs">
    <w:name w:val="thirdlevel_ul_pubs"/>
    <w:basedOn w:val="Normal"/>
    <w:uiPriority w:val="99"/>
    <w:rsid w:val="00DD485C"/>
    <w:rPr>
      <w:rFonts w:eastAsia="Times New Roman"/>
      <w:lang w:val="es-ES"/>
    </w:rPr>
  </w:style>
  <w:style w:type="paragraph" w:customStyle="1" w:styleId="thirdlevelulsu">
    <w:name w:val="thirdlevel_ul_su"/>
    <w:basedOn w:val="Normal"/>
    <w:uiPriority w:val="99"/>
    <w:rsid w:val="00DD485C"/>
    <w:rPr>
      <w:rFonts w:eastAsia="Times New Roman"/>
      <w:lang w:val="es-ES"/>
    </w:rPr>
  </w:style>
  <w:style w:type="paragraph" w:customStyle="1" w:styleId="fourthlevelulnr">
    <w:name w:val="fourthlevel_ul_nr"/>
    <w:basedOn w:val="Normal"/>
    <w:uiPriority w:val="99"/>
    <w:rsid w:val="00DD485C"/>
    <w:rPr>
      <w:rFonts w:eastAsia="Times New Roman"/>
      <w:lang w:val="es-ES"/>
    </w:rPr>
  </w:style>
  <w:style w:type="paragraph" w:customStyle="1" w:styleId="fourthlevelulgp">
    <w:name w:val="fourthlevel_ul_gp"/>
    <w:basedOn w:val="Normal"/>
    <w:uiPriority w:val="99"/>
    <w:rsid w:val="00DD485C"/>
    <w:rPr>
      <w:rFonts w:eastAsia="Times New Roman"/>
      <w:lang w:val="es-ES"/>
    </w:rPr>
  </w:style>
  <w:style w:type="paragraph" w:customStyle="1" w:styleId="fourthlevelulrp">
    <w:name w:val="fourthlevel_ul_rp"/>
    <w:basedOn w:val="Normal"/>
    <w:uiPriority w:val="99"/>
    <w:rsid w:val="00DD485C"/>
    <w:rPr>
      <w:rFonts w:eastAsia="Times New Roman"/>
      <w:lang w:val="es-ES"/>
    </w:rPr>
  </w:style>
  <w:style w:type="paragraph" w:customStyle="1" w:styleId="fourthlevelulpr">
    <w:name w:val="fourthlevel_ul_pr"/>
    <w:basedOn w:val="Normal"/>
    <w:uiPriority w:val="99"/>
    <w:rsid w:val="00DD485C"/>
    <w:rPr>
      <w:rFonts w:eastAsia="Times New Roman"/>
      <w:lang w:val="es-ES"/>
    </w:rPr>
  </w:style>
  <w:style w:type="paragraph" w:customStyle="1" w:styleId="fourthlevelultools">
    <w:name w:val="fourthlevel_ul_tools"/>
    <w:basedOn w:val="Normal"/>
    <w:uiPriority w:val="99"/>
    <w:rsid w:val="00DD485C"/>
    <w:rPr>
      <w:rFonts w:eastAsia="Times New Roman"/>
      <w:lang w:val="es-ES"/>
    </w:rPr>
  </w:style>
  <w:style w:type="paragraph" w:customStyle="1" w:styleId="fourthlevelulpubs">
    <w:name w:val="fourthlevel_ul_pubs"/>
    <w:basedOn w:val="Normal"/>
    <w:uiPriority w:val="99"/>
    <w:rsid w:val="00DD485C"/>
    <w:rPr>
      <w:rFonts w:eastAsia="Times New Roman"/>
      <w:lang w:val="es-ES"/>
    </w:rPr>
  </w:style>
  <w:style w:type="paragraph" w:customStyle="1" w:styleId="fourthlevelulsu">
    <w:name w:val="fourthlevel_ul_su"/>
    <w:basedOn w:val="Normal"/>
    <w:uiPriority w:val="99"/>
    <w:rsid w:val="00DD485C"/>
    <w:rPr>
      <w:rFonts w:eastAsia="Times New Roman"/>
      <w:lang w:val="es-ES"/>
    </w:rPr>
  </w:style>
  <w:style w:type="paragraph" w:customStyle="1" w:styleId="fifthlevelulnr">
    <w:name w:val="fifthlevel_ul_nr"/>
    <w:basedOn w:val="Normal"/>
    <w:uiPriority w:val="99"/>
    <w:rsid w:val="00DD485C"/>
    <w:rPr>
      <w:rFonts w:eastAsia="Times New Roman"/>
      <w:lang w:val="es-ES"/>
    </w:rPr>
  </w:style>
  <w:style w:type="paragraph" w:customStyle="1" w:styleId="fifthlevelulgp">
    <w:name w:val="fifthlevel_ul_gp"/>
    <w:basedOn w:val="Normal"/>
    <w:uiPriority w:val="99"/>
    <w:rsid w:val="00DD485C"/>
    <w:rPr>
      <w:rFonts w:eastAsia="Times New Roman"/>
      <w:lang w:val="es-ES"/>
    </w:rPr>
  </w:style>
  <w:style w:type="paragraph" w:customStyle="1" w:styleId="fifthlevelulrp">
    <w:name w:val="fifthlevel_ul_rp"/>
    <w:basedOn w:val="Normal"/>
    <w:uiPriority w:val="99"/>
    <w:rsid w:val="00DD485C"/>
    <w:rPr>
      <w:rFonts w:eastAsia="Times New Roman"/>
      <w:lang w:val="es-ES"/>
    </w:rPr>
  </w:style>
  <w:style w:type="paragraph" w:customStyle="1" w:styleId="fifthlevelulpr">
    <w:name w:val="fifthlevel_ul_pr"/>
    <w:basedOn w:val="Normal"/>
    <w:uiPriority w:val="99"/>
    <w:rsid w:val="00DD485C"/>
    <w:rPr>
      <w:rFonts w:eastAsia="Times New Roman"/>
      <w:lang w:val="es-ES"/>
    </w:rPr>
  </w:style>
  <w:style w:type="paragraph" w:customStyle="1" w:styleId="fifthlevelultools">
    <w:name w:val="fifthlevel_ul_tools"/>
    <w:basedOn w:val="Normal"/>
    <w:uiPriority w:val="99"/>
    <w:rsid w:val="00DD485C"/>
    <w:rPr>
      <w:rFonts w:eastAsia="Times New Roman"/>
      <w:lang w:val="es-ES"/>
    </w:rPr>
  </w:style>
  <w:style w:type="paragraph" w:customStyle="1" w:styleId="fifthlevelulpubs">
    <w:name w:val="fifthlevel_ul_pubs"/>
    <w:basedOn w:val="Normal"/>
    <w:uiPriority w:val="99"/>
    <w:rsid w:val="00DD485C"/>
    <w:rPr>
      <w:rFonts w:eastAsia="Times New Roman"/>
      <w:lang w:val="es-ES"/>
    </w:rPr>
  </w:style>
  <w:style w:type="paragraph" w:customStyle="1" w:styleId="fifthlevelulsu">
    <w:name w:val="fifthlevel_ul_su"/>
    <w:basedOn w:val="Normal"/>
    <w:uiPriority w:val="99"/>
    <w:rsid w:val="00DD485C"/>
    <w:rPr>
      <w:rFonts w:eastAsia="Times New Roman"/>
      <w:lang w:val="es-ES"/>
    </w:rPr>
  </w:style>
  <w:style w:type="paragraph" w:customStyle="1" w:styleId="thirdlevellistnr">
    <w:name w:val="thirdlevel_list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nr">
    <w:name w:val="four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nr">
    <w:name w:val="thirdlevel_list_active_n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nr">
    <w:name w:val="fourthlevel_list_active_n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nr">
    <w:name w:val="thirdlevel_list_active_w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nr">
    <w:name w:val="fourthlevel_list_active_w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gp">
    <w:name w:val="thirdlevel_list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gp">
    <w:name w:val="four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gp">
    <w:name w:val="thirdlevel_list_active_n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gp">
    <w:name w:val="fourthlevel_list_active_n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gp">
    <w:name w:val="thirdlevel_list_active_w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gp">
    <w:name w:val="fourthlevel_list_active_w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rp">
    <w:name w:val="thirdlevel_list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rp">
    <w:name w:val="four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rp">
    <w:name w:val="thirdlevel_list_active_n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rp">
    <w:name w:val="fourthlevel_list_active_n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rp">
    <w:name w:val="thirdlevel_list_active_w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rp">
    <w:name w:val="fourthlevel_list_active_w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r">
    <w:name w:val="thirdlevel_list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r">
    <w:name w:val="four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r">
    <w:name w:val="thirdlevel_list_active_n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r">
    <w:name w:val="fourthlevel_list_active_n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r">
    <w:name w:val="thirdlevel_list_active_w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r">
    <w:name w:val="fourthlevel_list_active_w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tools">
    <w:name w:val="thirdlevel_list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tools">
    <w:name w:val="four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tools">
    <w:name w:val="thirdlevel_list_active_n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tools">
    <w:name w:val="fourthlevel_list_active_n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tools">
    <w:name w:val="thirdlevel_list_active_w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tools">
    <w:name w:val="fourthlevel_list_active_w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ubs">
    <w:name w:val="thirdlevel_list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ubs">
    <w:name w:val="four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ubs">
    <w:name w:val="thirdlevel_list_active_n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ubs">
    <w:name w:val="fourthlevel_list_active_n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ubs">
    <w:name w:val="thirdlevel_list_active_w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ubs">
    <w:name w:val="fourthlevel_list_active_w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su">
    <w:name w:val="thirdlevel_list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su">
    <w:name w:val="four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su">
    <w:name w:val="thirdlevel_list_active_n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su">
    <w:name w:val="fourthlevel_list_active_ns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su">
    <w:name w:val="thirdlevel_list_active_w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su">
    <w:name w:val="fourthlevel_list_active_ws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nr">
    <w:name w:val="fif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gp">
    <w:name w:val="fif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rp">
    <w:name w:val="fif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r">
    <w:name w:val="fif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tools">
    <w:name w:val="fif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ubs">
    <w:name w:val="fif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su">
    <w:name w:val="fif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activenr">
    <w:name w:val="fifthlevel_list_active_nr"/>
    <w:basedOn w:val="Normal"/>
    <w:uiPriority w:val="99"/>
    <w:rsid w:val="00DD485C"/>
    <w:pPr>
      <w:shd w:val="clear" w:color="auto" w:fill="FACBCF"/>
      <w:spacing w:before="100" w:beforeAutospacing="1" w:after="100" w:afterAutospacing="1"/>
    </w:pPr>
    <w:rPr>
      <w:rFonts w:eastAsia="Times New Roman"/>
      <w:color w:val="333333"/>
      <w:lang w:val="es-ES"/>
    </w:rPr>
  </w:style>
  <w:style w:type="paragraph" w:customStyle="1" w:styleId="fifthlevellistactivegp">
    <w:name w:val="fifthlevel_list_active_gp"/>
    <w:basedOn w:val="Normal"/>
    <w:uiPriority w:val="99"/>
    <w:rsid w:val="00DD485C"/>
    <w:pPr>
      <w:shd w:val="clear" w:color="auto" w:fill="F5EAC8"/>
      <w:spacing w:before="100" w:beforeAutospacing="1" w:after="100" w:afterAutospacing="1"/>
    </w:pPr>
    <w:rPr>
      <w:rFonts w:eastAsia="Times New Roman"/>
      <w:color w:val="333333"/>
      <w:lang w:val="es-ES"/>
    </w:rPr>
  </w:style>
  <w:style w:type="paragraph" w:customStyle="1" w:styleId="fifthlevellistactiverp">
    <w:name w:val="fifthlevel_list_active_rp"/>
    <w:basedOn w:val="Normal"/>
    <w:uiPriority w:val="99"/>
    <w:rsid w:val="00DD485C"/>
    <w:pPr>
      <w:shd w:val="clear" w:color="auto" w:fill="CCE4CB"/>
      <w:spacing w:before="100" w:beforeAutospacing="1" w:after="100" w:afterAutospacing="1"/>
    </w:pPr>
    <w:rPr>
      <w:rFonts w:eastAsia="Times New Roman"/>
      <w:color w:val="333333"/>
      <w:lang w:val="es-ES"/>
    </w:rPr>
  </w:style>
  <w:style w:type="paragraph" w:customStyle="1" w:styleId="fifthlevellistactivepr">
    <w:name w:val="fifthlevel_list_active_pr"/>
    <w:basedOn w:val="Normal"/>
    <w:uiPriority w:val="99"/>
    <w:rsid w:val="00DD485C"/>
    <w:pPr>
      <w:shd w:val="clear" w:color="auto" w:fill="C7D9D8"/>
      <w:spacing w:before="100" w:beforeAutospacing="1" w:after="100" w:afterAutospacing="1"/>
    </w:pPr>
    <w:rPr>
      <w:rFonts w:eastAsia="Times New Roman"/>
      <w:color w:val="333333"/>
      <w:lang w:val="es-ES"/>
    </w:rPr>
  </w:style>
  <w:style w:type="paragraph" w:customStyle="1" w:styleId="fifthlevellistactivetools">
    <w:name w:val="fifthlevel_list_active_tools"/>
    <w:basedOn w:val="Normal"/>
    <w:uiPriority w:val="99"/>
    <w:rsid w:val="00DD485C"/>
    <w:pPr>
      <w:shd w:val="clear" w:color="auto" w:fill="E2E2CB"/>
      <w:spacing w:before="100" w:beforeAutospacing="1" w:after="100" w:afterAutospacing="1"/>
    </w:pPr>
    <w:rPr>
      <w:rFonts w:eastAsia="Times New Roman"/>
      <w:color w:val="333333"/>
      <w:lang w:val="es-ES"/>
    </w:rPr>
  </w:style>
  <w:style w:type="paragraph" w:customStyle="1" w:styleId="fifthlevellistactivepubs">
    <w:name w:val="fifthlevel_list_active_pubs"/>
    <w:basedOn w:val="Normal"/>
    <w:uiPriority w:val="99"/>
    <w:rsid w:val="00DD485C"/>
    <w:pPr>
      <w:shd w:val="clear" w:color="auto" w:fill="DDCFDC"/>
      <w:spacing w:before="100" w:beforeAutospacing="1" w:after="100" w:afterAutospacing="1"/>
    </w:pPr>
    <w:rPr>
      <w:rFonts w:eastAsia="Times New Roman"/>
      <w:color w:val="333333"/>
      <w:lang w:val="es-ES"/>
    </w:rPr>
  </w:style>
  <w:style w:type="paragraph" w:customStyle="1" w:styleId="fifthlevellistactivesu">
    <w:name w:val="fifthlevel_list_active_su"/>
    <w:basedOn w:val="Normal"/>
    <w:uiPriority w:val="99"/>
    <w:rsid w:val="00DD485C"/>
    <w:pPr>
      <w:shd w:val="clear" w:color="auto" w:fill="E1ECF3"/>
      <w:spacing w:before="100" w:beforeAutospacing="1" w:after="100" w:afterAutospacing="1"/>
    </w:pPr>
    <w:rPr>
      <w:rFonts w:eastAsia="Times New Roman"/>
      <w:color w:val="333333"/>
      <w:lang w:val="es-ES"/>
    </w:rPr>
  </w:style>
  <w:style w:type="paragraph" w:customStyle="1" w:styleId="titledividelevel3nr">
    <w:name w:val="titledivide_level3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4nr">
    <w:name w:val="titledivide_level4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5nr">
    <w:name w:val="titledivide_level5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3gp">
    <w:name w:val="titledivide_level3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4gp">
    <w:name w:val="titledivide_level4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5gp">
    <w:name w:val="titledivide_level5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3rp">
    <w:name w:val="titledivide_level3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4rp">
    <w:name w:val="titledivide_level4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5rp">
    <w:name w:val="titledivide_level5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3pr">
    <w:name w:val="titledivide_level3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4pr">
    <w:name w:val="titledivide_level4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5pr">
    <w:name w:val="titledivide_level5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3tools">
    <w:name w:val="titledivide_level3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4tools">
    <w:name w:val="titledivide_level4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5tools">
    <w:name w:val="titledivide_level5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3pubs">
    <w:name w:val="titledivide_level3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4pubs">
    <w:name w:val="titledivide_level4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5pubs">
    <w:name w:val="titledivide_level5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3su">
    <w:name w:val="titledivide_level3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4su">
    <w:name w:val="titledivide_level4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5su">
    <w:name w:val="titledivide_level5_su"/>
    <w:basedOn w:val="Normal"/>
    <w:uiPriority w:val="99"/>
    <w:rsid w:val="00DD485C"/>
    <w:pPr>
      <w:shd w:val="clear" w:color="auto" w:fill="6699CC"/>
      <w:spacing w:before="45" w:after="45"/>
    </w:pPr>
    <w:rPr>
      <w:rFonts w:eastAsia="Times New Roman"/>
      <w:b/>
      <w:bCs/>
      <w:color w:val="FFFFFF"/>
      <w:lang w:val="es-ES"/>
    </w:rPr>
  </w:style>
  <w:style w:type="paragraph" w:customStyle="1" w:styleId="searchinputbox">
    <w:name w:val="searchinputbox"/>
    <w:basedOn w:val="Normal"/>
    <w:uiPriority w:val="99"/>
    <w:rsid w:val="00DD485C"/>
    <w:pPr>
      <w:pBdr>
        <w:top w:val="single" w:sz="6" w:space="0" w:color="666666"/>
        <w:left w:val="single" w:sz="6" w:space="2" w:color="666666"/>
        <w:bottom w:val="single" w:sz="6" w:space="0" w:color="666666"/>
        <w:right w:val="single" w:sz="6" w:space="0" w:color="666666"/>
      </w:pBdr>
      <w:shd w:val="clear" w:color="auto" w:fill="E7E7E7"/>
      <w:spacing w:before="100" w:beforeAutospacing="1" w:after="100" w:afterAutospacing="1"/>
      <w:textAlignment w:val="center"/>
    </w:pPr>
    <w:rPr>
      <w:rFonts w:eastAsia="Times New Roman"/>
      <w:color w:val="333333"/>
      <w:lang w:val="es-ES"/>
    </w:rPr>
  </w:style>
  <w:style w:type="paragraph" w:customStyle="1" w:styleId="leftnavboxnr">
    <w:name w:val="leftnavbox_nr"/>
    <w:basedOn w:val="Normal"/>
    <w:uiPriority w:val="99"/>
    <w:rsid w:val="00DD485C"/>
    <w:pPr>
      <w:shd w:val="clear" w:color="auto" w:fill="CC0000"/>
      <w:spacing w:before="100" w:beforeAutospacing="1" w:after="100" w:afterAutospacing="1"/>
    </w:pPr>
    <w:rPr>
      <w:rFonts w:eastAsia="Times New Roman"/>
      <w:lang w:val="es-ES"/>
    </w:rPr>
  </w:style>
  <w:style w:type="paragraph" w:customStyle="1" w:styleId="leftnavboxgp">
    <w:name w:val="leftnavbox_gp"/>
    <w:basedOn w:val="Normal"/>
    <w:uiPriority w:val="99"/>
    <w:rsid w:val="00DD485C"/>
    <w:pPr>
      <w:shd w:val="clear" w:color="auto" w:fill="FF9933"/>
      <w:spacing w:before="100" w:beforeAutospacing="1" w:after="100" w:afterAutospacing="1"/>
    </w:pPr>
    <w:rPr>
      <w:rFonts w:eastAsia="Times New Roman"/>
      <w:lang w:val="es-ES"/>
    </w:rPr>
  </w:style>
  <w:style w:type="paragraph" w:customStyle="1" w:styleId="leftnavboxrp">
    <w:name w:val="leftnavbox_rp"/>
    <w:basedOn w:val="Normal"/>
    <w:uiPriority w:val="99"/>
    <w:rsid w:val="00DD485C"/>
    <w:pPr>
      <w:shd w:val="clear" w:color="auto" w:fill="66CC66"/>
      <w:spacing w:before="100" w:beforeAutospacing="1" w:after="100" w:afterAutospacing="1"/>
    </w:pPr>
    <w:rPr>
      <w:rFonts w:eastAsia="Times New Roman"/>
      <w:lang w:val="es-ES"/>
    </w:rPr>
  </w:style>
  <w:style w:type="paragraph" w:customStyle="1" w:styleId="leftnavboxpr">
    <w:name w:val="leftnavbox_pr"/>
    <w:basedOn w:val="Normal"/>
    <w:uiPriority w:val="99"/>
    <w:rsid w:val="00DD485C"/>
    <w:pPr>
      <w:shd w:val="clear" w:color="auto" w:fill="669999"/>
      <w:spacing w:before="100" w:beforeAutospacing="1" w:after="100" w:afterAutospacing="1"/>
    </w:pPr>
    <w:rPr>
      <w:rFonts w:eastAsia="Times New Roman"/>
      <w:lang w:val="es-ES"/>
    </w:rPr>
  </w:style>
  <w:style w:type="paragraph" w:customStyle="1" w:styleId="leftnavboxtools">
    <w:name w:val="leftnavbox_tools"/>
    <w:basedOn w:val="Normal"/>
    <w:uiPriority w:val="99"/>
    <w:rsid w:val="00DD485C"/>
    <w:pPr>
      <w:shd w:val="clear" w:color="auto" w:fill="CCCC99"/>
      <w:spacing w:before="100" w:beforeAutospacing="1" w:after="100" w:afterAutospacing="1"/>
    </w:pPr>
    <w:rPr>
      <w:rFonts w:eastAsia="Times New Roman"/>
      <w:lang w:val="es-ES"/>
    </w:rPr>
  </w:style>
  <w:style w:type="paragraph" w:customStyle="1" w:styleId="leftnavboxpubs">
    <w:name w:val="leftnavbox_pubs"/>
    <w:basedOn w:val="Normal"/>
    <w:uiPriority w:val="99"/>
    <w:rsid w:val="00DD485C"/>
    <w:pPr>
      <w:shd w:val="clear" w:color="auto" w:fill="996699"/>
      <w:spacing w:before="100" w:beforeAutospacing="1" w:after="100" w:afterAutospacing="1"/>
    </w:pPr>
    <w:rPr>
      <w:rFonts w:eastAsia="Times New Roman"/>
      <w:lang w:val="es-ES"/>
    </w:rPr>
  </w:style>
  <w:style w:type="paragraph" w:customStyle="1" w:styleId="leftnavboxsu">
    <w:name w:val="leftnavbox_su"/>
    <w:basedOn w:val="Normal"/>
    <w:uiPriority w:val="99"/>
    <w:rsid w:val="00DD485C"/>
    <w:pPr>
      <w:shd w:val="clear" w:color="auto" w:fill="6699CC"/>
      <w:spacing w:before="100" w:beforeAutospacing="1" w:after="100" w:afterAutospacing="1"/>
    </w:pPr>
    <w:rPr>
      <w:rFonts w:eastAsia="Times New Roman"/>
      <w:lang w:val="es-ES"/>
    </w:rPr>
  </w:style>
  <w:style w:type="paragraph" w:customStyle="1" w:styleId="intropicboxnr">
    <w:name w:val="intropicbox_nr"/>
    <w:basedOn w:val="Normal"/>
    <w:uiPriority w:val="99"/>
    <w:rsid w:val="00DD485C"/>
    <w:pPr>
      <w:pBdr>
        <w:left w:val="single" w:sz="6" w:space="0" w:color="CC0000"/>
        <w:bottom w:val="single" w:sz="6" w:space="0" w:color="CC0000"/>
      </w:pBdr>
      <w:spacing w:before="100" w:beforeAutospacing="1" w:after="100" w:afterAutospacing="1"/>
    </w:pPr>
    <w:rPr>
      <w:rFonts w:eastAsia="Times New Roman"/>
      <w:lang w:val="es-ES"/>
    </w:rPr>
  </w:style>
  <w:style w:type="paragraph" w:customStyle="1" w:styleId="intropicboxgp">
    <w:name w:val="intropicbox_gp"/>
    <w:basedOn w:val="Normal"/>
    <w:uiPriority w:val="99"/>
    <w:rsid w:val="00DD485C"/>
    <w:pPr>
      <w:pBdr>
        <w:left w:val="single" w:sz="6" w:space="0" w:color="FF9933"/>
        <w:bottom w:val="single" w:sz="6" w:space="0" w:color="FF9933"/>
      </w:pBdr>
      <w:spacing w:before="100" w:beforeAutospacing="1" w:after="100" w:afterAutospacing="1"/>
    </w:pPr>
    <w:rPr>
      <w:rFonts w:eastAsia="Times New Roman"/>
      <w:lang w:val="es-ES"/>
    </w:rPr>
  </w:style>
  <w:style w:type="paragraph" w:customStyle="1" w:styleId="intropicboxrp">
    <w:name w:val="intropicbox_rp"/>
    <w:basedOn w:val="Normal"/>
    <w:uiPriority w:val="99"/>
    <w:rsid w:val="00DD485C"/>
    <w:pPr>
      <w:pBdr>
        <w:left w:val="single" w:sz="6" w:space="0" w:color="66CC66"/>
        <w:bottom w:val="single" w:sz="6" w:space="0" w:color="66CC66"/>
      </w:pBdr>
      <w:spacing w:before="100" w:beforeAutospacing="1" w:after="100" w:afterAutospacing="1"/>
    </w:pPr>
    <w:rPr>
      <w:rFonts w:eastAsia="Times New Roman"/>
      <w:lang w:val="es-ES"/>
    </w:rPr>
  </w:style>
  <w:style w:type="paragraph" w:customStyle="1" w:styleId="intropicboxpr">
    <w:name w:val="intropicbox_pr"/>
    <w:basedOn w:val="Normal"/>
    <w:uiPriority w:val="99"/>
    <w:rsid w:val="00DD485C"/>
    <w:pPr>
      <w:pBdr>
        <w:left w:val="single" w:sz="6" w:space="0" w:color="339999"/>
        <w:bottom w:val="single" w:sz="6" w:space="0" w:color="339999"/>
      </w:pBdr>
      <w:spacing w:before="100" w:beforeAutospacing="1" w:after="100" w:afterAutospacing="1"/>
    </w:pPr>
    <w:rPr>
      <w:rFonts w:eastAsia="Times New Roman"/>
      <w:lang w:val="es-ES"/>
    </w:rPr>
  </w:style>
  <w:style w:type="paragraph" w:customStyle="1" w:styleId="intropicboxtools">
    <w:name w:val="intropicbox_tools"/>
    <w:basedOn w:val="Normal"/>
    <w:uiPriority w:val="99"/>
    <w:rsid w:val="00DD485C"/>
    <w:pPr>
      <w:pBdr>
        <w:left w:val="single" w:sz="6" w:space="0" w:color="CCCC99"/>
        <w:bottom w:val="single" w:sz="6" w:space="0" w:color="CCCC99"/>
      </w:pBdr>
      <w:spacing w:before="100" w:beforeAutospacing="1" w:after="100" w:afterAutospacing="1"/>
    </w:pPr>
    <w:rPr>
      <w:rFonts w:eastAsia="Times New Roman"/>
      <w:lang w:val="es-ES"/>
    </w:rPr>
  </w:style>
  <w:style w:type="paragraph" w:customStyle="1" w:styleId="intropicboxpubs">
    <w:name w:val="intropicbox_pubs"/>
    <w:basedOn w:val="Normal"/>
    <w:uiPriority w:val="99"/>
    <w:rsid w:val="00DD485C"/>
    <w:pPr>
      <w:pBdr>
        <w:left w:val="single" w:sz="6" w:space="0" w:color="996699"/>
        <w:bottom w:val="single" w:sz="6" w:space="0" w:color="996699"/>
      </w:pBdr>
      <w:spacing w:before="100" w:beforeAutospacing="1" w:after="100" w:afterAutospacing="1"/>
    </w:pPr>
    <w:rPr>
      <w:rFonts w:eastAsia="Times New Roman"/>
      <w:lang w:val="es-ES"/>
    </w:rPr>
  </w:style>
  <w:style w:type="paragraph" w:customStyle="1" w:styleId="intropicboxsu">
    <w:name w:val="intropicbox_su"/>
    <w:basedOn w:val="Normal"/>
    <w:uiPriority w:val="99"/>
    <w:rsid w:val="00DD485C"/>
    <w:pPr>
      <w:pBdr>
        <w:left w:val="single" w:sz="6" w:space="0" w:color="6699CC"/>
        <w:bottom w:val="single" w:sz="6" w:space="0" w:color="6699CC"/>
      </w:pBdr>
      <w:spacing w:before="100" w:beforeAutospacing="1" w:after="100" w:afterAutospacing="1"/>
    </w:pPr>
    <w:rPr>
      <w:rFonts w:eastAsia="Times New Roman"/>
      <w:lang w:val="es-ES"/>
    </w:rPr>
  </w:style>
  <w:style w:type="paragraph" w:customStyle="1" w:styleId="nlintrotext">
    <w:name w:val="nl_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introtext">
    <w:name w:val="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contenttxt">
    <w:name w:val="content_txt"/>
    <w:basedOn w:val="Normal"/>
    <w:uiPriority w:val="99"/>
    <w:rsid w:val="00DD485C"/>
    <w:pPr>
      <w:spacing w:before="100" w:beforeAutospacing="1" w:after="100" w:afterAutospacing="1"/>
    </w:pPr>
    <w:rPr>
      <w:rFonts w:eastAsia="Times New Roman"/>
      <w:lang w:val="es-ES"/>
    </w:rPr>
  </w:style>
  <w:style w:type="paragraph" w:customStyle="1" w:styleId="nlcontenttxt">
    <w:name w:val="nl_content_txt"/>
    <w:basedOn w:val="Normal"/>
    <w:uiPriority w:val="99"/>
    <w:rsid w:val="00DD485C"/>
    <w:pPr>
      <w:spacing w:before="100" w:beforeAutospacing="1" w:after="100" w:afterAutospacing="1" w:line="288" w:lineRule="atLeast"/>
    </w:pPr>
    <w:rPr>
      <w:rFonts w:eastAsia="Times New Roman"/>
      <w:lang w:val="es-ES"/>
    </w:rPr>
  </w:style>
  <w:style w:type="paragraph" w:customStyle="1" w:styleId="contentheadernr">
    <w:name w:val="contentheader_nr"/>
    <w:basedOn w:val="Normal"/>
    <w:uiPriority w:val="99"/>
    <w:rsid w:val="00DD485C"/>
    <w:pPr>
      <w:shd w:val="clear" w:color="auto" w:fill="CC0000"/>
      <w:spacing w:before="100" w:beforeAutospacing="1" w:after="105"/>
    </w:pPr>
    <w:rPr>
      <w:rFonts w:eastAsia="Times New Roman"/>
      <w:b/>
      <w:bCs/>
      <w:color w:val="FFFFFF"/>
      <w:lang w:val="es-ES"/>
    </w:rPr>
  </w:style>
  <w:style w:type="paragraph" w:customStyle="1" w:styleId="contentheadernr2">
    <w:name w:val="contentheader_nr2"/>
    <w:basedOn w:val="Normal"/>
    <w:uiPriority w:val="99"/>
    <w:rsid w:val="00DD485C"/>
    <w:pPr>
      <w:shd w:val="clear" w:color="auto" w:fill="CC4A4C"/>
      <w:spacing w:before="100" w:beforeAutospacing="1" w:after="105"/>
    </w:pPr>
    <w:rPr>
      <w:rFonts w:eastAsia="Times New Roman"/>
      <w:b/>
      <w:bCs/>
      <w:color w:val="FFFFFF"/>
      <w:lang w:val="es-ES"/>
    </w:rPr>
  </w:style>
  <w:style w:type="paragraph" w:customStyle="1" w:styleId="contentheadergp">
    <w:name w:val="contentheader_gp"/>
    <w:basedOn w:val="Normal"/>
    <w:uiPriority w:val="99"/>
    <w:rsid w:val="00DD485C"/>
    <w:pPr>
      <w:shd w:val="clear" w:color="auto" w:fill="FF9933"/>
      <w:spacing w:before="100" w:beforeAutospacing="1" w:after="105"/>
    </w:pPr>
    <w:rPr>
      <w:rFonts w:eastAsia="Times New Roman"/>
      <w:b/>
      <w:bCs/>
      <w:color w:val="FFFFFF"/>
      <w:lang w:val="es-ES"/>
    </w:rPr>
  </w:style>
  <w:style w:type="paragraph" w:customStyle="1" w:styleId="contentheadergp2">
    <w:name w:val="contentheader_gp2"/>
    <w:basedOn w:val="Normal"/>
    <w:uiPriority w:val="99"/>
    <w:rsid w:val="00DD485C"/>
    <w:pPr>
      <w:shd w:val="clear" w:color="auto" w:fill="FFCC99"/>
      <w:spacing w:before="100" w:beforeAutospacing="1" w:after="105"/>
    </w:pPr>
    <w:rPr>
      <w:rFonts w:eastAsia="Times New Roman"/>
      <w:b/>
      <w:bCs/>
      <w:color w:val="FFFFFF"/>
      <w:lang w:val="es-ES"/>
    </w:rPr>
  </w:style>
  <w:style w:type="paragraph" w:customStyle="1" w:styleId="contentheaderrp">
    <w:name w:val="contentheader_rp"/>
    <w:basedOn w:val="Normal"/>
    <w:uiPriority w:val="99"/>
    <w:rsid w:val="00DD485C"/>
    <w:pPr>
      <w:shd w:val="clear" w:color="auto" w:fill="66CC66"/>
      <w:spacing w:before="100" w:beforeAutospacing="1" w:after="105"/>
    </w:pPr>
    <w:rPr>
      <w:rFonts w:eastAsia="Times New Roman"/>
      <w:b/>
      <w:bCs/>
      <w:color w:val="FFFFFF"/>
      <w:lang w:val="es-ES"/>
    </w:rPr>
  </w:style>
  <w:style w:type="paragraph" w:customStyle="1" w:styleId="contentheaderrp2">
    <w:name w:val="contentheader_rp2"/>
    <w:basedOn w:val="Normal"/>
    <w:uiPriority w:val="99"/>
    <w:rsid w:val="00DD485C"/>
    <w:pPr>
      <w:shd w:val="clear" w:color="auto" w:fill="99CC99"/>
      <w:spacing w:before="100" w:beforeAutospacing="1" w:after="105"/>
    </w:pPr>
    <w:rPr>
      <w:rFonts w:eastAsia="Times New Roman"/>
      <w:b/>
      <w:bCs/>
      <w:color w:val="FFFFFF"/>
      <w:lang w:val="es-ES"/>
    </w:rPr>
  </w:style>
  <w:style w:type="paragraph" w:customStyle="1" w:styleId="contentheaderpr">
    <w:name w:val="contentheader_pr"/>
    <w:basedOn w:val="Normal"/>
    <w:uiPriority w:val="99"/>
    <w:rsid w:val="00DD485C"/>
    <w:pPr>
      <w:shd w:val="clear" w:color="auto" w:fill="339999"/>
      <w:spacing w:before="100" w:beforeAutospacing="1" w:after="105"/>
    </w:pPr>
    <w:rPr>
      <w:rFonts w:eastAsia="Times New Roman"/>
      <w:b/>
      <w:bCs/>
      <w:color w:val="FFFFFF"/>
      <w:lang w:val="es-ES"/>
    </w:rPr>
  </w:style>
  <w:style w:type="paragraph" w:customStyle="1" w:styleId="contentheaderpr2">
    <w:name w:val="contentheader_pr2"/>
    <w:basedOn w:val="Normal"/>
    <w:uiPriority w:val="99"/>
    <w:rsid w:val="00DD485C"/>
    <w:pPr>
      <w:shd w:val="clear" w:color="auto" w:fill="99CCCC"/>
      <w:spacing w:before="100" w:beforeAutospacing="1" w:after="105"/>
    </w:pPr>
    <w:rPr>
      <w:rFonts w:eastAsia="Times New Roman"/>
      <w:b/>
      <w:bCs/>
      <w:color w:val="FFFFFF"/>
      <w:lang w:val="es-ES"/>
    </w:rPr>
  </w:style>
  <w:style w:type="paragraph" w:customStyle="1" w:styleId="contentheadertools">
    <w:name w:val="contentheader_tools"/>
    <w:basedOn w:val="Normal"/>
    <w:uiPriority w:val="99"/>
    <w:rsid w:val="00DD485C"/>
    <w:pPr>
      <w:shd w:val="clear" w:color="auto" w:fill="CCCC99"/>
      <w:spacing w:before="100" w:beforeAutospacing="1" w:after="105"/>
    </w:pPr>
    <w:rPr>
      <w:rFonts w:eastAsia="Times New Roman"/>
      <w:b/>
      <w:bCs/>
      <w:color w:val="FFFFFF"/>
      <w:lang w:val="es-ES"/>
    </w:rPr>
  </w:style>
  <w:style w:type="paragraph" w:customStyle="1" w:styleId="contentheadertools2">
    <w:name w:val="contentheader_tools2"/>
    <w:basedOn w:val="Normal"/>
    <w:uiPriority w:val="99"/>
    <w:rsid w:val="00DD485C"/>
    <w:pPr>
      <w:shd w:val="clear" w:color="auto" w:fill="EFEECF"/>
      <w:spacing w:before="100" w:beforeAutospacing="1" w:after="105"/>
    </w:pPr>
    <w:rPr>
      <w:rFonts w:eastAsia="Times New Roman"/>
      <w:b/>
      <w:bCs/>
      <w:color w:val="FFFFFF"/>
      <w:lang w:val="es-ES"/>
    </w:rPr>
  </w:style>
  <w:style w:type="paragraph" w:customStyle="1" w:styleId="contentheaderpubs">
    <w:name w:val="contentheader_pubs"/>
    <w:basedOn w:val="Normal"/>
    <w:uiPriority w:val="99"/>
    <w:rsid w:val="00DD485C"/>
    <w:pPr>
      <w:shd w:val="clear" w:color="auto" w:fill="996699"/>
      <w:spacing w:before="100" w:beforeAutospacing="1" w:after="105"/>
    </w:pPr>
    <w:rPr>
      <w:rFonts w:eastAsia="Times New Roman"/>
      <w:b/>
      <w:bCs/>
      <w:color w:val="FFFFFF"/>
      <w:lang w:val="es-ES"/>
    </w:rPr>
  </w:style>
  <w:style w:type="paragraph" w:customStyle="1" w:styleId="contentheaderpubs2">
    <w:name w:val="contentheader_pubs2"/>
    <w:basedOn w:val="Normal"/>
    <w:uiPriority w:val="99"/>
    <w:rsid w:val="00DD485C"/>
    <w:pPr>
      <w:shd w:val="clear" w:color="auto" w:fill="CC99CC"/>
      <w:spacing w:before="100" w:beforeAutospacing="1" w:after="105"/>
    </w:pPr>
    <w:rPr>
      <w:rFonts w:eastAsia="Times New Roman"/>
      <w:b/>
      <w:bCs/>
      <w:color w:val="FFFFFF"/>
      <w:lang w:val="es-ES"/>
    </w:rPr>
  </w:style>
  <w:style w:type="paragraph" w:customStyle="1" w:styleId="contentheadersu">
    <w:name w:val="contentheader_su"/>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su2">
    <w:name w:val="contentheader_su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headerus">
    <w:name w:val="contentheader_us"/>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us2">
    <w:name w:val="contentheader_us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infocusiaheader">
    <w:name w:val="infocus_ia_header"/>
    <w:basedOn w:val="Normal"/>
    <w:uiPriority w:val="99"/>
    <w:rsid w:val="00DD485C"/>
    <w:pPr>
      <w:shd w:val="clear" w:color="auto" w:fill="852714"/>
      <w:spacing w:before="100" w:beforeAutospacing="1" w:after="105"/>
    </w:pPr>
    <w:rPr>
      <w:rFonts w:eastAsia="Times New Roman"/>
      <w:b/>
      <w:bCs/>
      <w:color w:val="FFFFFF"/>
      <w:lang w:val="es-ES"/>
    </w:rPr>
  </w:style>
  <w:style w:type="paragraph" w:customStyle="1" w:styleId="contentheaderblue">
    <w:name w:val="contentheader_blue"/>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textboxcream">
    <w:name w:val="contenttextbox_cream"/>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F6F7E7"/>
      <w:spacing w:before="100" w:beforeAutospacing="1" w:after="105"/>
    </w:pPr>
    <w:rPr>
      <w:rFonts w:eastAsia="Times New Roman"/>
      <w:color w:val="003366"/>
      <w:lang w:val="es-ES"/>
    </w:rPr>
  </w:style>
  <w:style w:type="paragraph" w:customStyle="1" w:styleId="contenttextboxgrey">
    <w:name w:val="contenttextbox_grey"/>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E7E7E7"/>
      <w:spacing w:before="100" w:beforeAutospacing="1" w:after="105"/>
    </w:pPr>
    <w:rPr>
      <w:rFonts w:eastAsia="Times New Roman"/>
      <w:color w:val="003366"/>
      <w:lang w:val="es-ES"/>
    </w:rPr>
  </w:style>
  <w:style w:type="paragraph" w:customStyle="1" w:styleId="contenttextboxblue">
    <w:name w:val="contenttextbox_blue"/>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D9EBF9"/>
      <w:spacing w:before="100" w:beforeAutospacing="1" w:after="105"/>
    </w:pPr>
    <w:rPr>
      <w:rFonts w:eastAsia="Times New Roman"/>
      <w:color w:val="003366"/>
      <w:lang w:val="es-ES"/>
    </w:rPr>
  </w:style>
  <w:style w:type="paragraph" w:customStyle="1" w:styleId="contenttextboxnr">
    <w:name w:val="contenttextbox_nr"/>
    <w:basedOn w:val="Normal"/>
    <w:uiPriority w:val="99"/>
    <w:rsid w:val="00DD485C"/>
    <w:pPr>
      <w:pBdr>
        <w:top w:val="single" w:sz="6" w:space="0" w:color="CC0000"/>
        <w:left w:val="single" w:sz="6" w:space="4" w:color="CC0000"/>
        <w:bottom w:val="single" w:sz="6" w:space="0" w:color="CC0000"/>
        <w:right w:val="single" w:sz="6" w:space="0" w:color="CC0000"/>
      </w:pBdr>
      <w:shd w:val="clear" w:color="auto" w:fill="CC4A4C"/>
      <w:spacing w:before="100" w:beforeAutospacing="1" w:after="105"/>
    </w:pPr>
    <w:rPr>
      <w:rFonts w:eastAsia="Times New Roman"/>
      <w:color w:val="FFFFFF"/>
      <w:lang w:val="es-ES"/>
    </w:rPr>
  </w:style>
  <w:style w:type="paragraph" w:customStyle="1" w:styleId="contenttextboxgp">
    <w:name w:val="contenttextbox_gp"/>
    <w:basedOn w:val="Normal"/>
    <w:uiPriority w:val="99"/>
    <w:rsid w:val="00DD485C"/>
    <w:pPr>
      <w:pBdr>
        <w:top w:val="single" w:sz="6" w:space="0" w:color="FF6600"/>
        <w:left w:val="single" w:sz="6" w:space="4" w:color="FF6600"/>
        <w:bottom w:val="single" w:sz="6" w:space="0" w:color="FF6600"/>
        <w:right w:val="single" w:sz="6" w:space="0" w:color="FF6600"/>
      </w:pBdr>
      <w:shd w:val="clear" w:color="auto" w:fill="FF9933"/>
      <w:spacing w:before="100" w:beforeAutospacing="1" w:after="105"/>
    </w:pPr>
    <w:rPr>
      <w:rFonts w:eastAsia="Times New Roman"/>
      <w:color w:val="FF6600"/>
      <w:lang w:val="es-ES"/>
    </w:rPr>
  </w:style>
  <w:style w:type="paragraph" w:customStyle="1" w:styleId="contenttextboxrp">
    <w:name w:val="contenttextbox_rp"/>
    <w:basedOn w:val="Normal"/>
    <w:uiPriority w:val="99"/>
    <w:rsid w:val="00DD485C"/>
    <w:pPr>
      <w:pBdr>
        <w:top w:val="single" w:sz="6" w:space="0" w:color="009966"/>
        <w:left w:val="single" w:sz="6" w:space="4" w:color="009966"/>
        <w:bottom w:val="single" w:sz="6" w:space="0" w:color="009966"/>
        <w:right w:val="single" w:sz="6" w:space="0" w:color="009966"/>
      </w:pBdr>
      <w:shd w:val="clear" w:color="auto" w:fill="CCFFCC"/>
      <w:spacing w:before="100" w:beforeAutospacing="1" w:after="105"/>
    </w:pPr>
    <w:rPr>
      <w:rFonts w:eastAsia="Times New Roman"/>
      <w:color w:val="009966"/>
      <w:lang w:val="es-ES"/>
    </w:rPr>
  </w:style>
  <w:style w:type="paragraph" w:customStyle="1" w:styleId="contenttextboxpr">
    <w:name w:val="contenttextbox_pr"/>
    <w:basedOn w:val="Normal"/>
    <w:uiPriority w:val="99"/>
    <w:rsid w:val="00DD485C"/>
    <w:pPr>
      <w:pBdr>
        <w:top w:val="single" w:sz="6" w:space="0" w:color="006666"/>
        <w:left w:val="single" w:sz="6" w:space="4" w:color="006666"/>
        <w:bottom w:val="single" w:sz="6" w:space="0" w:color="006666"/>
        <w:right w:val="single" w:sz="6" w:space="0" w:color="006666"/>
      </w:pBdr>
      <w:shd w:val="clear" w:color="auto" w:fill="CCFFFF"/>
      <w:spacing w:before="100" w:beforeAutospacing="1" w:after="105"/>
    </w:pPr>
    <w:rPr>
      <w:rFonts w:eastAsia="Times New Roman"/>
      <w:color w:val="006666"/>
      <w:lang w:val="es-ES"/>
    </w:rPr>
  </w:style>
  <w:style w:type="paragraph" w:customStyle="1" w:styleId="contenttextboxtools">
    <w:name w:val="contenttextbox_tools"/>
    <w:basedOn w:val="Normal"/>
    <w:uiPriority w:val="99"/>
    <w:rsid w:val="00DD485C"/>
    <w:pPr>
      <w:pBdr>
        <w:top w:val="single" w:sz="6" w:space="0" w:color="999966"/>
        <w:left w:val="single" w:sz="6" w:space="4" w:color="999966"/>
        <w:bottom w:val="single" w:sz="6" w:space="0" w:color="999966"/>
        <w:right w:val="single" w:sz="6" w:space="0" w:color="999966"/>
      </w:pBdr>
      <w:shd w:val="clear" w:color="auto" w:fill="EFEECF"/>
      <w:spacing w:before="100" w:beforeAutospacing="1" w:after="105"/>
    </w:pPr>
    <w:rPr>
      <w:rFonts w:eastAsia="Times New Roman"/>
      <w:color w:val="999966"/>
      <w:lang w:val="es-ES"/>
    </w:rPr>
  </w:style>
  <w:style w:type="paragraph" w:customStyle="1" w:styleId="contenttextboxpubs">
    <w:name w:val="contenttextbox_pubs"/>
    <w:basedOn w:val="Normal"/>
    <w:uiPriority w:val="99"/>
    <w:rsid w:val="00DD485C"/>
    <w:pPr>
      <w:pBdr>
        <w:top w:val="single" w:sz="6" w:space="0" w:color="660000"/>
        <w:left w:val="single" w:sz="6" w:space="4" w:color="660000"/>
        <w:bottom w:val="single" w:sz="6" w:space="0" w:color="660000"/>
        <w:right w:val="single" w:sz="6" w:space="0" w:color="660000"/>
      </w:pBdr>
      <w:shd w:val="clear" w:color="auto" w:fill="F7E7F7"/>
      <w:spacing w:before="100" w:beforeAutospacing="1" w:after="105"/>
    </w:pPr>
    <w:rPr>
      <w:rFonts w:eastAsia="Times New Roman"/>
      <w:color w:val="660000"/>
      <w:lang w:val="es-ES"/>
    </w:rPr>
  </w:style>
  <w:style w:type="paragraph" w:customStyle="1" w:styleId="contenttextboxsu">
    <w:name w:val="contenttextbox_su"/>
    <w:basedOn w:val="Normal"/>
    <w:uiPriority w:val="99"/>
    <w:rsid w:val="00DD485C"/>
    <w:pPr>
      <w:pBdr>
        <w:top w:val="single" w:sz="6" w:space="0" w:color="333366"/>
        <w:left w:val="single" w:sz="6" w:space="4" w:color="333366"/>
        <w:bottom w:val="single" w:sz="6" w:space="0" w:color="333366"/>
        <w:right w:val="single" w:sz="6" w:space="0" w:color="333366"/>
      </w:pBdr>
      <w:shd w:val="clear" w:color="auto" w:fill="99CCFF"/>
      <w:spacing w:before="100" w:beforeAutospacing="1" w:after="105"/>
    </w:pPr>
    <w:rPr>
      <w:rFonts w:eastAsia="Times New Roman"/>
      <w:color w:val="333366"/>
      <w:lang w:val="es-ES"/>
    </w:rPr>
  </w:style>
  <w:style w:type="paragraph" w:customStyle="1" w:styleId="clr">
    <w:name w:val="clr"/>
    <w:basedOn w:val="Normal"/>
    <w:uiPriority w:val="99"/>
    <w:rsid w:val="00DD485C"/>
    <w:pPr>
      <w:spacing w:before="100" w:beforeAutospacing="1" w:after="100" w:afterAutospacing="1"/>
    </w:pPr>
    <w:rPr>
      <w:rFonts w:eastAsia="Times New Roman"/>
      <w:lang w:val="es-ES"/>
    </w:rPr>
  </w:style>
  <w:style w:type="paragraph" w:customStyle="1" w:styleId="clr-left">
    <w:name w:val="clr-left"/>
    <w:basedOn w:val="Normal"/>
    <w:uiPriority w:val="99"/>
    <w:rsid w:val="00DD485C"/>
    <w:pPr>
      <w:spacing w:before="100" w:beforeAutospacing="1" w:after="100" w:afterAutospacing="1"/>
    </w:pPr>
    <w:rPr>
      <w:rFonts w:eastAsia="Times New Roman"/>
      <w:lang w:val="es-ES"/>
    </w:rPr>
  </w:style>
  <w:style w:type="paragraph" w:customStyle="1" w:styleId="topnewsbox">
    <w:name w:val="topnews_box"/>
    <w:basedOn w:val="Normal"/>
    <w:uiPriority w:val="99"/>
    <w:rsid w:val="00DD485C"/>
    <w:pPr>
      <w:spacing w:before="100" w:beforeAutospacing="1" w:after="100" w:afterAutospacing="1"/>
    </w:pPr>
    <w:rPr>
      <w:rFonts w:eastAsia="Times New Roman"/>
      <w:lang w:val="es-ES"/>
    </w:rPr>
  </w:style>
  <w:style w:type="paragraph" w:customStyle="1" w:styleId="topnewsline">
    <w:name w:val="topnews_line"/>
    <w:basedOn w:val="Normal"/>
    <w:uiPriority w:val="99"/>
    <w:rsid w:val="00DD485C"/>
    <w:pPr>
      <w:spacing w:before="48" w:after="48"/>
      <w:jc w:val="center"/>
    </w:pPr>
    <w:rPr>
      <w:rFonts w:eastAsia="Times New Roman"/>
      <w:lang w:val="es-ES"/>
    </w:rPr>
  </w:style>
  <w:style w:type="paragraph" w:customStyle="1" w:styleId="faveventsline">
    <w:name w:val="favevents_line"/>
    <w:basedOn w:val="Normal"/>
    <w:uiPriority w:val="99"/>
    <w:rsid w:val="00DD485C"/>
    <w:pPr>
      <w:spacing w:before="48" w:after="48"/>
      <w:jc w:val="center"/>
    </w:pPr>
    <w:rPr>
      <w:rFonts w:eastAsia="Times New Roman"/>
      <w:lang w:val="es-ES"/>
    </w:rPr>
  </w:style>
  <w:style w:type="paragraph" w:customStyle="1" w:styleId="faveventsbox">
    <w:name w:val="favevents_box"/>
    <w:basedOn w:val="Normal"/>
    <w:uiPriority w:val="99"/>
    <w:rsid w:val="00DD485C"/>
    <w:pPr>
      <w:spacing w:before="100" w:beforeAutospacing="1" w:after="100" w:afterAutospacing="1"/>
    </w:pPr>
    <w:rPr>
      <w:rFonts w:eastAsia="Times New Roman"/>
      <w:lang w:val="es-ES"/>
    </w:rPr>
  </w:style>
  <w:style w:type="paragraph" w:customStyle="1" w:styleId="hrindex">
    <w:name w:val="hr_index"/>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dexinfoboxradiobox">
    <w:name w:val="indexinfo_box_radiobox"/>
    <w:basedOn w:val="Normal"/>
    <w:uiPriority w:val="99"/>
    <w:rsid w:val="00DD485C"/>
    <w:pPr>
      <w:spacing w:before="100" w:beforeAutospacing="1" w:after="100" w:afterAutospacing="1"/>
    </w:pPr>
    <w:rPr>
      <w:rFonts w:eastAsia="Times New Roman"/>
      <w:lang w:val="es-ES"/>
    </w:rPr>
  </w:style>
  <w:style w:type="paragraph" w:customStyle="1" w:styleId="indexinfopolltitle">
    <w:name w:val="indexinfo_poll_title"/>
    <w:basedOn w:val="Normal"/>
    <w:uiPriority w:val="99"/>
    <w:rsid w:val="00DD485C"/>
    <w:pPr>
      <w:spacing w:before="100" w:beforeAutospacing="1" w:after="100" w:afterAutospacing="1"/>
    </w:pPr>
    <w:rPr>
      <w:rFonts w:eastAsia="Times New Roman"/>
      <w:b/>
      <w:bCs/>
      <w:lang w:val="es-ES"/>
    </w:rPr>
  </w:style>
  <w:style w:type="paragraph" w:customStyle="1" w:styleId="indexinfoboxvote">
    <w:name w:val="indexinfo_box_vote"/>
    <w:basedOn w:val="Normal"/>
    <w:uiPriority w:val="99"/>
    <w:rsid w:val="00DD485C"/>
    <w:pPr>
      <w:shd w:val="clear" w:color="auto" w:fill="336699"/>
      <w:spacing w:before="100" w:beforeAutospacing="1" w:after="100" w:afterAutospacing="1"/>
      <w:jc w:val="center"/>
    </w:pPr>
    <w:rPr>
      <w:rFonts w:eastAsia="Times New Roman"/>
      <w:b/>
      <w:bCs/>
      <w:color w:val="FFFFFF"/>
      <w:lang w:val="es-ES"/>
    </w:rPr>
  </w:style>
  <w:style w:type="paragraph" w:customStyle="1" w:styleId="newsletterpdfdownload">
    <w:name w:val="newsletter_pdf_download"/>
    <w:basedOn w:val="Normal"/>
    <w:uiPriority w:val="99"/>
    <w:rsid w:val="00DD485C"/>
    <w:pPr>
      <w:spacing w:before="100" w:beforeAutospacing="1" w:after="100" w:afterAutospacing="1"/>
      <w:jc w:val="right"/>
    </w:pPr>
    <w:rPr>
      <w:rFonts w:eastAsia="Times New Roman"/>
      <w:lang w:val="es-ES"/>
    </w:rPr>
  </w:style>
  <w:style w:type="paragraph" w:customStyle="1" w:styleId="newsletterdatebox">
    <w:name w:val="newsletter_datebox"/>
    <w:basedOn w:val="Normal"/>
    <w:uiPriority w:val="99"/>
    <w:rsid w:val="00DD485C"/>
    <w:pPr>
      <w:spacing w:before="100" w:beforeAutospacing="1" w:after="100" w:afterAutospacing="1"/>
      <w:jc w:val="right"/>
    </w:pPr>
    <w:rPr>
      <w:rFonts w:eastAsia="Times New Roman"/>
      <w:caps/>
      <w:lang w:val="es-ES"/>
    </w:rPr>
  </w:style>
  <w:style w:type="paragraph" w:customStyle="1" w:styleId="newsletterheadline">
    <w:name w:val="newsletter_headline"/>
    <w:basedOn w:val="Normal"/>
    <w:uiPriority w:val="99"/>
    <w:rsid w:val="00DD485C"/>
    <w:pPr>
      <w:spacing w:before="100" w:beforeAutospacing="1" w:after="100" w:afterAutospacing="1"/>
    </w:pPr>
    <w:rPr>
      <w:rFonts w:eastAsia="Times New Roman"/>
      <w:b/>
      <w:bCs/>
      <w:caps/>
      <w:lang w:val="es-ES"/>
    </w:rPr>
  </w:style>
  <w:style w:type="paragraph" w:customStyle="1" w:styleId="newsletterheadlineqa">
    <w:name w:val="newsletter_headline_qa"/>
    <w:basedOn w:val="Normal"/>
    <w:uiPriority w:val="99"/>
    <w:rsid w:val="00DD485C"/>
    <w:pPr>
      <w:pBdr>
        <w:left w:val="single" w:sz="48" w:space="0" w:color="FFFFFF"/>
      </w:pBdr>
      <w:shd w:val="clear" w:color="auto" w:fill="0179B6"/>
      <w:spacing w:before="100" w:beforeAutospacing="1" w:after="100" w:afterAutospacing="1"/>
      <w:jc w:val="right"/>
    </w:pPr>
    <w:rPr>
      <w:rFonts w:eastAsia="Times New Roman"/>
      <w:b/>
      <w:bCs/>
      <w:caps/>
      <w:color w:val="FFFFFF"/>
      <w:lang w:val="es-ES"/>
    </w:rPr>
  </w:style>
  <w:style w:type="paragraph" w:customStyle="1" w:styleId="newsletterheadlinetiand">
    <w:name w:val="newsletter_headline_ti_and"/>
    <w:basedOn w:val="Normal"/>
    <w:uiPriority w:val="99"/>
    <w:rsid w:val="00DD485C"/>
    <w:pPr>
      <w:spacing w:before="100" w:beforeAutospacing="1" w:after="100" w:afterAutospacing="1"/>
    </w:pPr>
    <w:rPr>
      <w:rFonts w:eastAsia="Times New Roman"/>
      <w:caps/>
      <w:color w:val="996699"/>
      <w:lang w:val="es-ES"/>
    </w:rPr>
  </w:style>
  <w:style w:type="paragraph" w:customStyle="1" w:styleId="newslettertitlebox">
    <w:name w:val="newsletter_titlebox"/>
    <w:basedOn w:val="Normal"/>
    <w:uiPriority w:val="99"/>
    <w:rsid w:val="00DD485C"/>
    <w:pPr>
      <w:shd w:val="clear" w:color="auto" w:fill="E4F1FA"/>
      <w:spacing w:before="100" w:beforeAutospacing="1" w:after="100" w:afterAutospacing="1"/>
    </w:pPr>
    <w:rPr>
      <w:rFonts w:eastAsia="Times New Roman"/>
      <w:lang w:val="es-ES"/>
    </w:rPr>
  </w:style>
  <w:style w:type="paragraph" w:customStyle="1" w:styleId="newsletterteaser01">
    <w:name w:val="newsletter_teaser_01"/>
    <w:basedOn w:val="Normal"/>
    <w:uiPriority w:val="99"/>
    <w:rsid w:val="00DD485C"/>
    <w:pPr>
      <w:spacing w:before="100" w:beforeAutospacing="1" w:after="100" w:afterAutospacing="1"/>
    </w:pPr>
    <w:rPr>
      <w:rFonts w:eastAsia="Times New Roman"/>
      <w:lang w:val="es-ES"/>
    </w:rPr>
  </w:style>
  <w:style w:type="paragraph" w:customStyle="1" w:styleId="newsletterttxtbox01">
    <w:name w:val="newsletter_ttxtbox_01"/>
    <w:basedOn w:val="Normal"/>
    <w:uiPriority w:val="99"/>
    <w:rsid w:val="00DD485C"/>
    <w:pPr>
      <w:spacing w:before="100" w:beforeAutospacing="1" w:after="100" w:afterAutospacing="1"/>
    </w:pPr>
    <w:rPr>
      <w:rFonts w:eastAsia="Times New Roman"/>
      <w:lang w:val="es-ES"/>
    </w:rPr>
  </w:style>
  <w:style w:type="paragraph" w:customStyle="1" w:styleId="newsletterttxt01">
    <w:name w:val="newsletter_ttxt_01"/>
    <w:basedOn w:val="Normal"/>
    <w:uiPriority w:val="99"/>
    <w:rsid w:val="00DD485C"/>
    <w:pPr>
      <w:pBdr>
        <w:left w:val="single" w:sz="6" w:space="8" w:color="CCCCCC"/>
      </w:pBdr>
      <w:spacing w:before="100" w:beforeAutospacing="1" w:after="100" w:afterAutospacing="1"/>
    </w:pPr>
    <w:rPr>
      <w:rFonts w:eastAsia="Times New Roman"/>
      <w:lang w:val="es-ES"/>
    </w:rPr>
  </w:style>
  <w:style w:type="paragraph" w:customStyle="1" w:styleId="newsletterttxttiand">
    <w:name w:val="newsletter_ttxt_ti_and"/>
    <w:basedOn w:val="Normal"/>
    <w:uiPriority w:val="99"/>
    <w:rsid w:val="00DD485C"/>
    <w:pPr>
      <w:shd w:val="clear" w:color="auto" w:fill="98788D"/>
      <w:spacing w:before="100" w:beforeAutospacing="1" w:after="100" w:afterAutospacing="1" w:line="288" w:lineRule="atLeast"/>
    </w:pPr>
    <w:rPr>
      <w:rFonts w:eastAsia="Times New Roman"/>
      <w:color w:val="FFFFFF"/>
      <w:lang w:val="es-ES"/>
    </w:rPr>
  </w:style>
  <w:style w:type="paragraph" w:customStyle="1" w:styleId="newsletterttxtqa">
    <w:name w:val="newsletter_ttxt_qa"/>
    <w:basedOn w:val="Normal"/>
    <w:uiPriority w:val="99"/>
    <w:rsid w:val="00DD485C"/>
    <w:pPr>
      <w:pBdr>
        <w:left w:val="single" w:sz="48" w:space="4" w:color="FFFFFF"/>
      </w:pBdr>
      <w:shd w:val="clear" w:color="auto" w:fill="98788D"/>
      <w:spacing w:before="100" w:beforeAutospacing="1" w:after="100" w:afterAutospacing="1" w:line="288" w:lineRule="atLeast"/>
    </w:pPr>
    <w:rPr>
      <w:rFonts w:eastAsia="Times New Roman"/>
      <w:color w:val="FFFFFF"/>
      <w:lang w:val="es-ES"/>
    </w:rPr>
  </w:style>
  <w:style w:type="paragraph" w:customStyle="1" w:styleId="newsletterteasertiand">
    <w:name w:val="newsletter_teaser_ti_and"/>
    <w:basedOn w:val="Normal"/>
    <w:uiPriority w:val="99"/>
    <w:rsid w:val="00DD485C"/>
    <w:pPr>
      <w:spacing w:before="100" w:beforeAutospacing="1" w:after="100" w:afterAutospacing="1"/>
    </w:pPr>
    <w:rPr>
      <w:rFonts w:eastAsia="Times New Roman"/>
      <w:lang w:val="es-ES"/>
    </w:rPr>
  </w:style>
  <w:style w:type="paragraph" w:customStyle="1" w:styleId="newsletteracw">
    <w:name w:val="newsletter_acw"/>
    <w:basedOn w:val="Normal"/>
    <w:uiPriority w:val="99"/>
    <w:rsid w:val="00DD485C"/>
    <w:pPr>
      <w:pBdr>
        <w:right w:val="single" w:sz="6" w:space="0" w:color="CCCCCC"/>
      </w:pBdr>
      <w:spacing w:before="100" w:beforeAutospacing="1" w:after="100" w:afterAutospacing="1"/>
    </w:pPr>
    <w:rPr>
      <w:rFonts w:eastAsia="Times New Roman"/>
      <w:lang w:val="es-ES"/>
    </w:rPr>
  </w:style>
  <w:style w:type="paragraph" w:customStyle="1" w:styleId="newslettercnews">
    <w:name w:val="newsletter_cnews"/>
    <w:basedOn w:val="Normal"/>
    <w:uiPriority w:val="99"/>
    <w:rsid w:val="00DD485C"/>
    <w:pPr>
      <w:spacing w:before="100" w:beforeAutospacing="1" w:after="100" w:afterAutospacing="1"/>
    </w:pPr>
    <w:rPr>
      <w:rFonts w:eastAsia="Times New Roman"/>
      <w:lang w:val="es-ES"/>
    </w:rPr>
  </w:style>
  <w:style w:type="paragraph" w:customStyle="1" w:styleId="newsletteracwimg">
    <w:name w:val="newsletter_acw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cnewsimg">
    <w:name w:val="newsletter_cnews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bottomteaser">
    <w:name w:val="newsletter_bottom_teaser"/>
    <w:basedOn w:val="Normal"/>
    <w:uiPriority w:val="99"/>
    <w:rsid w:val="00DD485C"/>
    <w:pPr>
      <w:pBdr>
        <w:left w:val="single" w:sz="6" w:space="19" w:color="CCCCCC"/>
      </w:pBdr>
      <w:spacing w:before="100" w:beforeAutospacing="1" w:after="100" w:afterAutospacing="1"/>
    </w:pPr>
    <w:rPr>
      <w:rFonts w:eastAsia="Times New Roman"/>
      <w:lang w:val="es-ES"/>
    </w:rPr>
  </w:style>
  <w:style w:type="paragraph" w:customStyle="1" w:styleId="newsletterheadlinebottomteaser">
    <w:name w:val="newsletter_headline_bottom_teaser"/>
    <w:basedOn w:val="Normal"/>
    <w:uiPriority w:val="99"/>
    <w:rsid w:val="00DD485C"/>
    <w:pPr>
      <w:spacing w:before="100" w:beforeAutospacing="1" w:after="100" w:afterAutospacing="1"/>
    </w:pPr>
    <w:rPr>
      <w:rFonts w:eastAsia="Times New Roman"/>
      <w:b/>
      <w:bCs/>
      <w:caps/>
      <w:color w:val="996699"/>
      <w:lang w:val="es-ES"/>
    </w:rPr>
  </w:style>
  <w:style w:type="paragraph" w:customStyle="1" w:styleId="headlinenewsletter">
    <w:name w:val="headline_newsletter"/>
    <w:basedOn w:val="Normal"/>
    <w:uiPriority w:val="99"/>
    <w:rsid w:val="00DD485C"/>
    <w:pPr>
      <w:shd w:val="clear" w:color="auto" w:fill="996699"/>
      <w:spacing w:line="225" w:lineRule="atLeast"/>
      <w:jc w:val="center"/>
    </w:pPr>
    <w:rPr>
      <w:rFonts w:eastAsia="Times New Roman"/>
      <w:b/>
      <w:bCs/>
      <w:color w:val="FFFFFF"/>
      <w:lang w:val="es-ES"/>
    </w:rPr>
  </w:style>
  <w:style w:type="paragraph" w:customStyle="1" w:styleId="newsletterimgph">
    <w:name w:val="newsletter_img_ph"/>
    <w:basedOn w:val="Normal"/>
    <w:uiPriority w:val="99"/>
    <w:rsid w:val="00DD485C"/>
    <w:pPr>
      <w:spacing w:before="100" w:beforeAutospacing="1" w:after="100" w:afterAutospacing="1"/>
    </w:pPr>
    <w:rPr>
      <w:rFonts w:eastAsia="Times New Roman"/>
      <w:lang w:val="es-ES"/>
    </w:rPr>
  </w:style>
  <w:style w:type="paragraph" w:customStyle="1" w:styleId="newsletterlogobanner">
    <w:name w:val="newsletter_logobanner"/>
    <w:basedOn w:val="Normal"/>
    <w:uiPriority w:val="99"/>
    <w:rsid w:val="00DD485C"/>
    <w:pPr>
      <w:spacing w:before="100" w:beforeAutospacing="1" w:after="100" w:afterAutospacing="1"/>
    </w:pPr>
    <w:rPr>
      <w:rFonts w:eastAsia="Times New Roman"/>
      <w:lang w:val="es-ES"/>
    </w:rPr>
  </w:style>
  <w:style w:type="paragraph" w:customStyle="1" w:styleId="newslettercontent">
    <w:name w:val="newsletter_content"/>
    <w:basedOn w:val="Normal"/>
    <w:uiPriority w:val="99"/>
    <w:rsid w:val="00DD485C"/>
    <w:pPr>
      <w:spacing w:before="100" w:beforeAutospacing="1" w:after="100" w:afterAutospacing="1"/>
    </w:pPr>
    <w:rPr>
      <w:rFonts w:eastAsia="Times New Roman"/>
      <w:lang w:val="es-ES"/>
    </w:rPr>
  </w:style>
  <w:style w:type="paragraph" w:customStyle="1" w:styleId="donatebox">
    <w:name w:val="donatebox"/>
    <w:basedOn w:val="Normal"/>
    <w:uiPriority w:val="99"/>
    <w:rsid w:val="00DD485C"/>
    <w:pPr>
      <w:shd w:val="clear" w:color="auto" w:fill="D9EBF9"/>
      <w:spacing w:before="100" w:beforeAutospacing="1" w:after="100" w:afterAutospacing="1"/>
    </w:pPr>
    <w:rPr>
      <w:rFonts w:eastAsia="Times New Roman"/>
      <w:color w:val="000000"/>
      <w:lang w:val="es-ES"/>
    </w:rPr>
  </w:style>
  <w:style w:type="paragraph" w:customStyle="1" w:styleId="donateinputbox">
    <w:name w:val="donateinputbox"/>
    <w:basedOn w:val="Normal"/>
    <w:uiPriority w:val="99"/>
    <w:rsid w:val="00DD485C"/>
    <w:pPr>
      <w:shd w:val="clear" w:color="auto" w:fill="FFFFFF"/>
      <w:spacing w:before="100" w:beforeAutospacing="1" w:after="100" w:afterAutospacing="1"/>
      <w:textAlignment w:val="center"/>
    </w:pPr>
    <w:rPr>
      <w:rFonts w:eastAsia="Times New Roman"/>
      <w:color w:val="333333"/>
      <w:lang w:val="es-ES"/>
    </w:rPr>
  </w:style>
  <w:style w:type="paragraph" w:customStyle="1" w:styleId="donateinputline">
    <w:name w:val="donateinputline"/>
    <w:basedOn w:val="Normal"/>
    <w:uiPriority w:val="99"/>
    <w:rsid w:val="00DD485C"/>
    <w:pPr>
      <w:shd w:val="clear" w:color="auto" w:fill="FFFFFF"/>
      <w:spacing w:before="100" w:beforeAutospacing="1" w:after="100" w:afterAutospacing="1" w:line="180" w:lineRule="atLeast"/>
      <w:textAlignment w:val="center"/>
    </w:pPr>
    <w:rPr>
      <w:rFonts w:eastAsia="Times New Roman"/>
      <w:color w:val="333333"/>
      <w:lang w:val="es-ES"/>
    </w:rPr>
  </w:style>
  <w:style w:type="paragraph" w:customStyle="1" w:styleId="next">
    <w:name w:val="next"/>
    <w:basedOn w:val="Normal"/>
    <w:uiPriority w:val="99"/>
    <w:rsid w:val="00DD485C"/>
    <w:pPr>
      <w:pBdr>
        <w:top w:val="single" w:sz="6" w:space="0" w:color="666666"/>
        <w:left w:val="single" w:sz="6" w:space="0" w:color="666666"/>
        <w:bottom w:val="single" w:sz="6" w:space="0" w:color="666666"/>
        <w:right w:val="single" w:sz="6" w:space="0" w:color="666666"/>
      </w:pBdr>
      <w:shd w:val="clear" w:color="auto" w:fill="D9EBF9"/>
      <w:spacing w:before="100" w:beforeAutospacing="1" w:after="100" w:afterAutospacing="1"/>
    </w:pPr>
    <w:rPr>
      <w:rFonts w:eastAsia="Times New Roman"/>
      <w:lang w:val="es-ES"/>
    </w:rPr>
  </w:style>
  <w:style w:type="paragraph" w:customStyle="1" w:styleId="useinfocusspace">
    <w:name w:val="use_infocus_space"/>
    <w:basedOn w:val="Normal"/>
    <w:uiPriority w:val="99"/>
    <w:rsid w:val="00DD485C"/>
    <w:pPr>
      <w:shd w:val="clear" w:color="auto" w:fill="D9EBF8"/>
      <w:spacing w:before="100" w:beforeAutospacing="1" w:after="100" w:afterAutospacing="1"/>
    </w:pPr>
    <w:rPr>
      <w:rFonts w:eastAsia="Times New Roman"/>
      <w:lang w:val="es-ES"/>
    </w:rPr>
  </w:style>
  <w:style w:type="paragraph" w:customStyle="1" w:styleId="infocusbox">
    <w:name w:val="infocus_box"/>
    <w:basedOn w:val="Normal"/>
    <w:uiPriority w:val="99"/>
    <w:rsid w:val="00DD485C"/>
    <w:pPr>
      <w:spacing w:before="100" w:beforeAutospacing="1" w:after="100" w:afterAutospacing="1"/>
    </w:pPr>
    <w:rPr>
      <w:rFonts w:eastAsia="Times New Roman"/>
      <w:b/>
      <w:bCs/>
      <w:color w:val="FFFFFF"/>
      <w:sz w:val="18"/>
      <w:szCs w:val="18"/>
      <w:lang w:val="es-ES"/>
    </w:rPr>
  </w:style>
  <w:style w:type="paragraph" w:customStyle="1" w:styleId="infocus2box">
    <w:name w:val="infocus2_box"/>
    <w:basedOn w:val="Normal"/>
    <w:uiPriority w:val="99"/>
    <w:rsid w:val="00DD485C"/>
    <w:pPr>
      <w:shd w:val="clear" w:color="auto" w:fill="FFFFFF"/>
      <w:spacing w:before="100" w:beforeAutospacing="1" w:after="100" w:afterAutospacing="1"/>
    </w:pPr>
    <w:rPr>
      <w:rFonts w:eastAsia="Times New Roman"/>
      <w:color w:val="FFFFFF"/>
      <w:lang w:val="es-ES"/>
    </w:rPr>
  </w:style>
  <w:style w:type="paragraph" w:customStyle="1" w:styleId="infocusboxtxt">
    <w:name w:val="infocus_box_txt"/>
    <w:basedOn w:val="Normal"/>
    <w:uiPriority w:val="99"/>
    <w:rsid w:val="00DD485C"/>
    <w:pPr>
      <w:spacing w:before="100" w:beforeAutospacing="1" w:after="100" w:afterAutospacing="1" w:line="288" w:lineRule="atLeast"/>
    </w:pPr>
    <w:rPr>
      <w:rFonts w:eastAsia="Times New Roman"/>
      <w:lang w:val="es-ES"/>
    </w:rPr>
  </w:style>
  <w:style w:type="paragraph" w:customStyle="1" w:styleId="infocus2txt">
    <w:name w:val="infocus2_txt"/>
    <w:basedOn w:val="Normal"/>
    <w:uiPriority w:val="99"/>
    <w:rsid w:val="00DD485C"/>
    <w:pPr>
      <w:spacing w:before="100" w:beforeAutospacing="1" w:after="100" w:afterAutospacing="1"/>
    </w:pPr>
    <w:rPr>
      <w:rFonts w:eastAsia="Times New Roman"/>
      <w:lang w:val="es-ES"/>
    </w:rPr>
  </w:style>
  <w:style w:type="paragraph" w:customStyle="1" w:styleId="infocus2boxtxt">
    <w:name w:val="infocus2_box_txt"/>
    <w:basedOn w:val="Normal"/>
    <w:uiPriority w:val="99"/>
    <w:rsid w:val="00DD485C"/>
    <w:pPr>
      <w:shd w:val="clear" w:color="auto" w:fill="000000"/>
      <w:spacing w:before="100" w:beforeAutospacing="1" w:after="100" w:afterAutospacing="1" w:line="288" w:lineRule="atLeast"/>
    </w:pPr>
    <w:rPr>
      <w:rFonts w:eastAsia="Times New Roman"/>
      <w:color w:val="FFFFFF"/>
      <w:lang w:val="es-ES"/>
    </w:rPr>
  </w:style>
  <w:style w:type="paragraph" w:customStyle="1" w:styleId="newsteaser">
    <w:name w:val="news_teaser"/>
    <w:basedOn w:val="Normal"/>
    <w:uiPriority w:val="99"/>
    <w:rsid w:val="00DD485C"/>
    <w:pPr>
      <w:pBdr>
        <w:top w:val="single" w:sz="12" w:space="0" w:color="CC0000"/>
        <w:left w:val="single" w:sz="12" w:space="0" w:color="CC0000"/>
        <w:bottom w:val="single" w:sz="12" w:space="0" w:color="CC0000"/>
        <w:right w:val="single" w:sz="12" w:space="0" w:color="CC0000"/>
      </w:pBdr>
      <w:shd w:val="clear" w:color="auto" w:fill="CC4A4C"/>
      <w:spacing w:before="100" w:beforeAutospacing="1" w:after="240" w:line="264" w:lineRule="atLeast"/>
    </w:pPr>
    <w:rPr>
      <w:rFonts w:eastAsia="Times New Roman"/>
      <w:color w:val="FFFFFF"/>
      <w:sz w:val="15"/>
      <w:szCs w:val="15"/>
      <w:lang w:val="es-ES"/>
    </w:rPr>
  </w:style>
  <w:style w:type="paragraph" w:customStyle="1" w:styleId="linkbox">
    <w:name w:val="link_box"/>
    <w:basedOn w:val="Normal"/>
    <w:uiPriority w:val="99"/>
    <w:rsid w:val="00DD485C"/>
    <w:pPr>
      <w:pBdr>
        <w:top w:val="single" w:sz="6" w:space="11" w:color="auto"/>
        <w:left w:val="single" w:sz="6" w:space="4" w:color="auto"/>
        <w:bottom w:val="single" w:sz="6" w:space="4" w:color="auto"/>
        <w:right w:val="single" w:sz="6" w:space="4" w:color="auto"/>
      </w:pBdr>
      <w:spacing w:before="100" w:beforeAutospacing="1" w:after="100" w:afterAutospacing="1"/>
    </w:pPr>
    <w:rPr>
      <w:rFonts w:eastAsia="Times New Roman"/>
      <w:lang w:val="es-ES"/>
    </w:rPr>
  </w:style>
  <w:style w:type="paragraph" w:customStyle="1" w:styleId="linkboxtitle">
    <w:name w:val="link_box_title"/>
    <w:basedOn w:val="Normal"/>
    <w:uiPriority w:val="99"/>
    <w:rsid w:val="00DD485C"/>
    <w:pPr>
      <w:spacing w:before="100" w:beforeAutospacing="1" w:after="100" w:afterAutospacing="1"/>
    </w:pPr>
    <w:rPr>
      <w:rFonts w:eastAsia="Times New Roman"/>
      <w:b/>
      <w:bCs/>
      <w:color w:val="FFFFFF"/>
      <w:lang w:val="es-ES"/>
    </w:rPr>
  </w:style>
  <w:style w:type="paragraph" w:customStyle="1" w:styleId="indexinfobox">
    <w:name w:val="indexinfo_box"/>
    <w:basedOn w:val="Normal"/>
    <w:uiPriority w:val="99"/>
    <w:rsid w:val="00DD485C"/>
    <w:pPr>
      <w:spacing w:before="100" w:beforeAutospacing="1" w:after="100" w:afterAutospacing="1"/>
      <w:ind w:right="300"/>
    </w:pPr>
    <w:rPr>
      <w:rFonts w:eastAsia="Times New Roman"/>
      <w:lang w:val="es-ES"/>
    </w:rPr>
  </w:style>
  <w:style w:type="paragraph" w:customStyle="1" w:styleId="indexinfoboxtitle">
    <w:name w:val="indexinfo_box_title"/>
    <w:basedOn w:val="Normal"/>
    <w:uiPriority w:val="99"/>
    <w:rsid w:val="00DD485C"/>
    <w:pPr>
      <w:shd w:val="clear" w:color="auto" w:fill="336699"/>
      <w:spacing w:before="100" w:beforeAutospacing="1" w:after="100" w:afterAutospacing="1" w:line="264" w:lineRule="atLeast"/>
    </w:pPr>
    <w:rPr>
      <w:rFonts w:eastAsia="Times New Roman"/>
      <w:color w:val="FFFFFF"/>
      <w:lang w:val="es-ES"/>
    </w:rPr>
  </w:style>
  <w:style w:type="paragraph" w:customStyle="1" w:styleId="indexinfoboxtxtclr">
    <w:name w:val="indexinfo_box_txtclr"/>
    <w:basedOn w:val="Normal"/>
    <w:uiPriority w:val="99"/>
    <w:rsid w:val="00DD485C"/>
    <w:pPr>
      <w:spacing w:before="100" w:beforeAutospacing="1" w:after="100" w:afterAutospacing="1"/>
    </w:pPr>
    <w:rPr>
      <w:rFonts w:eastAsia="Times New Roman"/>
      <w:color w:val="6699CC"/>
      <w:lang w:val="es-ES"/>
    </w:rPr>
  </w:style>
  <w:style w:type="paragraph" w:customStyle="1" w:styleId="votebutton">
    <w:name w:val="votebutton"/>
    <w:basedOn w:val="Normal"/>
    <w:uiPriority w:val="99"/>
    <w:rsid w:val="00DD485C"/>
    <w:pPr>
      <w:pBdr>
        <w:top w:val="single" w:sz="6" w:space="2" w:color="FFFFFF"/>
        <w:left w:val="single" w:sz="6" w:space="0" w:color="FFFFFF"/>
        <w:bottom w:val="single" w:sz="6" w:space="0" w:color="FFFFFF"/>
        <w:right w:val="single" w:sz="6" w:space="0" w:color="FFFFFF"/>
      </w:pBdr>
      <w:shd w:val="clear" w:color="auto" w:fill="336699"/>
      <w:spacing w:before="45" w:after="45"/>
    </w:pPr>
    <w:rPr>
      <w:rFonts w:ascii="Arial" w:eastAsia="Times New Roman" w:hAnsi="Arial" w:cs="Arial"/>
      <w:b/>
      <w:bCs/>
      <w:color w:val="FFFFFF"/>
      <w:sz w:val="17"/>
      <w:szCs w:val="17"/>
      <w:lang w:val="es-ES"/>
    </w:rPr>
  </w:style>
  <w:style w:type="paragraph" w:customStyle="1" w:styleId="actionbox">
    <w:name w:val="actionbox"/>
    <w:basedOn w:val="Normal"/>
    <w:uiPriority w:val="99"/>
    <w:rsid w:val="00DD485C"/>
    <w:pPr>
      <w:spacing w:before="100" w:beforeAutospacing="1" w:after="100" w:afterAutospacing="1" w:line="264" w:lineRule="atLeast"/>
    </w:pPr>
    <w:rPr>
      <w:rFonts w:eastAsia="Times New Roman"/>
      <w:color w:val="FFFFFF"/>
      <w:sz w:val="23"/>
      <w:szCs w:val="23"/>
      <w:lang w:val="es-ES"/>
    </w:rPr>
  </w:style>
  <w:style w:type="paragraph" w:customStyle="1" w:styleId="infocusdate">
    <w:name w:val="infocus_date"/>
    <w:basedOn w:val="Normal"/>
    <w:uiPriority w:val="99"/>
    <w:rsid w:val="00DD485C"/>
    <w:pPr>
      <w:spacing w:before="100" w:beforeAutospacing="1" w:after="100" w:afterAutospacing="1"/>
    </w:pPr>
    <w:rPr>
      <w:rFonts w:eastAsia="Times New Roman"/>
      <w:lang w:val="es-ES"/>
    </w:rPr>
  </w:style>
  <w:style w:type="paragraph" w:customStyle="1" w:styleId="subscribeheadline">
    <w:name w:val="subscribe_headline"/>
    <w:basedOn w:val="Normal"/>
    <w:uiPriority w:val="99"/>
    <w:rsid w:val="00DD485C"/>
    <w:pPr>
      <w:spacing w:before="100" w:beforeAutospacing="1" w:after="100" w:afterAutospacing="1"/>
    </w:pPr>
    <w:rPr>
      <w:rFonts w:eastAsia="Times New Roman"/>
      <w:lang w:val="es-ES"/>
    </w:rPr>
  </w:style>
  <w:style w:type="paragraph" w:customStyle="1" w:styleId="infocusdate1">
    <w:name w:val="infocus_date1"/>
    <w:basedOn w:val="Normal"/>
    <w:uiPriority w:val="99"/>
    <w:rsid w:val="00DD485C"/>
    <w:pPr>
      <w:jc w:val="right"/>
    </w:pPr>
    <w:rPr>
      <w:rFonts w:eastAsia="Times New Roman"/>
      <w:i/>
      <w:iCs/>
      <w:sz w:val="15"/>
      <w:szCs w:val="15"/>
      <w:lang w:val="es-ES"/>
    </w:rPr>
  </w:style>
  <w:style w:type="paragraph" w:customStyle="1" w:styleId="subscribeheadline1">
    <w:name w:val="subscribe_headline1"/>
    <w:basedOn w:val="Normal"/>
    <w:uiPriority w:val="99"/>
    <w:rsid w:val="00DD485C"/>
    <w:rPr>
      <w:rFonts w:eastAsia="Times New Roman"/>
      <w:b/>
      <w:bCs/>
      <w:color w:val="6699CC"/>
      <w:lang w:val="es-ES"/>
    </w:rPr>
  </w:style>
  <w:style w:type="paragraph" w:customStyle="1" w:styleId="infocusdate2">
    <w:name w:val="infocus_date2"/>
    <w:basedOn w:val="Normal"/>
    <w:uiPriority w:val="99"/>
    <w:rsid w:val="00DD485C"/>
    <w:pPr>
      <w:jc w:val="right"/>
    </w:pPr>
    <w:rPr>
      <w:rFonts w:eastAsia="Times New Roman"/>
      <w:i/>
      <w:iCs/>
      <w:sz w:val="15"/>
      <w:szCs w:val="15"/>
      <w:lang w:val="es-ES"/>
    </w:rPr>
  </w:style>
  <w:style w:type="paragraph" w:customStyle="1" w:styleId="subscribeheadline2">
    <w:name w:val="subscribe_headline2"/>
    <w:basedOn w:val="Normal"/>
    <w:uiPriority w:val="99"/>
    <w:rsid w:val="00DD485C"/>
    <w:rPr>
      <w:rFonts w:eastAsia="Times New Roman"/>
      <w:b/>
      <w:bCs/>
      <w:color w:val="6699CC"/>
      <w:lang w:val="es-ES"/>
    </w:rPr>
  </w:style>
  <w:style w:type="table" w:customStyle="1" w:styleId="Tablaconcuadrcula1280">
    <w:name w:val="Tabla con cuadrícula 128"/>
    <w:basedOn w:val="Tablanormal"/>
    <w:next w:val="Tablaconcuadrcula10"/>
    <w:rsid w:val="00DD485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
    <w:name w:val="Tabla con cuadrícula242"/>
    <w:basedOn w:val="Tablanormal"/>
    <w:next w:val="Tablaconcuadrcula"/>
    <w:rsid w:val="00DD48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
    <w:name w:val="Sin lista129"/>
    <w:next w:val="Sinlista"/>
    <w:semiHidden/>
    <w:rsid w:val="006B23D1"/>
  </w:style>
  <w:style w:type="table" w:customStyle="1" w:styleId="Tablaconcuadrcula243">
    <w:name w:val="Tabla con cuadrícula243"/>
    <w:basedOn w:val="Tablanormal"/>
    <w:next w:val="Tablaconcuadrcula"/>
    <w:rsid w:val="006B23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
    <w:name w:val="Sin lista130"/>
    <w:next w:val="Sinlista"/>
    <w:semiHidden/>
    <w:rsid w:val="004E4F81"/>
  </w:style>
  <w:style w:type="table" w:customStyle="1" w:styleId="Tablaconcuadrcula244">
    <w:name w:val="Tabla con cuadrícula244"/>
    <w:basedOn w:val="Tablanormal"/>
    <w:next w:val="Tablaconcuadrcula"/>
    <w:rsid w:val="008B59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semiHidden/>
    <w:rsid w:val="00525E61"/>
  </w:style>
  <w:style w:type="table" w:customStyle="1" w:styleId="Tablaconcuadrcula245">
    <w:name w:val="Tabla con cuadrícula245"/>
    <w:basedOn w:val="Tablanormal"/>
    <w:next w:val="Tablaconcuadrcula"/>
    <w:rsid w:val="00525E61"/>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
    <w:name w:val="Sin lista132"/>
    <w:next w:val="Sinlista"/>
    <w:semiHidden/>
    <w:rsid w:val="00F96B91"/>
  </w:style>
  <w:style w:type="numbering" w:customStyle="1" w:styleId="Sinlista133">
    <w:name w:val="Sin lista133"/>
    <w:next w:val="Sinlista"/>
    <w:semiHidden/>
    <w:rsid w:val="000E2ED1"/>
  </w:style>
  <w:style w:type="table" w:customStyle="1" w:styleId="Tablaconcuadrcula246">
    <w:name w:val="Tabla con cuadrícula246"/>
    <w:basedOn w:val="Tablanormal"/>
    <w:next w:val="Tablaconcuadrcula"/>
    <w:rsid w:val="000E2E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
    <w:name w:val="Sin lista134"/>
    <w:next w:val="Sinlista"/>
    <w:semiHidden/>
    <w:rsid w:val="008E55AC"/>
  </w:style>
  <w:style w:type="table" w:customStyle="1" w:styleId="Tablaconcuadrcula247">
    <w:name w:val="Tabla con cuadrícula247"/>
    <w:basedOn w:val="Tablanormal"/>
    <w:next w:val="Tablaconcuadrcula"/>
    <w:rsid w:val="008E55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
    <w:name w:val="Sin lista135"/>
    <w:next w:val="Sinlista"/>
    <w:semiHidden/>
    <w:rsid w:val="00750288"/>
  </w:style>
  <w:style w:type="table" w:customStyle="1" w:styleId="Tablaconcuadrcula248">
    <w:name w:val="Tabla con cuadrícula248"/>
    <w:basedOn w:val="Tablanormal"/>
    <w:next w:val="Tablaconcuadrcula"/>
    <w:rsid w:val="007502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
    <w:name w:val="Sin lista136"/>
    <w:next w:val="Sinlista"/>
    <w:semiHidden/>
    <w:rsid w:val="00356302"/>
  </w:style>
  <w:style w:type="table" w:customStyle="1" w:styleId="Tablaconcuadrcula249">
    <w:name w:val="Tabla con cuadrícula249"/>
    <w:basedOn w:val="Tablanormal"/>
    <w:next w:val="Tablaconcuadrcula"/>
    <w:rsid w:val="0035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
    <w:name w:val="Tabla con cuadrícula250"/>
    <w:basedOn w:val="Tablanormal"/>
    <w:next w:val="Tablaconcuadrcula"/>
    <w:rsid w:val="003362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
    <w:name w:val="Sin lista137"/>
    <w:next w:val="Sinlista"/>
    <w:semiHidden/>
    <w:rsid w:val="00B85DD2"/>
  </w:style>
  <w:style w:type="table" w:customStyle="1" w:styleId="Tablaconcuadrcula251">
    <w:name w:val="Tabla con cuadrícula251"/>
    <w:basedOn w:val="Tablanormal"/>
    <w:next w:val="Tablaconcuadrcula"/>
    <w:rsid w:val="00B85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
    <w:name w:val="Sin lista138"/>
    <w:next w:val="Sinlista"/>
    <w:semiHidden/>
    <w:rsid w:val="00B85DD2"/>
  </w:style>
  <w:style w:type="table" w:customStyle="1" w:styleId="Tablaconcuadrcula11000">
    <w:name w:val="Tabla con cuadrícula1100"/>
    <w:basedOn w:val="Tablanormal"/>
    <w:next w:val="Tablaconcuadrcula"/>
    <w:rsid w:val="00B85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Car0">
    <w:name w:val="texto Car"/>
    <w:basedOn w:val="Fuentedeprrafopredeter"/>
    <w:link w:val="texto0"/>
    <w:rsid w:val="00B85DD2"/>
    <w:rPr>
      <w:rFonts w:eastAsia="SimSun"/>
      <w:sz w:val="26"/>
      <w:szCs w:val="26"/>
      <w:lang w:val="es-ES_tradnl" w:eastAsia="es-ES" w:bidi="ar-SA"/>
    </w:rPr>
  </w:style>
  <w:style w:type="table" w:customStyle="1" w:styleId="Tablaconcuadrcula252">
    <w:name w:val="Tabla con cuadrícula252"/>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
    <w:name w:val="Tabla con cuadrícula253"/>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
    <w:name w:val="Tabla con cuadrícula254"/>
    <w:basedOn w:val="Tablanormal"/>
    <w:next w:val="Tablaconcuadrcula"/>
    <w:rsid w:val="00AD6C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
    <w:name w:val="Tabla con cuadrícula255"/>
    <w:basedOn w:val="Tablanormal"/>
    <w:next w:val="Tablaconcuadrcula"/>
    <w:rsid w:val="00E513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
    <w:name w:val="Sin lista139"/>
    <w:next w:val="Sinlista"/>
    <w:semiHidden/>
    <w:rsid w:val="009603C2"/>
  </w:style>
  <w:style w:type="table" w:customStyle="1" w:styleId="Tablaconcuadrcula256">
    <w:name w:val="Tabla con cuadrícula256"/>
    <w:basedOn w:val="Tablanormal"/>
    <w:next w:val="Tablaconcuadrcula"/>
    <w:rsid w:val="009603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
    <w:name w:val="Sin lista140"/>
    <w:next w:val="Sinlista"/>
    <w:semiHidden/>
    <w:rsid w:val="008E0113"/>
  </w:style>
  <w:style w:type="table" w:customStyle="1" w:styleId="Tablaconcuadrcula257">
    <w:name w:val="Tabla con cuadrícula257"/>
    <w:basedOn w:val="Tablanormal"/>
    <w:next w:val="Tablaconcuadrcula"/>
    <w:rsid w:val="009E69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
    <w:name w:val="Tabla con cuadrícula258"/>
    <w:basedOn w:val="Tablanormal"/>
    <w:next w:val="Tablaconcuadrcula"/>
    <w:rsid w:val="003E7B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semiHidden/>
    <w:rsid w:val="00DD1A07"/>
  </w:style>
  <w:style w:type="table" w:customStyle="1" w:styleId="Tablaconcuadrcula259">
    <w:name w:val="Tabla con cuadrícula259"/>
    <w:basedOn w:val="Tablanormal"/>
    <w:next w:val="Tablaconcuadrcula"/>
    <w:rsid w:val="00DD1A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
    <w:name w:val="Sin lista142"/>
    <w:next w:val="Sinlista"/>
    <w:semiHidden/>
    <w:rsid w:val="00387BD2"/>
  </w:style>
  <w:style w:type="numbering" w:customStyle="1" w:styleId="Sinlista143">
    <w:name w:val="Sin lista143"/>
    <w:next w:val="Sinlista"/>
    <w:semiHidden/>
    <w:rsid w:val="003476CC"/>
  </w:style>
  <w:style w:type="table" w:customStyle="1" w:styleId="Tablaconcuadrcula260">
    <w:name w:val="Tabla con cuadrícula260"/>
    <w:basedOn w:val="Tablanormal"/>
    <w:next w:val="Tablaconcuadrcula"/>
    <w:rsid w:val="003476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next w:val="Tablaconcuadrcula"/>
    <w:rsid w:val="00102C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
    <w:name w:val="Tabla con cuadrícula262"/>
    <w:basedOn w:val="Tablanormal"/>
    <w:next w:val="Tablaconcuadrcula"/>
    <w:rsid w:val="00B47E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
    <w:name w:val="Tabla con cuadrícula263"/>
    <w:basedOn w:val="Tablanormal"/>
    <w:next w:val="Tablaconcuadrcula"/>
    <w:rsid w:val="00DC11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
    <w:name w:val="Tabla con cuadrícula264"/>
    <w:basedOn w:val="Tablanormal"/>
    <w:next w:val="Tablaconcuadrcula"/>
    <w:rsid w:val="009B6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
    <w:name w:val="Tabla con cuadrícula265"/>
    <w:basedOn w:val="Tablanormal"/>
    <w:next w:val="Tablaconcuadrcula"/>
    <w:rsid w:val="00724E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
    <w:name w:val="Sin lista144"/>
    <w:next w:val="Sinlista"/>
    <w:semiHidden/>
    <w:rsid w:val="00A81D32"/>
  </w:style>
  <w:style w:type="table" w:customStyle="1" w:styleId="Tablaconcuadrcula266">
    <w:name w:val="Tabla con cuadrícula266"/>
    <w:basedOn w:val="Tablanormal"/>
    <w:next w:val="Tablaconcuadrcula"/>
    <w:rsid w:val="00C50F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
    <w:name w:val="Sin lista145"/>
    <w:next w:val="Sinlista"/>
    <w:semiHidden/>
    <w:rsid w:val="00954A79"/>
  </w:style>
  <w:style w:type="paragraph" w:customStyle="1" w:styleId="font5">
    <w:name w:val="font5"/>
    <w:basedOn w:val="Normal"/>
    <w:uiPriority w:val="99"/>
    <w:rsid w:val="00954A79"/>
    <w:pPr>
      <w:spacing w:before="100" w:beforeAutospacing="1" w:after="100" w:afterAutospacing="1"/>
    </w:pPr>
    <w:rPr>
      <w:rFonts w:eastAsia="Times New Roman"/>
      <w:sz w:val="20"/>
      <w:szCs w:val="20"/>
      <w:lang w:val="es-ES"/>
    </w:rPr>
  </w:style>
  <w:style w:type="paragraph" w:customStyle="1" w:styleId="font6">
    <w:name w:val="font6"/>
    <w:basedOn w:val="Normal"/>
    <w:uiPriority w:val="99"/>
    <w:rsid w:val="00954A79"/>
    <w:pPr>
      <w:spacing w:before="100" w:beforeAutospacing="1" w:after="100" w:afterAutospacing="1"/>
    </w:pPr>
    <w:rPr>
      <w:rFonts w:eastAsia="Times New Roman"/>
      <w:i/>
      <w:iCs/>
      <w:sz w:val="20"/>
      <w:szCs w:val="20"/>
      <w:lang w:val="es-ES"/>
    </w:rPr>
  </w:style>
  <w:style w:type="paragraph" w:customStyle="1" w:styleId="font7">
    <w:name w:val="font7"/>
    <w:basedOn w:val="Normal"/>
    <w:uiPriority w:val="99"/>
    <w:rsid w:val="00954A79"/>
    <w:pPr>
      <w:spacing w:before="100" w:beforeAutospacing="1" w:after="100" w:afterAutospacing="1"/>
    </w:pPr>
    <w:rPr>
      <w:rFonts w:eastAsia="Times New Roman"/>
      <w:i/>
      <w:iCs/>
      <w:color w:val="000000"/>
      <w:sz w:val="20"/>
      <w:szCs w:val="20"/>
      <w:lang w:val="es-ES"/>
    </w:rPr>
  </w:style>
  <w:style w:type="paragraph" w:customStyle="1" w:styleId="xl25">
    <w:name w:val="xl25"/>
    <w:basedOn w:val="Normal"/>
    <w:uiPriority w:val="99"/>
    <w:rsid w:val="00954A79"/>
    <w:pPr>
      <w:spacing w:before="100" w:beforeAutospacing="1" w:after="100" w:afterAutospacing="1"/>
    </w:pPr>
    <w:rPr>
      <w:rFonts w:eastAsia="Times New Roman"/>
      <w:b/>
      <w:bCs/>
      <w:color w:val="000000"/>
      <w:lang w:val="es-ES"/>
    </w:rPr>
  </w:style>
  <w:style w:type="paragraph" w:customStyle="1" w:styleId="xl26">
    <w:name w:val="xl26"/>
    <w:basedOn w:val="Normal"/>
    <w:uiPriority w:val="99"/>
    <w:rsid w:val="00954A79"/>
    <w:pPr>
      <w:spacing w:before="100" w:beforeAutospacing="1" w:after="100" w:afterAutospacing="1"/>
    </w:pPr>
    <w:rPr>
      <w:rFonts w:eastAsia="Times New Roman"/>
      <w:color w:val="000000"/>
      <w:lang w:val="es-ES"/>
    </w:rPr>
  </w:style>
  <w:style w:type="paragraph" w:customStyle="1" w:styleId="xl27">
    <w:name w:val="xl27"/>
    <w:basedOn w:val="Normal"/>
    <w:uiPriority w:val="99"/>
    <w:rsid w:val="00954A79"/>
    <w:pPr>
      <w:spacing w:before="100" w:beforeAutospacing="1" w:after="100" w:afterAutospacing="1"/>
    </w:pPr>
    <w:rPr>
      <w:rFonts w:eastAsia="Times New Roman"/>
      <w:color w:val="000000"/>
      <w:lang w:val="es-ES"/>
    </w:rPr>
  </w:style>
  <w:style w:type="paragraph" w:customStyle="1" w:styleId="xl29">
    <w:name w:val="xl29"/>
    <w:basedOn w:val="Normal"/>
    <w:uiPriority w:val="99"/>
    <w:rsid w:val="00954A79"/>
    <w:pPr>
      <w:pBdr>
        <w:bottom w:val="single" w:sz="4" w:space="0" w:color="auto"/>
      </w:pBdr>
      <w:spacing w:before="100" w:beforeAutospacing="1" w:after="100" w:afterAutospacing="1"/>
    </w:pPr>
    <w:rPr>
      <w:rFonts w:eastAsia="Times New Roman"/>
      <w:color w:val="000000"/>
      <w:lang w:val="es-ES"/>
    </w:rPr>
  </w:style>
  <w:style w:type="paragraph" w:customStyle="1" w:styleId="xl30">
    <w:name w:val="xl30"/>
    <w:basedOn w:val="Normal"/>
    <w:uiPriority w:val="99"/>
    <w:rsid w:val="00954A79"/>
    <w:pPr>
      <w:pBdr>
        <w:bottom w:val="single" w:sz="4" w:space="0" w:color="auto"/>
      </w:pBdr>
      <w:spacing w:before="100" w:beforeAutospacing="1" w:after="100" w:afterAutospacing="1"/>
    </w:pPr>
    <w:rPr>
      <w:rFonts w:eastAsia="Times New Roman"/>
      <w:lang w:val="es-ES"/>
    </w:rPr>
  </w:style>
  <w:style w:type="paragraph" w:customStyle="1" w:styleId="xl31">
    <w:name w:val="xl31"/>
    <w:basedOn w:val="Normal"/>
    <w:uiPriority w:val="99"/>
    <w:rsid w:val="00954A79"/>
    <w:pPr>
      <w:pBdr>
        <w:bottom w:val="single" w:sz="4" w:space="0" w:color="auto"/>
      </w:pBdr>
      <w:spacing w:before="100" w:beforeAutospacing="1" w:after="100" w:afterAutospacing="1"/>
      <w:jc w:val="right"/>
    </w:pPr>
    <w:rPr>
      <w:rFonts w:eastAsia="Times New Roman"/>
      <w:lang w:val="es-ES"/>
    </w:rPr>
  </w:style>
  <w:style w:type="paragraph" w:customStyle="1" w:styleId="xl22">
    <w:name w:val="xl22"/>
    <w:basedOn w:val="Normal"/>
    <w:uiPriority w:val="99"/>
    <w:rsid w:val="00954A79"/>
    <w:pPr>
      <w:spacing w:before="100" w:beforeAutospacing="1" w:after="100" w:afterAutospacing="1"/>
    </w:pPr>
    <w:rPr>
      <w:rFonts w:eastAsia="Times New Roman"/>
      <w:lang w:val="es-ES"/>
    </w:rPr>
  </w:style>
  <w:style w:type="paragraph" w:customStyle="1" w:styleId="xl23">
    <w:name w:val="xl23"/>
    <w:basedOn w:val="Normal"/>
    <w:uiPriority w:val="99"/>
    <w:rsid w:val="00954A79"/>
    <w:pPr>
      <w:spacing w:before="100" w:beforeAutospacing="1" w:after="100" w:afterAutospacing="1"/>
    </w:pPr>
    <w:rPr>
      <w:rFonts w:eastAsia="Times New Roman"/>
      <w:lang w:val="es-ES"/>
    </w:rPr>
  </w:style>
  <w:style w:type="numbering" w:customStyle="1" w:styleId="Sinlista146">
    <w:name w:val="Sin lista146"/>
    <w:next w:val="Sinlista"/>
    <w:semiHidden/>
    <w:rsid w:val="00954A79"/>
  </w:style>
  <w:style w:type="table" w:customStyle="1" w:styleId="Tablaconcuadrcula267">
    <w:name w:val="Tabla con cuadrícula267"/>
    <w:basedOn w:val="Tablanormal"/>
    <w:next w:val="Tablaconcuadrcula"/>
    <w:rsid w:val="00954A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1">
    <w:name w:val="short_text1"/>
    <w:basedOn w:val="Fuentedeprrafopredeter"/>
    <w:rsid w:val="00954A79"/>
    <w:rPr>
      <w:sz w:val="19"/>
      <w:szCs w:val="19"/>
    </w:rPr>
  </w:style>
  <w:style w:type="table" w:customStyle="1" w:styleId="Tablaconcuadrcula1290">
    <w:name w:val="Tabla con cuadrícula 129"/>
    <w:basedOn w:val="Tablanormal"/>
    <w:next w:val="Tablaconcuadrcula10"/>
    <w:rsid w:val="00B34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
    <w:name w:val="Sin lista147"/>
    <w:next w:val="Sinlista"/>
    <w:semiHidden/>
    <w:rsid w:val="00DA172D"/>
  </w:style>
  <w:style w:type="table" w:customStyle="1" w:styleId="Tablaconcuadrcula268">
    <w:name w:val="Tabla con cuadrícula268"/>
    <w:basedOn w:val="Tablanormal"/>
    <w:next w:val="Tablaconcuadrcula"/>
    <w:rsid w:val="00DA17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
    <w:name w:val="Style 9"/>
    <w:basedOn w:val="Normal"/>
    <w:uiPriority w:val="99"/>
    <w:rsid w:val="00DA172D"/>
    <w:pPr>
      <w:widowControl w:val="0"/>
      <w:autoSpaceDE w:val="0"/>
      <w:autoSpaceDN w:val="0"/>
      <w:spacing w:before="108"/>
      <w:ind w:right="144"/>
      <w:jc w:val="both"/>
    </w:pPr>
    <w:rPr>
      <w:rFonts w:eastAsia="Times New Roman"/>
      <w:lang w:val="en-US"/>
    </w:rPr>
  </w:style>
  <w:style w:type="paragraph" w:customStyle="1" w:styleId="Style13">
    <w:name w:val="Style 13"/>
    <w:basedOn w:val="Normal"/>
    <w:uiPriority w:val="99"/>
    <w:rsid w:val="00DA172D"/>
    <w:pPr>
      <w:widowControl w:val="0"/>
      <w:autoSpaceDE w:val="0"/>
      <w:autoSpaceDN w:val="0"/>
      <w:spacing w:before="252" w:after="216"/>
    </w:pPr>
    <w:rPr>
      <w:rFonts w:eastAsia="Times New Roman"/>
      <w:lang w:val="en-US"/>
    </w:rPr>
  </w:style>
  <w:style w:type="paragraph" w:customStyle="1" w:styleId="Style14">
    <w:name w:val="Style 14"/>
    <w:basedOn w:val="Normal"/>
    <w:uiPriority w:val="99"/>
    <w:rsid w:val="00DA172D"/>
    <w:pPr>
      <w:widowControl w:val="0"/>
      <w:autoSpaceDE w:val="0"/>
      <w:autoSpaceDN w:val="0"/>
      <w:adjustRightInd w:val="0"/>
    </w:pPr>
    <w:rPr>
      <w:rFonts w:eastAsia="Times New Roman"/>
      <w:lang w:val="en-US"/>
    </w:rPr>
  </w:style>
  <w:style w:type="paragraph" w:customStyle="1" w:styleId="Style1">
    <w:name w:val="Style 1"/>
    <w:basedOn w:val="Normal"/>
    <w:uiPriority w:val="99"/>
    <w:rsid w:val="00DA172D"/>
    <w:pPr>
      <w:widowControl w:val="0"/>
      <w:tabs>
        <w:tab w:val="decimal" w:pos="360"/>
      </w:tabs>
      <w:autoSpaceDE w:val="0"/>
      <w:autoSpaceDN w:val="0"/>
      <w:spacing w:before="36"/>
    </w:pPr>
    <w:rPr>
      <w:rFonts w:eastAsia="Times New Roman"/>
      <w:lang w:val="en-US"/>
    </w:rPr>
  </w:style>
  <w:style w:type="paragraph" w:customStyle="1" w:styleId="Style11">
    <w:name w:val="Style 11"/>
    <w:basedOn w:val="Normal"/>
    <w:uiPriority w:val="99"/>
    <w:rsid w:val="00DA172D"/>
    <w:pPr>
      <w:widowControl w:val="0"/>
      <w:autoSpaceDE w:val="0"/>
      <w:autoSpaceDN w:val="0"/>
      <w:spacing w:before="360"/>
      <w:jc w:val="both"/>
    </w:pPr>
    <w:rPr>
      <w:rFonts w:eastAsia="Times New Roman"/>
      <w:lang w:val="en-US"/>
    </w:rPr>
  </w:style>
  <w:style w:type="paragraph" w:customStyle="1" w:styleId="Style16">
    <w:name w:val="Style 16"/>
    <w:basedOn w:val="Normal"/>
    <w:uiPriority w:val="99"/>
    <w:rsid w:val="00DA172D"/>
    <w:pPr>
      <w:widowControl w:val="0"/>
      <w:autoSpaceDE w:val="0"/>
      <w:autoSpaceDN w:val="0"/>
      <w:spacing w:before="108"/>
      <w:jc w:val="both"/>
    </w:pPr>
    <w:rPr>
      <w:rFonts w:eastAsia="Times New Roman"/>
      <w:lang w:val="en-US"/>
    </w:rPr>
  </w:style>
  <w:style w:type="paragraph" w:customStyle="1" w:styleId="Style17">
    <w:name w:val="Style 17"/>
    <w:basedOn w:val="Normal"/>
    <w:uiPriority w:val="99"/>
    <w:rsid w:val="00DA172D"/>
    <w:pPr>
      <w:widowControl w:val="0"/>
      <w:autoSpaceDE w:val="0"/>
      <w:autoSpaceDN w:val="0"/>
      <w:adjustRightInd w:val="0"/>
    </w:pPr>
    <w:rPr>
      <w:rFonts w:eastAsia="Times New Roman"/>
      <w:lang w:val="en-US"/>
    </w:rPr>
  </w:style>
  <w:style w:type="paragraph" w:customStyle="1" w:styleId="Style18">
    <w:name w:val="Style 18"/>
    <w:basedOn w:val="Normal"/>
    <w:uiPriority w:val="99"/>
    <w:rsid w:val="00DA172D"/>
    <w:pPr>
      <w:widowControl w:val="0"/>
      <w:tabs>
        <w:tab w:val="decimal" w:pos="3888"/>
        <w:tab w:val="decimal" w:pos="4896"/>
        <w:tab w:val="left" w:pos="5652"/>
        <w:tab w:val="right" w:pos="6804"/>
        <w:tab w:val="decimal" w:pos="7920"/>
      </w:tabs>
      <w:autoSpaceDE w:val="0"/>
      <w:autoSpaceDN w:val="0"/>
      <w:spacing w:line="360" w:lineRule="auto"/>
      <w:ind w:left="288"/>
    </w:pPr>
    <w:rPr>
      <w:rFonts w:eastAsia="Times New Roman"/>
      <w:lang w:val="en-US"/>
    </w:rPr>
  </w:style>
  <w:style w:type="paragraph" w:customStyle="1" w:styleId="Style19">
    <w:name w:val="Style 19"/>
    <w:basedOn w:val="Normal"/>
    <w:uiPriority w:val="99"/>
    <w:rsid w:val="00DA172D"/>
    <w:pPr>
      <w:widowControl w:val="0"/>
      <w:autoSpaceDE w:val="0"/>
      <w:autoSpaceDN w:val="0"/>
      <w:ind w:left="324"/>
    </w:pPr>
    <w:rPr>
      <w:rFonts w:eastAsia="Times New Roman"/>
      <w:lang w:val="en-US"/>
    </w:rPr>
  </w:style>
  <w:style w:type="paragraph" w:customStyle="1" w:styleId="Style12">
    <w:name w:val="Style 12"/>
    <w:basedOn w:val="Normal"/>
    <w:uiPriority w:val="99"/>
    <w:rsid w:val="00DA172D"/>
    <w:pPr>
      <w:widowControl w:val="0"/>
      <w:autoSpaceDE w:val="0"/>
      <w:autoSpaceDN w:val="0"/>
      <w:spacing w:before="108" w:after="10224"/>
      <w:jc w:val="both"/>
    </w:pPr>
    <w:rPr>
      <w:rFonts w:eastAsia="Times New Roman"/>
      <w:lang w:val="en-US"/>
    </w:rPr>
  </w:style>
  <w:style w:type="paragraph" w:customStyle="1" w:styleId="Style10">
    <w:name w:val="Style 10"/>
    <w:basedOn w:val="Normal"/>
    <w:uiPriority w:val="99"/>
    <w:rsid w:val="00DA172D"/>
    <w:pPr>
      <w:widowControl w:val="0"/>
      <w:autoSpaceDE w:val="0"/>
      <w:autoSpaceDN w:val="0"/>
      <w:jc w:val="both"/>
    </w:pPr>
    <w:rPr>
      <w:rFonts w:eastAsia="Times New Roman"/>
      <w:lang w:val="en-US"/>
    </w:rPr>
  </w:style>
  <w:style w:type="table" w:styleId="Tablaconcuadrcula2a">
    <w:name w:val="Table Grid 2"/>
    <w:basedOn w:val="Tablanormal"/>
    <w:rsid w:val="00DA172D"/>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
    <w:name w:val="Tabla con cuadrícula269"/>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
    <w:name w:val="Tabla con cuadrícula270"/>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
    <w:name w:val="Tabla con cuadrícula271"/>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
    <w:name w:val="Sin lista148"/>
    <w:next w:val="Sinlista"/>
    <w:semiHidden/>
    <w:rsid w:val="00CA6BF5"/>
  </w:style>
  <w:style w:type="table" w:customStyle="1" w:styleId="Tablaconcuadrcula1301">
    <w:name w:val="Tabla con cuadrícula 130"/>
    <w:basedOn w:val="Tablanormal"/>
    <w:next w:val="Tablaconcuadrcula10"/>
    <w:rsid w:val="00CA6BF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
    <w:name w:val="Sin lista149"/>
    <w:next w:val="Sinlista"/>
    <w:semiHidden/>
    <w:rsid w:val="00DE74B8"/>
  </w:style>
  <w:style w:type="table" w:customStyle="1" w:styleId="Tablaconcuadrcula272">
    <w:name w:val="Tabla con cuadrícula272"/>
    <w:basedOn w:val="Tablanormal"/>
    <w:next w:val="Tablaconcuadrcula"/>
    <w:rsid w:val="00DE74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
    <w:name w:val="Sin lista150"/>
    <w:next w:val="Sinlista"/>
    <w:semiHidden/>
    <w:rsid w:val="008B7A9E"/>
  </w:style>
  <w:style w:type="table" w:customStyle="1" w:styleId="Tablaconcuadrcula273">
    <w:name w:val="Tabla con cuadrícula273"/>
    <w:basedOn w:val="Tablanormal"/>
    <w:next w:val="Tablaconcuadrcula"/>
    <w:rsid w:val="008B7A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
    <w:name w:val="Tabla con cuadrícula274"/>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
    <w:name w:val="Tabla con cuadrícula275"/>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
    <w:name w:val="Sin lista151"/>
    <w:next w:val="Sinlista"/>
    <w:semiHidden/>
    <w:rsid w:val="00B23A94"/>
  </w:style>
  <w:style w:type="numbering" w:customStyle="1" w:styleId="Sinlista152">
    <w:name w:val="Sin lista152"/>
    <w:next w:val="Sinlista"/>
    <w:semiHidden/>
    <w:rsid w:val="00511A66"/>
  </w:style>
  <w:style w:type="table" w:customStyle="1" w:styleId="Tablaconcuadrcula276">
    <w:name w:val="Tabla con cuadrícula276"/>
    <w:basedOn w:val="Tablanormal"/>
    <w:next w:val="Tablaconcuadrcula"/>
    <w:rsid w:val="00511A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
    <w:name w:val="Sin lista153"/>
    <w:next w:val="Sinlista"/>
    <w:semiHidden/>
    <w:rsid w:val="004272E4"/>
  </w:style>
  <w:style w:type="character" w:customStyle="1" w:styleId="longtext1">
    <w:name w:val="long_text1"/>
    <w:basedOn w:val="Fuentedeprrafopredeter"/>
    <w:rsid w:val="004272E4"/>
    <w:rPr>
      <w:sz w:val="20"/>
      <w:szCs w:val="20"/>
    </w:rPr>
  </w:style>
  <w:style w:type="character" w:customStyle="1" w:styleId="normaltext1">
    <w:name w:val="normaltext1"/>
    <w:basedOn w:val="Fuentedeprrafopredeter"/>
    <w:rsid w:val="004272E4"/>
    <w:rPr>
      <w:b/>
      <w:bCs/>
    </w:rPr>
  </w:style>
  <w:style w:type="character" w:customStyle="1" w:styleId="goog-zippy-collapsed">
    <w:name w:val="goog-zippy-collapsed"/>
    <w:basedOn w:val="Fuentedeprrafopredeter"/>
    <w:rsid w:val="004272E4"/>
  </w:style>
  <w:style w:type="table" w:customStyle="1" w:styleId="Tablaconcuadrcula1310">
    <w:name w:val="Tabla con cuadrícula 131"/>
    <w:basedOn w:val="Tablanormal"/>
    <w:next w:val="Tablaconcuadrcula10"/>
    <w:rsid w:val="005E7D4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
    <w:name w:val="Tabla con cuadrícula277"/>
    <w:basedOn w:val="Tablanormal"/>
    <w:next w:val="Tablaconcuadrcula"/>
    <w:rsid w:val="003B4F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
    <w:name w:val="Sin lista154"/>
    <w:next w:val="Sinlista"/>
    <w:semiHidden/>
    <w:rsid w:val="00AA1609"/>
  </w:style>
  <w:style w:type="table" w:customStyle="1" w:styleId="Tablaconcuadrcula278">
    <w:name w:val="Tabla con cuadrícula278"/>
    <w:basedOn w:val="Tablanormal"/>
    <w:next w:val="Tablaconcuadrcula"/>
    <w:rsid w:val="00AA1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
    <w:name w:val="Tabla con cuadrícula279"/>
    <w:basedOn w:val="Tablanormal"/>
    <w:next w:val="Tablaconcuadrcula"/>
    <w:rsid w:val="00AB5B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
    <w:name w:val="Sin lista155"/>
    <w:next w:val="Sinlista"/>
    <w:semiHidden/>
    <w:rsid w:val="007D6E87"/>
  </w:style>
  <w:style w:type="table" w:customStyle="1" w:styleId="Tablaconcuadrcula280">
    <w:name w:val="Tabla con cuadrícula280"/>
    <w:basedOn w:val="Tablanormal"/>
    <w:next w:val="Tablaconcuadrcula"/>
    <w:rsid w:val="007D6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next w:val="Tablaconcuadrcula"/>
    <w:rsid w:val="000D43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0">
    <w:name w:val="Tabla con cuadrícula 132"/>
    <w:basedOn w:val="Tablanormal"/>
    <w:next w:val="Tablaconcuadrcula10"/>
    <w:rsid w:val="00AC38D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
    <w:name w:val="Tabla con cuadrícula282"/>
    <w:basedOn w:val="Tablanormal"/>
    <w:next w:val="Tablaconcuadrcula"/>
    <w:rsid w:val="005762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
    <w:name w:val="Tabla con cuadrícula283"/>
    <w:basedOn w:val="Tablanormal"/>
    <w:next w:val="Tablaconcuadrcula"/>
    <w:rsid w:val="006C5A7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next w:val="Tablaconcuadrcula"/>
    <w:rsid w:val="006C5A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
    <w:name w:val="Sin lista156"/>
    <w:next w:val="Sinlista"/>
    <w:semiHidden/>
    <w:rsid w:val="00C17A96"/>
  </w:style>
  <w:style w:type="table" w:customStyle="1" w:styleId="Tablaconcuadrcula284">
    <w:name w:val="Tabla con cuadrícula284"/>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1Car">
    <w:name w:val="Footnote Text Char1 Car"/>
    <w:aliases w:val="Footnote Text Char1 Char Car,Footnote Text Char Char Char Car Car,Texto nota pie Car1,Footnote Text Char Char Char Car1"/>
    <w:basedOn w:val="Fuentedeprrafopredeter"/>
    <w:uiPriority w:val="99"/>
    <w:rsid w:val="00C17A96"/>
    <w:rPr>
      <w:lang w:val="es-ES" w:eastAsia="es-ES" w:bidi="ar-SA"/>
    </w:rPr>
  </w:style>
  <w:style w:type="table" w:customStyle="1" w:styleId="Tablaconcuadrcula1601">
    <w:name w:val="Tabla con cuadrícula1601"/>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
    <w:name w:val="Tabla con cuadrícula21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
    <w:name w:val="Tabla con cuadrícula22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
    <w:name w:val="Tabla con cuadrícula23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
    <w:name w:val="Sin lista157"/>
    <w:next w:val="Sinlista"/>
    <w:semiHidden/>
    <w:unhideWhenUsed/>
    <w:rsid w:val="00C17A96"/>
  </w:style>
  <w:style w:type="character" w:customStyle="1" w:styleId="num1CarCar">
    <w:name w:val="num.                          1 Car Car"/>
    <w:basedOn w:val="Fuentedeprrafopredeter"/>
    <w:rsid w:val="00C17A96"/>
    <w:rPr>
      <w:rFonts w:ascii="Arial" w:hAnsi="Arial" w:cs="Arial"/>
      <w:b/>
      <w:bCs/>
      <w:kern w:val="36"/>
      <w:sz w:val="48"/>
      <w:szCs w:val="48"/>
      <w:lang w:val="es-MX" w:eastAsia="es-MX" w:bidi="ar-SA"/>
    </w:rPr>
  </w:style>
  <w:style w:type="numbering" w:customStyle="1" w:styleId="Sinlista210">
    <w:name w:val="Sin lista210"/>
    <w:next w:val="Sinlista"/>
    <w:semiHidden/>
    <w:unhideWhenUsed/>
    <w:rsid w:val="00C17A96"/>
  </w:style>
  <w:style w:type="table" w:customStyle="1" w:styleId="Tablabsica11">
    <w:name w:val="Tabla básica 11"/>
    <w:basedOn w:val="Tablanormal"/>
    <w:next w:val="Tablabsica1"/>
    <w:rsid w:val="00C17A96"/>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
    <w:name w:val="Sin lista1110"/>
    <w:next w:val="Sinlista"/>
    <w:semiHidden/>
    <w:rsid w:val="00C17A96"/>
  </w:style>
  <w:style w:type="table" w:customStyle="1" w:styleId="Tablaconcuadrcula11100">
    <w:name w:val="Tabla con cuadrícula11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0">
    <w:name w:val="Tabla con cuadrícula 133"/>
    <w:basedOn w:val="Tablanormal"/>
    <w:next w:val="Tablaconcuadrcula10"/>
    <w:rsid w:val="00C17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
    <w:name w:val="Sin lista310"/>
    <w:next w:val="Sinlista"/>
    <w:semiHidden/>
    <w:unhideWhenUsed/>
    <w:rsid w:val="00C17A96"/>
  </w:style>
  <w:style w:type="table" w:customStyle="1" w:styleId="Tablaconcuadrcula1821">
    <w:name w:val="Tabla con cuadrícula18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
    <w:name w:val="Tabla con cuadrícula513"/>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
    <w:name w:val="Sin lista410"/>
    <w:next w:val="Sinlista"/>
    <w:semiHidden/>
    <w:rsid w:val="00C17A96"/>
  </w:style>
  <w:style w:type="numbering" w:customStyle="1" w:styleId="Sinlista510">
    <w:name w:val="Sin lista510"/>
    <w:next w:val="Sinlista"/>
    <w:semiHidden/>
    <w:unhideWhenUsed/>
    <w:rsid w:val="00C17A96"/>
  </w:style>
  <w:style w:type="numbering" w:customStyle="1" w:styleId="Sinlista1210">
    <w:name w:val="Sin lista1210"/>
    <w:next w:val="Sinlista"/>
    <w:semiHidden/>
    <w:rsid w:val="00C17A96"/>
  </w:style>
  <w:style w:type="numbering" w:customStyle="1" w:styleId="Sinlista610">
    <w:name w:val="Sin lista610"/>
    <w:next w:val="Sinlista"/>
    <w:semiHidden/>
    <w:unhideWhenUsed/>
    <w:rsid w:val="00C17A96"/>
  </w:style>
  <w:style w:type="numbering" w:customStyle="1" w:styleId="Sinlista710">
    <w:name w:val="Sin lista710"/>
    <w:next w:val="Sinlista"/>
    <w:semiHidden/>
    <w:unhideWhenUsed/>
    <w:rsid w:val="00C17A96"/>
  </w:style>
  <w:style w:type="table" w:customStyle="1" w:styleId="Tablaconcuadrcula12100">
    <w:name w:val="Tabla con cuadrícula12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
    <w:name w:val="Sin lista810"/>
    <w:next w:val="Sinlista"/>
    <w:semiHidden/>
    <w:unhideWhenUsed/>
    <w:rsid w:val="00C17A96"/>
  </w:style>
  <w:style w:type="numbering" w:customStyle="1" w:styleId="Sinlista910">
    <w:name w:val="Sin lista910"/>
    <w:next w:val="Sinlista"/>
    <w:semiHidden/>
    <w:rsid w:val="00C17A96"/>
  </w:style>
  <w:style w:type="numbering" w:customStyle="1" w:styleId="Sinlista1010">
    <w:name w:val="Sin lista1010"/>
    <w:next w:val="Sinlista"/>
    <w:semiHidden/>
    <w:unhideWhenUsed/>
    <w:rsid w:val="00C17A96"/>
  </w:style>
  <w:style w:type="numbering" w:customStyle="1" w:styleId="Sinlista1310">
    <w:name w:val="Sin lista1310"/>
    <w:next w:val="Sinlista"/>
    <w:semiHidden/>
    <w:rsid w:val="00C17A96"/>
  </w:style>
  <w:style w:type="table" w:customStyle="1" w:styleId="Tablaconcuadrcula521">
    <w:name w:val="Tabla con cuadrícula5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
    <w:name w:val="Tabla con cuadrícula1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
    <w:name w:val="Sin lista1410"/>
    <w:next w:val="Sinlista"/>
    <w:semiHidden/>
    <w:rsid w:val="00C17A96"/>
  </w:style>
  <w:style w:type="numbering" w:customStyle="1" w:styleId="Sinlista158">
    <w:name w:val="Sin lista158"/>
    <w:next w:val="Sinlista"/>
    <w:semiHidden/>
    <w:rsid w:val="00C17A96"/>
  </w:style>
  <w:style w:type="numbering" w:customStyle="1" w:styleId="Sinlista161">
    <w:name w:val="Sin lista161"/>
    <w:next w:val="Sinlista"/>
    <w:semiHidden/>
    <w:rsid w:val="00C17A96"/>
  </w:style>
  <w:style w:type="table" w:customStyle="1" w:styleId="Tablaconcuadrcula19100">
    <w:name w:val="Tabla con cuadrícula19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
    <w:name w:val="Sin lista171"/>
    <w:next w:val="Sinlista"/>
    <w:semiHidden/>
    <w:rsid w:val="00C17A96"/>
  </w:style>
  <w:style w:type="numbering" w:customStyle="1" w:styleId="Sinlista181">
    <w:name w:val="Sin lista181"/>
    <w:next w:val="Sinlista"/>
    <w:semiHidden/>
    <w:rsid w:val="00C17A96"/>
  </w:style>
  <w:style w:type="table" w:customStyle="1" w:styleId="Tablaconcuadrcula1102">
    <w:name w:val="Tabla con cuadrícula11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Sinlista"/>
    <w:next w:val="111111"/>
    <w:rsid w:val="00C17A96"/>
  </w:style>
  <w:style w:type="numbering" w:customStyle="1" w:styleId="Sinlista191">
    <w:name w:val="Sin lista191"/>
    <w:next w:val="Sinlista"/>
    <w:semiHidden/>
    <w:unhideWhenUsed/>
    <w:rsid w:val="00C17A96"/>
  </w:style>
  <w:style w:type="table" w:customStyle="1" w:styleId="Tablaconcuadrcula2071">
    <w:name w:val="Tabla con cuadrícula207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
    <w:name w:val="1 / 1.1 / 1.1.111"/>
    <w:basedOn w:val="Sinlista"/>
    <w:next w:val="111111"/>
    <w:rsid w:val="00C17A96"/>
  </w:style>
  <w:style w:type="table" w:customStyle="1" w:styleId="Tablaconcuadrcula2510">
    <w:name w:val="Tabla con cuadrícula2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
    <w:name w:val="Tabla con cuadrícula2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
    <w:name w:val="Sin lista201"/>
    <w:next w:val="Sinlista"/>
    <w:semiHidden/>
    <w:rsid w:val="00C17A96"/>
  </w:style>
  <w:style w:type="table" w:customStyle="1" w:styleId="Tablaconcuadrcula2710">
    <w:name w:val="Tabla con cuadrícula2710"/>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
    <w:name w:val="Sin lista1101"/>
    <w:next w:val="Sinlista"/>
    <w:semiHidden/>
    <w:unhideWhenUsed/>
    <w:rsid w:val="00C17A96"/>
  </w:style>
  <w:style w:type="numbering" w:customStyle="1" w:styleId="Sinlista211">
    <w:name w:val="Sin lista211"/>
    <w:next w:val="Sinlista"/>
    <w:semiHidden/>
    <w:unhideWhenUsed/>
    <w:rsid w:val="00C17A96"/>
  </w:style>
  <w:style w:type="table" w:customStyle="1" w:styleId="Tablabsica111">
    <w:name w:val="Tabla básica 111"/>
    <w:basedOn w:val="Tablanormal"/>
    <w:next w:val="Tablabsica1"/>
    <w:rsid w:val="00C17A9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
    <w:name w:val="Sin lista1111"/>
    <w:next w:val="Sinlista"/>
    <w:semiHidden/>
    <w:rsid w:val="00C17A96"/>
  </w:style>
  <w:style w:type="table" w:customStyle="1" w:styleId="Tablaconcuadrcula11110">
    <w:name w:val="Tabla con cuadrícula1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
    <w:name w:val="Tabla con cuadrícula 1110"/>
    <w:basedOn w:val="Tablanormal"/>
    <w:next w:val="Tablaconcuadrcula10"/>
    <w:rsid w:val="00C17A9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
    <w:name w:val="Sin lista311"/>
    <w:next w:val="Sinlista"/>
    <w:semiHidden/>
    <w:unhideWhenUsed/>
    <w:rsid w:val="00C17A96"/>
  </w:style>
  <w:style w:type="table" w:customStyle="1" w:styleId="Tablaconcuadrcula18211">
    <w:name w:val="Tabla con cuadrícula18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semiHidden/>
    <w:rsid w:val="00C17A96"/>
  </w:style>
  <w:style w:type="numbering" w:customStyle="1" w:styleId="Sinlista511">
    <w:name w:val="Sin lista511"/>
    <w:next w:val="Sinlista"/>
    <w:semiHidden/>
    <w:unhideWhenUsed/>
    <w:rsid w:val="00C17A96"/>
  </w:style>
  <w:style w:type="numbering" w:customStyle="1" w:styleId="Sinlista1211">
    <w:name w:val="Sin lista1211"/>
    <w:next w:val="Sinlista"/>
    <w:semiHidden/>
    <w:rsid w:val="00C17A96"/>
  </w:style>
  <w:style w:type="numbering" w:customStyle="1" w:styleId="Sinlista611">
    <w:name w:val="Sin lista611"/>
    <w:next w:val="Sinlista"/>
    <w:semiHidden/>
    <w:unhideWhenUsed/>
    <w:rsid w:val="00C17A96"/>
  </w:style>
  <w:style w:type="numbering" w:customStyle="1" w:styleId="Sinlista711">
    <w:name w:val="Sin lista711"/>
    <w:next w:val="Sinlista"/>
    <w:semiHidden/>
    <w:unhideWhenUsed/>
    <w:rsid w:val="00C17A96"/>
  </w:style>
  <w:style w:type="table" w:customStyle="1" w:styleId="Tablaconcuadrcula1211">
    <w:name w:val="Tabla con cuadrícula1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
    <w:name w:val="Sin lista811"/>
    <w:next w:val="Sinlista"/>
    <w:semiHidden/>
    <w:unhideWhenUsed/>
    <w:rsid w:val="00C17A96"/>
  </w:style>
  <w:style w:type="numbering" w:customStyle="1" w:styleId="Sinlista911">
    <w:name w:val="Sin lista911"/>
    <w:next w:val="Sinlista"/>
    <w:semiHidden/>
    <w:rsid w:val="00C17A96"/>
  </w:style>
  <w:style w:type="numbering" w:customStyle="1" w:styleId="Sinlista1011">
    <w:name w:val="Sin lista1011"/>
    <w:next w:val="Sinlista"/>
    <w:semiHidden/>
    <w:unhideWhenUsed/>
    <w:rsid w:val="00C17A96"/>
  </w:style>
  <w:style w:type="numbering" w:customStyle="1" w:styleId="Sinlista1311">
    <w:name w:val="Sin lista1311"/>
    <w:next w:val="Sinlista"/>
    <w:semiHidden/>
    <w:rsid w:val="00C17A96"/>
  </w:style>
  <w:style w:type="table" w:customStyle="1" w:styleId="Tablaconcuadrcula5211">
    <w:name w:val="Tabla con cuadrícula5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
    <w:name w:val="Tabla con cuadrícula1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
    <w:name w:val="Sin lista1411"/>
    <w:next w:val="Sinlista"/>
    <w:semiHidden/>
    <w:rsid w:val="00C17A96"/>
  </w:style>
  <w:style w:type="numbering" w:customStyle="1" w:styleId="Sinlista1511">
    <w:name w:val="Sin lista1511"/>
    <w:next w:val="Sinlista"/>
    <w:semiHidden/>
    <w:rsid w:val="00C17A96"/>
  </w:style>
  <w:style w:type="numbering" w:customStyle="1" w:styleId="Sinlista1611">
    <w:name w:val="Sin lista1611"/>
    <w:next w:val="Sinlista"/>
    <w:semiHidden/>
    <w:rsid w:val="00C17A96"/>
  </w:style>
  <w:style w:type="table" w:customStyle="1" w:styleId="Tablaconcuadrcula1911">
    <w:name w:val="Tabla con cuadrícula19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
    <w:name w:val="Sin lista1711"/>
    <w:next w:val="Sinlista"/>
    <w:semiHidden/>
    <w:rsid w:val="00C17A96"/>
  </w:style>
  <w:style w:type="numbering" w:customStyle="1" w:styleId="Sinlista1811">
    <w:name w:val="Sin lista1811"/>
    <w:next w:val="Sinlista"/>
    <w:semiHidden/>
    <w:rsid w:val="00C17A96"/>
  </w:style>
  <w:style w:type="numbering" w:customStyle="1" w:styleId="1111112">
    <w:name w:val="1 / 1.1 / 1.1.12"/>
    <w:basedOn w:val="Sinlista"/>
    <w:next w:val="111111"/>
    <w:rsid w:val="00C17A96"/>
    <w:pPr>
      <w:numPr>
        <w:numId w:val="9"/>
      </w:numPr>
    </w:pPr>
  </w:style>
  <w:style w:type="numbering" w:customStyle="1" w:styleId="Sinlista1911">
    <w:name w:val="Sin lista1911"/>
    <w:next w:val="Sinlista"/>
    <w:semiHidden/>
    <w:unhideWhenUsed/>
    <w:rsid w:val="00C17A96"/>
  </w:style>
  <w:style w:type="table" w:customStyle="1" w:styleId="Tablaconcuadrcula20711">
    <w:name w:val="Tabla con cuadrícula207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
    <w:name w:val="Tabla con cuadrícula2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
    <w:name w:val="Tabla con cuadrícula2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
    <w:name w:val="Tabla con cuadrícula2711"/>
    <w:basedOn w:val="Tablanormal"/>
    <w:next w:val="Tablaconcuadrcula"/>
    <w:rsid w:val="00C17A9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
    <w:name w:val="Sin lista2011"/>
    <w:next w:val="Sinlista"/>
    <w:semiHidden/>
    <w:rsid w:val="00C17A96"/>
  </w:style>
  <w:style w:type="numbering" w:customStyle="1" w:styleId="Sinlista2111">
    <w:name w:val="Sin lista2111"/>
    <w:next w:val="Sinlista"/>
    <w:semiHidden/>
    <w:rsid w:val="00C17A96"/>
  </w:style>
  <w:style w:type="numbering" w:customStyle="1" w:styleId="Sinlista221">
    <w:name w:val="Sin lista221"/>
    <w:next w:val="Sinlista"/>
    <w:semiHidden/>
    <w:rsid w:val="00C17A96"/>
  </w:style>
  <w:style w:type="numbering" w:customStyle="1" w:styleId="Sinlista231">
    <w:name w:val="Sin lista231"/>
    <w:next w:val="Sinlista"/>
    <w:semiHidden/>
    <w:rsid w:val="00C17A96"/>
  </w:style>
  <w:style w:type="numbering" w:customStyle="1" w:styleId="Sinlista241">
    <w:name w:val="Sin lista241"/>
    <w:next w:val="Sinlista"/>
    <w:semiHidden/>
    <w:rsid w:val="00C17A96"/>
  </w:style>
  <w:style w:type="numbering" w:customStyle="1" w:styleId="Sinlista251">
    <w:name w:val="Sin lista251"/>
    <w:next w:val="Sinlista"/>
    <w:semiHidden/>
    <w:rsid w:val="00C17A96"/>
  </w:style>
  <w:style w:type="numbering" w:customStyle="1" w:styleId="Sinlista261">
    <w:name w:val="Sin lista261"/>
    <w:next w:val="Sinlista"/>
    <w:semiHidden/>
    <w:rsid w:val="00C17A96"/>
  </w:style>
  <w:style w:type="numbering" w:customStyle="1" w:styleId="Sinlista271">
    <w:name w:val="Sin lista271"/>
    <w:next w:val="Sinlista"/>
    <w:semiHidden/>
    <w:rsid w:val="00C17A96"/>
  </w:style>
  <w:style w:type="numbering" w:customStyle="1" w:styleId="Sinlista281">
    <w:name w:val="Sin lista281"/>
    <w:next w:val="Sinlista"/>
    <w:semiHidden/>
    <w:rsid w:val="00C17A96"/>
  </w:style>
  <w:style w:type="numbering" w:customStyle="1" w:styleId="Sinlista291">
    <w:name w:val="Sin lista291"/>
    <w:next w:val="Sinlista"/>
    <w:semiHidden/>
    <w:rsid w:val="00C17A96"/>
  </w:style>
  <w:style w:type="numbering" w:customStyle="1" w:styleId="Sinlista301">
    <w:name w:val="Sin lista301"/>
    <w:next w:val="Sinlista"/>
    <w:semiHidden/>
    <w:rsid w:val="00C17A96"/>
  </w:style>
  <w:style w:type="numbering" w:customStyle="1" w:styleId="Sinlista3111">
    <w:name w:val="Sin lista3111"/>
    <w:next w:val="Sinlista"/>
    <w:semiHidden/>
    <w:rsid w:val="00C17A96"/>
  </w:style>
  <w:style w:type="table" w:customStyle="1" w:styleId="Tablaconcuadrcula6111">
    <w:name w:val="Tabla con cuadrícula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
    <w:name w:val="Sin lista321"/>
    <w:next w:val="Sinlista"/>
    <w:semiHidden/>
    <w:rsid w:val="00C17A96"/>
  </w:style>
  <w:style w:type="numbering" w:customStyle="1" w:styleId="Sinlista331">
    <w:name w:val="Sin lista331"/>
    <w:next w:val="Sinlista"/>
    <w:semiHidden/>
    <w:unhideWhenUsed/>
    <w:rsid w:val="00C17A96"/>
  </w:style>
  <w:style w:type="numbering" w:customStyle="1" w:styleId="Sinlista341">
    <w:name w:val="Sin lista341"/>
    <w:next w:val="Sinlista"/>
    <w:semiHidden/>
    <w:rsid w:val="00C17A96"/>
  </w:style>
  <w:style w:type="numbering" w:customStyle="1" w:styleId="Sinlista351">
    <w:name w:val="Sin lista351"/>
    <w:next w:val="Sinlista"/>
    <w:semiHidden/>
    <w:rsid w:val="00C17A96"/>
  </w:style>
  <w:style w:type="numbering" w:customStyle="1" w:styleId="Sinlista361">
    <w:name w:val="Sin lista361"/>
    <w:next w:val="Sinlista"/>
    <w:semiHidden/>
    <w:rsid w:val="00C17A96"/>
  </w:style>
  <w:style w:type="numbering" w:customStyle="1" w:styleId="Sinlista371">
    <w:name w:val="Sin lista371"/>
    <w:next w:val="Sinlista"/>
    <w:semiHidden/>
    <w:rsid w:val="00C17A96"/>
  </w:style>
  <w:style w:type="numbering" w:customStyle="1" w:styleId="Sinlista381">
    <w:name w:val="Sin lista381"/>
    <w:next w:val="Sinlista"/>
    <w:semiHidden/>
    <w:rsid w:val="00C17A96"/>
  </w:style>
  <w:style w:type="numbering" w:customStyle="1" w:styleId="Sinlista391">
    <w:name w:val="Sin lista391"/>
    <w:next w:val="Sinlista"/>
    <w:semiHidden/>
    <w:rsid w:val="00C17A96"/>
  </w:style>
  <w:style w:type="numbering" w:customStyle="1" w:styleId="Sinlista401">
    <w:name w:val="Sin lista401"/>
    <w:next w:val="Sinlista"/>
    <w:semiHidden/>
    <w:rsid w:val="00C17A96"/>
  </w:style>
  <w:style w:type="numbering" w:customStyle="1" w:styleId="Sinlista4111">
    <w:name w:val="Sin lista4111"/>
    <w:next w:val="Sinlista"/>
    <w:semiHidden/>
    <w:rsid w:val="00C17A96"/>
  </w:style>
  <w:style w:type="numbering" w:customStyle="1" w:styleId="Sinlista421">
    <w:name w:val="Sin lista421"/>
    <w:next w:val="Sinlista"/>
    <w:semiHidden/>
    <w:rsid w:val="00C17A96"/>
  </w:style>
  <w:style w:type="numbering" w:customStyle="1" w:styleId="Sinlista431">
    <w:name w:val="Sin lista431"/>
    <w:next w:val="Sinlista"/>
    <w:semiHidden/>
    <w:rsid w:val="00C17A96"/>
  </w:style>
  <w:style w:type="numbering" w:customStyle="1" w:styleId="Sinlista441">
    <w:name w:val="Sin lista441"/>
    <w:next w:val="Sinlista"/>
    <w:semiHidden/>
    <w:rsid w:val="00C17A96"/>
  </w:style>
  <w:style w:type="numbering" w:customStyle="1" w:styleId="Sinlista451">
    <w:name w:val="Sin lista451"/>
    <w:next w:val="Sinlista"/>
    <w:semiHidden/>
    <w:rsid w:val="00C17A96"/>
  </w:style>
  <w:style w:type="numbering" w:customStyle="1" w:styleId="Sinlista461">
    <w:name w:val="Sin lista461"/>
    <w:next w:val="Sinlista"/>
    <w:semiHidden/>
    <w:rsid w:val="00C17A96"/>
  </w:style>
  <w:style w:type="numbering" w:customStyle="1" w:styleId="Sinlista471">
    <w:name w:val="Sin lista471"/>
    <w:next w:val="Sinlista"/>
    <w:semiHidden/>
    <w:rsid w:val="00C17A96"/>
  </w:style>
  <w:style w:type="numbering" w:customStyle="1" w:styleId="Sinlista481">
    <w:name w:val="Sin lista481"/>
    <w:next w:val="Sinlista"/>
    <w:semiHidden/>
    <w:rsid w:val="00C17A96"/>
  </w:style>
  <w:style w:type="numbering" w:customStyle="1" w:styleId="Sinlista491">
    <w:name w:val="Sin lista491"/>
    <w:next w:val="Sinlista"/>
    <w:semiHidden/>
    <w:rsid w:val="00C17A96"/>
  </w:style>
  <w:style w:type="numbering" w:customStyle="1" w:styleId="Sinlista501">
    <w:name w:val="Sin lista501"/>
    <w:next w:val="Sinlista"/>
    <w:semiHidden/>
    <w:rsid w:val="00C17A96"/>
  </w:style>
  <w:style w:type="numbering" w:customStyle="1" w:styleId="Sinlista5111">
    <w:name w:val="Sin lista5111"/>
    <w:next w:val="Sinlista"/>
    <w:semiHidden/>
    <w:rsid w:val="00C17A96"/>
  </w:style>
  <w:style w:type="numbering" w:customStyle="1" w:styleId="Sinlista521">
    <w:name w:val="Sin lista521"/>
    <w:next w:val="Sinlista"/>
    <w:semiHidden/>
    <w:rsid w:val="00C17A96"/>
  </w:style>
  <w:style w:type="numbering" w:customStyle="1" w:styleId="Sinlista531">
    <w:name w:val="Sin lista531"/>
    <w:next w:val="Sinlista"/>
    <w:semiHidden/>
    <w:rsid w:val="00C17A96"/>
  </w:style>
  <w:style w:type="numbering" w:customStyle="1" w:styleId="Sinlista541">
    <w:name w:val="Sin lista541"/>
    <w:next w:val="Sinlista"/>
    <w:semiHidden/>
    <w:rsid w:val="00C17A96"/>
  </w:style>
  <w:style w:type="numbering" w:customStyle="1" w:styleId="Sinlista551">
    <w:name w:val="Sin lista551"/>
    <w:next w:val="Sinlista"/>
    <w:semiHidden/>
    <w:rsid w:val="00C17A96"/>
  </w:style>
  <w:style w:type="numbering" w:customStyle="1" w:styleId="Sinlista561">
    <w:name w:val="Sin lista561"/>
    <w:next w:val="Sinlista"/>
    <w:semiHidden/>
    <w:rsid w:val="00C17A96"/>
  </w:style>
  <w:style w:type="numbering" w:customStyle="1" w:styleId="Sinlista571">
    <w:name w:val="Sin lista571"/>
    <w:next w:val="Sinlista"/>
    <w:semiHidden/>
    <w:rsid w:val="00C17A96"/>
  </w:style>
  <w:style w:type="numbering" w:customStyle="1" w:styleId="Sinlista581">
    <w:name w:val="Sin lista581"/>
    <w:next w:val="Sinlista"/>
    <w:semiHidden/>
    <w:rsid w:val="00C17A96"/>
  </w:style>
  <w:style w:type="numbering" w:customStyle="1" w:styleId="Sinlista591">
    <w:name w:val="Sin lista591"/>
    <w:next w:val="Sinlista"/>
    <w:semiHidden/>
    <w:rsid w:val="00C17A96"/>
  </w:style>
  <w:style w:type="table" w:customStyle="1" w:styleId="Tablaconcuadrcula11111">
    <w:name w:val="Tabla con cuadrícula1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
    <w:name w:val="Sin lista601"/>
    <w:next w:val="Sinlista"/>
    <w:semiHidden/>
    <w:rsid w:val="00C17A96"/>
  </w:style>
  <w:style w:type="numbering" w:customStyle="1" w:styleId="Sinlista6111">
    <w:name w:val="Sin lista6111"/>
    <w:next w:val="Sinlista"/>
    <w:semiHidden/>
    <w:rsid w:val="00C17A96"/>
  </w:style>
  <w:style w:type="numbering" w:customStyle="1" w:styleId="Sinlista621">
    <w:name w:val="Sin lista621"/>
    <w:next w:val="Sinlista"/>
    <w:semiHidden/>
    <w:rsid w:val="00C17A96"/>
  </w:style>
  <w:style w:type="numbering" w:customStyle="1" w:styleId="Sinlista631">
    <w:name w:val="Sin lista631"/>
    <w:next w:val="Sinlista"/>
    <w:semiHidden/>
    <w:rsid w:val="00C17A96"/>
  </w:style>
  <w:style w:type="numbering" w:customStyle="1" w:styleId="Sinlista641">
    <w:name w:val="Sin lista641"/>
    <w:next w:val="Sinlista"/>
    <w:semiHidden/>
    <w:rsid w:val="00C17A96"/>
  </w:style>
  <w:style w:type="numbering" w:customStyle="1" w:styleId="Sinlista651">
    <w:name w:val="Sin lista651"/>
    <w:next w:val="Sinlista"/>
    <w:semiHidden/>
    <w:rsid w:val="00C17A96"/>
  </w:style>
  <w:style w:type="numbering" w:customStyle="1" w:styleId="Sinlista661">
    <w:name w:val="Sin lista661"/>
    <w:next w:val="Sinlista"/>
    <w:semiHidden/>
    <w:rsid w:val="00C17A96"/>
  </w:style>
  <w:style w:type="numbering" w:customStyle="1" w:styleId="Sinlista671">
    <w:name w:val="Sin lista671"/>
    <w:next w:val="Sinlista"/>
    <w:semiHidden/>
    <w:rsid w:val="00C17A96"/>
  </w:style>
  <w:style w:type="numbering" w:customStyle="1" w:styleId="Sinlista681">
    <w:name w:val="Sin lista681"/>
    <w:next w:val="Sinlista"/>
    <w:semiHidden/>
    <w:rsid w:val="00C17A96"/>
  </w:style>
  <w:style w:type="table" w:customStyle="1" w:styleId="Tablaconcuadrcula12111">
    <w:name w:val="Tabla con cuadrícula1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
    <w:name w:val="Sin lista691"/>
    <w:next w:val="Sinlista"/>
    <w:semiHidden/>
    <w:rsid w:val="00C17A96"/>
  </w:style>
  <w:style w:type="numbering" w:customStyle="1" w:styleId="Sinlista701">
    <w:name w:val="Sin lista701"/>
    <w:next w:val="Sinlista"/>
    <w:semiHidden/>
    <w:rsid w:val="00C17A96"/>
  </w:style>
  <w:style w:type="numbering" w:customStyle="1" w:styleId="Sinlista7111">
    <w:name w:val="Sin lista7111"/>
    <w:next w:val="Sinlista"/>
    <w:semiHidden/>
    <w:rsid w:val="00C17A96"/>
  </w:style>
  <w:style w:type="numbering" w:customStyle="1" w:styleId="Sinlista721">
    <w:name w:val="Sin lista721"/>
    <w:next w:val="Sinlista"/>
    <w:semiHidden/>
    <w:rsid w:val="00C17A96"/>
  </w:style>
  <w:style w:type="numbering" w:customStyle="1" w:styleId="Sinlista731">
    <w:name w:val="Sin lista731"/>
    <w:next w:val="Sinlista"/>
    <w:semiHidden/>
    <w:rsid w:val="00C17A96"/>
  </w:style>
  <w:style w:type="numbering" w:customStyle="1" w:styleId="Sinlista741">
    <w:name w:val="Sin lista741"/>
    <w:next w:val="Sinlista"/>
    <w:semiHidden/>
    <w:rsid w:val="00C17A96"/>
  </w:style>
  <w:style w:type="numbering" w:customStyle="1" w:styleId="Sinlista751">
    <w:name w:val="Sin lista751"/>
    <w:next w:val="Sinlista"/>
    <w:semiHidden/>
    <w:rsid w:val="00C17A96"/>
  </w:style>
  <w:style w:type="numbering" w:customStyle="1" w:styleId="Sinlista761">
    <w:name w:val="Sin lista761"/>
    <w:next w:val="Sinlista"/>
    <w:semiHidden/>
    <w:rsid w:val="00C17A96"/>
  </w:style>
  <w:style w:type="table" w:customStyle="1" w:styleId="Tablaconcuadrcula51111">
    <w:name w:val="Tabla con cuadrícula5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
    <w:name w:val="Sin lista771"/>
    <w:next w:val="Sinlista"/>
    <w:semiHidden/>
    <w:rsid w:val="00C17A96"/>
  </w:style>
  <w:style w:type="table" w:customStyle="1" w:styleId="Tablaconcuadrcula15111">
    <w:name w:val="Tabla con cuadrícula1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
    <w:name w:val="Sin lista781"/>
    <w:next w:val="Sinlista"/>
    <w:semiHidden/>
    <w:rsid w:val="00C17A96"/>
  </w:style>
  <w:style w:type="numbering" w:customStyle="1" w:styleId="Sinlista791">
    <w:name w:val="Sin lista791"/>
    <w:next w:val="Sinlista"/>
    <w:semiHidden/>
    <w:rsid w:val="00C17A96"/>
  </w:style>
  <w:style w:type="numbering" w:customStyle="1" w:styleId="Sinlista801">
    <w:name w:val="Sin lista801"/>
    <w:next w:val="Sinlista"/>
    <w:semiHidden/>
    <w:rsid w:val="00C17A96"/>
  </w:style>
  <w:style w:type="numbering" w:customStyle="1" w:styleId="Sinlista8111">
    <w:name w:val="Sin lista8111"/>
    <w:next w:val="Sinlista"/>
    <w:semiHidden/>
    <w:rsid w:val="00C17A96"/>
  </w:style>
  <w:style w:type="numbering" w:customStyle="1" w:styleId="Sinlista821">
    <w:name w:val="Sin lista821"/>
    <w:next w:val="Sinlista"/>
    <w:semiHidden/>
    <w:rsid w:val="00C17A96"/>
  </w:style>
  <w:style w:type="numbering" w:customStyle="1" w:styleId="Sinlista831">
    <w:name w:val="Sin lista831"/>
    <w:next w:val="Sinlista"/>
    <w:semiHidden/>
    <w:rsid w:val="00C17A96"/>
  </w:style>
  <w:style w:type="numbering" w:customStyle="1" w:styleId="Sinlista841">
    <w:name w:val="Sin lista841"/>
    <w:next w:val="Sinlista"/>
    <w:semiHidden/>
    <w:rsid w:val="00C17A96"/>
  </w:style>
  <w:style w:type="numbering" w:customStyle="1" w:styleId="Sinlista851">
    <w:name w:val="Sin lista851"/>
    <w:next w:val="Sinlista"/>
    <w:semiHidden/>
    <w:rsid w:val="00C17A96"/>
  </w:style>
  <w:style w:type="numbering" w:customStyle="1" w:styleId="Sinlista861">
    <w:name w:val="Sin lista861"/>
    <w:next w:val="Sinlista"/>
    <w:semiHidden/>
    <w:rsid w:val="00C17A96"/>
  </w:style>
  <w:style w:type="numbering" w:customStyle="1" w:styleId="Sinlista871">
    <w:name w:val="Sin lista871"/>
    <w:next w:val="Sinlista"/>
    <w:semiHidden/>
    <w:rsid w:val="00C17A96"/>
  </w:style>
  <w:style w:type="numbering" w:customStyle="1" w:styleId="Sinlista881">
    <w:name w:val="Sin lista881"/>
    <w:next w:val="Sinlista"/>
    <w:semiHidden/>
    <w:rsid w:val="00C17A96"/>
  </w:style>
  <w:style w:type="numbering" w:customStyle="1" w:styleId="Sinlista891">
    <w:name w:val="Sin lista891"/>
    <w:next w:val="Sinlista"/>
    <w:semiHidden/>
    <w:rsid w:val="00C17A96"/>
  </w:style>
  <w:style w:type="numbering" w:customStyle="1" w:styleId="Sinlista901">
    <w:name w:val="Sin lista901"/>
    <w:next w:val="Sinlista"/>
    <w:semiHidden/>
    <w:rsid w:val="00C17A96"/>
  </w:style>
  <w:style w:type="numbering" w:customStyle="1" w:styleId="Sinlista9111">
    <w:name w:val="Sin lista9111"/>
    <w:next w:val="Sinlista"/>
    <w:semiHidden/>
    <w:rsid w:val="00C17A96"/>
  </w:style>
  <w:style w:type="numbering" w:customStyle="1" w:styleId="Sinlista921">
    <w:name w:val="Sin lista921"/>
    <w:next w:val="Sinlista"/>
    <w:semiHidden/>
    <w:rsid w:val="00C17A96"/>
  </w:style>
  <w:style w:type="numbering" w:customStyle="1" w:styleId="Sinlista931">
    <w:name w:val="Sin lista931"/>
    <w:next w:val="Sinlista"/>
    <w:semiHidden/>
    <w:rsid w:val="00C17A96"/>
  </w:style>
  <w:style w:type="numbering" w:customStyle="1" w:styleId="Sinlista941">
    <w:name w:val="Sin lista941"/>
    <w:next w:val="Sinlista"/>
    <w:semiHidden/>
    <w:rsid w:val="00C17A96"/>
  </w:style>
  <w:style w:type="numbering" w:customStyle="1" w:styleId="Sinlista951">
    <w:name w:val="Sin lista951"/>
    <w:next w:val="Sinlista"/>
    <w:semiHidden/>
    <w:rsid w:val="00C17A96"/>
  </w:style>
  <w:style w:type="numbering" w:customStyle="1" w:styleId="Sinlista961">
    <w:name w:val="Sin lista961"/>
    <w:next w:val="Sinlista"/>
    <w:semiHidden/>
    <w:rsid w:val="00C17A96"/>
  </w:style>
  <w:style w:type="numbering" w:customStyle="1" w:styleId="Sinlista971">
    <w:name w:val="Sin lista971"/>
    <w:next w:val="Sinlista"/>
    <w:semiHidden/>
    <w:rsid w:val="00C17A96"/>
  </w:style>
  <w:style w:type="numbering" w:customStyle="1" w:styleId="Sinlista981">
    <w:name w:val="Sin lista981"/>
    <w:next w:val="Sinlista"/>
    <w:semiHidden/>
    <w:rsid w:val="00C17A96"/>
  </w:style>
  <w:style w:type="numbering" w:customStyle="1" w:styleId="Sinlista991">
    <w:name w:val="Sin lista991"/>
    <w:next w:val="Sinlista"/>
    <w:semiHidden/>
    <w:rsid w:val="00C17A96"/>
  </w:style>
  <w:style w:type="numbering" w:customStyle="1" w:styleId="Sinlista1001">
    <w:name w:val="Sin lista1001"/>
    <w:next w:val="Sinlista"/>
    <w:semiHidden/>
    <w:rsid w:val="00C17A96"/>
  </w:style>
  <w:style w:type="numbering" w:customStyle="1" w:styleId="Sinlista10111">
    <w:name w:val="Sin lista10111"/>
    <w:next w:val="Sinlista"/>
    <w:semiHidden/>
    <w:rsid w:val="00C17A96"/>
  </w:style>
  <w:style w:type="table" w:customStyle="1" w:styleId="Tablaconcuadrcula19111">
    <w:name w:val="Tabla con cuadrícula19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1">
    <w:name w:val="Sin lista1021"/>
    <w:next w:val="Sinlista"/>
    <w:semiHidden/>
    <w:rsid w:val="00C17A96"/>
  </w:style>
  <w:style w:type="numbering" w:customStyle="1" w:styleId="Sinlista1031">
    <w:name w:val="Sin lista1031"/>
    <w:next w:val="Sinlista"/>
    <w:semiHidden/>
    <w:rsid w:val="00C17A96"/>
  </w:style>
  <w:style w:type="numbering" w:customStyle="1" w:styleId="Sinlista1041">
    <w:name w:val="Sin lista1041"/>
    <w:next w:val="Sinlista"/>
    <w:semiHidden/>
    <w:rsid w:val="00C17A96"/>
  </w:style>
  <w:style w:type="numbering" w:customStyle="1" w:styleId="Sinlista1051">
    <w:name w:val="Sin lista1051"/>
    <w:next w:val="Sinlista"/>
    <w:semiHidden/>
    <w:rsid w:val="00C17A96"/>
  </w:style>
  <w:style w:type="numbering" w:customStyle="1" w:styleId="Sinlista1061">
    <w:name w:val="Sin lista1061"/>
    <w:next w:val="Sinlista"/>
    <w:semiHidden/>
    <w:rsid w:val="00C17A96"/>
  </w:style>
  <w:style w:type="numbering" w:customStyle="1" w:styleId="Sinlista1071">
    <w:name w:val="Sin lista1071"/>
    <w:next w:val="Sinlista"/>
    <w:semiHidden/>
    <w:rsid w:val="00C17A96"/>
  </w:style>
  <w:style w:type="numbering" w:customStyle="1" w:styleId="Sinlista1081">
    <w:name w:val="Sin lista1081"/>
    <w:next w:val="Sinlista"/>
    <w:semiHidden/>
    <w:rsid w:val="00C17A96"/>
  </w:style>
  <w:style w:type="numbering" w:customStyle="1" w:styleId="Sinlista1091">
    <w:name w:val="Sin lista1091"/>
    <w:next w:val="Sinlista"/>
    <w:semiHidden/>
    <w:rsid w:val="00C17A96"/>
  </w:style>
  <w:style w:type="numbering" w:customStyle="1" w:styleId="Sinlista11011">
    <w:name w:val="Sin lista11011"/>
    <w:next w:val="Sinlista"/>
    <w:semiHidden/>
    <w:rsid w:val="00C17A96"/>
  </w:style>
  <w:style w:type="numbering" w:customStyle="1" w:styleId="Sinlista11111">
    <w:name w:val="Sin lista11111"/>
    <w:next w:val="Sinlista"/>
    <w:semiHidden/>
    <w:rsid w:val="00C17A96"/>
  </w:style>
  <w:style w:type="numbering" w:customStyle="1" w:styleId="Sinlista1121">
    <w:name w:val="Sin lista1121"/>
    <w:next w:val="Sinlista"/>
    <w:semiHidden/>
    <w:rsid w:val="00C17A96"/>
  </w:style>
  <w:style w:type="table" w:customStyle="1" w:styleId="Tablaconcuadrcula21111">
    <w:name w:val="Tabla con cuadrícula2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1">
    <w:name w:val="Sin lista1131"/>
    <w:next w:val="Sinlista"/>
    <w:semiHidden/>
    <w:rsid w:val="00C17A96"/>
  </w:style>
  <w:style w:type="numbering" w:customStyle="1" w:styleId="Sinlista1141">
    <w:name w:val="Sin lista1141"/>
    <w:next w:val="Sinlista"/>
    <w:semiHidden/>
    <w:rsid w:val="00C17A96"/>
  </w:style>
  <w:style w:type="numbering" w:customStyle="1" w:styleId="Sinlista1151">
    <w:name w:val="Sin lista1151"/>
    <w:next w:val="Sinlista"/>
    <w:semiHidden/>
    <w:rsid w:val="00C17A96"/>
  </w:style>
  <w:style w:type="numbering" w:customStyle="1" w:styleId="Sinlista1161">
    <w:name w:val="Sin lista1161"/>
    <w:next w:val="Sinlista"/>
    <w:semiHidden/>
    <w:rsid w:val="00C17A96"/>
  </w:style>
  <w:style w:type="numbering" w:customStyle="1" w:styleId="Sinlista1171">
    <w:name w:val="Sin lista1171"/>
    <w:next w:val="Sinlista"/>
    <w:semiHidden/>
    <w:rsid w:val="00C17A96"/>
  </w:style>
  <w:style w:type="numbering" w:customStyle="1" w:styleId="Sinlista1181">
    <w:name w:val="Sin lista1181"/>
    <w:next w:val="Sinlista"/>
    <w:semiHidden/>
    <w:rsid w:val="00C17A96"/>
  </w:style>
  <w:style w:type="numbering" w:customStyle="1" w:styleId="Sinlista1191">
    <w:name w:val="Sin lista1191"/>
    <w:next w:val="Sinlista"/>
    <w:semiHidden/>
    <w:rsid w:val="00C17A96"/>
  </w:style>
  <w:style w:type="table" w:customStyle="1" w:styleId="Tablaconcuadrcula22111">
    <w:name w:val="Tabla con cuadrícula2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1">
    <w:name w:val="Sin lista1201"/>
    <w:next w:val="Sinlista"/>
    <w:semiHidden/>
    <w:rsid w:val="00C17A96"/>
  </w:style>
  <w:style w:type="numbering" w:customStyle="1" w:styleId="Sinlista12111">
    <w:name w:val="Sin lista12111"/>
    <w:next w:val="Sinlista"/>
    <w:semiHidden/>
    <w:rsid w:val="00C17A96"/>
  </w:style>
  <w:style w:type="numbering" w:customStyle="1" w:styleId="Sinlista1221">
    <w:name w:val="Sin lista1221"/>
    <w:next w:val="Sinlista"/>
    <w:semiHidden/>
    <w:rsid w:val="00C17A96"/>
  </w:style>
  <w:style w:type="numbering" w:customStyle="1" w:styleId="Sinlista1231">
    <w:name w:val="Sin lista1231"/>
    <w:next w:val="Sinlista"/>
    <w:semiHidden/>
    <w:rsid w:val="00C17A96"/>
  </w:style>
  <w:style w:type="numbering" w:customStyle="1" w:styleId="Sinlista1241">
    <w:name w:val="Sin lista1241"/>
    <w:next w:val="Sinlista"/>
    <w:semiHidden/>
    <w:rsid w:val="00C17A96"/>
  </w:style>
  <w:style w:type="table" w:customStyle="1" w:styleId="Tablaconcuadrcula23111">
    <w:name w:val="Tabla con cuadrícula23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1">
    <w:name w:val="Sin lista1251"/>
    <w:next w:val="Sinlista"/>
    <w:semiHidden/>
    <w:rsid w:val="00C17A96"/>
  </w:style>
  <w:style w:type="numbering" w:customStyle="1" w:styleId="Sinlista1261">
    <w:name w:val="Sin lista1261"/>
    <w:next w:val="Sinlista"/>
    <w:semiHidden/>
    <w:rsid w:val="00C17A96"/>
  </w:style>
  <w:style w:type="numbering" w:customStyle="1" w:styleId="Sinlista1271">
    <w:name w:val="Sin lista1271"/>
    <w:next w:val="Sinlista"/>
    <w:semiHidden/>
    <w:rsid w:val="00C17A96"/>
  </w:style>
  <w:style w:type="numbering" w:customStyle="1" w:styleId="Sinlista1281">
    <w:name w:val="Sin lista1281"/>
    <w:next w:val="Sinlista"/>
    <w:semiHidden/>
    <w:rsid w:val="00C17A96"/>
  </w:style>
  <w:style w:type="numbering" w:customStyle="1" w:styleId="Sinlista1291">
    <w:name w:val="Sin lista1291"/>
    <w:next w:val="Sinlista"/>
    <w:semiHidden/>
    <w:rsid w:val="00C17A96"/>
  </w:style>
  <w:style w:type="numbering" w:customStyle="1" w:styleId="Sinlista1301">
    <w:name w:val="Sin lista1301"/>
    <w:next w:val="Sinlista"/>
    <w:semiHidden/>
    <w:rsid w:val="00C17A96"/>
  </w:style>
  <w:style w:type="numbering" w:customStyle="1" w:styleId="Sinlista13111">
    <w:name w:val="Sin lista13111"/>
    <w:next w:val="Sinlista"/>
    <w:semiHidden/>
    <w:rsid w:val="00C17A96"/>
  </w:style>
  <w:style w:type="numbering" w:customStyle="1" w:styleId="Sinlista1321">
    <w:name w:val="Sin lista1321"/>
    <w:next w:val="Sinlista"/>
    <w:semiHidden/>
    <w:rsid w:val="00C17A96"/>
  </w:style>
  <w:style w:type="numbering" w:customStyle="1" w:styleId="Sinlista1331">
    <w:name w:val="Sin lista1331"/>
    <w:next w:val="Sinlista"/>
    <w:semiHidden/>
    <w:rsid w:val="00C17A96"/>
  </w:style>
  <w:style w:type="numbering" w:customStyle="1" w:styleId="Sinlista1341">
    <w:name w:val="Sin lista1341"/>
    <w:next w:val="Sinlista"/>
    <w:semiHidden/>
    <w:rsid w:val="00C17A96"/>
  </w:style>
  <w:style w:type="numbering" w:customStyle="1" w:styleId="Sinlista1351">
    <w:name w:val="Sin lista1351"/>
    <w:next w:val="Sinlista"/>
    <w:semiHidden/>
    <w:rsid w:val="00C17A96"/>
  </w:style>
  <w:style w:type="numbering" w:customStyle="1" w:styleId="Sinlista1361">
    <w:name w:val="Sin lista1361"/>
    <w:next w:val="Sinlista"/>
    <w:semiHidden/>
    <w:rsid w:val="00C17A96"/>
  </w:style>
  <w:style w:type="numbering" w:customStyle="1" w:styleId="Sinlista1371">
    <w:name w:val="Sin lista1371"/>
    <w:next w:val="Sinlista"/>
    <w:semiHidden/>
    <w:rsid w:val="00C17A96"/>
  </w:style>
  <w:style w:type="table" w:customStyle="1" w:styleId="Tablaconcuadrcula25111">
    <w:name w:val="Tabla con cuadrícula2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1">
    <w:name w:val="Sin lista1381"/>
    <w:next w:val="Sinlista"/>
    <w:semiHidden/>
    <w:rsid w:val="00C17A96"/>
  </w:style>
  <w:style w:type="numbering" w:customStyle="1" w:styleId="Sinlista1391">
    <w:name w:val="Sin lista1391"/>
    <w:next w:val="Sinlista"/>
    <w:semiHidden/>
    <w:rsid w:val="00C17A96"/>
  </w:style>
  <w:style w:type="numbering" w:customStyle="1" w:styleId="Sinlista1401">
    <w:name w:val="Sin lista1401"/>
    <w:next w:val="Sinlista"/>
    <w:semiHidden/>
    <w:rsid w:val="00C17A96"/>
  </w:style>
  <w:style w:type="numbering" w:customStyle="1" w:styleId="Sinlista14111">
    <w:name w:val="Sin lista14111"/>
    <w:next w:val="Sinlista"/>
    <w:semiHidden/>
    <w:rsid w:val="00C17A96"/>
  </w:style>
  <w:style w:type="numbering" w:customStyle="1" w:styleId="Sinlista1421">
    <w:name w:val="Sin lista1421"/>
    <w:next w:val="Sinlista"/>
    <w:semiHidden/>
    <w:rsid w:val="00C17A96"/>
  </w:style>
  <w:style w:type="numbering" w:customStyle="1" w:styleId="Sinlista1431">
    <w:name w:val="Sin lista1431"/>
    <w:next w:val="Sinlista"/>
    <w:semiHidden/>
    <w:rsid w:val="00C17A96"/>
  </w:style>
  <w:style w:type="table" w:customStyle="1" w:styleId="Tablaconcuadrcula26111">
    <w:name w:val="Tabla con cuadrícula2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1">
    <w:name w:val="Sin lista1441"/>
    <w:next w:val="Sinlista"/>
    <w:semiHidden/>
    <w:rsid w:val="00C17A96"/>
  </w:style>
  <w:style w:type="numbering" w:customStyle="1" w:styleId="Sinlista1451">
    <w:name w:val="Sin lista1451"/>
    <w:next w:val="Sinlista"/>
    <w:semiHidden/>
    <w:rsid w:val="00C17A96"/>
  </w:style>
  <w:style w:type="numbering" w:customStyle="1" w:styleId="Sinlista1461">
    <w:name w:val="Sin lista1461"/>
    <w:next w:val="Sinlista"/>
    <w:semiHidden/>
    <w:rsid w:val="00C17A96"/>
  </w:style>
  <w:style w:type="numbering" w:customStyle="1" w:styleId="Sinlista1471">
    <w:name w:val="Sin lista1471"/>
    <w:next w:val="Sinlista"/>
    <w:semiHidden/>
    <w:rsid w:val="00C17A96"/>
  </w:style>
  <w:style w:type="table" w:customStyle="1" w:styleId="Tablaconcuadrcula27111">
    <w:name w:val="Tabla con cuadrícula27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1">
    <w:name w:val="Sin lista1481"/>
    <w:next w:val="Sinlista"/>
    <w:semiHidden/>
    <w:rsid w:val="00C17A96"/>
  </w:style>
  <w:style w:type="numbering" w:customStyle="1" w:styleId="Sinlista1491">
    <w:name w:val="Sin lista1491"/>
    <w:next w:val="Sinlista"/>
    <w:semiHidden/>
    <w:rsid w:val="00C17A96"/>
  </w:style>
  <w:style w:type="numbering" w:customStyle="1" w:styleId="Sinlista1501">
    <w:name w:val="Sin lista1501"/>
    <w:next w:val="Sinlista"/>
    <w:semiHidden/>
    <w:rsid w:val="00C17A96"/>
  </w:style>
  <w:style w:type="numbering" w:customStyle="1" w:styleId="Sinlista15111">
    <w:name w:val="Sin lista15111"/>
    <w:next w:val="Sinlista"/>
    <w:semiHidden/>
    <w:rsid w:val="00C17A96"/>
  </w:style>
  <w:style w:type="numbering" w:customStyle="1" w:styleId="Sinlista1521">
    <w:name w:val="Sin lista1521"/>
    <w:next w:val="Sinlista"/>
    <w:semiHidden/>
    <w:rsid w:val="00C17A96"/>
  </w:style>
  <w:style w:type="numbering" w:customStyle="1" w:styleId="Sinlista1531">
    <w:name w:val="Sin lista1531"/>
    <w:next w:val="Sinlista"/>
    <w:semiHidden/>
    <w:rsid w:val="00C17A96"/>
  </w:style>
  <w:style w:type="numbering" w:customStyle="1" w:styleId="Sinlista1541">
    <w:name w:val="Sin lista1541"/>
    <w:next w:val="Sinlista"/>
    <w:semiHidden/>
    <w:rsid w:val="00C17A96"/>
  </w:style>
  <w:style w:type="numbering" w:customStyle="1" w:styleId="Sinlista1551">
    <w:name w:val="Sin lista1551"/>
    <w:next w:val="Sinlista"/>
    <w:semiHidden/>
    <w:rsid w:val="00C17A96"/>
  </w:style>
  <w:style w:type="numbering" w:customStyle="1" w:styleId="Sinlista159">
    <w:name w:val="Sin lista159"/>
    <w:next w:val="Sinlista"/>
    <w:semiHidden/>
    <w:rsid w:val="00804DD2"/>
  </w:style>
  <w:style w:type="table" w:customStyle="1" w:styleId="Tablaconcuadrcula285">
    <w:name w:val="Tabla con cuadrícula285"/>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2">
    <w:name w:val="Tabla con cuadrícula21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2">
    <w:name w:val="Tabla con cuadrícula22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2">
    <w:name w:val="Tabla con cuadrícula23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0">
    <w:name w:val="Sin lista160"/>
    <w:next w:val="Sinlista"/>
    <w:semiHidden/>
    <w:unhideWhenUsed/>
    <w:rsid w:val="00804DD2"/>
  </w:style>
  <w:style w:type="numbering" w:customStyle="1" w:styleId="Sinlista212">
    <w:name w:val="Sin lista212"/>
    <w:next w:val="Sinlista"/>
    <w:semiHidden/>
    <w:unhideWhenUsed/>
    <w:rsid w:val="00804DD2"/>
  </w:style>
  <w:style w:type="table" w:customStyle="1" w:styleId="Tablabsica12">
    <w:name w:val="Tabla básica 12"/>
    <w:basedOn w:val="Tablanormal"/>
    <w:next w:val="Tablabsica1"/>
    <w:rsid w:val="00804DD2"/>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2">
    <w:name w:val="Sin lista1112"/>
    <w:next w:val="Sinlista"/>
    <w:semiHidden/>
    <w:rsid w:val="00804DD2"/>
  </w:style>
  <w:style w:type="table" w:customStyle="1" w:styleId="Tablaconcuadrcula1112">
    <w:name w:val="Tabla con cuadrícula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0">
    <w:name w:val="Tabla con cuadrícula 134"/>
    <w:basedOn w:val="Tablanormal"/>
    <w:next w:val="Tablaconcuadrcula10"/>
    <w:rsid w:val="00804D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2">
    <w:name w:val="Sin lista312"/>
    <w:next w:val="Sinlista"/>
    <w:semiHidden/>
    <w:unhideWhenUsed/>
    <w:rsid w:val="00804DD2"/>
  </w:style>
  <w:style w:type="table" w:customStyle="1" w:styleId="Tablaconcuadrcula1822">
    <w:name w:val="Tabla con cuadrícula18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4">
    <w:name w:val="Tabla con cuadrícula514"/>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2">
    <w:name w:val="Sin lista412"/>
    <w:next w:val="Sinlista"/>
    <w:semiHidden/>
    <w:rsid w:val="00804DD2"/>
  </w:style>
  <w:style w:type="numbering" w:customStyle="1" w:styleId="Sinlista512">
    <w:name w:val="Sin lista512"/>
    <w:next w:val="Sinlista"/>
    <w:semiHidden/>
    <w:unhideWhenUsed/>
    <w:rsid w:val="00804DD2"/>
  </w:style>
  <w:style w:type="numbering" w:customStyle="1" w:styleId="Sinlista1212">
    <w:name w:val="Sin lista1212"/>
    <w:next w:val="Sinlista"/>
    <w:semiHidden/>
    <w:rsid w:val="00804DD2"/>
  </w:style>
  <w:style w:type="numbering" w:customStyle="1" w:styleId="Sinlista612">
    <w:name w:val="Sin lista612"/>
    <w:next w:val="Sinlista"/>
    <w:semiHidden/>
    <w:unhideWhenUsed/>
    <w:rsid w:val="00804DD2"/>
  </w:style>
  <w:style w:type="numbering" w:customStyle="1" w:styleId="Sinlista712">
    <w:name w:val="Sin lista712"/>
    <w:next w:val="Sinlista"/>
    <w:semiHidden/>
    <w:unhideWhenUsed/>
    <w:rsid w:val="00804DD2"/>
  </w:style>
  <w:style w:type="table" w:customStyle="1" w:styleId="Tablaconcuadrcula1212">
    <w:name w:val="Tabla con cuadrícula12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2">
    <w:name w:val="Sin lista812"/>
    <w:next w:val="Sinlista"/>
    <w:semiHidden/>
    <w:unhideWhenUsed/>
    <w:rsid w:val="00804DD2"/>
  </w:style>
  <w:style w:type="numbering" w:customStyle="1" w:styleId="Sinlista912">
    <w:name w:val="Sin lista912"/>
    <w:next w:val="Sinlista"/>
    <w:semiHidden/>
    <w:rsid w:val="00804DD2"/>
  </w:style>
  <w:style w:type="numbering" w:customStyle="1" w:styleId="Sinlista1012">
    <w:name w:val="Sin lista1012"/>
    <w:next w:val="Sinlista"/>
    <w:semiHidden/>
    <w:unhideWhenUsed/>
    <w:rsid w:val="00804DD2"/>
  </w:style>
  <w:style w:type="numbering" w:customStyle="1" w:styleId="Sinlista1312">
    <w:name w:val="Sin lista1312"/>
    <w:next w:val="Sinlista"/>
    <w:semiHidden/>
    <w:rsid w:val="00804DD2"/>
  </w:style>
  <w:style w:type="table" w:customStyle="1" w:styleId="Tablaconcuadrcula522">
    <w:name w:val="Tabla con cuadrícula5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2">
    <w:name w:val="Tabla con cuadrícula1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2">
    <w:name w:val="Sin lista1412"/>
    <w:next w:val="Sinlista"/>
    <w:semiHidden/>
    <w:rsid w:val="00804DD2"/>
  </w:style>
  <w:style w:type="numbering" w:customStyle="1" w:styleId="Sinlista1510">
    <w:name w:val="Sin lista1510"/>
    <w:next w:val="Sinlista"/>
    <w:semiHidden/>
    <w:rsid w:val="00804DD2"/>
  </w:style>
  <w:style w:type="numbering" w:customStyle="1" w:styleId="Sinlista162">
    <w:name w:val="Sin lista162"/>
    <w:next w:val="Sinlista"/>
    <w:semiHidden/>
    <w:rsid w:val="00804DD2"/>
  </w:style>
  <w:style w:type="table" w:customStyle="1" w:styleId="Tablaconcuadrcula1912">
    <w:name w:val="Tabla con cuadrícula19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2">
    <w:name w:val="Sin lista172"/>
    <w:next w:val="Sinlista"/>
    <w:semiHidden/>
    <w:rsid w:val="00804DD2"/>
  </w:style>
  <w:style w:type="numbering" w:customStyle="1" w:styleId="Sinlista182">
    <w:name w:val="Sin lista182"/>
    <w:next w:val="Sinlista"/>
    <w:semiHidden/>
    <w:rsid w:val="00804DD2"/>
  </w:style>
  <w:style w:type="table" w:customStyle="1" w:styleId="Tablaconcuadrcula1103">
    <w:name w:val="Tabla con cuadrícula11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Sinlista"/>
    <w:next w:val="111111"/>
    <w:rsid w:val="00804DD2"/>
  </w:style>
  <w:style w:type="numbering" w:customStyle="1" w:styleId="Sinlista192">
    <w:name w:val="Sin lista192"/>
    <w:next w:val="Sinlista"/>
    <w:semiHidden/>
    <w:unhideWhenUsed/>
    <w:rsid w:val="00804DD2"/>
  </w:style>
  <w:style w:type="table" w:customStyle="1" w:styleId="Tablaconcuadrcula2072">
    <w:name w:val="Tabla con cuadrícula207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
    <w:name w:val="1 / 1.1 / 1.1.112"/>
    <w:basedOn w:val="Sinlista"/>
    <w:next w:val="111111"/>
    <w:rsid w:val="00804DD2"/>
  </w:style>
  <w:style w:type="table" w:customStyle="1" w:styleId="Tablaconcuadrcula2512">
    <w:name w:val="Tabla con cuadrícula2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2">
    <w:name w:val="Tabla con cuadrícula2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2">
    <w:name w:val="Sin lista202"/>
    <w:next w:val="Sinlista"/>
    <w:semiHidden/>
    <w:rsid w:val="00804DD2"/>
  </w:style>
  <w:style w:type="table" w:customStyle="1" w:styleId="Tablaconcuadrcula2712">
    <w:name w:val="Tabla con cuadrícula2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2">
    <w:name w:val="Tabla con cuadrícula16012"/>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3">
    <w:name w:val="Tabla con cuadrícula21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3">
    <w:name w:val="Tabla con cuadrícula22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3">
    <w:name w:val="Tabla con cuadrícula23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2">
    <w:name w:val="Sin lista1102"/>
    <w:next w:val="Sinlista"/>
    <w:semiHidden/>
    <w:unhideWhenUsed/>
    <w:rsid w:val="00804DD2"/>
  </w:style>
  <w:style w:type="numbering" w:customStyle="1" w:styleId="Sinlista213">
    <w:name w:val="Sin lista213"/>
    <w:next w:val="Sinlista"/>
    <w:semiHidden/>
    <w:unhideWhenUsed/>
    <w:rsid w:val="00804DD2"/>
  </w:style>
  <w:style w:type="table" w:customStyle="1" w:styleId="Tablabsica112">
    <w:name w:val="Tabla básica 112"/>
    <w:basedOn w:val="Tablanormal"/>
    <w:next w:val="Tablabsica1"/>
    <w:rsid w:val="00804DD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3">
    <w:name w:val="Sin lista1113"/>
    <w:next w:val="Sinlista"/>
    <w:semiHidden/>
    <w:rsid w:val="00804DD2"/>
  </w:style>
  <w:style w:type="table" w:customStyle="1" w:styleId="Tablaconcuadrcula1113">
    <w:name w:val="Tabla con cuadrícula11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 1111"/>
    <w:basedOn w:val="Tablanormal"/>
    <w:next w:val="Tablaconcuadrcula10"/>
    <w:rsid w:val="00804DD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2">
    <w:name w:val="Tabla con cuadrícula1902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2">
    <w:name w:val="Tabla con cuadrícula293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3">
    <w:name w:val="Sin lista313"/>
    <w:next w:val="Sinlista"/>
    <w:semiHidden/>
    <w:unhideWhenUsed/>
    <w:rsid w:val="00804DD2"/>
  </w:style>
  <w:style w:type="table" w:customStyle="1" w:styleId="Tablaconcuadrcula18212">
    <w:name w:val="Tabla con cuadrícula18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
    <w:name w:val="Tabla con cuadrícula51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3">
    <w:name w:val="Sin lista413"/>
    <w:next w:val="Sinlista"/>
    <w:semiHidden/>
    <w:rsid w:val="00804DD2"/>
  </w:style>
  <w:style w:type="numbering" w:customStyle="1" w:styleId="Sinlista513">
    <w:name w:val="Sin lista513"/>
    <w:next w:val="Sinlista"/>
    <w:semiHidden/>
    <w:unhideWhenUsed/>
    <w:rsid w:val="00804DD2"/>
  </w:style>
  <w:style w:type="numbering" w:customStyle="1" w:styleId="Sinlista1213">
    <w:name w:val="Sin lista1213"/>
    <w:next w:val="Sinlista"/>
    <w:semiHidden/>
    <w:rsid w:val="00804DD2"/>
  </w:style>
  <w:style w:type="numbering" w:customStyle="1" w:styleId="Sinlista613">
    <w:name w:val="Sin lista613"/>
    <w:next w:val="Sinlista"/>
    <w:semiHidden/>
    <w:unhideWhenUsed/>
    <w:rsid w:val="00804DD2"/>
  </w:style>
  <w:style w:type="numbering" w:customStyle="1" w:styleId="Sinlista713">
    <w:name w:val="Sin lista713"/>
    <w:next w:val="Sinlista"/>
    <w:semiHidden/>
    <w:unhideWhenUsed/>
    <w:rsid w:val="00804DD2"/>
  </w:style>
  <w:style w:type="table" w:customStyle="1" w:styleId="Tablaconcuadrcula1213">
    <w:name w:val="Tabla con cuadrícula12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3">
    <w:name w:val="Sin lista813"/>
    <w:next w:val="Sinlista"/>
    <w:semiHidden/>
    <w:unhideWhenUsed/>
    <w:rsid w:val="00804DD2"/>
  </w:style>
  <w:style w:type="numbering" w:customStyle="1" w:styleId="Sinlista913">
    <w:name w:val="Sin lista913"/>
    <w:next w:val="Sinlista"/>
    <w:semiHidden/>
    <w:rsid w:val="00804DD2"/>
  </w:style>
  <w:style w:type="numbering" w:customStyle="1" w:styleId="Sinlista1013">
    <w:name w:val="Sin lista1013"/>
    <w:next w:val="Sinlista"/>
    <w:semiHidden/>
    <w:unhideWhenUsed/>
    <w:rsid w:val="00804DD2"/>
  </w:style>
  <w:style w:type="numbering" w:customStyle="1" w:styleId="Sinlista1313">
    <w:name w:val="Sin lista1313"/>
    <w:next w:val="Sinlista"/>
    <w:semiHidden/>
    <w:rsid w:val="00804DD2"/>
  </w:style>
  <w:style w:type="table" w:customStyle="1" w:styleId="Tablaconcuadrcula5212">
    <w:name w:val="Tabla con cuadrícula5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3">
    <w:name w:val="Tabla con cuadrícula1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3">
    <w:name w:val="Sin lista1413"/>
    <w:next w:val="Sinlista"/>
    <w:semiHidden/>
    <w:rsid w:val="00804DD2"/>
  </w:style>
  <w:style w:type="numbering" w:customStyle="1" w:styleId="Sinlista1512">
    <w:name w:val="Sin lista1512"/>
    <w:next w:val="Sinlista"/>
    <w:semiHidden/>
    <w:rsid w:val="00804DD2"/>
  </w:style>
  <w:style w:type="numbering" w:customStyle="1" w:styleId="Sinlista1612">
    <w:name w:val="Sin lista1612"/>
    <w:next w:val="Sinlista"/>
    <w:semiHidden/>
    <w:rsid w:val="00804DD2"/>
  </w:style>
  <w:style w:type="table" w:customStyle="1" w:styleId="Tablaconcuadrcula1913">
    <w:name w:val="Tabla con cuadrícula19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2">
    <w:name w:val="Sin lista1712"/>
    <w:next w:val="Sinlista"/>
    <w:semiHidden/>
    <w:rsid w:val="00804DD2"/>
  </w:style>
  <w:style w:type="numbering" w:customStyle="1" w:styleId="Sinlista1812">
    <w:name w:val="Sin lista1812"/>
    <w:next w:val="Sinlista"/>
    <w:semiHidden/>
    <w:rsid w:val="00804DD2"/>
  </w:style>
  <w:style w:type="numbering" w:customStyle="1" w:styleId="11111121">
    <w:name w:val="1 / 1.1 / 1.1.121"/>
    <w:basedOn w:val="Sinlista"/>
    <w:next w:val="111111"/>
    <w:rsid w:val="00804DD2"/>
  </w:style>
  <w:style w:type="numbering" w:customStyle="1" w:styleId="Sinlista1912">
    <w:name w:val="Sin lista1912"/>
    <w:next w:val="Sinlista"/>
    <w:semiHidden/>
    <w:unhideWhenUsed/>
    <w:rsid w:val="00804DD2"/>
  </w:style>
  <w:style w:type="table" w:customStyle="1" w:styleId="Tablaconcuadrcula20712">
    <w:name w:val="Tabla con cuadrícula20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3">
    <w:name w:val="Tabla con cuadrícula2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3">
    <w:name w:val="Tabla con cuadrícula2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3">
    <w:name w:val="Tabla con cuadrícula2713"/>
    <w:basedOn w:val="Tablanormal"/>
    <w:next w:val="Tablaconcuadrcula"/>
    <w:rsid w:val="00804DD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2">
    <w:name w:val="Sin lista2012"/>
    <w:next w:val="Sinlista"/>
    <w:semiHidden/>
    <w:rsid w:val="00804DD2"/>
  </w:style>
  <w:style w:type="numbering" w:customStyle="1" w:styleId="Sinlista2112">
    <w:name w:val="Sin lista2112"/>
    <w:next w:val="Sinlista"/>
    <w:semiHidden/>
    <w:rsid w:val="00804DD2"/>
  </w:style>
  <w:style w:type="numbering" w:customStyle="1" w:styleId="Sinlista222">
    <w:name w:val="Sin lista222"/>
    <w:next w:val="Sinlista"/>
    <w:semiHidden/>
    <w:rsid w:val="00804DD2"/>
  </w:style>
  <w:style w:type="numbering" w:customStyle="1" w:styleId="Sinlista232">
    <w:name w:val="Sin lista232"/>
    <w:next w:val="Sinlista"/>
    <w:semiHidden/>
    <w:rsid w:val="00804DD2"/>
  </w:style>
  <w:style w:type="numbering" w:customStyle="1" w:styleId="Sinlista242">
    <w:name w:val="Sin lista242"/>
    <w:next w:val="Sinlista"/>
    <w:semiHidden/>
    <w:rsid w:val="00804DD2"/>
  </w:style>
  <w:style w:type="numbering" w:customStyle="1" w:styleId="Sinlista252">
    <w:name w:val="Sin lista252"/>
    <w:next w:val="Sinlista"/>
    <w:semiHidden/>
    <w:rsid w:val="00804DD2"/>
  </w:style>
  <w:style w:type="numbering" w:customStyle="1" w:styleId="Sinlista262">
    <w:name w:val="Sin lista262"/>
    <w:next w:val="Sinlista"/>
    <w:semiHidden/>
    <w:rsid w:val="00804DD2"/>
  </w:style>
  <w:style w:type="numbering" w:customStyle="1" w:styleId="Sinlista272">
    <w:name w:val="Sin lista272"/>
    <w:next w:val="Sinlista"/>
    <w:semiHidden/>
    <w:rsid w:val="00804DD2"/>
  </w:style>
  <w:style w:type="numbering" w:customStyle="1" w:styleId="Sinlista282">
    <w:name w:val="Sin lista282"/>
    <w:next w:val="Sinlista"/>
    <w:semiHidden/>
    <w:rsid w:val="00804DD2"/>
  </w:style>
  <w:style w:type="numbering" w:customStyle="1" w:styleId="Sinlista292">
    <w:name w:val="Sin lista292"/>
    <w:next w:val="Sinlista"/>
    <w:semiHidden/>
    <w:rsid w:val="00804DD2"/>
  </w:style>
  <w:style w:type="numbering" w:customStyle="1" w:styleId="Sinlista302">
    <w:name w:val="Sin lista302"/>
    <w:next w:val="Sinlista"/>
    <w:semiHidden/>
    <w:rsid w:val="00804DD2"/>
  </w:style>
  <w:style w:type="numbering" w:customStyle="1" w:styleId="Sinlista3112">
    <w:name w:val="Sin lista3112"/>
    <w:next w:val="Sinlista"/>
    <w:semiHidden/>
    <w:rsid w:val="00804DD2"/>
  </w:style>
  <w:style w:type="table" w:customStyle="1" w:styleId="Tablaconcuadrcula6112">
    <w:name w:val="Tabla con cuadrícula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2">
    <w:name w:val="Sin lista322"/>
    <w:next w:val="Sinlista"/>
    <w:semiHidden/>
    <w:rsid w:val="00804DD2"/>
  </w:style>
  <w:style w:type="numbering" w:customStyle="1" w:styleId="Sinlista332">
    <w:name w:val="Sin lista332"/>
    <w:next w:val="Sinlista"/>
    <w:semiHidden/>
    <w:unhideWhenUsed/>
    <w:rsid w:val="00804DD2"/>
  </w:style>
  <w:style w:type="numbering" w:customStyle="1" w:styleId="Sinlista342">
    <w:name w:val="Sin lista342"/>
    <w:next w:val="Sinlista"/>
    <w:semiHidden/>
    <w:rsid w:val="00804DD2"/>
  </w:style>
  <w:style w:type="numbering" w:customStyle="1" w:styleId="Sinlista352">
    <w:name w:val="Sin lista352"/>
    <w:next w:val="Sinlista"/>
    <w:semiHidden/>
    <w:rsid w:val="00804DD2"/>
  </w:style>
  <w:style w:type="numbering" w:customStyle="1" w:styleId="Sinlista362">
    <w:name w:val="Sin lista362"/>
    <w:next w:val="Sinlista"/>
    <w:semiHidden/>
    <w:rsid w:val="00804DD2"/>
  </w:style>
  <w:style w:type="numbering" w:customStyle="1" w:styleId="Sinlista372">
    <w:name w:val="Sin lista372"/>
    <w:next w:val="Sinlista"/>
    <w:semiHidden/>
    <w:rsid w:val="00804DD2"/>
  </w:style>
  <w:style w:type="numbering" w:customStyle="1" w:styleId="Sinlista382">
    <w:name w:val="Sin lista382"/>
    <w:next w:val="Sinlista"/>
    <w:semiHidden/>
    <w:rsid w:val="00804DD2"/>
  </w:style>
  <w:style w:type="numbering" w:customStyle="1" w:styleId="Sinlista392">
    <w:name w:val="Sin lista392"/>
    <w:next w:val="Sinlista"/>
    <w:semiHidden/>
    <w:rsid w:val="00804DD2"/>
  </w:style>
  <w:style w:type="numbering" w:customStyle="1" w:styleId="Sinlista402">
    <w:name w:val="Sin lista402"/>
    <w:next w:val="Sinlista"/>
    <w:semiHidden/>
    <w:rsid w:val="00804DD2"/>
  </w:style>
  <w:style w:type="numbering" w:customStyle="1" w:styleId="Sinlista4112">
    <w:name w:val="Sin lista4112"/>
    <w:next w:val="Sinlista"/>
    <w:semiHidden/>
    <w:rsid w:val="00804DD2"/>
  </w:style>
  <w:style w:type="numbering" w:customStyle="1" w:styleId="Sinlista422">
    <w:name w:val="Sin lista422"/>
    <w:next w:val="Sinlista"/>
    <w:semiHidden/>
    <w:rsid w:val="00804DD2"/>
  </w:style>
  <w:style w:type="numbering" w:customStyle="1" w:styleId="Sinlista432">
    <w:name w:val="Sin lista432"/>
    <w:next w:val="Sinlista"/>
    <w:semiHidden/>
    <w:rsid w:val="00804DD2"/>
  </w:style>
  <w:style w:type="numbering" w:customStyle="1" w:styleId="Sinlista442">
    <w:name w:val="Sin lista442"/>
    <w:next w:val="Sinlista"/>
    <w:semiHidden/>
    <w:rsid w:val="00804DD2"/>
  </w:style>
  <w:style w:type="numbering" w:customStyle="1" w:styleId="Sinlista452">
    <w:name w:val="Sin lista452"/>
    <w:next w:val="Sinlista"/>
    <w:semiHidden/>
    <w:rsid w:val="00804DD2"/>
  </w:style>
  <w:style w:type="numbering" w:customStyle="1" w:styleId="Sinlista462">
    <w:name w:val="Sin lista462"/>
    <w:next w:val="Sinlista"/>
    <w:semiHidden/>
    <w:rsid w:val="00804DD2"/>
  </w:style>
  <w:style w:type="numbering" w:customStyle="1" w:styleId="Sinlista472">
    <w:name w:val="Sin lista472"/>
    <w:next w:val="Sinlista"/>
    <w:semiHidden/>
    <w:rsid w:val="00804DD2"/>
  </w:style>
  <w:style w:type="numbering" w:customStyle="1" w:styleId="Sinlista482">
    <w:name w:val="Sin lista482"/>
    <w:next w:val="Sinlista"/>
    <w:semiHidden/>
    <w:rsid w:val="00804DD2"/>
  </w:style>
  <w:style w:type="numbering" w:customStyle="1" w:styleId="Sinlista492">
    <w:name w:val="Sin lista492"/>
    <w:next w:val="Sinlista"/>
    <w:semiHidden/>
    <w:rsid w:val="00804DD2"/>
  </w:style>
  <w:style w:type="numbering" w:customStyle="1" w:styleId="Sinlista502">
    <w:name w:val="Sin lista502"/>
    <w:next w:val="Sinlista"/>
    <w:semiHidden/>
    <w:rsid w:val="00804DD2"/>
  </w:style>
  <w:style w:type="numbering" w:customStyle="1" w:styleId="Sinlista5112">
    <w:name w:val="Sin lista5112"/>
    <w:next w:val="Sinlista"/>
    <w:semiHidden/>
    <w:rsid w:val="00804DD2"/>
  </w:style>
  <w:style w:type="numbering" w:customStyle="1" w:styleId="Sinlista522">
    <w:name w:val="Sin lista522"/>
    <w:next w:val="Sinlista"/>
    <w:semiHidden/>
    <w:rsid w:val="00804DD2"/>
  </w:style>
  <w:style w:type="numbering" w:customStyle="1" w:styleId="Sinlista532">
    <w:name w:val="Sin lista532"/>
    <w:next w:val="Sinlista"/>
    <w:semiHidden/>
    <w:rsid w:val="00804DD2"/>
  </w:style>
  <w:style w:type="numbering" w:customStyle="1" w:styleId="Sinlista542">
    <w:name w:val="Sin lista542"/>
    <w:next w:val="Sinlista"/>
    <w:semiHidden/>
    <w:rsid w:val="00804DD2"/>
  </w:style>
  <w:style w:type="numbering" w:customStyle="1" w:styleId="Sinlista552">
    <w:name w:val="Sin lista552"/>
    <w:next w:val="Sinlista"/>
    <w:semiHidden/>
    <w:rsid w:val="00804DD2"/>
  </w:style>
  <w:style w:type="numbering" w:customStyle="1" w:styleId="Sinlista562">
    <w:name w:val="Sin lista562"/>
    <w:next w:val="Sinlista"/>
    <w:semiHidden/>
    <w:rsid w:val="00804DD2"/>
  </w:style>
  <w:style w:type="numbering" w:customStyle="1" w:styleId="Sinlista572">
    <w:name w:val="Sin lista572"/>
    <w:next w:val="Sinlista"/>
    <w:semiHidden/>
    <w:rsid w:val="00804DD2"/>
  </w:style>
  <w:style w:type="numbering" w:customStyle="1" w:styleId="Sinlista582">
    <w:name w:val="Sin lista582"/>
    <w:next w:val="Sinlista"/>
    <w:semiHidden/>
    <w:rsid w:val="00804DD2"/>
  </w:style>
  <w:style w:type="numbering" w:customStyle="1" w:styleId="Sinlista592">
    <w:name w:val="Sin lista592"/>
    <w:next w:val="Sinlista"/>
    <w:semiHidden/>
    <w:rsid w:val="00804DD2"/>
  </w:style>
  <w:style w:type="table" w:customStyle="1" w:styleId="Tablaconcuadrcula111120">
    <w:name w:val="Tabla con cuadrícula1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2">
    <w:name w:val="Sin lista602"/>
    <w:next w:val="Sinlista"/>
    <w:semiHidden/>
    <w:rsid w:val="00804DD2"/>
  </w:style>
  <w:style w:type="numbering" w:customStyle="1" w:styleId="Sinlista6112">
    <w:name w:val="Sin lista6112"/>
    <w:next w:val="Sinlista"/>
    <w:semiHidden/>
    <w:rsid w:val="00804DD2"/>
  </w:style>
  <w:style w:type="numbering" w:customStyle="1" w:styleId="Sinlista622">
    <w:name w:val="Sin lista622"/>
    <w:next w:val="Sinlista"/>
    <w:semiHidden/>
    <w:rsid w:val="00804DD2"/>
  </w:style>
  <w:style w:type="numbering" w:customStyle="1" w:styleId="Sinlista632">
    <w:name w:val="Sin lista632"/>
    <w:next w:val="Sinlista"/>
    <w:semiHidden/>
    <w:rsid w:val="00804DD2"/>
  </w:style>
  <w:style w:type="numbering" w:customStyle="1" w:styleId="Sinlista642">
    <w:name w:val="Sin lista642"/>
    <w:next w:val="Sinlista"/>
    <w:semiHidden/>
    <w:rsid w:val="00804DD2"/>
  </w:style>
  <w:style w:type="numbering" w:customStyle="1" w:styleId="Sinlista652">
    <w:name w:val="Sin lista652"/>
    <w:next w:val="Sinlista"/>
    <w:semiHidden/>
    <w:rsid w:val="00804DD2"/>
  </w:style>
  <w:style w:type="numbering" w:customStyle="1" w:styleId="Sinlista662">
    <w:name w:val="Sin lista662"/>
    <w:next w:val="Sinlista"/>
    <w:semiHidden/>
    <w:rsid w:val="00804DD2"/>
  </w:style>
  <w:style w:type="numbering" w:customStyle="1" w:styleId="Sinlista672">
    <w:name w:val="Sin lista672"/>
    <w:next w:val="Sinlista"/>
    <w:semiHidden/>
    <w:rsid w:val="00804DD2"/>
  </w:style>
  <w:style w:type="numbering" w:customStyle="1" w:styleId="Sinlista682">
    <w:name w:val="Sin lista682"/>
    <w:next w:val="Sinlista"/>
    <w:semiHidden/>
    <w:rsid w:val="00804DD2"/>
  </w:style>
  <w:style w:type="table" w:customStyle="1" w:styleId="Tablaconcuadrcula12112">
    <w:name w:val="Tabla con cuadrícula1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2">
    <w:name w:val="Sin lista692"/>
    <w:next w:val="Sinlista"/>
    <w:semiHidden/>
    <w:rsid w:val="00804DD2"/>
  </w:style>
  <w:style w:type="numbering" w:customStyle="1" w:styleId="Sinlista702">
    <w:name w:val="Sin lista702"/>
    <w:next w:val="Sinlista"/>
    <w:semiHidden/>
    <w:rsid w:val="00804DD2"/>
  </w:style>
  <w:style w:type="numbering" w:customStyle="1" w:styleId="Sinlista7112">
    <w:name w:val="Sin lista7112"/>
    <w:next w:val="Sinlista"/>
    <w:semiHidden/>
    <w:rsid w:val="00804DD2"/>
  </w:style>
  <w:style w:type="numbering" w:customStyle="1" w:styleId="Sinlista722">
    <w:name w:val="Sin lista722"/>
    <w:next w:val="Sinlista"/>
    <w:semiHidden/>
    <w:rsid w:val="00804DD2"/>
  </w:style>
  <w:style w:type="numbering" w:customStyle="1" w:styleId="Sinlista732">
    <w:name w:val="Sin lista732"/>
    <w:next w:val="Sinlista"/>
    <w:semiHidden/>
    <w:rsid w:val="00804DD2"/>
  </w:style>
  <w:style w:type="numbering" w:customStyle="1" w:styleId="Sinlista742">
    <w:name w:val="Sin lista742"/>
    <w:next w:val="Sinlista"/>
    <w:semiHidden/>
    <w:rsid w:val="00804DD2"/>
  </w:style>
  <w:style w:type="numbering" w:customStyle="1" w:styleId="Sinlista752">
    <w:name w:val="Sin lista752"/>
    <w:next w:val="Sinlista"/>
    <w:semiHidden/>
    <w:rsid w:val="00804DD2"/>
  </w:style>
  <w:style w:type="numbering" w:customStyle="1" w:styleId="Sinlista762">
    <w:name w:val="Sin lista762"/>
    <w:next w:val="Sinlista"/>
    <w:semiHidden/>
    <w:rsid w:val="00804DD2"/>
  </w:style>
  <w:style w:type="table" w:customStyle="1" w:styleId="Tablaconcuadrcula51112">
    <w:name w:val="Tabla con cuadrícula5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2">
    <w:name w:val="Sin lista772"/>
    <w:next w:val="Sinlista"/>
    <w:semiHidden/>
    <w:rsid w:val="00804DD2"/>
  </w:style>
  <w:style w:type="table" w:customStyle="1" w:styleId="Tablaconcuadrcula15112">
    <w:name w:val="Tabla con cuadrícula1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2">
    <w:name w:val="Sin lista782"/>
    <w:next w:val="Sinlista"/>
    <w:semiHidden/>
    <w:rsid w:val="00804DD2"/>
  </w:style>
  <w:style w:type="numbering" w:customStyle="1" w:styleId="Sinlista792">
    <w:name w:val="Sin lista792"/>
    <w:next w:val="Sinlista"/>
    <w:semiHidden/>
    <w:rsid w:val="00804DD2"/>
  </w:style>
  <w:style w:type="numbering" w:customStyle="1" w:styleId="Sinlista802">
    <w:name w:val="Sin lista802"/>
    <w:next w:val="Sinlista"/>
    <w:semiHidden/>
    <w:rsid w:val="00804DD2"/>
  </w:style>
  <w:style w:type="numbering" w:customStyle="1" w:styleId="Sinlista8112">
    <w:name w:val="Sin lista8112"/>
    <w:next w:val="Sinlista"/>
    <w:semiHidden/>
    <w:rsid w:val="00804DD2"/>
  </w:style>
  <w:style w:type="numbering" w:customStyle="1" w:styleId="Sinlista822">
    <w:name w:val="Sin lista822"/>
    <w:next w:val="Sinlista"/>
    <w:semiHidden/>
    <w:rsid w:val="00804DD2"/>
  </w:style>
  <w:style w:type="numbering" w:customStyle="1" w:styleId="Sinlista832">
    <w:name w:val="Sin lista832"/>
    <w:next w:val="Sinlista"/>
    <w:semiHidden/>
    <w:rsid w:val="00804DD2"/>
  </w:style>
  <w:style w:type="numbering" w:customStyle="1" w:styleId="Sinlista842">
    <w:name w:val="Sin lista842"/>
    <w:next w:val="Sinlista"/>
    <w:semiHidden/>
    <w:rsid w:val="00804DD2"/>
  </w:style>
  <w:style w:type="numbering" w:customStyle="1" w:styleId="Sinlista852">
    <w:name w:val="Sin lista852"/>
    <w:next w:val="Sinlista"/>
    <w:semiHidden/>
    <w:rsid w:val="00804DD2"/>
  </w:style>
  <w:style w:type="numbering" w:customStyle="1" w:styleId="Sinlista862">
    <w:name w:val="Sin lista862"/>
    <w:next w:val="Sinlista"/>
    <w:semiHidden/>
    <w:rsid w:val="00804DD2"/>
  </w:style>
  <w:style w:type="numbering" w:customStyle="1" w:styleId="Sinlista872">
    <w:name w:val="Sin lista872"/>
    <w:next w:val="Sinlista"/>
    <w:semiHidden/>
    <w:rsid w:val="00804DD2"/>
  </w:style>
  <w:style w:type="numbering" w:customStyle="1" w:styleId="Sinlista882">
    <w:name w:val="Sin lista882"/>
    <w:next w:val="Sinlista"/>
    <w:semiHidden/>
    <w:rsid w:val="00804DD2"/>
  </w:style>
  <w:style w:type="numbering" w:customStyle="1" w:styleId="Sinlista892">
    <w:name w:val="Sin lista892"/>
    <w:next w:val="Sinlista"/>
    <w:semiHidden/>
    <w:rsid w:val="00804DD2"/>
  </w:style>
  <w:style w:type="numbering" w:customStyle="1" w:styleId="Sinlista902">
    <w:name w:val="Sin lista902"/>
    <w:next w:val="Sinlista"/>
    <w:semiHidden/>
    <w:rsid w:val="00804DD2"/>
  </w:style>
  <w:style w:type="numbering" w:customStyle="1" w:styleId="Sinlista9112">
    <w:name w:val="Sin lista9112"/>
    <w:next w:val="Sinlista"/>
    <w:semiHidden/>
    <w:rsid w:val="00804DD2"/>
  </w:style>
  <w:style w:type="numbering" w:customStyle="1" w:styleId="Sinlista922">
    <w:name w:val="Sin lista922"/>
    <w:next w:val="Sinlista"/>
    <w:semiHidden/>
    <w:rsid w:val="00804DD2"/>
  </w:style>
  <w:style w:type="numbering" w:customStyle="1" w:styleId="Sinlista932">
    <w:name w:val="Sin lista932"/>
    <w:next w:val="Sinlista"/>
    <w:semiHidden/>
    <w:rsid w:val="00804DD2"/>
  </w:style>
  <w:style w:type="numbering" w:customStyle="1" w:styleId="Sinlista942">
    <w:name w:val="Sin lista942"/>
    <w:next w:val="Sinlista"/>
    <w:semiHidden/>
    <w:rsid w:val="00804DD2"/>
  </w:style>
  <w:style w:type="numbering" w:customStyle="1" w:styleId="Sinlista952">
    <w:name w:val="Sin lista952"/>
    <w:next w:val="Sinlista"/>
    <w:semiHidden/>
    <w:rsid w:val="00804DD2"/>
  </w:style>
  <w:style w:type="numbering" w:customStyle="1" w:styleId="Sinlista962">
    <w:name w:val="Sin lista962"/>
    <w:next w:val="Sinlista"/>
    <w:semiHidden/>
    <w:rsid w:val="00804DD2"/>
  </w:style>
  <w:style w:type="numbering" w:customStyle="1" w:styleId="Sinlista972">
    <w:name w:val="Sin lista972"/>
    <w:next w:val="Sinlista"/>
    <w:semiHidden/>
    <w:rsid w:val="00804DD2"/>
  </w:style>
  <w:style w:type="numbering" w:customStyle="1" w:styleId="Sinlista982">
    <w:name w:val="Sin lista982"/>
    <w:next w:val="Sinlista"/>
    <w:semiHidden/>
    <w:rsid w:val="00804DD2"/>
  </w:style>
  <w:style w:type="numbering" w:customStyle="1" w:styleId="Sinlista992">
    <w:name w:val="Sin lista992"/>
    <w:next w:val="Sinlista"/>
    <w:semiHidden/>
    <w:rsid w:val="00804DD2"/>
  </w:style>
  <w:style w:type="numbering" w:customStyle="1" w:styleId="Sinlista1002">
    <w:name w:val="Sin lista1002"/>
    <w:next w:val="Sinlista"/>
    <w:semiHidden/>
    <w:rsid w:val="00804DD2"/>
  </w:style>
  <w:style w:type="numbering" w:customStyle="1" w:styleId="Sinlista10112">
    <w:name w:val="Sin lista10112"/>
    <w:next w:val="Sinlista"/>
    <w:semiHidden/>
    <w:rsid w:val="00804DD2"/>
  </w:style>
  <w:style w:type="table" w:customStyle="1" w:styleId="Tablaconcuadrcula19112">
    <w:name w:val="Tabla con cuadrícula19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2">
    <w:name w:val="Sin lista1022"/>
    <w:next w:val="Sinlista"/>
    <w:semiHidden/>
    <w:rsid w:val="00804DD2"/>
  </w:style>
  <w:style w:type="numbering" w:customStyle="1" w:styleId="Sinlista1032">
    <w:name w:val="Sin lista1032"/>
    <w:next w:val="Sinlista"/>
    <w:semiHidden/>
    <w:rsid w:val="00804DD2"/>
  </w:style>
  <w:style w:type="numbering" w:customStyle="1" w:styleId="Sinlista1042">
    <w:name w:val="Sin lista1042"/>
    <w:next w:val="Sinlista"/>
    <w:semiHidden/>
    <w:rsid w:val="00804DD2"/>
  </w:style>
  <w:style w:type="numbering" w:customStyle="1" w:styleId="Sinlista1052">
    <w:name w:val="Sin lista1052"/>
    <w:next w:val="Sinlista"/>
    <w:semiHidden/>
    <w:rsid w:val="00804DD2"/>
  </w:style>
  <w:style w:type="numbering" w:customStyle="1" w:styleId="Sinlista1062">
    <w:name w:val="Sin lista1062"/>
    <w:next w:val="Sinlista"/>
    <w:semiHidden/>
    <w:rsid w:val="00804DD2"/>
  </w:style>
  <w:style w:type="numbering" w:customStyle="1" w:styleId="Sinlista1072">
    <w:name w:val="Sin lista1072"/>
    <w:next w:val="Sinlista"/>
    <w:semiHidden/>
    <w:rsid w:val="00804DD2"/>
  </w:style>
  <w:style w:type="numbering" w:customStyle="1" w:styleId="Sinlista1082">
    <w:name w:val="Sin lista1082"/>
    <w:next w:val="Sinlista"/>
    <w:semiHidden/>
    <w:rsid w:val="00804DD2"/>
  </w:style>
  <w:style w:type="numbering" w:customStyle="1" w:styleId="Sinlista1092">
    <w:name w:val="Sin lista1092"/>
    <w:next w:val="Sinlista"/>
    <w:semiHidden/>
    <w:rsid w:val="00804DD2"/>
  </w:style>
  <w:style w:type="numbering" w:customStyle="1" w:styleId="Sinlista11012">
    <w:name w:val="Sin lista11012"/>
    <w:next w:val="Sinlista"/>
    <w:semiHidden/>
    <w:rsid w:val="00804DD2"/>
  </w:style>
  <w:style w:type="numbering" w:customStyle="1" w:styleId="Sinlista11112">
    <w:name w:val="Sin lista11112"/>
    <w:next w:val="Sinlista"/>
    <w:semiHidden/>
    <w:rsid w:val="00804DD2"/>
  </w:style>
  <w:style w:type="numbering" w:customStyle="1" w:styleId="Sinlista1122">
    <w:name w:val="Sin lista1122"/>
    <w:next w:val="Sinlista"/>
    <w:semiHidden/>
    <w:rsid w:val="00804DD2"/>
  </w:style>
  <w:style w:type="table" w:customStyle="1" w:styleId="Tablaconcuadrcula21112">
    <w:name w:val="Tabla con cuadrícula2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2">
    <w:name w:val="Sin lista1132"/>
    <w:next w:val="Sinlista"/>
    <w:semiHidden/>
    <w:rsid w:val="00804DD2"/>
  </w:style>
  <w:style w:type="numbering" w:customStyle="1" w:styleId="Sinlista1142">
    <w:name w:val="Sin lista1142"/>
    <w:next w:val="Sinlista"/>
    <w:semiHidden/>
    <w:rsid w:val="00804DD2"/>
  </w:style>
  <w:style w:type="numbering" w:customStyle="1" w:styleId="Sinlista1152">
    <w:name w:val="Sin lista1152"/>
    <w:next w:val="Sinlista"/>
    <w:semiHidden/>
    <w:rsid w:val="00804DD2"/>
  </w:style>
  <w:style w:type="numbering" w:customStyle="1" w:styleId="Sinlista1162">
    <w:name w:val="Sin lista1162"/>
    <w:next w:val="Sinlista"/>
    <w:semiHidden/>
    <w:rsid w:val="00804DD2"/>
  </w:style>
  <w:style w:type="numbering" w:customStyle="1" w:styleId="Sinlista1172">
    <w:name w:val="Sin lista1172"/>
    <w:next w:val="Sinlista"/>
    <w:semiHidden/>
    <w:rsid w:val="00804DD2"/>
  </w:style>
  <w:style w:type="numbering" w:customStyle="1" w:styleId="Sinlista1182">
    <w:name w:val="Sin lista1182"/>
    <w:next w:val="Sinlista"/>
    <w:semiHidden/>
    <w:rsid w:val="00804DD2"/>
  </w:style>
  <w:style w:type="numbering" w:customStyle="1" w:styleId="Sinlista1192">
    <w:name w:val="Sin lista1192"/>
    <w:next w:val="Sinlista"/>
    <w:semiHidden/>
    <w:rsid w:val="00804DD2"/>
  </w:style>
  <w:style w:type="table" w:customStyle="1" w:styleId="Tablaconcuadrcula22112">
    <w:name w:val="Tabla con cuadrícula2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2">
    <w:name w:val="Sin lista1202"/>
    <w:next w:val="Sinlista"/>
    <w:semiHidden/>
    <w:rsid w:val="00804DD2"/>
  </w:style>
  <w:style w:type="numbering" w:customStyle="1" w:styleId="Sinlista12112">
    <w:name w:val="Sin lista12112"/>
    <w:next w:val="Sinlista"/>
    <w:semiHidden/>
    <w:rsid w:val="00804DD2"/>
  </w:style>
  <w:style w:type="numbering" w:customStyle="1" w:styleId="Sinlista1222">
    <w:name w:val="Sin lista1222"/>
    <w:next w:val="Sinlista"/>
    <w:semiHidden/>
    <w:rsid w:val="00804DD2"/>
  </w:style>
  <w:style w:type="numbering" w:customStyle="1" w:styleId="Sinlista1232">
    <w:name w:val="Sin lista1232"/>
    <w:next w:val="Sinlista"/>
    <w:semiHidden/>
    <w:rsid w:val="00804DD2"/>
  </w:style>
  <w:style w:type="numbering" w:customStyle="1" w:styleId="Sinlista1242">
    <w:name w:val="Sin lista1242"/>
    <w:next w:val="Sinlista"/>
    <w:semiHidden/>
    <w:rsid w:val="00804DD2"/>
  </w:style>
  <w:style w:type="table" w:customStyle="1" w:styleId="Tablaconcuadrcula23112">
    <w:name w:val="Tabla con cuadrícula23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2">
    <w:name w:val="Sin lista1252"/>
    <w:next w:val="Sinlista"/>
    <w:semiHidden/>
    <w:rsid w:val="00804DD2"/>
  </w:style>
  <w:style w:type="numbering" w:customStyle="1" w:styleId="Sinlista1262">
    <w:name w:val="Sin lista1262"/>
    <w:next w:val="Sinlista"/>
    <w:semiHidden/>
    <w:rsid w:val="00804DD2"/>
  </w:style>
  <w:style w:type="numbering" w:customStyle="1" w:styleId="Sinlista1272">
    <w:name w:val="Sin lista1272"/>
    <w:next w:val="Sinlista"/>
    <w:semiHidden/>
    <w:rsid w:val="00804DD2"/>
  </w:style>
  <w:style w:type="numbering" w:customStyle="1" w:styleId="Sinlista1282">
    <w:name w:val="Sin lista1282"/>
    <w:next w:val="Sinlista"/>
    <w:semiHidden/>
    <w:rsid w:val="00804DD2"/>
  </w:style>
  <w:style w:type="numbering" w:customStyle="1" w:styleId="Sinlista1292">
    <w:name w:val="Sin lista1292"/>
    <w:next w:val="Sinlista"/>
    <w:semiHidden/>
    <w:rsid w:val="00804DD2"/>
  </w:style>
  <w:style w:type="numbering" w:customStyle="1" w:styleId="Sinlista1302">
    <w:name w:val="Sin lista1302"/>
    <w:next w:val="Sinlista"/>
    <w:semiHidden/>
    <w:rsid w:val="00804DD2"/>
  </w:style>
  <w:style w:type="numbering" w:customStyle="1" w:styleId="Sinlista13112">
    <w:name w:val="Sin lista13112"/>
    <w:next w:val="Sinlista"/>
    <w:semiHidden/>
    <w:rsid w:val="00804DD2"/>
  </w:style>
  <w:style w:type="numbering" w:customStyle="1" w:styleId="Sinlista1322">
    <w:name w:val="Sin lista1322"/>
    <w:next w:val="Sinlista"/>
    <w:semiHidden/>
    <w:rsid w:val="00804DD2"/>
  </w:style>
  <w:style w:type="numbering" w:customStyle="1" w:styleId="Sinlista1332">
    <w:name w:val="Sin lista1332"/>
    <w:next w:val="Sinlista"/>
    <w:semiHidden/>
    <w:rsid w:val="00804DD2"/>
  </w:style>
  <w:style w:type="numbering" w:customStyle="1" w:styleId="Sinlista1342">
    <w:name w:val="Sin lista1342"/>
    <w:next w:val="Sinlista"/>
    <w:semiHidden/>
    <w:rsid w:val="00804DD2"/>
  </w:style>
  <w:style w:type="numbering" w:customStyle="1" w:styleId="Sinlista1352">
    <w:name w:val="Sin lista1352"/>
    <w:next w:val="Sinlista"/>
    <w:semiHidden/>
    <w:rsid w:val="00804DD2"/>
  </w:style>
  <w:style w:type="numbering" w:customStyle="1" w:styleId="Sinlista1362">
    <w:name w:val="Sin lista1362"/>
    <w:next w:val="Sinlista"/>
    <w:semiHidden/>
    <w:rsid w:val="00804DD2"/>
  </w:style>
  <w:style w:type="numbering" w:customStyle="1" w:styleId="Sinlista1372">
    <w:name w:val="Sin lista1372"/>
    <w:next w:val="Sinlista"/>
    <w:semiHidden/>
    <w:rsid w:val="00804DD2"/>
  </w:style>
  <w:style w:type="table" w:customStyle="1" w:styleId="Tablaconcuadrcula25112">
    <w:name w:val="Tabla con cuadrícula2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2">
    <w:name w:val="Sin lista1382"/>
    <w:next w:val="Sinlista"/>
    <w:semiHidden/>
    <w:rsid w:val="00804DD2"/>
  </w:style>
  <w:style w:type="numbering" w:customStyle="1" w:styleId="Sinlista1392">
    <w:name w:val="Sin lista1392"/>
    <w:next w:val="Sinlista"/>
    <w:semiHidden/>
    <w:rsid w:val="00804DD2"/>
  </w:style>
  <w:style w:type="numbering" w:customStyle="1" w:styleId="Sinlista1402">
    <w:name w:val="Sin lista1402"/>
    <w:next w:val="Sinlista"/>
    <w:semiHidden/>
    <w:rsid w:val="00804DD2"/>
  </w:style>
  <w:style w:type="numbering" w:customStyle="1" w:styleId="Sinlista14112">
    <w:name w:val="Sin lista14112"/>
    <w:next w:val="Sinlista"/>
    <w:semiHidden/>
    <w:rsid w:val="00804DD2"/>
  </w:style>
  <w:style w:type="numbering" w:customStyle="1" w:styleId="Sinlista1422">
    <w:name w:val="Sin lista1422"/>
    <w:next w:val="Sinlista"/>
    <w:semiHidden/>
    <w:rsid w:val="00804DD2"/>
  </w:style>
  <w:style w:type="numbering" w:customStyle="1" w:styleId="Sinlista1432">
    <w:name w:val="Sin lista1432"/>
    <w:next w:val="Sinlista"/>
    <w:semiHidden/>
    <w:rsid w:val="00804DD2"/>
  </w:style>
  <w:style w:type="table" w:customStyle="1" w:styleId="Tablaconcuadrcula26112">
    <w:name w:val="Tabla con cuadrícula2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2">
    <w:name w:val="Sin lista1442"/>
    <w:next w:val="Sinlista"/>
    <w:semiHidden/>
    <w:rsid w:val="00804DD2"/>
  </w:style>
  <w:style w:type="numbering" w:customStyle="1" w:styleId="Sinlista1452">
    <w:name w:val="Sin lista1452"/>
    <w:next w:val="Sinlista"/>
    <w:semiHidden/>
    <w:rsid w:val="00804DD2"/>
  </w:style>
  <w:style w:type="numbering" w:customStyle="1" w:styleId="Sinlista1462">
    <w:name w:val="Sin lista1462"/>
    <w:next w:val="Sinlista"/>
    <w:semiHidden/>
    <w:rsid w:val="00804DD2"/>
  </w:style>
  <w:style w:type="numbering" w:customStyle="1" w:styleId="Sinlista1472">
    <w:name w:val="Sin lista1472"/>
    <w:next w:val="Sinlista"/>
    <w:semiHidden/>
    <w:rsid w:val="00804DD2"/>
  </w:style>
  <w:style w:type="table" w:customStyle="1" w:styleId="Tablaconcuadrcula27112">
    <w:name w:val="Tabla con cuadrícula27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2">
    <w:name w:val="Sin lista1482"/>
    <w:next w:val="Sinlista"/>
    <w:semiHidden/>
    <w:rsid w:val="00804DD2"/>
  </w:style>
  <w:style w:type="numbering" w:customStyle="1" w:styleId="Sinlista1492">
    <w:name w:val="Sin lista1492"/>
    <w:next w:val="Sinlista"/>
    <w:semiHidden/>
    <w:rsid w:val="00804DD2"/>
  </w:style>
  <w:style w:type="numbering" w:customStyle="1" w:styleId="Sinlista1502">
    <w:name w:val="Sin lista1502"/>
    <w:next w:val="Sinlista"/>
    <w:semiHidden/>
    <w:rsid w:val="00804DD2"/>
  </w:style>
  <w:style w:type="numbering" w:customStyle="1" w:styleId="Sinlista15112">
    <w:name w:val="Sin lista15112"/>
    <w:next w:val="Sinlista"/>
    <w:semiHidden/>
    <w:rsid w:val="00804DD2"/>
  </w:style>
  <w:style w:type="numbering" w:customStyle="1" w:styleId="Sinlista1522">
    <w:name w:val="Sin lista1522"/>
    <w:next w:val="Sinlista"/>
    <w:semiHidden/>
    <w:rsid w:val="00804DD2"/>
  </w:style>
  <w:style w:type="numbering" w:customStyle="1" w:styleId="Sinlista1532">
    <w:name w:val="Sin lista1532"/>
    <w:next w:val="Sinlista"/>
    <w:semiHidden/>
    <w:rsid w:val="00804DD2"/>
  </w:style>
  <w:style w:type="numbering" w:customStyle="1" w:styleId="Sinlista1542">
    <w:name w:val="Sin lista1542"/>
    <w:next w:val="Sinlista"/>
    <w:semiHidden/>
    <w:rsid w:val="00804DD2"/>
  </w:style>
  <w:style w:type="numbering" w:customStyle="1" w:styleId="Sinlista1552">
    <w:name w:val="Sin lista1552"/>
    <w:next w:val="Sinlista"/>
    <w:semiHidden/>
    <w:rsid w:val="00804DD2"/>
  </w:style>
  <w:style w:type="numbering" w:customStyle="1" w:styleId="Sinlista163">
    <w:name w:val="Sin lista163"/>
    <w:next w:val="Sinlista"/>
    <w:semiHidden/>
    <w:rsid w:val="00904BA1"/>
  </w:style>
  <w:style w:type="table" w:customStyle="1" w:styleId="Tablaconcuadrcula286">
    <w:name w:val="Tabla con cuadrícula286"/>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3">
    <w:name w:val="Tabla con cuadrícula1603"/>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4">
    <w:name w:val="Tabla con cuadrícula21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4">
    <w:name w:val="Tabla con cuadrícula22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4">
    <w:name w:val="Tabla con cuadrícula23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4">
    <w:name w:val="Sin lista164"/>
    <w:next w:val="Sinlista"/>
    <w:semiHidden/>
    <w:unhideWhenUsed/>
    <w:rsid w:val="00904BA1"/>
  </w:style>
  <w:style w:type="numbering" w:customStyle="1" w:styleId="Sinlista214">
    <w:name w:val="Sin lista214"/>
    <w:next w:val="Sinlista"/>
    <w:semiHidden/>
    <w:unhideWhenUsed/>
    <w:rsid w:val="00904BA1"/>
  </w:style>
  <w:style w:type="table" w:customStyle="1" w:styleId="Tablabsica13">
    <w:name w:val="Tabla básica 13"/>
    <w:basedOn w:val="Tablanormal"/>
    <w:next w:val="Tablabsica1"/>
    <w:rsid w:val="00904BA1"/>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4">
    <w:name w:val="Sin lista1114"/>
    <w:next w:val="Sinlista"/>
    <w:semiHidden/>
    <w:rsid w:val="00904BA1"/>
  </w:style>
  <w:style w:type="table" w:customStyle="1" w:styleId="Tablaconcuadrcula1114">
    <w:name w:val="Tabla con cuadrícula11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0">
    <w:name w:val="Tabla con cuadrícula 135"/>
    <w:basedOn w:val="Tablanormal"/>
    <w:next w:val="Tablaconcuadrcula10"/>
    <w:rsid w:val="00904BA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4">
    <w:name w:val="Tabla con cuadrícula19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3">
    <w:name w:val="Tabla con cuadrícula293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4">
    <w:name w:val="Tabla con cuadrícula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4">
    <w:name w:val="Sin lista314"/>
    <w:next w:val="Sinlista"/>
    <w:semiHidden/>
    <w:unhideWhenUsed/>
    <w:rsid w:val="00904BA1"/>
  </w:style>
  <w:style w:type="table" w:customStyle="1" w:styleId="Tablaconcuadrcula1823">
    <w:name w:val="Tabla con cuadrícula18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5">
    <w:name w:val="Tabla con cuadrícula515"/>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4">
    <w:name w:val="Sin lista414"/>
    <w:next w:val="Sinlista"/>
    <w:semiHidden/>
    <w:rsid w:val="00904BA1"/>
  </w:style>
  <w:style w:type="numbering" w:customStyle="1" w:styleId="Sinlista514">
    <w:name w:val="Sin lista514"/>
    <w:next w:val="Sinlista"/>
    <w:semiHidden/>
    <w:unhideWhenUsed/>
    <w:rsid w:val="00904BA1"/>
  </w:style>
  <w:style w:type="numbering" w:customStyle="1" w:styleId="Sinlista1214">
    <w:name w:val="Sin lista1214"/>
    <w:next w:val="Sinlista"/>
    <w:semiHidden/>
    <w:rsid w:val="00904BA1"/>
  </w:style>
  <w:style w:type="numbering" w:customStyle="1" w:styleId="Sinlista614">
    <w:name w:val="Sin lista614"/>
    <w:next w:val="Sinlista"/>
    <w:semiHidden/>
    <w:unhideWhenUsed/>
    <w:rsid w:val="00904BA1"/>
  </w:style>
  <w:style w:type="numbering" w:customStyle="1" w:styleId="Sinlista714">
    <w:name w:val="Sin lista714"/>
    <w:next w:val="Sinlista"/>
    <w:semiHidden/>
    <w:unhideWhenUsed/>
    <w:rsid w:val="00904BA1"/>
  </w:style>
  <w:style w:type="table" w:customStyle="1" w:styleId="Tablaconcuadrcula1214">
    <w:name w:val="Tabla con cuadrícula12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4">
    <w:name w:val="Sin lista814"/>
    <w:next w:val="Sinlista"/>
    <w:semiHidden/>
    <w:unhideWhenUsed/>
    <w:rsid w:val="00904BA1"/>
  </w:style>
  <w:style w:type="numbering" w:customStyle="1" w:styleId="Sinlista914">
    <w:name w:val="Sin lista914"/>
    <w:next w:val="Sinlista"/>
    <w:semiHidden/>
    <w:rsid w:val="00904BA1"/>
  </w:style>
  <w:style w:type="numbering" w:customStyle="1" w:styleId="Sinlista1014">
    <w:name w:val="Sin lista1014"/>
    <w:next w:val="Sinlista"/>
    <w:semiHidden/>
    <w:unhideWhenUsed/>
    <w:rsid w:val="00904BA1"/>
  </w:style>
  <w:style w:type="numbering" w:customStyle="1" w:styleId="Sinlista1314">
    <w:name w:val="Sin lista1314"/>
    <w:next w:val="Sinlista"/>
    <w:semiHidden/>
    <w:rsid w:val="00904BA1"/>
  </w:style>
  <w:style w:type="table" w:customStyle="1" w:styleId="Tablaconcuadrcula523">
    <w:name w:val="Tabla con cuadrícula5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4">
    <w:name w:val="Tabla con cuadrícula1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4">
    <w:name w:val="Sin lista1414"/>
    <w:next w:val="Sinlista"/>
    <w:semiHidden/>
    <w:rsid w:val="00904BA1"/>
  </w:style>
  <w:style w:type="numbering" w:customStyle="1" w:styleId="Sinlista1513">
    <w:name w:val="Sin lista1513"/>
    <w:next w:val="Sinlista"/>
    <w:semiHidden/>
    <w:rsid w:val="00904BA1"/>
  </w:style>
  <w:style w:type="numbering" w:customStyle="1" w:styleId="Sinlista165">
    <w:name w:val="Sin lista165"/>
    <w:next w:val="Sinlista"/>
    <w:semiHidden/>
    <w:rsid w:val="00904BA1"/>
  </w:style>
  <w:style w:type="table" w:customStyle="1" w:styleId="Tablaconcuadrcula1914">
    <w:name w:val="Tabla con cuadrícula19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3">
    <w:name w:val="Sin lista173"/>
    <w:next w:val="Sinlista"/>
    <w:semiHidden/>
    <w:rsid w:val="00904BA1"/>
  </w:style>
  <w:style w:type="numbering" w:customStyle="1" w:styleId="Sinlista183">
    <w:name w:val="Sin lista183"/>
    <w:next w:val="Sinlista"/>
    <w:semiHidden/>
    <w:rsid w:val="00904BA1"/>
  </w:style>
  <w:style w:type="table" w:customStyle="1" w:styleId="Tablaconcuadrcula1104">
    <w:name w:val="Tabla con cuadrícula11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Sinlista"/>
    <w:next w:val="111111"/>
    <w:rsid w:val="00904BA1"/>
  </w:style>
  <w:style w:type="numbering" w:customStyle="1" w:styleId="Sinlista193">
    <w:name w:val="Sin lista193"/>
    <w:next w:val="Sinlista"/>
    <w:semiHidden/>
    <w:unhideWhenUsed/>
    <w:rsid w:val="00904BA1"/>
  </w:style>
  <w:style w:type="table" w:customStyle="1" w:styleId="Tablaconcuadrcula2073">
    <w:name w:val="Tabla con cuadrícula207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3">
    <w:name w:val="1 / 1.1 / 1.1.113"/>
    <w:basedOn w:val="Sinlista"/>
    <w:next w:val="111111"/>
    <w:rsid w:val="00904BA1"/>
  </w:style>
  <w:style w:type="table" w:customStyle="1" w:styleId="Tablaconcuadrcula2514">
    <w:name w:val="Tabla con cuadrícula2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4">
    <w:name w:val="Tabla con cuadrícula2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
    <w:name w:val="1 / 1.1 / 1.1.1111"/>
    <w:basedOn w:val="Sinlista"/>
    <w:next w:val="111111"/>
    <w:rsid w:val="00904BA1"/>
  </w:style>
  <w:style w:type="numbering" w:customStyle="1" w:styleId="Sinlista203">
    <w:name w:val="Sin lista203"/>
    <w:next w:val="Sinlista"/>
    <w:semiHidden/>
    <w:rsid w:val="00904BA1"/>
  </w:style>
  <w:style w:type="table" w:customStyle="1" w:styleId="Tablaconcuadrcula2714">
    <w:name w:val="Tabla con cuadrícula2714"/>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3">
    <w:name w:val="Tabla con cuadrícula16013"/>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5">
    <w:name w:val="Tabla con cuadrícula21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5">
    <w:name w:val="Tabla con cuadrícula22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5">
    <w:name w:val="Tabla con cuadrícula23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3">
    <w:name w:val="Sin lista1103"/>
    <w:next w:val="Sinlista"/>
    <w:semiHidden/>
    <w:unhideWhenUsed/>
    <w:rsid w:val="00904BA1"/>
  </w:style>
  <w:style w:type="numbering" w:customStyle="1" w:styleId="Sinlista215">
    <w:name w:val="Sin lista215"/>
    <w:next w:val="Sinlista"/>
    <w:semiHidden/>
    <w:unhideWhenUsed/>
    <w:rsid w:val="00904BA1"/>
  </w:style>
  <w:style w:type="table" w:customStyle="1" w:styleId="Tablabsica113">
    <w:name w:val="Tabla básica 113"/>
    <w:basedOn w:val="Tablanormal"/>
    <w:next w:val="Tablabsica1"/>
    <w:rsid w:val="00904BA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5">
    <w:name w:val="Sin lista1115"/>
    <w:next w:val="Sinlista"/>
    <w:semiHidden/>
    <w:rsid w:val="00904BA1"/>
  </w:style>
  <w:style w:type="table" w:customStyle="1" w:styleId="Tablaconcuadrcula1115">
    <w:name w:val="Tabla con cuadrícula11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0">
    <w:name w:val="Tabla con cuadrícula 1112"/>
    <w:basedOn w:val="Tablanormal"/>
    <w:next w:val="Tablaconcuadrcula10"/>
    <w:rsid w:val="00904BA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3">
    <w:name w:val="Tabla con cuadrícula1902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3">
    <w:name w:val="Tabla con cuadrícula293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5">
    <w:name w:val="Tabla con cuadrícula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5">
    <w:name w:val="Sin lista315"/>
    <w:next w:val="Sinlista"/>
    <w:semiHidden/>
    <w:unhideWhenUsed/>
    <w:rsid w:val="00904BA1"/>
  </w:style>
  <w:style w:type="table" w:customStyle="1" w:styleId="Tablaconcuadrcula18213">
    <w:name w:val="Tabla con cuadrícula18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3">
    <w:name w:val="Tabla con cuadrícula51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5">
    <w:name w:val="Sin lista415"/>
    <w:next w:val="Sinlista"/>
    <w:semiHidden/>
    <w:rsid w:val="00904BA1"/>
  </w:style>
  <w:style w:type="numbering" w:customStyle="1" w:styleId="Sinlista515">
    <w:name w:val="Sin lista515"/>
    <w:next w:val="Sinlista"/>
    <w:semiHidden/>
    <w:unhideWhenUsed/>
    <w:rsid w:val="00904BA1"/>
  </w:style>
  <w:style w:type="numbering" w:customStyle="1" w:styleId="Sinlista1215">
    <w:name w:val="Sin lista1215"/>
    <w:next w:val="Sinlista"/>
    <w:semiHidden/>
    <w:rsid w:val="00904BA1"/>
  </w:style>
  <w:style w:type="numbering" w:customStyle="1" w:styleId="Sinlista615">
    <w:name w:val="Sin lista615"/>
    <w:next w:val="Sinlista"/>
    <w:semiHidden/>
    <w:unhideWhenUsed/>
    <w:rsid w:val="00904BA1"/>
  </w:style>
  <w:style w:type="numbering" w:customStyle="1" w:styleId="Sinlista715">
    <w:name w:val="Sin lista715"/>
    <w:next w:val="Sinlista"/>
    <w:semiHidden/>
    <w:unhideWhenUsed/>
    <w:rsid w:val="00904BA1"/>
  </w:style>
  <w:style w:type="table" w:customStyle="1" w:styleId="Tablaconcuadrcula1215">
    <w:name w:val="Tabla con cuadrícula12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5">
    <w:name w:val="Sin lista815"/>
    <w:next w:val="Sinlista"/>
    <w:semiHidden/>
    <w:unhideWhenUsed/>
    <w:rsid w:val="00904BA1"/>
  </w:style>
  <w:style w:type="numbering" w:customStyle="1" w:styleId="Sinlista915">
    <w:name w:val="Sin lista915"/>
    <w:next w:val="Sinlista"/>
    <w:semiHidden/>
    <w:rsid w:val="00904BA1"/>
  </w:style>
  <w:style w:type="numbering" w:customStyle="1" w:styleId="Sinlista1015">
    <w:name w:val="Sin lista1015"/>
    <w:next w:val="Sinlista"/>
    <w:semiHidden/>
    <w:unhideWhenUsed/>
    <w:rsid w:val="00904BA1"/>
  </w:style>
  <w:style w:type="numbering" w:customStyle="1" w:styleId="Sinlista1315">
    <w:name w:val="Sin lista1315"/>
    <w:next w:val="Sinlista"/>
    <w:semiHidden/>
    <w:rsid w:val="00904BA1"/>
  </w:style>
  <w:style w:type="table" w:customStyle="1" w:styleId="Tablaconcuadrcula5213">
    <w:name w:val="Tabla con cuadrícula5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5">
    <w:name w:val="Tabla con cuadrícula1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5">
    <w:name w:val="Sin lista1415"/>
    <w:next w:val="Sinlista"/>
    <w:semiHidden/>
    <w:rsid w:val="00904BA1"/>
  </w:style>
  <w:style w:type="numbering" w:customStyle="1" w:styleId="Sinlista1514">
    <w:name w:val="Sin lista1514"/>
    <w:next w:val="Sinlista"/>
    <w:semiHidden/>
    <w:rsid w:val="00904BA1"/>
  </w:style>
  <w:style w:type="numbering" w:customStyle="1" w:styleId="Sinlista1613">
    <w:name w:val="Sin lista1613"/>
    <w:next w:val="Sinlista"/>
    <w:semiHidden/>
    <w:rsid w:val="00904BA1"/>
  </w:style>
  <w:style w:type="table" w:customStyle="1" w:styleId="Tablaconcuadrcula1915">
    <w:name w:val="Tabla con cuadrícula19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3">
    <w:name w:val="Sin lista1713"/>
    <w:next w:val="Sinlista"/>
    <w:semiHidden/>
    <w:rsid w:val="00904BA1"/>
  </w:style>
  <w:style w:type="numbering" w:customStyle="1" w:styleId="Sinlista1813">
    <w:name w:val="Sin lista1813"/>
    <w:next w:val="Sinlista"/>
    <w:semiHidden/>
    <w:rsid w:val="00904BA1"/>
  </w:style>
  <w:style w:type="numbering" w:customStyle="1" w:styleId="11111122">
    <w:name w:val="1 / 1.1 / 1.1.122"/>
    <w:basedOn w:val="Sinlista"/>
    <w:next w:val="111111"/>
    <w:rsid w:val="00904BA1"/>
  </w:style>
  <w:style w:type="numbering" w:customStyle="1" w:styleId="Sinlista1913">
    <w:name w:val="Sin lista1913"/>
    <w:next w:val="Sinlista"/>
    <w:semiHidden/>
    <w:unhideWhenUsed/>
    <w:rsid w:val="00904BA1"/>
  </w:style>
  <w:style w:type="table" w:customStyle="1" w:styleId="Tablaconcuadrcula20713">
    <w:name w:val="Tabla con cuadrícula207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5">
    <w:name w:val="Tabla con cuadrícula2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5">
    <w:name w:val="Tabla con cuadrícula2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5">
    <w:name w:val="Tabla con cuadrícula2715"/>
    <w:basedOn w:val="Tablanormal"/>
    <w:next w:val="Tablaconcuadrcula"/>
    <w:rsid w:val="00904BA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3">
    <w:name w:val="Sin lista2013"/>
    <w:next w:val="Sinlista"/>
    <w:semiHidden/>
    <w:rsid w:val="00904BA1"/>
  </w:style>
  <w:style w:type="numbering" w:customStyle="1" w:styleId="Sinlista2113">
    <w:name w:val="Sin lista2113"/>
    <w:next w:val="Sinlista"/>
    <w:semiHidden/>
    <w:rsid w:val="00904BA1"/>
  </w:style>
  <w:style w:type="numbering" w:customStyle="1" w:styleId="Sinlista223">
    <w:name w:val="Sin lista223"/>
    <w:next w:val="Sinlista"/>
    <w:semiHidden/>
    <w:rsid w:val="00904BA1"/>
  </w:style>
  <w:style w:type="numbering" w:customStyle="1" w:styleId="Sinlista233">
    <w:name w:val="Sin lista233"/>
    <w:next w:val="Sinlista"/>
    <w:semiHidden/>
    <w:rsid w:val="00904BA1"/>
  </w:style>
  <w:style w:type="numbering" w:customStyle="1" w:styleId="Sinlista243">
    <w:name w:val="Sin lista243"/>
    <w:next w:val="Sinlista"/>
    <w:semiHidden/>
    <w:rsid w:val="00904BA1"/>
  </w:style>
  <w:style w:type="numbering" w:customStyle="1" w:styleId="Sinlista253">
    <w:name w:val="Sin lista253"/>
    <w:next w:val="Sinlista"/>
    <w:semiHidden/>
    <w:rsid w:val="00904BA1"/>
  </w:style>
  <w:style w:type="numbering" w:customStyle="1" w:styleId="Sinlista263">
    <w:name w:val="Sin lista263"/>
    <w:next w:val="Sinlista"/>
    <w:semiHidden/>
    <w:rsid w:val="00904BA1"/>
  </w:style>
  <w:style w:type="numbering" w:customStyle="1" w:styleId="Sinlista273">
    <w:name w:val="Sin lista273"/>
    <w:next w:val="Sinlista"/>
    <w:semiHidden/>
    <w:rsid w:val="00904BA1"/>
  </w:style>
  <w:style w:type="numbering" w:customStyle="1" w:styleId="Sinlista283">
    <w:name w:val="Sin lista283"/>
    <w:next w:val="Sinlista"/>
    <w:semiHidden/>
    <w:rsid w:val="00904BA1"/>
  </w:style>
  <w:style w:type="numbering" w:customStyle="1" w:styleId="Sinlista293">
    <w:name w:val="Sin lista293"/>
    <w:next w:val="Sinlista"/>
    <w:semiHidden/>
    <w:rsid w:val="00904BA1"/>
  </w:style>
  <w:style w:type="numbering" w:customStyle="1" w:styleId="Sinlista303">
    <w:name w:val="Sin lista303"/>
    <w:next w:val="Sinlista"/>
    <w:semiHidden/>
    <w:rsid w:val="00904BA1"/>
  </w:style>
  <w:style w:type="numbering" w:customStyle="1" w:styleId="Sinlista3113">
    <w:name w:val="Sin lista3113"/>
    <w:next w:val="Sinlista"/>
    <w:semiHidden/>
    <w:rsid w:val="00904BA1"/>
  </w:style>
  <w:style w:type="table" w:customStyle="1" w:styleId="Tablaconcuadrcula6113">
    <w:name w:val="Tabla con cuadrícula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3">
    <w:name w:val="Sin lista323"/>
    <w:next w:val="Sinlista"/>
    <w:semiHidden/>
    <w:rsid w:val="00904BA1"/>
  </w:style>
  <w:style w:type="numbering" w:customStyle="1" w:styleId="Sinlista333">
    <w:name w:val="Sin lista333"/>
    <w:next w:val="Sinlista"/>
    <w:semiHidden/>
    <w:unhideWhenUsed/>
    <w:rsid w:val="00904BA1"/>
  </w:style>
  <w:style w:type="numbering" w:customStyle="1" w:styleId="Sinlista343">
    <w:name w:val="Sin lista343"/>
    <w:next w:val="Sinlista"/>
    <w:semiHidden/>
    <w:rsid w:val="00904BA1"/>
  </w:style>
  <w:style w:type="numbering" w:customStyle="1" w:styleId="Sinlista353">
    <w:name w:val="Sin lista353"/>
    <w:next w:val="Sinlista"/>
    <w:semiHidden/>
    <w:rsid w:val="00904BA1"/>
  </w:style>
  <w:style w:type="numbering" w:customStyle="1" w:styleId="Sinlista363">
    <w:name w:val="Sin lista363"/>
    <w:next w:val="Sinlista"/>
    <w:semiHidden/>
    <w:rsid w:val="00904BA1"/>
  </w:style>
  <w:style w:type="numbering" w:customStyle="1" w:styleId="Sinlista373">
    <w:name w:val="Sin lista373"/>
    <w:next w:val="Sinlista"/>
    <w:semiHidden/>
    <w:rsid w:val="00904BA1"/>
  </w:style>
  <w:style w:type="numbering" w:customStyle="1" w:styleId="Sinlista383">
    <w:name w:val="Sin lista383"/>
    <w:next w:val="Sinlista"/>
    <w:semiHidden/>
    <w:rsid w:val="00904BA1"/>
  </w:style>
  <w:style w:type="numbering" w:customStyle="1" w:styleId="Sinlista393">
    <w:name w:val="Sin lista393"/>
    <w:next w:val="Sinlista"/>
    <w:semiHidden/>
    <w:rsid w:val="00904BA1"/>
  </w:style>
  <w:style w:type="numbering" w:customStyle="1" w:styleId="Sinlista403">
    <w:name w:val="Sin lista403"/>
    <w:next w:val="Sinlista"/>
    <w:semiHidden/>
    <w:rsid w:val="00904BA1"/>
  </w:style>
  <w:style w:type="numbering" w:customStyle="1" w:styleId="Sinlista4113">
    <w:name w:val="Sin lista4113"/>
    <w:next w:val="Sinlista"/>
    <w:semiHidden/>
    <w:rsid w:val="00904BA1"/>
  </w:style>
  <w:style w:type="numbering" w:customStyle="1" w:styleId="Sinlista423">
    <w:name w:val="Sin lista423"/>
    <w:next w:val="Sinlista"/>
    <w:semiHidden/>
    <w:rsid w:val="00904BA1"/>
  </w:style>
  <w:style w:type="numbering" w:customStyle="1" w:styleId="Sinlista433">
    <w:name w:val="Sin lista433"/>
    <w:next w:val="Sinlista"/>
    <w:semiHidden/>
    <w:rsid w:val="00904BA1"/>
  </w:style>
  <w:style w:type="numbering" w:customStyle="1" w:styleId="Sinlista443">
    <w:name w:val="Sin lista443"/>
    <w:next w:val="Sinlista"/>
    <w:semiHidden/>
    <w:rsid w:val="00904BA1"/>
  </w:style>
  <w:style w:type="numbering" w:customStyle="1" w:styleId="Sinlista453">
    <w:name w:val="Sin lista453"/>
    <w:next w:val="Sinlista"/>
    <w:semiHidden/>
    <w:rsid w:val="00904BA1"/>
  </w:style>
  <w:style w:type="numbering" w:customStyle="1" w:styleId="Sinlista463">
    <w:name w:val="Sin lista463"/>
    <w:next w:val="Sinlista"/>
    <w:semiHidden/>
    <w:rsid w:val="00904BA1"/>
  </w:style>
  <w:style w:type="numbering" w:customStyle="1" w:styleId="Sinlista473">
    <w:name w:val="Sin lista473"/>
    <w:next w:val="Sinlista"/>
    <w:semiHidden/>
    <w:rsid w:val="00904BA1"/>
  </w:style>
  <w:style w:type="numbering" w:customStyle="1" w:styleId="Sinlista483">
    <w:name w:val="Sin lista483"/>
    <w:next w:val="Sinlista"/>
    <w:semiHidden/>
    <w:rsid w:val="00904BA1"/>
  </w:style>
  <w:style w:type="numbering" w:customStyle="1" w:styleId="Sinlista493">
    <w:name w:val="Sin lista493"/>
    <w:next w:val="Sinlista"/>
    <w:semiHidden/>
    <w:rsid w:val="00904BA1"/>
  </w:style>
  <w:style w:type="numbering" w:customStyle="1" w:styleId="Sinlista503">
    <w:name w:val="Sin lista503"/>
    <w:next w:val="Sinlista"/>
    <w:semiHidden/>
    <w:rsid w:val="00904BA1"/>
  </w:style>
  <w:style w:type="numbering" w:customStyle="1" w:styleId="Sinlista5113">
    <w:name w:val="Sin lista5113"/>
    <w:next w:val="Sinlista"/>
    <w:semiHidden/>
    <w:rsid w:val="00904BA1"/>
  </w:style>
  <w:style w:type="numbering" w:customStyle="1" w:styleId="Sinlista523">
    <w:name w:val="Sin lista523"/>
    <w:next w:val="Sinlista"/>
    <w:semiHidden/>
    <w:rsid w:val="00904BA1"/>
  </w:style>
  <w:style w:type="numbering" w:customStyle="1" w:styleId="Sinlista533">
    <w:name w:val="Sin lista533"/>
    <w:next w:val="Sinlista"/>
    <w:semiHidden/>
    <w:rsid w:val="00904BA1"/>
  </w:style>
  <w:style w:type="numbering" w:customStyle="1" w:styleId="Sinlista543">
    <w:name w:val="Sin lista543"/>
    <w:next w:val="Sinlista"/>
    <w:semiHidden/>
    <w:rsid w:val="00904BA1"/>
  </w:style>
  <w:style w:type="numbering" w:customStyle="1" w:styleId="Sinlista553">
    <w:name w:val="Sin lista553"/>
    <w:next w:val="Sinlista"/>
    <w:semiHidden/>
    <w:rsid w:val="00904BA1"/>
  </w:style>
  <w:style w:type="numbering" w:customStyle="1" w:styleId="Sinlista563">
    <w:name w:val="Sin lista563"/>
    <w:next w:val="Sinlista"/>
    <w:semiHidden/>
    <w:rsid w:val="00904BA1"/>
  </w:style>
  <w:style w:type="numbering" w:customStyle="1" w:styleId="Sinlista573">
    <w:name w:val="Sin lista573"/>
    <w:next w:val="Sinlista"/>
    <w:semiHidden/>
    <w:rsid w:val="00904BA1"/>
  </w:style>
  <w:style w:type="numbering" w:customStyle="1" w:styleId="Sinlista583">
    <w:name w:val="Sin lista583"/>
    <w:next w:val="Sinlista"/>
    <w:semiHidden/>
    <w:rsid w:val="00904BA1"/>
  </w:style>
  <w:style w:type="numbering" w:customStyle="1" w:styleId="Sinlista593">
    <w:name w:val="Sin lista593"/>
    <w:next w:val="Sinlista"/>
    <w:semiHidden/>
    <w:rsid w:val="00904BA1"/>
  </w:style>
  <w:style w:type="table" w:customStyle="1" w:styleId="Tablaconcuadrcula11113">
    <w:name w:val="Tabla con cuadrícula1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3">
    <w:name w:val="Sin lista603"/>
    <w:next w:val="Sinlista"/>
    <w:semiHidden/>
    <w:rsid w:val="00904BA1"/>
  </w:style>
  <w:style w:type="numbering" w:customStyle="1" w:styleId="Sinlista6113">
    <w:name w:val="Sin lista6113"/>
    <w:next w:val="Sinlista"/>
    <w:semiHidden/>
    <w:rsid w:val="00904BA1"/>
  </w:style>
  <w:style w:type="numbering" w:customStyle="1" w:styleId="Sinlista623">
    <w:name w:val="Sin lista623"/>
    <w:next w:val="Sinlista"/>
    <w:semiHidden/>
    <w:rsid w:val="00904BA1"/>
  </w:style>
  <w:style w:type="numbering" w:customStyle="1" w:styleId="Sinlista633">
    <w:name w:val="Sin lista633"/>
    <w:next w:val="Sinlista"/>
    <w:semiHidden/>
    <w:rsid w:val="00904BA1"/>
  </w:style>
  <w:style w:type="numbering" w:customStyle="1" w:styleId="Sinlista643">
    <w:name w:val="Sin lista643"/>
    <w:next w:val="Sinlista"/>
    <w:semiHidden/>
    <w:rsid w:val="00904BA1"/>
  </w:style>
  <w:style w:type="numbering" w:customStyle="1" w:styleId="Sinlista653">
    <w:name w:val="Sin lista653"/>
    <w:next w:val="Sinlista"/>
    <w:semiHidden/>
    <w:rsid w:val="00904BA1"/>
  </w:style>
  <w:style w:type="numbering" w:customStyle="1" w:styleId="Sinlista663">
    <w:name w:val="Sin lista663"/>
    <w:next w:val="Sinlista"/>
    <w:semiHidden/>
    <w:rsid w:val="00904BA1"/>
  </w:style>
  <w:style w:type="numbering" w:customStyle="1" w:styleId="Sinlista673">
    <w:name w:val="Sin lista673"/>
    <w:next w:val="Sinlista"/>
    <w:semiHidden/>
    <w:rsid w:val="00904BA1"/>
  </w:style>
  <w:style w:type="numbering" w:customStyle="1" w:styleId="Sinlista683">
    <w:name w:val="Sin lista683"/>
    <w:next w:val="Sinlista"/>
    <w:semiHidden/>
    <w:rsid w:val="00904BA1"/>
  </w:style>
  <w:style w:type="table" w:customStyle="1" w:styleId="Tablaconcuadrcula12113">
    <w:name w:val="Tabla con cuadrícula1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3">
    <w:name w:val="Sin lista693"/>
    <w:next w:val="Sinlista"/>
    <w:semiHidden/>
    <w:rsid w:val="00904BA1"/>
  </w:style>
  <w:style w:type="numbering" w:customStyle="1" w:styleId="Sinlista703">
    <w:name w:val="Sin lista703"/>
    <w:next w:val="Sinlista"/>
    <w:semiHidden/>
    <w:rsid w:val="00904BA1"/>
  </w:style>
  <w:style w:type="numbering" w:customStyle="1" w:styleId="Sinlista7113">
    <w:name w:val="Sin lista7113"/>
    <w:next w:val="Sinlista"/>
    <w:semiHidden/>
    <w:rsid w:val="00904BA1"/>
  </w:style>
  <w:style w:type="numbering" w:customStyle="1" w:styleId="Sinlista723">
    <w:name w:val="Sin lista723"/>
    <w:next w:val="Sinlista"/>
    <w:semiHidden/>
    <w:rsid w:val="00904BA1"/>
  </w:style>
  <w:style w:type="numbering" w:customStyle="1" w:styleId="Sinlista733">
    <w:name w:val="Sin lista733"/>
    <w:next w:val="Sinlista"/>
    <w:semiHidden/>
    <w:rsid w:val="00904BA1"/>
  </w:style>
  <w:style w:type="numbering" w:customStyle="1" w:styleId="Sinlista743">
    <w:name w:val="Sin lista743"/>
    <w:next w:val="Sinlista"/>
    <w:semiHidden/>
    <w:rsid w:val="00904BA1"/>
  </w:style>
  <w:style w:type="numbering" w:customStyle="1" w:styleId="Sinlista753">
    <w:name w:val="Sin lista753"/>
    <w:next w:val="Sinlista"/>
    <w:semiHidden/>
    <w:rsid w:val="00904BA1"/>
  </w:style>
  <w:style w:type="numbering" w:customStyle="1" w:styleId="Sinlista763">
    <w:name w:val="Sin lista763"/>
    <w:next w:val="Sinlista"/>
    <w:semiHidden/>
    <w:rsid w:val="00904BA1"/>
  </w:style>
  <w:style w:type="table" w:customStyle="1" w:styleId="Tablaconcuadrcula51113">
    <w:name w:val="Tabla con cuadrícula5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3">
    <w:name w:val="Sin lista773"/>
    <w:next w:val="Sinlista"/>
    <w:semiHidden/>
    <w:rsid w:val="00904BA1"/>
  </w:style>
  <w:style w:type="table" w:customStyle="1" w:styleId="Tablaconcuadrcula15113">
    <w:name w:val="Tabla con cuadrícula1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3">
    <w:name w:val="Sin lista783"/>
    <w:next w:val="Sinlista"/>
    <w:semiHidden/>
    <w:rsid w:val="00904BA1"/>
  </w:style>
  <w:style w:type="numbering" w:customStyle="1" w:styleId="Sinlista793">
    <w:name w:val="Sin lista793"/>
    <w:next w:val="Sinlista"/>
    <w:semiHidden/>
    <w:rsid w:val="00904BA1"/>
  </w:style>
  <w:style w:type="numbering" w:customStyle="1" w:styleId="Sinlista803">
    <w:name w:val="Sin lista803"/>
    <w:next w:val="Sinlista"/>
    <w:semiHidden/>
    <w:rsid w:val="00904BA1"/>
  </w:style>
  <w:style w:type="numbering" w:customStyle="1" w:styleId="Sinlista8113">
    <w:name w:val="Sin lista8113"/>
    <w:next w:val="Sinlista"/>
    <w:semiHidden/>
    <w:rsid w:val="00904BA1"/>
  </w:style>
  <w:style w:type="numbering" w:customStyle="1" w:styleId="Sinlista823">
    <w:name w:val="Sin lista823"/>
    <w:next w:val="Sinlista"/>
    <w:semiHidden/>
    <w:rsid w:val="00904BA1"/>
  </w:style>
  <w:style w:type="numbering" w:customStyle="1" w:styleId="Sinlista833">
    <w:name w:val="Sin lista833"/>
    <w:next w:val="Sinlista"/>
    <w:semiHidden/>
    <w:rsid w:val="00904BA1"/>
  </w:style>
  <w:style w:type="numbering" w:customStyle="1" w:styleId="Sinlista843">
    <w:name w:val="Sin lista843"/>
    <w:next w:val="Sinlista"/>
    <w:semiHidden/>
    <w:rsid w:val="00904BA1"/>
  </w:style>
  <w:style w:type="numbering" w:customStyle="1" w:styleId="Sinlista853">
    <w:name w:val="Sin lista853"/>
    <w:next w:val="Sinlista"/>
    <w:semiHidden/>
    <w:rsid w:val="00904BA1"/>
  </w:style>
  <w:style w:type="numbering" w:customStyle="1" w:styleId="Sinlista863">
    <w:name w:val="Sin lista863"/>
    <w:next w:val="Sinlista"/>
    <w:semiHidden/>
    <w:rsid w:val="00904BA1"/>
  </w:style>
  <w:style w:type="numbering" w:customStyle="1" w:styleId="Sinlista873">
    <w:name w:val="Sin lista873"/>
    <w:next w:val="Sinlista"/>
    <w:semiHidden/>
    <w:rsid w:val="00904BA1"/>
  </w:style>
  <w:style w:type="numbering" w:customStyle="1" w:styleId="Sinlista883">
    <w:name w:val="Sin lista883"/>
    <w:next w:val="Sinlista"/>
    <w:semiHidden/>
    <w:rsid w:val="00904BA1"/>
  </w:style>
  <w:style w:type="numbering" w:customStyle="1" w:styleId="Sinlista893">
    <w:name w:val="Sin lista893"/>
    <w:next w:val="Sinlista"/>
    <w:semiHidden/>
    <w:rsid w:val="00904BA1"/>
  </w:style>
  <w:style w:type="numbering" w:customStyle="1" w:styleId="Sinlista903">
    <w:name w:val="Sin lista903"/>
    <w:next w:val="Sinlista"/>
    <w:semiHidden/>
    <w:rsid w:val="00904BA1"/>
  </w:style>
  <w:style w:type="numbering" w:customStyle="1" w:styleId="Sinlista9113">
    <w:name w:val="Sin lista9113"/>
    <w:next w:val="Sinlista"/>
    <w:semiHidden/>
    <w:rsid w:val="00904BA1"/>
  </w:style>
  <w:style w:type="numbering" w:customStyle="1" w:styleId="Sinlista923">
    <w:name w:val="Sin lista923"/>
    <w:next w:val="Sinlista"/>
    <w:semiHidden/>
    <w:rsid w:val="00904BA1"/>
  </w:style>
  <w:style w:type="numbering" w:customStyle="1" w:styleId="Sinlista933">
    <w:name w:val="Sin lista933"/>
    <w:next w:val="Sinlista"/>
    <w:semiHidden/>
    <w:rsid w:val="00904BA1"/>
  </w:style>
  <w:style w:type="numbering" w:customStyle="1" w:styleId="Sinlista943">
    <w:name w:val="Sin lista943"/>
    <w:next w:val="Sinlista"/>
    <w:semiHidden/>
    <w:rsid w:val="00904BA1"/>
  </w:style>
  <w:style w:type="numbering" w:customStyle="1" w:styleId="Sinlista953">
    <w:name w:val="Sin lista953"/>
    <w:next w:val="Sinlista"/>
    <w:semiHidden/>
    <w:rsid w:val="00904BA1"/>
  </w:style>
  <w:style w:type="numbering" w:customStyle="1" w:styleId="Sinlista963">
    <w:name w:val="Sin lista963"/>
    <w:next w:val="Sinlista"/>
    <w:semiHidden/>
    <w:rsid w:val="00904BA1"/>
  </w:style>
  <w:style w:type="numbering" w:customStyle="1" w:styleId="Sinlista973">
    <w:name w:val="Sin lista973"/>
    <w:next w:val="Sinlista"/>
    <w:semiHidden/>
    <w:rsid w:val="00904BA1"/>
  </w:style>
  <w:style w:type="numbering" w:customStyle="1" w:styleId="Sinlista983">
    <w:name w:val="Sin lista983"/>
    <w:next w:val="Sinlista"/>
    <w:semiHidden/>
    <w:rsid w:val="00904BA1"/>
  </w:style>
  <w:style w:type="numbering" w:customStyle="1" w:styleId="Sinlista993">
    <w:name w:val="Sin lista993"/>
    <w:next w:val="Sinlista"/>
    <w:semiHidden/>
    <w:rsid w:val="00904BA1"/>
  </w:style>
  <w:style w:type="numbering" w:customStyle="1" w:styleId="Sinlista1003">
    <w:name w:val="Sin lista1003"/>
    <w:next w:val="Sinlista"/>
    <w:semiHidden/>
    <w:rsid w:val="00904BA1"/>
  </w:style>
  <w:style w:type="numbering" w:customStyle="1" w:styleId="Sinlista10113">
    <w:name w:val="Sin lista10113"/>
    <w:next w:val="Sinlista"/>
    <w:semiHidden/>
    <w:rsid w:val="00904BA1"/>
  </w:style>
  <w:style w:type="table" w:customStyle="1" w:styleId="Tablaconcuadrcula19113">
    <w:name w:val="Tabla con cuadrícula19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3">
    <w:name w:val="Sin lista1023"/>
    <w:next w:val="Sinlista"/>
    <w:semiHidden/>
    <w:rsid w:val="00904BA1"/>
  </w:style>
  <w:style w:type="numbering" w:customStyle="1" w:styleId="Sinlista1033">
    <w:name w:val="Sin lista1033"/>
    <w:next w:val="Sinlista"/>
    <w:semiHidden/>
    <w:rsid w:val="00904BA1"/>
  </w:style>
  <w:style w:type="numbering" w:customStyle="1" w:styleId="Sinlista1043">
    <w:name w:val="Sin lista1043"/>
    <w:next w:val="Sinlista"/>
    <w:semiHidden/>
    <w:rsid w:val="00904BA1"/>
  </w:style>
  <w:style w:type="numbering" w:customStyle="1" w:styleId="Sinlista1053">
    <w:name w:val="Sin lista1053"/>
    <w:next w:val="Sinlista"/>
    <w:semiHidden/>
    <w:rsid w:val="00904BA1"/>
  </w:style>
  <w:style w:type="numbering" w:customStyle="1" w:styleId="Sinlista1063">
    <w:name w:val="Sin lista1063"/>
    <w:next w:val="Sinlista"/>
    <w:semiHidden/>
    <w:rsid w:val="00904BA1"/>
  </w:style>
  <w:style w:type="numbering" w:customStyle="1" w:styleId="Sinlista1073">
    <w:name w:val="Sin lista1073"/>
    <w:next w:val="Sinlista"/>
    <w:semiHidden/>
    <w:rsid w:val="00904BA1"/>
  </w:style>
  <w:style w:type="numbering" w:customStyle="1" w:styleId="Sinlista1083">
    <w:name w:val="Sin lista1083"/>
    <w:next w:val="Sinlista"/>
    <w:semiHidden/>
    <w:rsid w:val="00904BA1"/>
  </w:style>
  <w:style w:type="numbering" w:customStyle="1" w:styleId="Sinlista1093">
    <w:name w:val="Sin lista1093"/>
    <w:next w:val="Sinlista"/>
    <w:semiHidden/>
    <w:rsid w:val="00904BA1"/>
  </w:style>
  <w:style w:type="numbering" w:customStyle="1" w:styleId="Sinlista11013">
    <w:name w:val="Sin lista11013"/>
    <w:next w:val="Sinlista"/>
    <w:semiHidden/>
    <w:rsid w:val="00904BA1"/>
  </w:style>
  <w:style w:type="numbering" w:customStyle="1" w:styleId="Sinlista11113">
    <w:name w:val="Sin lista11113"/>
    <w:next w:val="Sinlista"/>
    <w:semiHidden/>
    <w:rsid w:val="00904BA1"/>
  </w:style>
  <w:style w:type="numbering" w:customStyle="1" w:styleId="Sinlista1123">
    <w:name w:val="Sin lista1123"/>
    <w:next w:val="Sinlista"/>
    <w:semiHidden/>
    <w:rsid w:val="00904BA1"/>
  </w:style>
  <w:style w:type="table" w:customStyle="1" w:styleId="Tablaconcuadrcula21113">
    <w:name w:val="Tabla con cuadrícula2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3">
    <w:name w:val="Sin lista1133"/>
    <w:next w:val="Sinlista"/>
    <w:semiHidden/>
    <w:rsid w:val="00904BA1"/>
  </w:style>
  <w:style w:type="numbering" w:customStyle="1" w:styleId="Sinlista1143">
    <w:name w:val="Sin lista1143"/>
    <w:next w:val="Sinlista"/>
    <w:semiHidden/>
    <w:rsid w:val="00904BA1"/>
  </w:style>
  <w:style w:type="numbering" w:customStyle="1" w:styleId="Sinlista1153">
    <w:name w:val="Sin lista1153"/>
    <w:next w:val="Sinlista"/>
    <w:semiHidden/>
    <w:rsid w:val="00904BA1"/>
  </w:style>
  <w:style w:type="numbering" w:customStyle="1" w:styleId="Sinlista1163">
    <w:name w:val="Sin lista1163"/>
    <w:next w:val="Sinlista"/>
    <w:semiHidden/>
    <w:rsid w:val="00904BA1"/>
  </w:style>
  <w:style w:type="numbering" w:customStyle="1" w:styleId="Sinlista1173">
    <w:name w:val="Sin lista1173"/>
    <w:next w:val="Sinlista"/>
    <w:semiHidden/>
    <w:rsid w:val="00904BA1"/>
  </w:style>
  <w:style w:type="numbering" w:customStyle="1" w:styleId="Sinlista1183">
    <w:name w:val="Sin lista1183"/>
    <w:next w:val="Sinlista"/>
    <w:semiHidden/>
    <w:rsid w:val="00904BA1"/>
  </w:style>
  <w:style w:type="numbering" w:customStyle="1" w:styleId="Sinlista1193">
    <w:name w:val="Sin lista1193"/>
    <w:next w:val="Sinlista"/>
    <w:semiHidden/>
    <w:rsid w:val="00904BA1"/>
  </w:style>
  <w:style w:type="table" w:customStyle="1" w:styleId="Tablaconcuadrcula22113">
    <w:name w:val="Tabla con cuadrícula2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3">
    <w:name w:val="Sin lista1203"/>
    <w:next w:val="Sinlista"/>
    <w:semiHidden/>
    <w:rsid w:val="00904BA1"/>
  </w:style>
  <w:style w:type="numbering" w:customStyle="1" w:styleId="Sinlista12113">
    <w:name w:val="Sin lista12113"/>
    <w:next w:val="Sinlista"/>
    <w:semiHidden/>
    <w:rsid w:val="00904BA1"/>
  </w:style>
  <w:style w:type="numbering" w:customStyle="1" w:styleId="Sinlista1223">
    <w:name w:val="Sin lista1223"/>
    <w:next w:val="Sinlista"/>
    <w:semiHidden/>
    <w:rsid w:val="00904BA1"/>
  </w:style>
  <w:style w:type="numbering" w:customStyle="1" w:styleId="Sinlista1233">
    <w:name w:val="Sin lista1233"/>
    <w:next w:val="Sinlista"/>
    <w:semiHidden/>
    <w:rsid w:val="00904BA1"/>
  </w:style>
  <w:style w:type="numbering" w:customStyle="1" w:styleId="Sinlista1243">
    <w:name w:val="Sin lista1243"/>
    <w:next w:val="Sinlista"/>
    <w:semiHidden/>
    <w:rsid w:val="00904BA1"/>
  </w:style>
  <w:style w:type="table" w:customStyle="1" w:styleId="Tablaconcuadrcula23113">
    <w:name w:val="Tabla con cuadrícula23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3">
    <w:name w:val="Sin lista1253"/>
    <w:next w:val="Sinlista"/>
    <w:semiHidden/>
    <w:rsid w:val="00904BA1"/>
  </w:style>
  <w:style w:type="numbering" w:customStyle="1" w:styleId="Sinlista1263">
    <w:name w:val="Sin lista1263"/>
    <w:next w:val="Sinlista"/>
    <w:semiHidden/>
    <w:rsid w:val="00904BA1"/>
  </w:style>
  <w:style w:type="numbering" w:customStyle="1" w:styleId="Sinlista1273">
    <w:name w:val="Sin lista1273"/>
    <w:next w:val="Sinlista"/>
    <w:semiHidden/>
    <w:rsid w:val="00904BA1"/>
  </w:style>
  <w:style w:type="numbering" w:customStyle="1" w:styleId="Sinlista1283">
    <w:name w:val="Sin lista1283"/>
    <w:next w:val="Sinlista"/>
    <w:semiHidden/>
    <w:rsid w:val="00904BA1"/>
  </w:style>
  <w:style w:type="numbering" w:customStyle="1" w:styleId="Sinlista1293">
    <w:name w:val="Sin lista1293"/>
    <w:next w:val="Sinlista"/>
    <w:semiHidden/>
    <w:rsid w:val="00904BA1"/>
  </w:style>
  <w:style w:type="numbering" w:customStyle="1" w:styleId="Sinlista1303">
    <w:name w:val="Sin lista1303"/>
    <w:next w:val="Sinlista"/>
    <w:semiHidden/>
    <w:rsid w:val="00904BA1"/>
  </w:style>
  <w:style w:type="numbering" w:customStyle="1" w:styleId="Sinlista13113">
    <w:name w:val="Sin lista13113"/>
    <w:next w:val="Sinlista"/>
    <w:semiHidden/>
    <w:rsid w:val="00904BA1"/>
  </w:style>
  <w:style w:type="numbering" w:customStyle="1" w:styleId="Sinlista1323">
    <w:name w:val="Sin lista1323"/>
    <w:next w:val="Sinlista"/>
    <w:semiHidden/>
    <w:rsid w:val="00904BA1"/>
  </w:style>
  <w:style w:type="numbering" w:customStyle="1" w:styleId="Sinlista1333">
    <w:name w:val="Sin lista1333"/>
    <w:next w:val="Sinlista"/>
    <w:semiHidden/>
    <w:rsid w:val="00904BA1"/>
  </w:style>
  <w:style w:type="numbering" w:customStyle="1" w:styleId="Sinlista1343">
    <w:name w:val="Sin lista1343"/>
    <w:next w:val="Sinlista"/>
    <w:semiHidden/>
    <w:rsid w:val="00904BA1"/>
  </w:style>
  <w:style w:type="numbering" w:customStyle="1" w:styleId="Sinlista1353">
    <w:name w:val="Sin lista1353"/>
    <w:next w:val="Sinlista"/>
    <w:semiHidden/>
    <w:rsid w:val="00904BA1"/>
  </w:style>
  <w:style w:type="numbering" w:customStyle="1" w:styleId="Sinlista1363">
    <w:name w:val="Sin lista1363"/>
    <w:next w:val="Sinlista"/>
    <w:semiHidden/>
    <w:rsid w:val="00904BA1"/>
  </w:style>
  <w:style w:type="numbering" w:customStyle="1" w:styleId="Sinlista1373">
    <w:name w:val="Sin lista1373"/>
    <w:next w:val="Sinlista"/>
    <w:semiHidden/>
    <w:rsid w:val="00904BA1"/>
  </w:style>
  <w:style w:type="table" w:customStyle="1" w:styleId="Tablaconcuadrcula25113">
    <w:name w:val="Tabla con cuadrícula2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3">
    <w:name w:val="Sin lista1383"/>
    <w:next w:val="Sinlista"/>
    <w:semiHidden/>
    <w:rsid w:val="00904BA1"/>
  </w:style>
  <w:style w:type="numbering" w:customStyle="1" w:styleId="Sinlista1393">
    <w:name w:val="Sin lista1393"/>
    <w:next w:val="Sinlista"/>
    <w:semiHidden/>
    <w:rsid w:val="00904BA1"/>
  </w:style>
  <w:style w:type="numbering" w:customStyle="1" w:styleId="Sinlista1403">
    <w:name w:val="Sin lista1403"/>
    <w:next w:val="Sinlista"/>
    <w:semiHidden/>
    <w:rsid w:val="00904BA1"/>
  </w:style>
  <w:style w:type="numbering" w:customStyle="1" w:styleId="Sinlista14113">
    <w:name w:val="Sin lista14113"/>
    <w:next w:val="Sinlista"/>
    <w:semiHidden/>
    <w:rsid w:val="00904BA1"/>
  </w:style>
  <w:style w:type="numbering" w:customStyle="1" w:styleId="Sinlista1423">
    <w:name w:val="Sin lista1423"/>
    <w:next w:val="Sinlista"/>
    <w:semiHidden/>
    <w:rsid w:val="00904BA1"/>
  </w:style>
  <w:style w:type="numbering" w:customStyle="1" w:styleId="Sinlista1433">
    <w:name w:val="Sin lista1433"/>
    <w:next w:val="Sinlista"/>
    <w:semiHidden/>
    <w:rsid w:val="00904BA1"/>
  </w:style>
  <w:style w:type="table" w:customStyle="1" w:styleId="Tablaconcuadrcula26113">
    <w:name w:val="Tabla con cuadrícula2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3">
    <w:name w:val="Sin lista1443"/>
    <w:next w:val="Sinlista"/>
    <w:semiHidden/>
    <w:rsid w:val="00904BA1"/>
  </w:style>
  <w:style w:type="numbering" w:customStyle="1" w:styleId="Sinlista1453">
    <w:name w:val="Sin lista1453"/>
    <w:next w:val="Sinlista"/>
    <w:semiHidden/>
    <w:rsid w:val="00904BA1"/>
  </w:style>
  <w:style w:type="numbering" w:customStyle="1" w:styleId="Sinlista1463">
    <w:name w:val="Sin lista1463"/>
    <w:next w:val="Sinlista"/>
    <w:semiHidden/>
    <w:rsid w:val="00904BA1"/>
  </w:style>
  <w:style w:type="numbering" w:customStyle="1" w:styleId="Sinlista1473">
    <w:name w:val="Sin lista1473"/>
    <w:next w:val="Sinlista"/>
    <w:semiHidden/>
    <w:rsid w:val="00904BA1"/>
  </w:style>
  <w:style w:type="table" w:customStyle="1" w:styleId="Tablaconcuadrcula27113">
    <w:name w:val="Tabla con cuadrícula27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3">
    <w:name w:val="Sin lista1483"/>
    <w:next w:val="Sinlista"/>
    <w:semiHidden/>
    <w:rsid w:val="00904BA1"/>
  </w:style>
  <w:style w:type="numbering" w:customStyle="1" w:styleId="Sinlista1493">
    <w:name w:val="Sin lista1493"/>
    <w:next w:val="Sinlista"/>
    <w:semiHidden/>
    <w:rsid w:val="00904BA1"/>
  </w:style>
  <w:style w:type="numbering" w:customStyle="1" w:styleId="Sinlista1503">
    <w:name w:val="Sin lista1503"/>
    <w:next w:val="Sinlista"/>
    <w:semiHidden/>
    <w:rsid w:val="00904BA1"/>
  </w:style>
  <w:style w:type="numbering" w:customStyle="1" w:styleId="Sinlista15113">
    <w:name w:val="Sin lista15113"/>
    <w:next w:val="Sinlista"/>
    <w:semiHidden/>
    <w:rsid w:val="00904BA1"/>
  </w:style>
  <w:style w:type="numbering" w:customStyle="1" w:styleId="Sinlista1523">
    <w:name w:val="Sin lista1523"/>
    <w:next w:val="Sinlista"/>
    <w:semiHidden/>
    <w:rsid w:val="00904BA1"/>
  </w:style>
  <w:style w:type="numbering" w:customStyle="1" w:styleId="Sinlista1533">
    <w:name w:val="Sin lista1533"/>
    <w:next w:val="Sinlista"/>
    <w:semiHidden/>
    <w:rsid w:val="00904BA1"/>
  </w:style>
  <w:style w:type="numbering" w:customStyle="1" w:styleId="Sinlista1543">
    <w:name w:val="Sin lista1543"/>
    <w:next w:val="Sinlista"/>
    <w:semiHidden/>
    <w:rsid w:val="00904BA1"/>
  </w:style>
  <w:style w:type="numbering" w:customStyle="1" w:styleId="Sinlista1553">
    <w:name w:val="Sin lista1553"/>
    <w:next w:val="Sinlista"/>
    <w:semiHidden/>
    <w:rsid w:val="00904BA1"/>
  </w:style>
  <w:style w:type="numbering" w:customStyle="1" w:styleId="111111121">
    <w:name w:val="1 / 1.1 / 1.1.1121"/>
    <w:basedOn w:val="Sinlista"/>
    <w:next w:val="111111"/>
    <w:rsid w:val="00904BA1"/>
  </w:style>
  <w:style w:type="numbering" w:customStyle="1" w:styleId="111111211">
    <w:name w:val="1 / 1.1 / 1.1.1211"/>
    <w:basedOn w:val="Sinlista"/>
    <w:next w:val="111111"/>
    <w:rsid w:val="00904BA1"/>
    <w:pPr>
      <w:numPr>
        <w:numId w:val="10"/>
      </w:numPr>
    </w:pPr>
  </w:style>
  <w:style w:type="table" w:customStyle="1" w:styleId="Tablaconcuadrcula11011">
    <w:name w:val="Tabla con cuadrícula110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basedOn w:val="Sinlista"/>
    <w:next w:val="111111"/>
    <w:rsid w:val="00904BA1"/>
    <w:pPr>
      <w:numPr>
        <w:numId w:val="5"/>
      </w:numPr>
    </w:pPr>
  </w:style>
  <w:style w:type="numbering" w:customStyle="1" w:styleId="111111112">
    <w:name w:val="1 / 1.1 / 1.1.1112"/>
    <w:basedOn w:val="Sinlista"/>
    <w:next w:val="111111"/>
    <w:rsid w:val="00904BA1"/>
  </w:style>
  <w:style w:type="table" w:customStyle="1" w:styleId="Tablaconcuadrcula2541">
    <w:name w:val="Tabla con cuadrícula2541"/>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6">
    <w:name w:val="Tabla con cuadrícula2616"/>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1">
    <w:name w:val="1 / 1.1 / 1.1.11111"/>
    <w:basedOn w:val="Sinlista"/>
    <w:next w:val="111111"/>
    <w:rsid w:val="00904BA1"/>
    <w:pPr>
      <w:numPr>
        <w:numId w:val="7"/>
      </w:numPr>
    </w:pPr>
  </w:style>
  <w:style w:type="table" w:customStyle="1" w:styleId="Tablaconcuadrcula2716">
    <w:name w:val="Tabla con cuadrícula2716"/>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11">
    <w:name w:val="Tabla con cuadrícula110111"/>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3">
    <w:name w:val="1 / 1.1 / 1.1.123"/>
    <w:basedOn w:val="Sinlista"/>
    <w:next w:val="111111"/>
    <w:rsid w:val="00904BA1"/>
  </w:style>
  <w:style w:type="table" w:customStyle="1" w:styleId="Tablaconcuadrcula25411">
    <w:name w:val="Tabla con cuadrícula254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2">
    <w:name w:val="1 / 1.1 / 1.1.1122"/>
    <w:basedOn w:val="Sinlista"/>
    <w:next w:val="111111"/>
    <w:rsid w:val="00904BA1"/>
    <w:pPr>
      <w:numPr>
        <w:numId w:val="4"/>
      </w:numPr>
    </w:pPr>
  </w:style>
  <w:style w:type="numbering" w:customStyle="1" w:styleId="111111212">
    <w:name w:val="1 / 1.1 / 1.1.1212"/>
    <w:basedOn w:val="Sinlista"/>
    <w:next w:val="111111"/>
    <w:rsid w:val="00904BA1"/>
    <w:pPr>
      <w:numPr>
        <w:numId w:val="6"/>
      </w:numPr>
    </w:pPr>
  </w:style>
  <w:style w:type="numbering" w:customStyle="1" w:styleId="Sinlista166">
    <w:name w:val="Sin lista166"/>
    <w:next w:val="Sinlista"/>
    <w:semiHidden/>
    <w:rsid w:val="0018011E"/>
  </w:style>
  <w:style w:type="table" w:customStyle="1" w:styleId="Tablaconcuadrcula287">
    <w:name w:val="Tabla con cuadrícula287"/>
    <w:basedOn w:val="Tablanormal"/>
    <w:next w:val="Tablaconcuadrcula"/>
    <w:rsid w:val="00AE34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8">
    <w:name w:val="Tabla con cuadrícula288"/>
    <w:basedOn w:val="Tablanormal"/>
    <w:next w:val="Tablaconcuadrcula"/>
    <w:rsid w:val="00B21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7">
    <w:name w:val="Sin lista167"/>
    <w:next w:val="Sinlista"/>
    <w:semiHidden/>
    <w:rsid w:val="0018317D"/>
  </w:style>
  <w:style w:type="table" w:customStyle="1" w:styleId="Tablaconcuadrcula289">
    <w:name w:val="Tabla con cuadrícula289"/>
    <w:basedOn w:val="Tablanormal"/>
    <w:next w:val="Tablaconcuadrcula"/>
    <w:rsid w:val="001831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0">
    <w:name w:val="Tabla con cuadrícula290"/>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1">
    <w:name w:val="Tabla con cuadrícula291"/>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2">
    <w:name w:val="Tabla con cuadrícula292"/>
    <w:basedOn w:val="Tablanormal"/>
    <w:next w:val="Tablaconcuadrcula"/>
    <w:rsid w:val="00E52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4">
    <w:name w:val="Tabla con cuadrícula294"/>
    <w:basedOn w:val="Tablanormal"/>
    <w:next w:val="Tablaconcuadrcula"/>
    <w:rsid w:val="005106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8">
    <w:name w:val="Sin lista168"/>
    <w:next w:val="Sinlista"/>
    <w:semiHidden/>
    <w:rsid w:val="00BA1038"/>
  </w:style>
  <w:style w:type="table" w:customStyle="1" w:styleId="Tablaconcuadrcula295">
    <w:name w:val="Tabla con cuadrícula295"/>
    <w:basedOn w:val="Tablanormal"/>
    <w:next w:val="Tablaconcuadrcula"/>
    <w:rsid w:val="00BA1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9">
    <w:name w:val="Sin lista169"/>
    <w:next w:val="Sinlista"/>
    <w:semiHidden/>
    <w:rsid w:val="00242136"/>
  </w:style>
  <w:style w:type="table" w:customStyle="1" w:styleId="Tablaconcuadrcula296">
    <w:name w:val="Tabla con cuadrícula296"/>
    <w:basedOn w:val="Tablanormal"/>
    <w:next w:val="Tablaconcuadrcula"/>
    <w:rsid w:val="002421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0">
    <w:name w:val="Tabla con cuadrícula 136"/>
    <w:basedOn w:val="Tablanormal"/>
    <w:next w:val="Tablaconcuadrcula10"/>
    <w:rsid w:val="00C661F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97">
    <w:name w:val="Tabla con cuadrícula297"/>
    <w:basedOn w:val="Tablanormal"/>
    <w:next w:val="Tablaconcuadrcula"/>
    <w:rsid w:val="001770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8">
    <w:name w:val="Tabla con cuadrícula298"/>
    <w:basedOn w:val="Tablanormal"/>
    <w:next w:val="Tablaconcuadrcula"/>
    <w:rsid w:val="000220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0">
    <w:name w:val="Sin lista170"/>
    <w:next w:val="Sinlista"/>
    <w:semiHidden/>
    <w:rsid w:val="009A0A04"/>
  </w:style>
  <w:style w:type="numbering" w:customStyle="1" w:styleId="Sinlista174">
    <w:name w:val="Sin lista174"/>
    <w:next w:val="Sinlista"/>
    <w:semiHidden/>
    <w:rsid w:val="00FB3E5B"/>
  </w:style>
  <w:style w:type="table" w:customStyle="1" w:styleId="Tablaconcuadrcula299">
    <w:name w:val="Tabla con cuadrícula299"/>
    <w:basedOn w:val="Tablanormal"/>
    <w:next w:val="Tablaconcuadrcula"/>
    <w:rsid w:val="00FB3E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5">
    <w:name w:val="Sin lista175"/>
    <w:next w:val="Sinlista"/>
    <w:semiHidden/>
    <w:rsid w:val="00653B9E"/>
  </w:style>
  <w:style w:type="paragraph" w:customStyle="1" w:styleId="titpuntos">
    <w:name w:val="tit_puntos"/>
    <w:basedOn w:val="Normal"/>
    <w:uiPriority w:val="99"/>
    <w:rsid w:val="00653B9E"/>
    <w:pPr>
      <w:spacing w:before="100" w:beforeAutospacing="1" w:after="100" w:afterAutospacing="1"/>
    </w:pPr>
    <w:rPr>
      <w:rFonts w:eastAsia="Times New Roman"/>
      <w:lang w:val="es-ES"/>
    </w:rPr>
  </w:style>
  <w:style w:type="table" w:customStyle="1" w:styleId="Tablaconcuadrcula300">
    <w:name w:val="Tabla con cuadrícula300"/>
    <w:basedOn w:val="Tablanormal"/>
    <w:next w:val="Tablaconcuadrcula"/>
    <w:rsid w:val="00420A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0">
    <w:name w:val="Tabla con cuadrícula 137"/>
    <w:basedOn w:val="Tablanormal"/>
    <w:next w:val="Tablaconcuadrcula10"/>
    <w:rsid w:val="00C47FE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01">
    <w:name w:val="Tabla con cuadrícula301"/>
    <w:basedOn w:val="Tablanormal"/>
    <w:next w:val="Tablaconcuadrcula"/>
    <w:rsid w:val="001110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6">
    <w:name w:val="Sin lista176"/>
    <w:next w:val="Sinlista"/>
    <w:semiHidden/>
    <w:rsid w:val="00C05CDD"/>
  </w:style>
  <w:style w:type="numbering" w:customStyle="1" w:styleId="Sinlista177">
    <w:name w:val="Sin lista177"/>
    <w:next w:val="Sinlista"/>
    <w:semiHidden/>
    <w:rsid w:val="00961703"/>
  </w:style>
  <w:style w:type="paragraph" w:styleId="TDC2">
    <w:name w:val="toc 2"/>
    <w:basedOn w:val="Normal"/>
    <w:next w:val="Normal"/>
    <w:autoRedefine/>
    <w:uiPriority w:val="99"/>
    <w:rsid w:val="006626D3"/>
    <w:pPr>
      <w:tabs>
        <w:tab w:val="left" w:pos="660"/>
        <w:tab w:val="right" w:leader="dot" w:pos="8494"/>
      </w:tabs>
      <w:spacing w:before="60"/>
      <w:ind w:left="709" w:hanging="709"/>
      <w:jc w:val="both"/>
    </w:pPr>
    <w:rPr>
      <w:rFonts w:ascii="Arial" w:eastAsia="Times New Roman" w:hAnsi="Arial"/>
      <w:sz w:val="22"/>
      <w:lang w:val="es-ES"/>
    </w:rPr>
  </w:style>
  <w:style w:type="paragraph" w:styleId="TDC1">
    <w:name w:val="toc 1"/>
    <w:basedOn w:val="Normal"/>
    <w:next w:val="Normal"/>
    <w:autoRedefine/>
    <w:uiPriority w:val="99"/>
    <w:rsid w:val="006626D3"/>
    <w:pPr>
      <w:spacing w:before="240"/>
      <w:jc w:val="both"/>
    </w:pPr>
    <w:rPr>
      <w:rFonts w:ascii="Arial" w:eastAsia="Times New Roman" w:hAnsi="Arial"/>
      <w:b/>
      <w:sz w:val="22"/>
      <w:lang w:val="es-ES"/>
    </w:rPr>
  </w:style>
  <w:style w:type="paragraph" w:styleId="TDC3">
    <w:name w:val="toc 3"/>
    <w:basedOn w:val="Normal"/>
    <w:next w:val="Normal"/>
    <w:autoRedefine/>
    <w:uiPriority w:val="99"/>
    <w:rsid w:val="006626D3"/>
    <w:pPr>
      <w:jc w:val="both"/>
    </w:pPr>
    <w:rPr>
      <w:rFonts w:ascii="Arial" w:eastAsia="Times New Roman" w:hAnsi="Arial"/>
      <w:sz w:val="22"/>
      <w:lang w:val="es-ES"/>
    </w:rPr>
  </w:style>
  <w:style w:type="paragraph" w:customStyle="1" w:styleId="EstiloTtulo214pt">
    <w:name w:val="Estilo Título 2 + 14 pt"/>
    <w:basedOn w:val="Ttulo2"/>
    <w:uiPriority w:val="99"/>
    <w:rsid w:val="006626D3"/>
    <w:pPr>
      <w:tabs>
        <w:tab w:val="num" w:pos="709"/>
      </w:tabs>
      <w:spacing w:after="240"/>
      <w:ind w:left="709" w:hanging="709"/>
      <w:jc w:val="both"/>
    </w:pPr>
    <w:rPr>
      <w:rFonts w:ascii="Arial" w:eastAsia="Times New Roman" w:hAnsi="Arial" w:cs="Arial"/>
      <w:sz w:val="28"/>
      <w:szCs w:val="22"/>
    </w:rPr>
  </w:style>
  <w:style w:type="numbering" w:customStyle="1" w:styleId="Sinlista178">
    <w:name w:val="Sin lista178"/>
    <w:next w:val="Sinlista"/>
    <w:semiHidden/>
    <w:rsid w:val="00D92F23"/>
  </w:style>
  <w:style w:type="table" w:customStyle="1" w:styleId="Tablaconcuadrcula302">
    <w:name w:val="Tabla con cuadrícula302"/>
    <w:basedOn w:val="Tablanormal"/>
    <w:next w:val="Tablaconcuadrcula"/>
    <w:rsid w:val="00D92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9">
    <w:name w:val="Sin lista179"/>
    <w:next w:val="Sinlista"/>
    <w:semiHidden/>
    <w:rsid w:val="006A7FF5"/>
  </w:style>
  <w:style w:type="numbering" w:customStyle="1" w:styleId="Sinlista180">
    <w:name w:val="Sin lista180"/>
    <w:next w:val="Sinlista"/>
    <w:semiHidden/>
    <w:rsid w:val="00F03841"/>
  </w:style>
  <w:style w:type="paragraph" w:customStyle="1" w:styleId="Style50">
    <w:name w:val="Style 5"/>
    <w:basedOn w:val="Normal"/>
    <w:uiPriority w:val="99"/>
    <w:rsid w:val="00F03841"/>
    <w:pPr>
      <w:widowControl w:val="0"/>
      <w:spacing w:before="252"/>
      <w:jc w:val="both"/>
    </w:pPr>
    <w:rPr>
      <w:rFonts w:eastAsia="Times New Roman"/>
      <w:sz w:val="22"/>
      <w:szCs w:val="22"/>
      <w:lang w:val="en-US"/>
    </w:rPr>
  </w:style>
  <w:style w:type="paragraph" w:customStyle="1" w:styleId="Style6">
    <w:name w:val="Style 6"/>
    <w:basedOn w:val="Normal"/>
    <w:uiPriority w:val="99"/>
    <w:rsid w:val="00F03841"/>
    <w:pPr>
      <w:widowControl w:val="0"/>
    </w:pPr>
    <w:rPr>
      <w:rFonts w:eastAsia="Times New Roman"/>
      <w:sz w:val="6"/>
      <w:szCs w:val="6"/>
      <w:lang w:val="en-US"/>
    </w:rPr>
  </w:style>
  <w:style w:type="paragraph" w:customStyle="1" w:styleId="Style4">
    <w:name w:val="Style 4"/>
    <w:basedOn w:val="Normal"/>
    <w:uiPriority w:val="99"/>
    <w:rsid w:val="00F03841"/>
    <w:pPr>
      <w:widowControl w:val="0"/>
    </w:pPr>
    <w:rPr>
      <w:rFonts w:eastAsia="Times New Roman"/>
      <w:sz w:val="20"/>
      <w:szCs w:val="20"/>
      <w:lang w:val="en-US"/>
    </w:rPr>
  </w:style>
  <w:style w:type="paragraph" w:customStyle="1" w:styleId="Style3">
    <w:name w:val="Style 3"/>
    <w:basedOn w:val="Normal"/>
    <w:uiPriority w:val="99"/>
    <w:rsid w:val="00F03841"/>
    <w:pPr>
      <w:widowControl w:val="0"/>
      <w:ind w:left="72"/>
      <w:jc w:val="both"/>
    </w:pPr>
    <w:rPr>
      <w:rFonts w:eastAsia="Times New Roman"/>
      <w:lang w:val="en-US"/>
    </w:rPr>
  </w:style>
  <w:style w:type="paragraph" w:customStyle="1" w:styleId="Style2">
    <w:name w:val="Style 2"/>
    <w:basedOn w:val="Normal"/>
    <w:uiPriority w:val="99"/>
    <w:rsid w:val="00F03841"/>
    <w:pPr>
      <w:widowControl w:val="0"/>
    </w:pPr>
    <w:rPr>
      <w:rFonts w:eastAsia="Times New Roman"/>
      <w:lang w:val="en-US"/>
    </w:rPr>
  </w:style>
  <w:style w:type="paragraph" w:customStyle="1" w:styleId="Style21">
    <w:name w:val="Style 21"/>
    <w:basedOn w:val="Normal"/>
    <w:uiPriority w:val="99"/>
    <w:rsid w:val="00F03841"/>
    <w:pPr>
      <w:widowControl w:val="0"/>
      <w:spacing w:line="96" w:lineRule="exact"/>
    </w:pPr>
    <w:rPr>
      <w:rFonts w:eastAsia="Times New Roman"/>
      <w:lang w:val="en-US"/>
    </w:rPr>
  </w:style>
  <w:style w:type="character" w:customStyle="1" w:styleId="CharacterStyle1">
    <w:name w:val="Character Style 1"/>
    <w:uiPriority w:val="99"/>
    <w:rsid w:val="00F03841"/>
    <w:rPr>
      <w:rFonts w:ascii="Times New Roman" w:hAnsi="Times New Roman" w:cs="Times New Roman"/>
      <w:sz w:val="22"/>
      <w:szCs w:val="22"/>
    </w:rPr>
  </w:style>
  <w:style w:type="character" w:customStyle="1" w:styleId="CharacterStyle17">
    <w:name w:val="Character Style 17"/>
    <w:uiPriority w:val="99"/>
    <w:rsid w:val="00F03841"/>
    <w:rPr>
      <w:rFonts w:ascii="Times New Roman" w:hAnsi="Times New Roman" w:cs="Times New Roman"/>
      <w:sz w:val="6"/>
      <w:szCs w:val="6"/>
    </w:rPr>
  </w:style>
  <w:style w:type="character" w:customStyle="1" w:styleId="CharacterStyle19">
    <w:name w:val="Character Style 19"/>
    <w:rsid w:val="00F03841"/>
    <w:rPr>
      <w:rFonts w:ascii="Times New Roman" w:hAnsi="Times New Roman" w:cs="Times New Roman"/>
      <w:sz w:val="20"/>
      <w:szCs w:val="20"/>
    </w:rPr>
  </w:style>
  <w:style w:type="character" w:customStyle="1" w:styleId="CharacterStyle3">
    <w:name w:val="Character Style 3"/>
    <w:uiPriority w:val="99"/>
    <w:rsid w:val="00F03841"/>
    <w:rPr>
      <w:rFonts w:ascii="Times New Roman" w:hAnsi="Times New Roman" w:cs="Times New Roman"/>
      <w:sz w:val="20"/>
      <w:szCs w:val="20"/>
    </w:rPr>
  </w:style>
  <w:style w:type="character" w:customStyle="1" w:styleId="CharacterStyle10">
    <w:name w:val="Character Style 10"/>
    <w:uiPriority w:val="99"/>
    <w:rsid w:val="00F03841"/>
    <w:rPr>
      <w:rFonts w:ascii="Times New Roman" w:hAnsi="Times New Roman" w:cs="Times New Roman"/>
      <w:b/>
      <w:sz w:val="20"/>
      <w:szCs w:val="20"/>
    </w:rPr>
  </w:style>
  <w:style w:type="character" w:customStyle="1" w:styleId="CharacterStyle23">
    <w:name w:val="Character Style 23"/>
    <w:uiPriority w:val="99"/>
    <w:rsid w:val="00F03841"/>
    <w:rPr>
      <w:rFonts w:ascii="Times New Roman" w:hAnsi="Times New Roman" w:cs="Times New Roman"/>
      <w:sz w:val="18"/>
      <w:szCs w:val="18"/>
    </w:rPr>
  </w:style>
  <w:style w:type="table" w:customStyle="1" w:styleId="Tablaconcuadrcula303">
    <w:name w:val="Tabla con cuadrícula303"/>
    <w:basedOn w:val="Tablanormal"/>
    <w:next w:val="Tablaconcuadrcula"/>
    <w:rsid w:val="00F03841"/>
    <w:pPr>
      <w:widowControl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4">
    <w:name w:val="Sin lista184"/>
    <w:next w:val="Sinlista"/>
    <w:semiHidden/>
    <w:rsid w:val="003F78D9"/>
  </w:style>
  <w:style w:type="table" w:customStyle="1" w:styleId="Tablaconcuadrcula304">
    <w:name w:val="Tabla con cuadrícula304"/>
    <w:basedOn w:val="Tablanormal"/>
    <w:next w:val="Tablaconcuadrcula"/>
    <w:rsid w:val="00E019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5">
    <w:name w:val="Tabla con cuadrícula305"/>
    <w:basedOn w:val="Tablanormal"/>
    <w:next w:val="Tablaconcuadrcula"/>
    <w:rsid w:val="00B30E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6">
    <w:name w:val="Tabla con cuadrícula306"/>
    <w:basedOn w:val="Tablanormal"/>
    <w:next w:val="Tablaconcuadrcula"/>
    <w:rsid w:val="007222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5">
    <w:name w:val="Sin lista185"/>
    <w:next w:val="Sinlista"/>
    <w:semiHidden/>
    <w:rsid w:val="009C3B05"/>
  </w:style>
  <w:style w:type="numbering" w:customStyle="1" w:styleId="Sinlista186">
    <w:name w:val="Sin lista186"/>
    <w:next w:val="Sinlista"/>
    <w:semiHidden/>
    <w:rsid w:val="000A562F"/>
  </w:style>
  <w:style w:type="character" w:customStyle="1" w:styleId="Ttulo4Car">
    <w:name w:val="Título 4 Car"/>
    <w:aliases w:val="num.                                               4 Car"/>
    <w:basedOn w:val="Fuentedeprrafopredeter"/>
    <w:link w:val="Ttulo4"/>
    <w:uiPriority w:val="9"/>
    <w:locked/>
    <w:rsid w:val="000A562F"/>
    <w:rPr>
      <w:rFonts w:eastAsia="SimSun"/>
      <w:b/>
      <w:bCs/>
      <w:caps/>
      <w:sz w:val="18"/>
      <w:szCs w:val="26"/>
      <w:lang w:val="es-ES" w:eastAsia="es-ES" w:bidi="ar-SA"/>
    </w:rPr>
  </w:style>
  <w:style w:type="character" w:customStyle="1" w:styleId="Ttulo5Car">
    <w:name w:val="Título 5 Car"/>
    <w:aliases w:val="num.                                       5 Car"/>
    <w:basedOn w:val="Fuentedeprrafopredeter"/>
    <w:link w:val="Ttulo5"/>
    <w:uiPriority w:val="9"/>
    <w:locked/>
    <w:rsid w:val="000A562F"/>
    <w:rPr>
      <w:rFonts w:eastAsia="SimSun"/>
      <w:b/>
      <w:bCs/>
      <w:szCs w:val="22"/>
      <w:lang w:val="es-ES" w:eastAsia="es-ES" w:bidi="ar-SA"/>
    </w:rPr>
  </w:style>
  <w:style w:type="character" w:customStyle="1" w:styleId="CarCar">
    <w:name w:val="Car Car"/>
    <w:basedOn w:val="Fuentedeprrafopredeter"/>
    <w:locked/>
    <w:rsid w:val="000A562F"/>
    <w:rPr>
      <w:lang w:val="es-ES" w:eastAsia="es-ES" w:bidi="ar-SA"/>
    </w:rPr>
  </w:style>
  <w:style w:type="character" w:customStyle="1" w:styleId="parasmallboldcolourtext1">
    <w:name w:val="parasmallboldcolourtext1"/>
    <w:basedOn w:val="Fuentedeprrafopredeter"/>
    <w:rsid w:val="000A562F"/>
    <w:rPr>
      <w:b/>
      <w:bCs/>
      <w:color w:val="0080FF"/>
      <w:sz w:val="16"/>
      <w:szCs w:val="16"/>
    </w:rPr>
  </w:style>
  <w:style w:type="character" w:customStyle="1" w:styleId="paranormaltext1">
    <w:name w:val="paranormaltext1"/>
    <w:basedOn w:val="Fuentedeprrafopredeter"/>
    <w:rsid w:val="000A562F"/>
    <w:rPr>
      <w:b w:val="0"/>
      <w:bCs w:val="0"/>
      <w:color w:val="000000"/>
      <w:sz w:val="20"/>
      <w:szCs w:val="20"/>
    </w:rPr>
  </w:style>
  <w:style w:type="table" w:customStyle="1" w:styleId="Tablaconcuadrcula307">
    <w:name w:val="Tabla con cuadrícula307"/>
    <w:basedOn w:val="Tablanormal"/>
    <w:next w:val="Tablaconcuadrcula"/>
    <w:rsid w:val="000A562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08">
    <w:name w:val="Tabla con cuadrícula308"/>
    <w:basedOn w:val="Tablanormal"/>
    <w:next w:val="Tablaconcuadrcula"/>
    <w:rsid w:val="00B97D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9">
    <w:name w:val="Tabla con cuadrícula309"/>
    <w:basedOn w:val="Tablanormal"/>
    <w:next w:val="Tablaconcuadrcula"/>
    <w:rsid w:val="006513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
    <w:name w:val="Tabla con cuadrícula310"/>
    <w:basedOn w:val="Tablanormal"/>
    <w:next w:val="Tablaconcuadrcula"/>
    <w:rsid w:val="002E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DA52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7">
    <w:name w:val="Sin lista187"/>
    <w:next w:val="Sinlista"/>
    <w:semiHidden/>
    <w:rsid w:val="00210D3D"/>
  </w:style>
  <w:style w:type="table" w:customStyle="1" w:styleId="Tablaconcuadrcula312">
    <w:name w:val="Tabla con cuadrícula312"/>
    <w:basedOn w:val="Tablanormal"/>
    <w:next w:val="Tablaconcuadrcula"/>
    <w:rsid w:val="00210D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next w:val="Tablaconcuadrcula"/>
    <w:rsid w:val="00673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8">
    <w:name w:val="Sin lista188"/>
    <w:next w:val="Sinlista"/>
    <w:semiHidden/>
    <w:rsid w:val="00155473"/>
  </w:style>
  <w:style w:type="table" w:customStyle="1" w:styleId="Tablaconcuadrcula314">
    <w:name w:val="Tabla con cuadrícula314"/>
    <w:basedOn w:val="Tablanormal"/>
    <w:next w:val="Tablaconcuadrcula"/>
    <w:rsid w:val="0015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5">
    <w:name w:val="Tabla con cuadrícula315"/>
    <w:basedOn w:val="Tablanormal"/>
    <w:next w:val="Tablaconcuadrcula"/>
    <w:rsid w:val="005961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9">
    <w:name w:val="Sin lista189"/>
    <w:next w:val="Sinlista"/>
    <w:semiHidden/>
    <w:rsid w:val="00751597"/>
  </w:style>
  <w:style w:type="table" w:customStyle="1" w:styleId="Tablaconcuadrcula316">
    <w:name w:val="Tabla con cuadrícula316"/>
    <w:basedOn w:val="Tablanormal"/>
    <w:next w:val="Tablaconcuadrcula"/>
    <w:rsid w:val="007515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7">
    <w:name w:val="Tabla con cuadrícula317"/>
    <w:basedOn w:val="Tablanormal"/>
    <w:next w:val="Tablaconcuadrcula"/>
    <w:rsid w:val="006024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8">
    <w:name w:val="Tabla con cuadrícula318"/>
    <w:basedOn w:val="Tablanormal"/>
    <w:next w:val="Tablaconcuadrcula"/>
    <w:rsid w:val="000A69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0">
    <w:name w:val="Sin lista190"/>
    <w:next w:val="Sinlista"/>
    <w:semiHidden/>
    <w:rsid w:val="000A691E"/>
  </w:style>
  <w:style w:type="table" w:customStyle="1" w:styleId="Tablaconcuadrcula1380">
    <w:name w:val="Tabla con cuadrícula 138"/>
    <w:basedOn w:val="Tablanormal"/>
    <w:next w:val="Tablaconcuadrcula10"/>
    <w:rsid w:val="000A691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9">
    <w:name w:val="Tabla con cuadrícula319"/>
    <w:basedOn w:val="Tablanormal"/>
    <w:next w:val="Tablaconcuadrcula"/>
    <w:rsid w:val="001F7C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4">
    <w:name w:val="Sin lista194"/>
    <w:next w:val="Sinlista"/>
    <w:semiHidden/>
    <w:rsid w:val="0056162E"/>
  </w:style>
  <w:style w:type="numbering" w:customStyle="1" w:styleId="Sinlista195">
    <w:name w:val="Sin lista195"/>
    <w:next w:val="Sinlista"/>
    <w:semiHidden/>
    <w:rsid w:val="00C71328"/>
  </w:style>
  <w:style w:type="table" w:customStyle="1" w:styleId="Tablaconcuadrcula320">
    <w:name w:val="Tabla con cuadrícula320"/>
    <w:basedOn w:val="Tablanormal"/>
    <w:next w:val="Tablaconcuadrcula"/>
    <w:rsid w:val="00EA5C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0">
    <w:name w:val="Tabla con cuadrícula 139"/>
    <w:basedOn w:val="Tablanormal"/>
    <w:next w:val="Tablaconcuadrcula10"/>
    <w:rsid w:val="00FC1E6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21">
    <w:name w:val="Tabla con cuadrícula321"/>
    <w:basedOn w:val="Tablanormal"/>
    <w:next w:val="Tablaconcuadrcula"/>
    <w:rsid w:val="00A135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2">
    <w:name w:val="Tabla con cuadrícula322"/>
    <w:basedOn w:val="Tablanormal"/>
    <w:next w:val="Tablaconcuadrcula"/>
    <w:rsid w:val="00DD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6">
    <w:name w:val="Sin lista196"/>
    <w:next w:val="Sinlista"/>
    <w:semiHidden/>
    <w:rsid w:val="001E1CAA"/>
  </w:style>
  <w:style w:type="table" w:customStyle="1" w:styleId="Tablaconcuadrcula323">
    <w:name w:val="Tabla con cuadrícula323"/>
    <w:basedOn w:val="Tablanormal"/>
    <w:next w:val="Tablaconcuadrcula"/>
    <w:rsid w:val="008D25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4">
    <w:name w:val="Tabla con cuadrícula324"/>
    <w:basedOn w:val="Tablanormal"/>
    <w:next w:val="Tablaconcuadrcula"/>
    <w:rsid w:val="00414F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5">
    <w:name w:val="Tabla con cuadrícula325"/>
    <w:basedOn w:val="Tablanormal"/>
    <w:next w:val="Tablaconcuadrcula"/>
    <w:rsid w:val="005341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7">
    <w:name w:val="Sin lista197"/>
    <w:next w:val="Sinlista"/>
    <w:semiHidden/>
    <w:rsid w:val="00155B7C"/>
  </w:style>
  <w:style w:type="table" w:customStyle="1" w:styleId="Tablaconcuadrcula326">
    <w:name w:val="Tabla con cuadrícula326"/>
    <w:basedOn w:val="Tablanormal"/>
    <w:next w:val="Tablaconcuadrcula"/>
    <w:rsid w:val="00155B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7">
    <w:name w:val="Tabla con cuadrícula327"/>
    <w:basedOn w:val="Tablanormal"/>
    <w:next w:val="Tablaconcuadrcula"/>
    <w:rsid w:val="00A008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8">
    <w:name w:val="Sin lista198"/>
    <w:next w:val="Sinlista"/>
    <w:semiHidden/>
    <w:rsid w:val="001952E4"/>
  </w:style>
  <w:style w:type="table" w:customStyle="1" w:styleId="Tablaconcuadrcula328">
    <w:name w:val="Tabla con cuadrícula328"/>
    <w:basedOn w:val="Tablanormal"/>
    <w:next w:val="Tablaconcuadrcula"/>
    <w:rsid w:val="001952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9">
    <w:name w:val="Tabla con cuadrícula329"/>
    <w:basedOn w:val="Tablanormal"/>
    <w:next w:val="Tablaconcuadrcula"/>
    <w:rsid w:val="00327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9">
    <w:name w:val="Sin lista199"/>
    <w:next w:val="Sinlista"/>
    <w:semiHidden/>
    <w:rsid w:val="00CC266C"/>
  </w:style>
  <w:style w:type="table" w:customStyle="1" w:styleId="Tablaconcuadrcula330">
    <w:name w:val="Tabla con cuadrícula330"/>
    <w:basedOn w:val="Tablanormal"/>
    <w:next w:val="Tablaconcuadrcula"/>
    <w:rsid w:val="00CC26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next w:val="Tablaconcuadrcula"/>
    <w:rsid w:val="000D47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0">
    <w:name w:val="Sin lista200"/>
    <w:next w:val="Sinlista"/>
    <w:semiHidden/>
    <w:rsid w:val="0011468D"/>
  </w:style>
  <w:style w:type="table" w:customStyle="1" w:styleId="Tablaconcuadrcula332">
    <w:name w:val="Tabla con cuadrícula332"/>
    <w:basedOn w:val="Tablanormal"/>
    <w:next w:val="Tablaconcuadrcula"/>
    <w:rsid w:val="00B96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4">
    <w:name w:val="Sin lista204"/>
    <w:next w:val="Sinlista"/>
    <w:semiHidden/>
    <w:rsid w:val="00C20181"/>
  </w:style>
  <w:style w:type="numbering" w:customStyle="1" w:styleId="Sinlista205">
    <w:name w:val="Sin lista205"/>
    <w:next w:val="Sinlista"/>
    <w:semiHidden/>
    <w:rsid w:val="002B64A8"/>
  </w:style>
  <w:style w:type="numbering" w:customStyle="1" w:styleId="Sinlista206">
    <w:name w:val="Sin lista206"/>
    <w:next w:val="Sinlista"/>
    <w:semiHidden/>
    <w:rsid w:val="0028710F"/>
  </w:style>
  <w:style w:type="table" w:customStyle="1" w:styleId="Tablaconcuadrcula333">
    <w:name w:val="Tabla con cuadrícula333"/>
    <w:basedOn w:val="Tablanormal"/>
    <w:next w:val="Tablaconcuadrcula"/>
    <w:rsid w:val="002871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4">
    <w:name w:val="Tabla con cuadrícula334"/>
    <w:basedOn w:val="Tablanormal"/>
    <w:next w:val="Tablaconcuadrcula"/>
    <w:rsid w:val="006674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5">
    <w:name w:val="Tabla con cuadrícula335"/>
    <w:basedOn w:val="Tablanormal"/>
    <w:next w:val="Tablaconcuadrcula"/>
    <w:rsid w:val="009D4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7">
    <w:name w:val="Sin lista207"/>
    <w:next w:val="Sinlista"/>
    <w:semiHidden/>
    <w:rsid w:val="00F40FB1"/>
  </w:style>
  <w:style w:type="table" w:customStyle="1" w:styleId="Tablaconcuadrcula336">
    <w:name w:val="Tabla con cuadrícula336"/>
    <w:basedOn w:val="Tablanormal"/>
    <w:next w:val="Tablaconcuadrcula"/>
    <w:rsid w:val="003B2DF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8">
    <w:name w:val="Sin lista208"/>
    <w:next w:val="Sinlista"/>
    <w:semiHidden/>
    <w:rsid w:val="00186DF1"/>
  </w:style>
  <w:style w:type="table" w:customStyle="1" w:styleId="Tablaconcuadrcula337">
    <w:name w:val="Tabla con cuadrícula337"/>
    <w:basedOn w:val="Tablanormal"/>
    <w:next w:val="Tablaconcuadrcula"/>
    <w:rsid w:val="00186D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8">
    <w:name w:val="Tabla con cuadrícula338"/>
    <w:basedOn w:val="Tablanormal"/>
    <w:next w:val="Tablaconcuadrcula"/>
    <w:rsid w:val="00D127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9">
    <w:name w:val="Sin lista209"/>
    <w:next w:val="Sinlista"/>
    <w:semiHidden/>
    <w:rsid w:val="00E41272"/>
  </w:style>
  <w:style w:type="table" w:customStyle="1" w:styleId="Tablaconcuadrcula339">
    <w:name w:val="Tabla con cuadrícula339"/>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0">
    <w:name w:val="Tabla con cuadrícula340"/>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6">
    <w:name w:val="Sin lista216"/>
    <w:next w:val="Sinlista"/>
    <w:semiHidden/>
    <w:rsid w:val="00953D5D"/>
  </w:style>
  <w:style w:type="table" w:customStyle="1" w:styleId="Tablaconcuadrcula341">
    <w:name w:val="Tabla con cuadrícula341"/>
    <w:basedOn w:val="Tablanormal"/>
    <w:next w:val="Tablaconcuadrcula"/>
    <w:rsid w:val="00953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2">
    <w:name w:val="Tabla con cuadrícula342"/>
    <w:basedOn w:val="Tablanormal"/>
    <w:next w:val="Tablaconcuadrcula"/>
    <w:rsid w:val="001372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3">
    <w:name w:val="Tabla con cuadrícula343"/>
    <w:basedOn w:val="Tablanormal"/>
    <w:next w:val="Tablaconcuadrcula"/>
    <w:rsid w:val="00021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1">
    <w:name w:val="1 / 1.1 / 1.1.12121"/>
    <w:basedOn w:val="Sinlista"/>
    <w:next w:val="111111"/>
    <w:rsid w:val="00EE7D10"/>
    <w:pPr>
      <w:numPr>
        <w:numId w:val="2"/>
      </w:numPr>
    </w:pPr>
  </w:style>
  <w:style w:type="table" w:customStyle="1" w:styleId="Tablaconcuadrcula344">
    <w:name w:val="Tabla con cuadrícula344"/>
    <w:basedOn w:val="Tablanormal"/>
    <w:next w:val="Tablaconcuadrcula"/>
    <w:rsid w:val="000354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7">
    <w:name w:val="Sin lista217"/>
    <w:next w:val="Sinlista"/>
    <w:semiHidden/>
    <w:rsid w:val="00ED7D72"/>
  </w:style>
  <w:style w:type="table" w:customStyle="1" w:styleId="Tablaconcuadrcula345">
    <w:name w:val="Tabla con cuadrícula345"/>
    <w:basedOn w:val="Tablanormal"/>
    <w:next w:val="Tablaconcuadrcula"/>
    <w:rsid w:val="00ED7D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8">
    <w:name w:val="Sin lista218"/>
    <w:next w:val="Sinlista"/>
    <w:semiHidden/>
    <w:rsid w:val="00D76BEE"/>
  </w:style>
  <w:style w:type="table" w:customStyle="1" w:styleId="Tablaconcuadrcula346">
    <w:name w:val="Tabla con cuadrícula34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6">
    <w:name w:val="Tabla con cuadrícula51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9">
    <w:name w:val="Sin lista219"/>
    <w:next w:val="Sinlista"/>
    <w:semiHidden/>
    <w:rsid w:val="00B83050"/>
  </w:style>
  <w:style w:type="table" w:customStyle="1" w:styleId="Tablaconcuadrcula347">
    <w:name w:val="Tabla con cuadrícula347"/>
    <w:basedOn w:val="Tablanormal"/>
    <w:next w:val="Tablaconcuadrcula"/>
    <w:rsid w:val="00B830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8">
    <w:name w:val="Tabla con cuadrícula348"/>
    <w:basedOn w:val="Tablanormal"/>
    <w:next w:val="Tablaconcuadrcula"/>
    <w:rsid w:val="001505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0">
    <w:name w:val="Sin lista220"/>
    <w:next w:val="Sinlista"/>
    <w:semiHidden/>
    <w:rsid w:val="000A368B"/>
  </w:style>
  <w:style w:type="table" w:customStyle="1" w:styleId="Tablaconcuadrcula1401">
    <w:name w:val="Tabla con cuadrícula 140"/>
    <w:basedOn w:val="Tablanormal"/>
    <w:next w:val="Tablaconcuadrcula10"/>
    <w:rsid w:val="000A368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9">
    <w:name w:val="Tabla con cuadrícula349"/>
    <w:basedOn w:val="Tablanormal"/>
    <w:next w:val="Tablaconcuadrcula"/>
    <w:rsid w:val="000A36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
    <w:name w:val="Tabla con cuadrícula 141"/>
    <w:basedOn w:val="Tablanormal"/>
    <w:next w:val="Tablaconcuadrcula10"/>
    <w:rsid w:val="00B8233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0">
    <w:name w:val="Tabla con cuadrícula350"/>
    <w:basedOn w:val="Tablanormal"/>
    <w:next w:val="Tablaconcuadrcula"/>
    <w:rsid w:val="002E79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4">
    <w:name w:val="Sin lista224"/>
    <w:next w:val="Sinlista"/>
    <w:semiHidden/>
    <w:rsid w:val="008D2536"/>
  </w:style>
  <w:style w:type="table" w:customStyle="1" w:styleId="Tablaconcuadrcula351">
    <w:name w:val="Tabla con cuadrícula351"/>
    <w:basedOn w:val="Tablanormal"/>
    <w:next w:val="Tablaconcuadrcula"/>
    <w:rsid w:val="008D25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5">
    <w:name w:val="Sin lista225"/>
    <w:next w:val="Sinlista"/>
    <w:semiHidden/>
    <w:rsid w:val="0015067C"/>
  </w:style>
  <w:style w:type="table" w:customStyle="1" w:styleId="Tablaconcuadrcula352">
    <w:name w:val="Tabla con cuadrícula352"/>
    <w:basedOn w:val="Tablanormal"/>
    <w:next w:val="Tablaconcuadrcula"/>
    <w:rsid w:val="001506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6">
    <w:name w:val="Sin lista226"/>
    <w:next w:val="Sinlista"/>
    <w:semiHidden/>
    <w:rsid w:val="00FD6C56"/>
  </w:style>
  <w:style w:type="table" w:customStyle="1" w:styleId="Tablaconcuadrcula353">
    <w:name w:val="Tabla con cuadrícula353"/>
    <w:basedOn w:val="Tablanormal"/>
    <w:next w:val="Tablaconcuadrcula"/>
    <w:rsid w:val="00FD6C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7">
    <w:name w:val="Sin lista227"/>
    <w:next w:val="Sinlista"/>
    <w:semiHidden/>
    <w:rsid w:val="00BB2905"/>
  </w:style>
  <w:style w:type="table" w:customStyle="1" w:styleId="Tablaconcuadrcula354">
    <w:name w:val="Tabla con cuadrícula354"/>
    <w:basedOn w:val="Tablanormal"/>
    <w:next w:val="Tablaconcuadrcula"/>
    <w:rsid w:val="00AE1A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5">
    <w:name w:val="Tabla con cuadrícula355"/>
    <w:basedOn w:val="Tablanormal"/>
    <w:next w:val="Tablaconcuadrcula"/>
    <w:rsid w:val="00AD6A3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6">
    <w:name w:val="Tabla con cuadrícula356"/>
    <w:basedOn w:val="Tablanormal"/>
    <w:next w:val="Tablaconcuadrcula"/>
    <w:rsid w:val="00532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7">
    <w:name w:val="Tabla con cuadrícula357"/>
    <w:basedOn w:val="Tablanormal"/>
    <w:next w:val="Tablaconcuadrcula"/>
    <w:rsid w:val="007F5E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8">
    <w:name w:val="Tabla con cuadrícula358"/>
    <w:basedOn w:val="Tablanormal"/>
    <w:next w:val="Tablaconcuadrcula"/>
    <w:rsid w:val="00DB69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9">
    <w:name w:val="Tabla con cuadrícula359"/>
    <w:basedOn w:val="Tablanormal"/>
    <w:next w:val="Tablaconcuadrcula"/>
    <w:rsid w:val="001E54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8">
    <w:name w:val="Sin lista228"/>
    <w:next w:val="Sinlista"/>
    <w:semiHidden/>
    <w:rsid w:val="00390FB0"/>
  </w:style>
  <w:style w:type="numbering" w:customStyle="1" w:styleId="Sinlista229">
    <w:name w:val="Sin lista229"/>
    <w:next w:val="Sinlista"/>
    <w:semiHidden/>
    <w:rsid w:val="00ED2177"/>
  </w:style>
  <w:style w:type="table" w:customStyle="1" w:styleId="Tablaconcuadrcula360">
    <w:name w:val="Tabla con cuadrícula360"/>
    <w:basedOn w:val="Tablanormal"/>
    <w:next w:val="Tablaconcuadrcula"/>
    <w:rsid w:val="00ED2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0">
    <w:name w:val="Sin lista230"/>
    <w:next w:val="Sinlista"/>
    <w:semiHidden/>
    <w:rsid w:val="00054668"/>
  </w:style>
  <w:style w:type="table" w:customStyle="1" w:styleId="Tablaconcuadrcula361">
    <w:name w:val="Tabla con cuadrícula361"/>
    <w:basedOn w:val="Tablanormal"/>
    <w:next w:val="Tablaconcuadrcula"/>
    <w:rsid w:val="000546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4">
    <w:name w:val="Sin lista234"/>
    <w:next w:val="Sinlista"/>
    <w:semiHidden/>
    <w:rsid w:val="00A61315"/>
  </w:style>
  <w:style w:type="numbering" w:customStyle="1" w:styleId="Sinlista235">
    <w:name w:val="Sin lista235"/>
    <w:next w:val="Sinlista"/>
    <w:semiHidden/>
    <w:rsid w:val="00C3798F"/>
  </w:style>
  <w:style w:type="table" w:customStyle="1" w:styleId="Tablaconcuadrcula362">
    <w:name w:val="Tabla con cuadrícula362"/>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3">
    <w:name w:val="Tabla con cuadrícula363"/>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6">
    <w:name w:val="Sin lista236"/>
    <w:next w:val="Sinlista"/>
    <w:semiHidden/>
    <w:rsid w:val="00DF710D"/>
  </w:style>
  <w:style w:type="paragraph" w:customStyle="1" w:styleId="bajadas">
    <w:name w:val="bajadas"/>
    <w:basedOn w:val="Normal"/>
    <w:uiPriority w:val="99"/>
    <w:rsid w:val="00DF710D"/>
    <w:rPr>
      <w:rFonts w:ascii="Georgia, Times" w:eastAsia="Times New Roman" w:hAnsi="Georgia, Times"/>
      <w:color w:val="3B4646"/>
      <w:sz w:val="21"/>
      <w:szCs w:val="21"/>
      <w:lang w:val="es-ES"/>
    </w:rPr>
  </w:style>
  <w:style w:type="paragraph" w:customStyle="1" w:styleId="fotorankinghome">
    <w:name w:val="foto_ranking_home"/>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fotoizquierda">
    <w:name w:val="foto_izquierda"/>
    <w:basedOn w:val="Normal"/>
    <w:uiPriority w:val="99"/>
    <w:rsid w:val="00DF710D"/>
    <w:rPr>
      <w:rFonts w:ascii="Georgia, Times" w:eastAsia="Times New Roman" w:hAnsi="Georgia, Times"/>
      <w:color w:val="3A4646"/>
      <w:sz w:val="21"/>
      <w:szCs w:val="21"/>
      <w:lang w:val="es-ES"/>
    </w:rPr>
  </w:style>
  <w:style w:type="paragraph" w:customStyle="1" w:styleId="fotoizquierda2">
    <w:name w:val="foto_izquierda2"/>
    <w:basedOn w:val="Normal"/>
    <w:uiPriority w:val="99"/>
    <w:rsid w:val="00DF710D"/>
    <w:rPr>
      <w:rFonts w:ascii="Georgia, Times" w:eastAsia="Times New Roman" w:hAnsi="Georgia, Times"/>
      <w:color w:val="3A4646"/>
      <w:sz w:val="21"/>
      <w:szCs w:val="21"/>
      <w:lang w:val="es-ES"/>
    </w:rPr>
  </w:style>
  <w:style w:type="paragraph" w:customStyle="1" w:styleId="fotocentro">
    <w:name w:val="foto_centro"/>
    <w:basedOn w:val="Normal"/>
    <w:uiPriority w:val="99"/>
    <w:rsid w:val="00DF710D"/>
    <w:pPr>
      <w:spacing w:before="100" w:beforeAutospacing="1" w:after="100" w:afterAutospacing="1"/>
      <w:jc w:val="center"/>
    </w:pPr>
    <w:rPr>
      <w:rFonts w:ascii="Georgia, Times" w:eastAsia="Times New Roman" w:hAnsi="Georgia, Times"/>
      <w:color w:val="3A4646"/>
      <w:sz w:val="21"/>
      <w:szCs w:val="21"/>
      <w:lang w:val="es-ES"/>
    </w:rPr>
  </w:style>
  <w:style w:type="paragraph" w:customStyle="1" w:styleId="separacionart">
    <w:name w:val="separacion_art"/>
    <w:basedOn w:val="Normal"/>
    <w:uiPriority w:val="99"/>
    <w:rsid w:val="00DF710D"/>
    <w:pPr>
      <w:spacing w:before="150" w:after="150"/>
    </w:pPr>
    <w:rPr>
      <w:rFonts w:ascii="Georgia, Times" w:eastAsia="Times New Roman" w:hAnsi="Georgia, Times"/>
      <w:color w:val="3A4646"/>
      <w:sz w:val="21"/>
      <w:szCs w:val="21"/>
      <w:lang w:val="es-ES"/>
    </w:rPr>
  </w:style>
  <w:style w:type="paragraph" w:customStyle="1" w:styleId="separacionlinkfooter">
    <w:name w:val="separacion_link_footer"/>
    <w:basedOn w:val="Normal"/>
    <w:uiPriority w:val="99"/>
    <w:rsid w:val="00DF710D"/>
    <w:pPr>
      <w:ind w:left="750" w:right="750"/>
    </w:pPr>
    <w:rPr>
      <w:rFonts w:ascii="Georgia, Times" w:eastAsia="Times New Roman" w:hAnsi="Georgia, Times"/>
      <w:color w:val="3A4646"/>
      <w:sz w:val="21"/>
      <w:szCs w:val="21"/>
      <w:lang w:val="es-ES"/>
    </w:rPr>
  </w:style>
  <w:style w:type="paragraph" w:customStyle="1" w:styleId="texto25blanco">
    <w:name w:val="texto_25_blanco"/>
    <w:basedOn w:val="Normal"/>
    <w:uiPriority w:val="99"/>
    <w:rsid w:val="00DF710D"/>
    <w:rPr>
      <w:rFonts w:ascii="Georgia, Times, serif" w:eastAsia="Times New Roman" w:hAnsi="Georgia, Times, serif"/>
      <w:color w:val="FFFFFF"/>
      <w:sz w:val="38"/>
      <w:szCs w:val="38"/>
      <w:lang w:val="es-ES"/>
    </w:rPr>
  </w:style>
  <w:style w:type="paragraph" w:customStyle="1" w:styleId="texto18blanco">
    <w:name w:val="texto_18_blanco"/>
    <w:basedOn w:val="Normal"/>
    <w:uiPriority w:val="99"/>
    <w:rsid w:val="00DF710D"/>
    <w:pPr>
      <w:spacing w:before="150" w:after="150"/>
      <w:ind w:left="150" w:right="150"/>
    </w:pPr>
    <w:rPr>
      <w:rFonts w:ascii="Georgia, Times" w:eastAsia="Times New Roman" w:hAnsi="Georgia, Times"/>
      <w:color w:val="FFFFFF"/>
      <w:sz w:val="27"/>
      <w:szCs w:val="27"/>
      <w:lang w:val="es-ES"/>
    </w:rPr>
  </w:style>
  <w:style w:type="paragraph" w:customStyle="1" w:styleId="texto14blanco">
    <w:name w:val="texto_14_blanco"/>
    <w:basedOn w:val="Normal"/>
    <w:uiPriority w:val="99"/>
    <w:rsid w:val="00DF710D"/>
    <w:rPr>
      <w:rFonts w:ascii="Georgia, Times" w:eastAsia="Times New Roman" w:hAnsi="Georgia, Times"/>
      <w:color w:val="FFFFFF"/>
      <w:sz w:val="21"/>
      <w:szCs w:val="21"/>
      <w:lang w:val="es-ES"/>
    </w:rPr>
  </w:style>
  <w:style w:type="paragraph" w:customStyle="1" w:styleId="texto14azul">
    <w:name w:val="texto_14_azul"/>
    <w:basedOn w:val="Normal"/>
    <w:uiPriority w:val="99"/>
    <w:rsid w:val="00DF710D"/>
    <w:rPr>
      <w:rFonts w:ascii="Georgia, Times" w:eastAsia="Times New Roman" w:hAnsi="Georgia, Times"/>
      <w:color w:val="105586"/>
      <w:sz w:val="21"/>
      <w:szCs w:val="21"/>
      <w:lang w:val="es-ES"/>
    </w:rPr>
  </w:style>
  <w:style w:type="paragraph" w:customStyle="1" w:styleId="texto14blancoizq">
    <w:name w:val="texto_14_blanco_izq"/>
    <w:basedOn w:val="Normal"/>
    <w:uiPriority w:val="99"/>
    <w:rsid w:val="00DF710D"/>
    <w:rPr>
      <w:rFonts w:ascii="Georgia, Times" w:eastAsia="Times New Roman" w:hAnsi="Georgia, Times"/>
      <w:color w:val="FFFFFF"/>
      <w:sz w:val="21"/>
      <w:szCs w:val="21"/>
      <w:lang w:val="es-ES"/>
    </w:rPr>
  </w:style>
  <w:style w:type="paragraph" w:customStyle="1" w:styleId="titprinhome">
    <w:name w:val="tit_prin_home"/>
    <w:basedOn w:val="Normal"/>
    <w:uiPriority w:val="99"/>
    <w:rsid w:val="00DF710D"/>
    <w:rPr>
      <w:rFonts w:ascii="Georgia, Times" w:eastAsia="Times New Roman" w:hAnsi="Georgia, Times"/>
      <w:color w:val="3A4646"/>
      <w:sz w:val="21"/>
      <w:szCs w:val="21"/>
      <w:lang w:val="es-ES"/>
    </w:rPr>
  </w:style>
  <w:style w:type="paragraph" w:customStyle="1" w:styleId="tit18blanco">
    <w:name w:val="tit_18_blanco"/>
    <w:basedOn w:val="Normal"/>
    <w:uiPriority w:val="99"/>
    <w:rsid w:val="00DF710D"/>
    <w:pPr>
      <w:jc w:val="center"/>
    </w:pPr>
    <w:rPr>
      <w:rFonts w:ascii="Georgia, Times" w:eastAsia="Times New Roman" w:hAnsi="Georgia, Times"/>
      <w:color w:val="FFFFFF"/>
      <w:sz w:val="27"/>
      <w:szCs w:val="27"/>
      <w:lang w:val="es-ES"/>
    </w:rPr>
  </w:style>
  <w:style w:type="paragraph" w:customStyle="1" w:styleId="logotipo">
    <w:name w:val="logotipo"/>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botonera">
    <w:name w:val="botonera"/>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contenedorhome">
    <w:name w:val="contenedor_home"/>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menuderecho">
    <w:name w:val="menu_derech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menuizquierdo">
    <w:name w:val="menu_izquierd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
    <w:name w:val="despliegues"/>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internos">
    <w:name w:val="despliegues_internos"/>
    <w:basedOn w:val="Normal"/>
    <w:uiPriority w:val="99"/>
    <w:rsid w:val="00DF710D"/>
    <w:rPr>
      <w:rFonts w:ascii="Georgia, Times" w:eastAsia="Times New Roman" w:hAnsi="Georgia, Times"/>
      <w:color w:val="3A4646"/>
      <w:sz w:val="21"/>
      <w:szCs w:val="21"/>
      <w:lang w:val="es-ES"/>
    </w:rPr>
  </w:style>
  <w:style w:type="paragraph" w:customStyle="1" w:styleId="tablaranking">
    <w:name w:val="tabla_ranking"/>
    <w:basedOn w:val="Normal"/>
    <w:uiPriority w:val="99"/>
    <w:rsid w:val="00DF710D"/>
    <w:rPr>
      <w:rFonts w:ascii="Georgia, Times" w:eastAsia="Times New Roman" w:hAnsi="Georgia, Times"/>
      <w:color w:val="3A4646"/>
      <w:sz w:val="21"/>
      <w:szCs w:val="21"/>
      <w:lang w:val="es-ES"/>
    </w:rPr>
  </w:style>
  <w:style w:type="paragraph" w:customStyle="1" w:styleId="tablatits">
    <w:name w:val="tabla_tits"/>
    <w:basedOn w:val="Normal"/>
    <w:uiPriority w:val="99"/>
    <w:rsid w:val="00DF710D"/>
    <w:pPr>
      <w:shd w:val="clear" w:color="auto" w:fill="ABCBDA"/>
      <w:jc w:val="center"/>
    </w:pPr>
    <w:rPr>
      <w:rFonts w:ascii="Arial" w:eastAsia="Times New Roman" w:hAnsi="Arial" w:cs="Arial"/>
      <w:b/>
      <w:bCs/>
      <w:color w:val="3A4646"/>
      <w:sz w:val="17"/>
      <w:szCs w:val="17"/>
      <w:lang w:val="es-ES"/>
    </w:rPr>
  </w:style>
  <w:style w:type="paragraph" w:customStyle="1" w:styleId="lineaclara">
    <w:name w:val="linea_clara"/>
    <w:basedOn w:val="Normal"/>
    <w:uiPriority w:val="99"/>
    <w:rsid w:val="00DF710D"/>
    <w:pPr>
      <w:shd w:val="clear" w:color="auto" w:fill="E5EEF3"/>
    </w:pPr>
    <w:rPr>
      <w:rFonts w:ascii="Georgia, Times" w:eastAsia="Times New Roman" w:hAnsi="Georgia, Times"/>
      <w:color w:val="3A4646"/>
      <w:sz w:val="21"/>
      <w:szCs w:val="21"/>
      <w:lang w:val="es-ES"/>
    </w:rPr>
  </w:style>
  <w:style w:type="paragraph" w:customStyle="1" w:styleId="lineaclararight">
    <w:name w:val="linea_clara_right"/>
    <w:basedOn w:val="Normal"/>
    <w:uiPriority w:val="99"/>
    <w:rsid w:val="00DF710D"/>
    <w:pPr>
      <w:shd w:val="clear" w:color="auto" w:fill="E5EEF3"/>
      <w:jc w:val="right"/>
    </w:pPr>
    <w:rPr>
      <w:rFonts w:ascii="Georgia, Times" w:eastAsia="Times New Roman" w:hAnsi="Georgia, Times"/>
      <w:color w:val="3A4646"/>
      <w:sz w:val="21"/>
      <w:szCs w:val="21"/>
      <w:lang w:val="es-ES"/>
    </w:rPr>
  </w:style>
  <w:style w:type="paragraph" w:customStyle="1" w:styleId="submenurankings">
    <w:name w:val="submenu_rankings"/>
    <w:basedOn w:val="Normal"/>
    <w:uiPriority w:val="99"/>
    <w:rsid w:val="00DF710D"/>
    <w:pPr>
      <w:spacing w:after="300"/>
    </w:pPr>
    <w:rPr>
      <w:rFonts w:ascii="Georgia, Times" w:eastAsia="Times New Roman" w:hAnsi="Georgia, Times"/>
      <w:color w:val="3A4646"/>
      <w:sz w:val="21"/>
      <w:szCs w:val="21"/>
      <w:lang w:val="es-ES"/>
    </w:rPr>
  </w:style>
  <w:style w:type="paragraph" w:customStyle="1" w:styleId="imagenprincipal">
    <w:name w:val="imagen_principal"/>
    <w:basedOn w:val="Normal"/>
    <w:uiPriority w:val="99"/>
    <w:rsid w:val="00DF710D"/>
    <w:rPr>
      <w:rFonts w:ascii="Georgia, Times" w:eastAsia="Times New Roman" w:hAnsi="Georgia, Times"/>
      <w:color w:val="3A4646"/>
      <w:sz w:val="21"/>
      <w:szCs w:val="21"/>
      <w:lang w:val="es-ES"/>
    </w:rPr>
  </w:style>
  <w:style w:type="paragraph" w:customStyle="1" w:styleId="artprincipal">
    <w:name w:val="art_principal"/>
    <w:basedOn w:val="Normal"/>
    <w:uiPriority w:val="99"/>
    <w:rsid w:val="00DF710D"/>
    <w:pPr>
      <w:spacing w:before="450"/>
    </w:pPr>
    <w:rPr>
      <w:rFonts w:ascii="Georgia, Times" w:eastAsia="Times New Roman" w:hAnsi="Georgia, Times"/>
      <w:color w:val="3A4646"/>
      <w:sz w:val="21"/>
      <w:szCs w:val="21"/>
      <w:lang w:val="es-ES"/>
    </w:rPr>
  </w:style>
  <w:style w:type="paragraph" w:customStyle="1" w:styleId="artsecundario">
    <w:name w:val="art_secundario"/>
    <w:basedOn w:val="Normal"/>
    <w:uiPriority w:val="99"/>
    <w:rsid w:val="00DF710D"/>
    <w:pPr>
      <w:spacing w:before="450"/>
      <w:ind w:left="300"/>
    </w:pPr>
    <w:rPr>
      <w:rFonts w:ascii="Georgia, Times" w:eastAsia="Times New Roman" w:hAnsi="Georgia, Times"/>
      <w:color w:val="3A4646"/>
      <w:sz w:val="21"/>
      <w:szCs w:val="21"/>
      <w:lang w:val="es-ES"/>
    </w:rPr>
  </w:style>
  <w:style w:type="paragraph" w:customStyle="1" w:styleId="cajaranking">
    <w:name w:val="caja_ranking"/>
    <w:basedOn w:val="Normal"/>
    <w:uiPriority w:val="99"/>
    <w:rsid w:val="00DF710D"/>
    <w:pPr>
      <w:shd w:val="clear" w:color="auto" w:fill="FFFFFF"/>
      <w:spacing w:after="150"/>
    </w:pPr>
    <w:rPr>
      <w:rFonts w:ascii="Georgia, Times" w:eastAsia="Times New Roman" w:hAnsi="Georgia, Times"/>
      <w:color w:val="3A4646"/>
      <w:sz w:val="21"/>
      <w:szCs w:val="21"/>
      <w:lang w:val="es-ES"/>
    </w:rPr>
  </w:style>
  <w:style w:type="paragraph" w:customStyle="1" w:styleId="titrankinghome">
    <w:name w:val="tit_ranking_home"/>
    <w:basedOn w:val="Normal"/>
    <w:uiPriority w:val="99"/>
    <w:rsid w:val="00DF710D"/>
    <w:pPr>
      <w:pBdr>
        <w:bottom w:val="dotted" w:sz="6" w:space="0" w:color="105586"/>
      </w:pBdr>
    </w:pPr>
    <w:rPr>
      <w:rFonts w:ascii="Georgia, Times" w:eastAsia="Times New Roman" w:hAnsi="Georgia, Times"/>
      <w:color w:val="105586"/>
      <w:sz w:val="27"/>
      <w:szCs w:val="27"/>
      <w:lang w:val="es-ES"/>
    </w:rPr>
  </w:style>
  <w:style w:type="paragraph" w:customStyle="1" w:styleId="titotrosrankings">
    <w:name w:val="tit_otros_rankings"/>
    <w:basedOn w:val="Normal"/>
    <w:uiPriority w:val="99"/>
    <w:rsid w:val="00DF710D"/>
    <w:pPr>
      <w:pBdr>
        <w:bottom w:val="dotted" w:sz="6" w:space="0" w:color="105586"/>
      </w:pBdr>
      <w:spacing w:after="75"/>
    </w:pPr>
    <w:rPr>
      <w:rFonts w:ascii="Georgia, Times" w:eastAsia="Times New Roman" w:hAnsi="Georgia, Times"/>
      <w:color w:val="105586"/>
      <w:lang w:val="es-ES"/>
    </w:rPr>
  </w:style>
  <w:style w:type="paragraph" w:customStyle="1" w:styleId="titgraficoshome">
    <w:name w:val="tit_graficos_home"/>
    <w:basedOn w:val="Normal"/>
    <w:uiPriority w:val="99"/>
    <w:rsid w:val="00DF710D"/>
    <w:pPr>
      <w:pBdr>
        <w:bottom w:val="dotted" w:sz="6" w:space="0" w:color="FFFFFF"/>
      </w:pBdr>
      <w:spacing w:after="150"/>
    </w:pPr>
    <w:rPr>
      <w:rFonts w:ascii="Georgia, Times" w:eastAsia="Times New Roman" w:hAnsi="Georgia, Times"/>
      <w:color w:val="FFFFFF"/>
      <w:sz w:val="33"/>
      <w:szCs w:val="33"/>
      <w:lang w:val="es-ES"/>
    </w:rPr>
  </w:style>
  <w:style w:type="paragraph" w:customStyle="1" w:styleId="cajaarticulos">
    <w:name w:val="caja_articulos"/>
    <w:basedOn w:val="Normal"/>
    <w:uiPriority w:val="99"/>
    <w:rsid w:val="00DF710D"/>
    <w:rPr>
      <w:rFonts w:ascii="Georgia, Times" w:eastAsia="Times New Roman" w:hAnsi="Georgia, Times"/>
      <w:color w:val="3A4646"/>
      <w:sz w:val="21"/>
      <w:szCs w:val="21"/>
      <w:lang w:val="es-ES"/>
    </w:rPr>
  </w:style>
  <w:style w:type="paragraph" w:customStyle="1" w:styleId="footercent">
    <w:name w:val="footer_cent"/>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top">
    <w:name w:val="top"/>
    <w:basedOn w:val="Normal"/>
    <w:uiPriority w:val="99"/>
    <w:rsid w:val="00DF710D"/>
    <w:rPr>
      <w:rFonts w:ascii="Georgia, Times" w:eastAsia="Times New Roman" w:hAnsi="Georgia, Times"/>
      <w:color w:val="3A4646"/>
      <w:sz w:val="21"/>
      <w:szCs w:val="21"/>
      <w:lang w:val="es-ES"/>
    </w:rPr>
  </w:style>
  <w:style w:type="paragraph" w:customStyle="1" w:styleId="cent">
    <w:name w:val="cent"/>
    <w:basedOn w:val="Normal"/>
    <w:uiPriority w:val="99"/>
    <w:rsid w:val="00DF710D"/>
    <w:rPr>
      <w:rFonts w:ascii="Georgia, Times" w:eastAsia="Times New Roman" w:hAnsi="Georgia, Times"/>
      <w:color w:val="3A4646"/>
      <w:sz w:val="21"/>
      <w:szCs w:val="21"/>
      <w:lang w:val="es-ES"/>
    </w:rPr>
  </w:style>
  <w:style w:type="paragraph" w:customStyle="1" w:styleId="bot">
    <w:name w:val="bot"/>
    <w:basedOn w:val="Normal"/>
    <w:uiPriority w:val="99"/>
    <w:rsid w:val="00DF710D"/>
    <w:rPr>
      <w:rFonts w:ascii="Georgia, Times" w:eastAsia="Times New Roman" w:hAnsi="Georgia, Times"/>
      <w:color w:val="3A4646"/>
      <w:sz w:val="21"/>
      <w:szCs w:val="21"/>
      <w:lang w:val="es-ES"/>
    </w:rPr>
  </w:style>
  <w:style w:type="paragraph" w:customStyle="1" w:styleId="footeraccdirectos">
    <w:name w:val="footer_acc_directos"/>
    <w:basedOn w:val="Normal"/>
    <w:uiPriority w:val="99"/>
    <w:rsid w:val="00DF710D"/>
    <w:rPr>
      <w:rFonts w:ascii="Georgia, Times" w:eastAsia="Times New Roman" w:hAnsi="Georgia, Times"/>
      <w:color w:val="3A4646"/>
      <w:sz w:val="21"/>
      <w:szCs w:val="21"/>
      <w:lang w:val="es-ES"/>
    </w:rPr>
  </w:style>
  <w:style w:type="paragraph" w:customStyle="1" w:styleId="logoaefooter">
    <w:name w:val="logo_ae_footer"/>
    <w:basedOn w:val="Normal"/>
    <w:uiPriority w:val="99"/>
    <w:rsid w:val="00DF710D"/>
    <w:rPr>
      <w:rFonts w:ascii="Georgia, Times" w:eastAsia="Times New Roman" w:hAnsi="Georgia, Times"/>
      <w:color w:val="3A4646"/>
      <w:sz w:val="21"/>
      <w:szCs w:val="21"/>
      <w:lang w:val="es-ES"/>
    </w:rPr>
  </w:style>
  <w:style w:type="paragraph" w:customStyle="1" w:styleId="top1">
    <w:name w:val="top1"/>
    <w:basedOn w:val="Normal"/>
    <w:uiPriority w:val="99"/>
    <w:rsid w:val="00DF710D"/>
    <w:rPr>
      <w:rFonts w:ascii="Georgia, Times" w:eastAsia="Times New Roman" w:hAnsi="Georgia, Times"/>
      <w:color w:val="3A4646"/>
      <w:sz w:val="21"/>
      <w:szCs w:val="21"/>
      <w:lang w:val="es-ES"/>
    </w:rPr>
  </w:style>
  <w:style w:type="paragraph" w:customStyle="1" w:styleId="cent1">
    <w:name w:val="cent1"/>
    <w:basedOn w:val="Normal"/>
    <w:uiPriority w:val="99"/>
    <w:rsid w:val="00DF710D"/>
    <w:rPr>
      <w:rFonts w:ascii="Georgia, Times" w:eastAsia="Times New Roman" w:hAnsi="Georgia, Times"/>
      <w:color w:val="3A4646"/>
      <w:sz w:val="21"/>
      <w:szCs w:val="21"/>
      <w:lang w:val="es-ES"/>
    </w:rPr>
  </w:style>
  <w:style w:type="paragraph" w:customStyle="1" w:styleId="bot1">
    <w:name w:val="bot1"/>
    <w:basedOn w:val="Normal"/>
    <w:uiPriority w:val="99"/>
    <w:rsid w:val="00DF710D"/>
    <w:rPr>
      <w:rFonts w:ascii="Georgia, Times" w:eastAsia="Times New Roman" w:hAnsi="Georgia, Times"/>
      <w:color w:val="3A4646"/>
      <w:sz w:val="21"/>
      <w:szCs w:val="21"/>
      <w:lang w:val="es-ES"/>
    </w:rPr>
  </w:style>
  <w:style w:type="paragraph" w:customStyle="1" w:styleId="footeraccdirectos1">
    <w:name w:val="footer_acc_directos1"/>
    <w:basedOn w:val="Normal"/>
    <w:uiPriority w:val="99"/>
    <w:rsid w:val="00DF710D"/>
    <w:pPr>
      <w:pBdr>
        <w:top w:val="dotted" w:sz="6" w:space="4" w:color="FFFFFF"/>
        <w:bottom w:val="dotted" w:sz="6" w:space="4" w:color="FFFFFF"/>
      </w:pBdr>
    </w:pPr>
    <w:rPr>
      <w:rFonts w:ascii="Georgia, Times" w:eastAsia="Times New Roman" w:hAnsi="Georgia, Times"/>
      <w:color w:val="3A4646"/>
      <w:sz w:val="21"/>
      <w:szCs w:val="21"/>
      <w:lang w:val="es-ES"/>
    </w:rPr>
  </w:style>
  <w:style w:type="paragraph" w:customStyle="1" w:styleId="logoaefooter1">
    <w:name w:val="logo_ae_footer1"/>
    <w:basedOn w:val="Normal"/>
    <w:uiPriority w:val="99"/>
    <w:rsid w:val="00DF710D"/>
    <w:pPr>
      <w:jc w:val="right"/>
    </w:pPr>
    <w:rPr>
      <w:rFonts w:ascii="Georgia, Times" w:eastAsia="Times New Roman" w:hAnsi="Georgia, Times"/>
      <w:color w:val="3A4646"/>
      <w:sz w:val="21"/>
      <w:szCs w:val="21"/>
      <w:lang w:val="es-ES"/>
    </w:rPr>
  </w:style>
  <w:style w:type="table" w:customStyle="1" w:styleId="Tablaconcuadrcula1420">
    <w:name w:val="Tabla con cuadrícula 142"/>
    <w:basedOn w:val="Tablanormal"/>
    <w:next w:val="Tablaconcuadrcula10"/>
    <w:rsid w:val="00DF710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64">
    <w:name w:val="Tabla con cuadrícula364"/>
    <w:basedOn w:val="Tablanormal"/>
    <w:next w:val="Tablaconcuadrcula"/>
    <w:rsid w:val="00E741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7">
    <w:name w:val="Sin lista237"/>
    <w:next w:val="Sinlista"/>
    <w:semiHidden/>
    <w:rsid w:val="000811A3"/>
  </w:style>
  <w:style w:type="table" w:customStyle="1" w:styleId="Tablaconcuadrcula365">
    <w:name w:val="Tabla con cuadrícula365"/>
    <w:basedOn w:val="Tablanormal"/>
    <w:next w:val="Tablaconcuadrcula"/>
    <w:rsid w:val="000811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6">
    <w:name w:val="Tabla con cuadrícula366"/>
    <w:basedOn w:val="Tablanormal"/>
    <w:next w:val="Tablaconcuadrcula"/>
    <w:rsid w:val="006C7C1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38">
    <w:name w:val="Sin lista238"/>
    <w:next w:val="Sinlista"/>
    <w:semiHidden/>
    <w:rsid w:val="00917A53"/>
  </w:style>
  <w:style w:type="table" w:customStyle="1" w:styleId="Tablaconcuadrcula367">
    <w:name w:val="Tabla con cuadrícula367"/>
    <w:basedOn w:val="Tablanormal"/>
    <w:next w:val="Tablaconcuadrcula"/>
    <w:rsid w:val="001B5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8">
    <w:name w:val="Tabla con cuadrícula368"/>
    <w:basedOn w:val="Tablanormal"/>
    <w:next w:val="Tablaconcuadrcula"/>
    <w:rsid w:val="000A00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9">
    <w:name w:val="Tabla con cuadrícula369"/>
    <w:basedOn w:val="Tablanormal"/>
    <w:next w:val="Tablaconcuadrcula"/>
    <w:rsid w:val="009704E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9">
    <w:name w:val="Sin lista239"/>
    <w:next w:val="Sinlista"/>
    <w:semiHidden/>
    <w:rsid w:val="003A1963"/>
  </w:style>
  <w:style w:type="table" w:customStyle="1" w:styleId="Tablaconcuadrcula370">
    <w:name w:val="Tabla con cuadrícula370"/>
    <w:basedOn w:val="Tablanormal"/>
    <w:next w:val="Tablaconcuadrcula"/>
    <w:rsid w:val="00B94D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
    <w:name w:val="Tabla con cuadrícula371"/>
    <w:basedOn w:val="Tablanormal"/>
    <w:next w:val="Tablaconcuadrcula"/>
    <w:rsid w:val="00A44B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0">
    <w:name w:val="Sin lista240"/>
    <w:next w:val="Sinlista"/>
    <w:semiHidden/>
    <w:rsid w:val="006F0382"/>
  </w:style>
  <w:style w:type="character" w:customStyle="1" w:styleId="mediumtext1">
    <w:name w:val="medium_text1"/>
    <w:basedOn w:val="Fuentedeprrafopredeter"/>
    <w:rsid w:val="006F0382"/>
    <w:rPr>
      <w:sz w:val="16"/>
      <w:szCs w:val="16"/>
    </w:rPr>
  </w:style>
  <w:style w:type="table" w:customStyle="1" w:styleId="Tablaconcuadrcula372">
    <w:name w:val="Tabla con cuadrícula372"/>
    <w:basedOn w:val="Tablanormal"/>
    <w:next w:val="Tablaconcuadrcula"/>
    <w:rsid w:val="006F0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3">
    <w:name w:val="Tabla con cuadrícula373"/>
    <w:basedOn w:val="Tablanormal"/>
    <w:next w:val="Tablaconcuadrcula"/>
    <w:rsid w:val="00C2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4">
    <w:name w:val="Tabla con cuadrícula374"/>
    <w:basedOn w:val="Tablanormal"/>
    <w:next w:val="Tablaconcuadrcula"/>
    <w:rsid w:val="001A1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5">
    <w:name w:val="Tabla con cuadrícula375"/>
    <w:basedOn w:val="Tablanormal"/>
    <w:next w:val="Tablaconcuadrcula"/>
    <w:rsid w:val="001341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0">
    <w:name w:val="Tabla con cuadrícula 143"/>
    <w:basedOn w:val="Tablanormal"/>
    <w:next w:val="Tablaconcuadrcula10"/>
    <w:rsid w:val="0013418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40">
    <w:name w:val="Tabla con cuadrícula 144"/>
    <w:basedOn w:val="Tablanormal"/>
    <w:next w:val="Tablaconcuadrcula10"/>
    <w:rsid w:val="00B6768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6">
    <w:name w:val="Tabla con cuadrícula376"/>
    <w:basedOn w:val="Tablanormal"/>
    <w:next w:val="Tablaconcuadrcula"/>
    <w:rsid w:val="008A5E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4">
    <w:name w:val="Sin lista244"/>
    <w:next w:val="Sinlista"/>
    <w:semiHidden/>
    <w:rsid w:val="002B023C"/>
  </w:style>
  <w:style w:type="paragraph" w:customStyle="1" w:styleId="bajada">
    <w:name w:val="bajada"/>
    <w:basedOn w:val="Normal"/>
    <w:uiPriority w:val="99"/>
    <w:rsid w:val="002B023C"/>
    <w:pPr>
      <w:spacing w:after="150" w:line="288" w:lineRule="auto"/>
    </w:pPr>
    <w:rPr>
      <w:rFonts w:eastAsia="Times New Roman"/>
      <w:b/>
      <w:bCs/>
      <w:sz w:val="23"/>
      <w:szCs w:val="23"/>
      <w:lang w:val="es-ES"/>
    </w:rPr>
  </w:style>
  <w:style w:type="table" w:customStyle="1" w:styleId="Tablaconcuadrcula1450">
    <w:name w:val="Tabla con cuadrícula 145"/>
    <w:basedOn w:val="Tablanormal"/>
    <w:next w:val="Tablaconcuadrcula10"/>
    <w:rsid w:val="002B023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7">
    <w:name w:val="Tabla con cuadrícula377"/>
    <w:basedOn w:val="Tablanormal"/>
    <w:next w:val="Tablaconcuadrcula"/>
    <w:rsid w:val="002B02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ro">
    <w:name w:val="intro"/>
    <w:basedOn w:val="Normal"/>
    <w:rsid w:val="002B023C"/>
    <w:pPr>
      <w:spacing w:after="150" w:line="288" w:lineRule="auto"/>
    </w:pPr>
    <w:rPr>
      <w:rFonts w:eastAsia="Times New Roman"/>
      <w:sz w:val="23"/>
      <w:szCs w:val="23"/>
      <w:lang w:val="es-ES"/>
    </w:rPr>
  </w:style>
  <w:style w:type="paragraph" w:customStyle="1" w:styleId="futbol">
    <w:name w:val="futbol"/>
    <w:basedOn w:val="Normal"/>
    <w:uiPriority w:val="99"/>
    <w:rsid w:val="002B023C"/>
    <w:pPr>
      <w:pBdr>
        <w:top w:val="single" w:sz="6" w:space="4" w:color="C2C1A5"/>
        <w:left w:val="single" w:sz="6" w:space="4" w:color="C2C1A5"/>
        <w:bottom w:val="single" w:sz="6" w:space="4" w:color="C2C1A5"/>
        <w:right w:val="single" w:sz="6" w:space="4" w:color="C2C1A5"/>
      </w:pBdr>
      <w:shd w:val="clear" w:color="auto" w:fill="F4EBD2"/>
      <w:spacing w:before="300" w:line="288" w:lineRule="auto"/>
      <w:ind w:left="300"/>
    </w:pPr>
    <w:rPr>
      <w:rFonts w:eastAsia="Times New Roman"/>
      <w:sz w:val="23"/>
      <w:szCs w:val="23"/>
      <w:lang w:val="es-ES"/>
    </w:rPr>
  </w:style>
  <w:style w:type="paragraph" w:customStyle="1" w:styleId="referencias">
    <w:name w:val="referencias"/>
    <w:basedOn w:val="Normal"/>
    <w:uiPriority w:val="99"/>
    <w:rsid w:val="002B023C"/>
    <w:pPr>
      <w:pBdr>
        <w:top w:val="single" w:sz="6" w:space="2" w:color="CCCCCC"/>
        <w:left w:val="single" w:sz="6" w:space="2" w:color="CCCCCC"/>
        <w:bottom w:val="single" w:sz="6" w:space="2" w:color="CCCCCC"/>
        <w:right w:val="single" w:sz="6" w:space="2" w:color="CCCCCC"/>
      </w:pBdr>
      <w:shd w:val="clear" w:color="auto" w:fill="EFEFEF"/>
      <w:spacing w:before="150" w:after="150" w:line="288" w:lineRule="auto"/>
      <w:ind w:left="300" w:right="300"/>
    </w:pPr>
    <w:rPr>
      <w:rFonts w:eastAsia="Times New Roman"/>
      <w:sz w:val="20"/>
      <w:szCs w:val="20"/>
      <w:lang w:val="es-ES"/>
    </w:rPr>
  </w:style>
  <w:style w:type="paragraph" w:customStyle="1" w:styleId="destacado">
    <w:name w:val="destacado"/>
    <w:basedOn w:val="Normal"/>
    <w:uiPriority w:val="99"/>
    <w:rsid w:val="002B023C"/>
    <w:pPr>
      <w:pBdr>
        <w:top w:val="single" w:sz="18" w:space="4" w:color="999999"/>
        <w:bottom w:val="single" w:sz="18" w:space="4" w:color="999999"/>
      </w:pBdr>
      <w:spacing w:after="150" w:line="288" w:lineRule="auto"/>
    </w:pPr>
    <w:rPr>
      <w:rFonts w:eastAsia="Times New Roman"/>
      <w:sz w:val="23"/>
      <w:szCs w:val="23"/>
      <w:lang w:val="es-ES"/>
    </w:rPr>
  </w:style>
  <w:style w:type="paragraph" w:customStyle="1" w:styleId="align-iz">
    <w:name w:val="align-iz"/>
    <w:basedOn w:val="Normal"/>
    <w:uiPriority w:val="99"/>
    <w:rsid w:val="002B023C"/>
    <w:pPr>
      <w:spacing w:before="75" w:after="75" w:line="288" w:lineRule="auto"/>
      <w:ind w:right="150"/>
    </w:pPr>
    <w:rPr>
      <w:rFonts w:eastAsia="Times New Roman"/>
      <w:sz w:val="23"/>
      <w:szCs w:val="23"/>
      <w:lang w:val="es-ES"/>
    </w:rPr>
  </w:style>
  <w:style w:type="paragraph" w:customStyle="1" w:styleId="align-de">
    <w:name w:val="align-de"/>
    <w:basedOn w:val="Normal"/>
    <w:uiPriority w:val="99"/>
    <w:rsid w:val="002B023C"/>
    <w:pPr>
      <w:spacing w:before="75" w:after="75" w:line="288" w:lineRule="auto"/>
      <w:ind w:left="150"/>
    </w:pPr>
    <w:rPr>
      <w:rFonts w:eastAsia="Times New Roman"/>
      <w:sz w:val="23"/>
      <w:szCs w:val="23"/>
      <w:lang w:val="es-ES"/>
    </w:rPr>
  </w:style>
  <w:style w:type="paragraph" w:customStyle="1" w:styleId="actualice">
    <w:name w:val="actualice"/>
    <w:basedOn w:val="Normal"/>
    <w:uiPriority w:val="99"/>
    <w:rsid w:val="002B023C"/>
    <w:pPr>
      <w:pBdr>
        <w:top w:val="single" w:sz="6" w:space="4" w:color="999999"/>
        <w:left w:val="single" w:sz="6" w:space="4" w:color="999999"/>
        <w:bottom w:val="single" w:sz="6" w:space="4" w:color="999999"/>
        <w:right w:val="single" w:sz="6" w:space="4" w:color="999999"/>
      </w:pBdr>
      <w:shd w:val="clear" w:color="auto" w:fill="CCCCCC"/>
      <w:spacing w:before="150" w:after="150" w:line="288" w:lineRule="auto"/>
      <w:jc w:val="center"/>
    </w:pPr>
    <w:rPr>
      <w:rFonts w:eastAsia="Times New Roman"/>
      <w:sz w:val="23"/>
      <w:szCs w:val="23"/>
      <w:lang w:val="es-ES"/>
    </w:rPr>
  </w:style>
  <w:style w:type="paragraph" w:customStyle="1" w:styleId="tablaicur">
    <w:name w:val="tabla_icur"/>
    <w:basedOn w:val="Normal"/>
    <w:uiPriority w:val="99"/>
    <w:rsid w:val="002B023C"/>
    <w:pPr>
      <w:pBdr>
        <w:top w:val="single" w:sz="6" w:space="0" w:color="C2C1A5"/>
        <w:left w:val="single" w:sz="6" w:space="0" w:color="C2C1A5"/>
        <w:bottom w:val="single" w:sz="6" w:space="0" w:color="C2C1A5"/>
        <w:right w:val="single" w:sz="6" w:space="0" w:color="C2C1A5"/>
      </w:pBdr>
      <w:spacing w:before="225" w:after="225" w:line="288" w:lineRule="auto"/>
    </w:pPr>
    <w:rPr>
      <w:rFonts w:eastAsia="Times New Roman"/>
      <w:sz w:val="23"/>
      <w:szCs w:val="23"/>
      <w:lang w:val="es-ES"/>
    </w:rPr>
  </w:style>
  <w:style w:type="paragraph" w:customStyle="1" w:styleId="titdatosrelevantes">
    <w:name w:val="tit_datos_relevantes"/>
    <w:basedOn w:val="Normal"/>
    <w:uiPriority w:val="99"/>
    <w:rsid w:val="002B023C"/>
    <w:pPr>
      <w:spacing w:before="225" w:after="225" w:line="288" w:lineRule="auto"/>
      <w:ind w:left="225" w:right="225"/>
    </w:pPr>
    <w:rPr>
      <w:rFonts w:eastAsia="Times New Roman"/>
      <w:color w:val="999999"/>
      <w:sz w:val="30"/>
      <w:szCs w:val="30"/>
      <w:lang w:val="es-ES"/>
    </w:rPr>
  </w:style>
  <w:style w:type="paragraph" w:customStyle="1" w:styleId="datosrelevantes">
    <w:name w:val="datos_relevantes"/>
    <w:basedOn w:val="Normal"/>
    <w:uiPriority w:val="99"/>
    <w:rsid w:val="002B023C"/>
    <w:pPr>
      <w:spacing w:line="288" w:lineRule="auto"/>
    </w:pPr>
    <w:rPr>
      <w:rFonts w:eastAsia="Times New Roman"/>
      <w:sz w:val="23"/>
      <w:szCs w:val="23"/>
      <w:lang w:val="es-ES"/>
    </w:rPr>
  </w:style>
  <w:style w:type="paragraph" w:customStyle="1" w:styleId="separadordatos">
    <w:name w:val="separador_datos"/>
    <w:basedOn w:val="Normal"/>
    <w:uiPriority w:val="99"/>
    <w:rsid w:val="002B023C"/>
    <w:pPr>
      <w:spacing w:after="150" w:line="288" w:lineRule="auto"/>
    </w:pPr>
    <w:rPr>
      <w:rFonts w:eastAsia="Times New Roman"/>
      <w:sz w:val="23"/>
      <w:szCs w:val="23"/>
      <w:lang w:val="es-ES"/>
    </w:rPr>
  </w:style>
  <w:style w:type="paragraph" w:customStyle="1" w:styleId="ranking">
    <w:name w:val="ranking"/>
    <w:basedOn w:val="Normal"/>
    <w:uiPriority w:val="99"/>
    <w:rsid w:val="002B023C"/>
    <w:pPr>
      <w:pBdr>
        <w:top w:val="single" w:sz="6" w:space="0" w:color="C2C1A5"/>
        <w:left w:val="single" w:sz="6" w:space="0" w:color="C2C1A5"/>
        <w:bottom w:val="single" w:sz="6" w:space="0" w:color="C2C1A5"/>
        <w:right w:val="single" w:sz="6" w:space="0" w:color="C2C1A5"/>
      </w:pBdr>
      <w:spacing w:after="150" w:line="288" w:lineRule="auto"/>
    </w:pPr>
    <w:rPr>
      <w:rFonts w:eastAsia="Times New Roman"/>
      <w:sz w:val="20"/>
      <w:szCs w:val="20"/>
      <w:lang w:val="es-ES"/>
    </w:rPr>
  </w:style>
  <w:style w:type="paragraph" w:customStyle="1" w:styleId="caja">
    <w:name w:val="caja"/>
    <w:basedOn w:val="Normal"/>
    <w:uiPriority w:val="99"/>
    <w:rsid w:val="002B023C"/>
    <w:pPr>
      <w:pBdr>
        <w:top w:val="single" w:sz="6" w:space="4" w:color="C2C1A5"/>
        <w:left w:val="single" w:sz="6" w:space="8" w:color="C2C1A5"/>
        <w:bottom w:val="single" w:sz="6" w:space="8" w:color="C2C1A5"/>
        <w:right w:val="single" w:sz="6" w:space="8" w:color="C2C1A5"/>
      </w:pBdr>
      <w:shd w:val="clear" w:color="auto" w:fill="FFFFFF"/>
      <w:spacing w:after="375" w:line="288" w:lineRule="auto"/>
    </w:pPr>
    <w:rPr>
      <w:rFonts w:eastAsia="Times New Roman"/>
      <w:sz w:val="23"/>
      <w:szCs w:val="23"/>
      <w:lang w:val="es-ES"/>
    </w:rPr>
  </w:style>
  <w:style w:type="paragraph" w:customStyle="1" w:styleId="metodologia">
    <w:name w:val="metodologia"/>
    <w:basedOn w:val="Normal"/>
    <w:uiPriority w:val="99"/>
    <w:rsid w:val="002B023C"/>
    <w:pPr>
      <w:spacing w:before="300" w:after="300" w:line="288" w:lineRule="auto"/>
      <w:ind w:left="150"/>
    </w:pPr>
    <w:rPr>
      <w:rFonts w:eastAsia="Times New Roman"/>
      <w:sz w:val="23"/>
      <w:szCs w:val="23"/>
      <w:lang w:val="es-ES"/>
    </w:rPr>
  </w:style>
  <w:style w:type="paragraph" w:customStyle="1" w:styleId="graficos">
    <w:name w:val="graficos"/>
    <w:basedOn w:val="Normal"/>
    <w:uiPriority w:val="99"/>
    <w:rsid w:val="002B023C"/>
    <w:pPr>
      <w:spacing w:after="150" w:line="288" w:lineRule="auto"/>
    </w:pPr>
    <w:rPr>
      <w:rFonts w:eastAsia="Times New Roman"/>
      <w:sz w:val="23"/>
      <w:szCs w:val="23"/>
      <w:lang w:val="es-ES"/>
    </w:rPr>
  </w:style>
  <w:style w:type="paragraph" w:customStyle="1" w:styleId="fin">
    <w:name w:val="fin"/>
    <w:basedOn w:val="Normal"/>
    <w:uiPriority w:val="99"/>
    <w:rsid w:val="002B023C"/>
    <w:pPr>
      <w:spacing w:after="150" w:line="288" w:lineRule="auto"/>
    </w:pPr>
    <w:rPr>
      <w:rFonts w:eastAsia="Times New Roman"/>
      <w:sz w:val="23"/>
      <w:szCs w:val="23"/>
      <w:lang w:val="es-ES"/>
    </w:rPr>
  </w:style>
  <w:style w:type="paragraph" w:customStyle="1" w:styleId="footerbotdirectos">
    <w:name w:val="footer_bot_directos"/>
    <w:basedOn w:val="Normal"/>
    <w:uiPriority w:val="99"/>
    <w:rsid w:val="002B023C"/>
    <w:pPr>
      <w:spacing w:after="150" w:line="288" w:lineRule="auto"/>
    </w:pPr>
    <w:rPr>
      <w:rFonts w:eastAsia="Times New Roman"/>
      <w:sz w:val="23"/>
      <w:szCs w:val="23"/>
      <w:lang w:val="es-ES"/>
    </w:rPr>
  </w:style>
  <w:style w:type="paragraph" w:customStyle="1" w:styleId="ui-slider-handle">
    <w:name w:val="ui-slider-handle"/>
    <w:basedOn w:val="Normal"/>
    <w:uiPriority w:val="99"/>
    <w:rsid w:val="002B023C"/>
    <w:pPr>
      <w:pBdr>
        <w:top w:val="single" w:sz="6" w:space="0" w:color="CCCCCC"/>
        <w:left w:val="single" w:sz="6" w:space="0" w:color="CCCCCC"/>
        <w:bottom w:val="single" w:sz="6" w:space="0" w:color="CCCCCC"/>
        <w:right w:val="single" w:sz="6" w:space="0" w:color="CCCCCC"/>
      </w:pBdr>
      <w:shd w:val="clear" w:color="auto" w:fill="FF6600"/>
      <w:spacing w:after="150" w:line="288" w:lineRule="auto"/>
    </w:pPr>
    <w:rPr>
      <w:rFonts w:eastAsia="Times New Roman"/>
      <w:sz w:val="23"/>
      <w:szCs w:val="23"/>
      <w:lang w:val="es-ES"/>
    </w:rPr>
  </w:style>
  <w:style w:type="paragraph" w:customStyle="1" w:styleId="paginador">
    <w:name w:val="paginador"/>
    <w:basedOn w:val="Normal"/>
    <w:uiPriority w:val="99"/>
    <w:rsid w:val="002B023C"/>
    <w:pPr>
      <w:spacing w:after="150" w:line="288" w:lineRule="auto"/>
    </w:pPr>
    <w:rPr>
      <w:rFonts w:eastAsia="Times New Roman"/>
      <w:sz w:val="23"/>
      <w:szCs w:val="23"/>
      <w:lang w:val="es-ES"/>
    </w:rPr>
  </w:style>
  <w:style w:type="paragraph" w:customStyle="1" w:styleId="sub">
    <w:name w:val="sub"/>
    <w:basedOn w:val="Normal"/>
    <w:uiPriority w:val="99"/>
    <w:rsid w:val="002B023C"/>
    <w:pPr>
      <w:spacing w:after="150" w:line="288" w:lineRule="auto"/>
    </w:pPr>
    <w:rPr>
      <w:rFonts w:eastAsia="Times New Roman"/>
      <w:sz w:val="23"/>
      <w:szCs w:val="23"/>
      <w:lang w:val="es-ES"/>
    </w:rPr>
  </w:style>
  <w:style w:type="paragraph" w:customStyle="1" w:styleId="rank">
    <w:name w:val="rank"/>
    <w:basedOn w:val="Normal"/>
    <w:uiPriority w:val="99"/>
    <w:rsid w:val="002B023C"/>
    <w:pPr>
      <w:spacing w:after="150" w:line="288" w:lineRule="auto"/>
    </w:pPr>
    <w:rPr>
      <w:rFonts w:eastAsia="Times New Roman"/>
      <w:sz w:val="23"/>
      <w:szCs w:val="23"/>
      <w:lang w:val="es-ES"/>
    </w:rPr>
  </w:style>
  <w:style w:type="paragraph" w:customStyle="1" w:styleId="columna">
    <w:name w:val="columna"/>
    <w:basedOn w:val="Normal"/>
    <w:uiPriority w:val="99"/>
    <w:rsid w:val="002B023C"/>
    <w:pPr>
      <w:spacing w:after="150" w:line="288" w:lineRule="auto"/>
    </w:pPr>
    <w:rPr>
      <w:rFonts w:eastAsia="Times New Roman"/>
      <w:sz w:val="23"/>
      <w:szCs w:val="23"/>
      <w:lang w:val="es-ES"/>
    </w:rPr>
  </w:style>
  <w:style w:type="paragraph" w:customStyle="1" w:styleId="col">
    <w:name w:val="col"/>
    <w:basedOn w:val="Normal"/>
    <w:uiPriority w:val="99"/>
    <w:rsid w:val="002B023C"/>
    <w:pPr>
      <w:spacing w:after="150" w:line="288" w:lineRule="auto"/>
    </w:pPr>
    <w:rPr>
      <w:rFonts w:eastAsia="Times New Roman"/>
      <w:sz w:val="23"/>
      <w:szCs w:val="23"/>
      <w:lang w:val="es-ES"/>
    </w:rPr>
  </w:style>
  <w:style w:type="paragraph" w:customStyle="1" w:styleId="espaciado">
    <w:name w:val="espaciado"/>
    <w:basedOn w:val="Normal"/>
    <w:uiPriority w:val="99"/>
    <w:rsid w:val="002B023C"/>
    <w:pPr>
      <w:spacing w:after="150" w:line="288" w:lineRule="auto"/>
    </w:pPr>
    <w:rPr>
      <w:rFonts w:eastAsia="Times New Roman"/>
      <w:sz w:val="23"/>
      <w:szCs w:val="23"/>
      <w:lang w:val="es-ES"/>
    </w:rPr>
  </w:style>
  <w:style w:type="paragraph" w:customStyle="1" w:styleId="icur">
    <w:name w:val="icur"/>
    <w:basedOn w:val="Normal"/>
    <w:uiPriority w:val="99"/>
    <w:rsid w:val="002B023C"/>
    <w:pPr>
      <w:spacing w:after="150" w:line="288" w:lineRule="auto"/>
    </w:pPr>
    <w:rPr>
      <w:rFonts w:eastAsia="Times New Roman"/>
      <w:sz w:val="23"/>
      <w:szCs w:val="23"/>
      <w:lang w:val="es-ES"/>
    </w:rPr>
  </w:style>
  <w:style w:type="paragraph" w:customStyle="1" w:styleId="colfinal">
    <w:name w:val="col_final"/>
    <w:basedOn w:val="Normal"/>
    <w:uiPriority w:val="99"/>
    <w:rsid w:val="002B023C"/>
    <w:pPr>
      <w:spacing w:after="150" w:line="288" w:lineRule="auto"/>
    </w:pPr>
    <w:rPr>
      <w:rFonts w:eastAsia="Times New Roman"/>
      <w:sz w:val="23"/>
      <w:szCs w:val="23"/>
      <w:lang w:val="es-ES"/>
    </w:rPr>
  </w:style>
  <w:style w:type="paragraph" w:customStyle="1" w:styleId="sub1">
    <w:name w:val="sub1"/>
    <w:basedOn w:val="Normal"/>
    <w:uiPriority w:val="99"/>
    <w:rsid w:val="002B023C"/>
    <w:pPr>
      <w:spacing w:after="375" w:line="288" w:lineRule="auto"/>
      <w:ind w:left="150"/>
    </w:pPr>
    <w:rPr>
      <w:rFonts w:eastAsia="Times New Roman"/>
      <w:sz w:val="20"/>
      <w:szCs w:val="20"/>
      <w:lang w:val="es-ES"/>
    </w:rPr>
  </w:style>
  <w:style w:type="paragraph" w:customStyle="1" w:styleId="rank1">
    <w:name w:val="rank1"/>
    <w:basedOn w:val="Normal"/>
    <w:uiPriority w:val="99"/>
    <w:rsid w:val="002B023C"/>
    <w:pPr>
      <w:spacing w:before="150" w:line="288" w:lineRule="auto"/>
      <w:ind w:left="225" w:right="225"/>
    </w:pPr>
    <w:rPr>
      <w:rFonts w:eastAsia="Times New Roman"/>
      <w:sz w:val="23"/>
      <w:szCs w:val="23"/>
      <w:lang w:val="es-ES"/>
    </w:rPr>
  </w:style>
  <w:style w:type="paragraph" w:customStyle="1" w:styleId="intro1">
    <w:name w:val="intro1"/>
    <w:basedOn w:val="Normal"/>
    <w:rsid w:val="002B023C"/>
    <w:pPr>
      <w:spacing w:after="150" w:line="288" w:lineRule="auto"/>
    </w:pPr>
    <w:rPr>
      <w:rFonts w:eastAsia="Times New Roman"/>
      <w:sz w:val="23"/>
      <w:szCs w:val="23"/>
      <w:lang w:val="es-ES"/>
    </w:rPr>
  </w:style>
  <w:style w:type="paragraph" w:customStyle="1" w:styleId="col1">
    <w:name w:val="col1"/>
    <w:basedOn w:val="Normal"/>
    <w:uiPriority w:val="99"/>
    <w:rsid w:val="002B023C"/>
    <w:pPr>
      <w:spacing w:after="150" w:line="288" w:lineRule="auto"/>
    </w:pPr>
    <w:rPr>
      <w:rFonts w:eastAsia="Times New Roman"/>
      <w:sz w:val="23"/>
      <w:szCs w:val="23"/>
      <w:lang w:val="es-ES"/>
    </w:rPr>
  </w:style>
  <w:style w:type="paragraph" w:customStyle="1" w:styleId="espaciado1">
    <w:name w:val="espaciado1"/>
    <w:basedOn w:val="Normal"/>
    <w:uiPriority w:val="99"/>
    <w:rsid w:val="002B023C"/>
    <w:pPr>
      <w:pBdr>
        <w:left w:val="single" w:sz="6" w:space="15" w:color="C2C1A5"/>
      </w:pBdr>
      <w:spacing w:after="150" w:line="288" w:lineRule="auto"/>
    </w:pPr>
    <w:rPr>
      <w:rFonts w:eastAsia="Times New Roman"/>
      <w:sz w:val="23"/>
      <w:szCs w:val="23"/>
      <w:lang w:val="es-ES"/>
    </w:rPr>
  </w:style>
  <w:style w:type="paragraph" w:customStyle="1" w:styleId="icur1">
    <w:name w:val="icur1"/>
    <w:basedOn w:val="Normal"/>
    <w:uiPriority w:val="99"/>
    <w:rsid w:val="002B023C"/>
    <w:pPr>
      <w:spacing w:after="150" w:line="288" w:lineRule="auto"/>
      <w:ind w:left="450"/>
    </w:pPr>
    <w:rPr>
      <w:rFonts w:eastAsia="Times New Roman"/>
      <w:sz w:val="23"/>
      <w:szCs w:val="23"/>
      <w:lang w:val="es-ES"/>
    </w:rPr>
  </w:style>
  <w:style w:type="paragraph" w:customStyle="1" w:styleId="colfinal1">
    <w:name w:val="col_final1"/>
    <w:basedOn w:val="Normal"/>
    <w:uiPriority w:val="99"/>
    <w:rsid w:val="002B023C"/>
    <w:pPr>
      <w:pBdr>
        <w:top w:val="single" w:sz="6" w:space="15" w:color="C2C1A5"/>
      </w:pBdr>
      <w:spacing w:after="150" w:line="288" w:lineRule="auto"/>
    </w:pPr>
    <w:rPr>
      <w:rFonts w:eastAsia="Times New Roman"/>
      <w:sz w:val="23"/>
      <w:szCs w:val="23"/>
      <w:lang w:val="es-ES"/>
    </w:rPr>
  </w:style>
  <w:style w:type="paragraph" w:customStyle="1" w:styleId="paginador1">
    <w:name w:val="paginador1"/>
    <w:basedOn w:val="Normal"/>
    <w:uiPriority w:val="99"/>
    <w:rsid w:val="002B023C"/>
    <w:pPr>
      <w:spacing w:before="450" w:after="450" w:line="288" w:lineRule="auto"/>
      <w:jc w:val="center"/>
    </w:pPr>
    <w:rPr>
      <w:rFonts w:eastAsia="Times New Roman"/>
      <w:b/>
      <w:bCs/>
      <w:sz w:val="23"/>
      <w:szCs w:val="23"/>
      <w:lang w:val="es-ES"/>
    </w:rPr>
  </w:style>
  <w:style w:type="paragraph" w:customStyle="1" w:styleId="separadordatos1">
    <w:name w:val="separador_datos1"/>
    <w:basedOn w:val="Normal"/>
    <w:uiPriority w:val="99"/>
    <w:rsid w:val="002B023C"/>
    <w:pPr>
      <w:shd w:val="clear" w:color="auto" w:fill="FFFFFF"/>
      <w:spacing w:after="150" w:line="288" w:lineRule="auto"/>
    </w:pPr>
    <w:rPr>
      <w:rFonts w:eastAsia="Times New Roman"/>
      <w:sz w:val="23"/>
      <w:szCs w:val="23"/>
      <w:lang w:val="es-ES"/>
    </w:rPr>
  </w:style>
  <w:style w:type="paragraph" w:customStyle="1" w:styleId="separador1">
    <w:name w:val="separador1"/>
    <w:basedOn w:val="Normal"/>
    <w:uiPriority w:val="99"/>
    <w:rsid w:val="002B023C"/>
    <w:pPr>
      <w:shd w:val="clear" w:color="auto" w:fill="FFF4DC"/>
      <w:spacing w:after="150" w:line="288" w:lineRule="auto"/>
    </w:pPr>
    <w:rPr>
      <w:rFonts w:eastAsia="Times New Roman"/>
      <w:sz w:val="23"/>
      <w:szCs w:val="23"/>
      <w:lang w:val="es-ES"/>
    </w:rPr>
  </w:style>
  <w:style w:type="paragraph" w:customStyle="1" w:styleId="columna1">
    <w:name w:val="columna1"/>
    <w:basedOn w:val="Normal"/>
    <w:uiPriority w:val="99"/>
    <w:rsid w:val="002B023C"/>
    <w:pPr>
      <w:spacing w:before="150" w:line="288" w:lineRule="auto"/>
      <w:ind w:left="225"/>
    </w:pPr>
    <w:rPr>
      <w:rFonts w:eastAsia="Times New Roman"/>
      <w:sz w:val="23"/>
      <w:szCs w:val="23"/>
      <w:lang w:val="es-ES"/>
    </w:rPr>
  </w:style>
  <w:style w:type="table" w:customStyle="1" w:styleId="Tablaconcuadrcula378">
    <w:name w:val="Tabla con cuadrícula378"/>
    <w:basedOn w:val="Tablanormal"/>
    <w:next w:val="Tablaconcuadrcula"/>
    <w:rsid w:val="00422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5">
    <w:name w:val="Sin lista245"/>
    <w:next w:val="Sinlista"/>
    <w:semiHidden/>
    <w:rsid w:val="00110D1F"/>
  </w:style>
  <w:style w:type="table" w:customStyle="1" w:styleId="Tablaconcuadrcula379">
    <w:name w:val="Tabla con cuadrícula379"/>
    <w:basedOn w:val="Tablanormal"/>
    <w:next w:val="Tablaconcuadrcula"/>
    <w:rsid w:val="00110D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6">
    <w:name w:val="Sin lista246"/>
    <w:next w:val="Sinlista"/>
    <w:semiHidden/>
    <w:rsid w:val="00767BB9"/>
  </w:style>
  <w:style w:type="table" w:customStyle="1" w:styleId="Tablaconcuadrcula380">
    <w:name w:val="Tabla con cuadrícula380"/>
    <w:basedOn w:val="Tablanormal"/>
    <w:next w:val="Tablaconcuadrcula"/>
    <w:rsid w:val="00767B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7">
    <w:name w:val="Sin lista247"/>
    <w:next w:val="Sinlista"/>
    <w:semiHidden/>
    <w:rsid w:val="00590D83"/>
  </w:style>
  <w:style w:type="table" w:customStyle="1" w:styleId="Tablaconcuadrcula1460">
    <w:name w:val="Tabla con cuadrícula 146"/>
    <w:basedOn w:val="Tablanormal"/>
    <w:next w:val="Tablaconcuadrcula10"/>
    <w:rsid w:val="00590D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Listaconnmeros2">
    <w:name w:val="List Number 2"/>
    <w:basedOn w:val="Normal"/>
    <w:uiPriority w:val="99"/>
    <w:rsid w:val="00590D83"/>
    <w:pPr>
      <w:numPr>
        <w:numId w:val="11"/>
      </w:numPr>
      <w:tabs>
        <w:tab w:val="clear" w:pos="643"/>
        <w:tab w:val="left" w:pos="720"/>
      </w:tabs>
      <w:ind w:left="1440" w:hanging="720"/>
      <w:jc w:val="both"/>
    </w:pPr>
    <w:rPr>
      <w:rFonts w:eastAsia="Times New Roman"/>
      <w:sz w:val="22"/>
      <w:szCs w:val="20"/>
      <w:lang w:val="es-ES" w:eastAsia="en-GB"/>
    </w:rPr>
  </w:style>
  <w:style w:type="table" w:customStyle="1" w:styleId="Tablaconcuadrcula381">
    <w:name w:val="Tabla con cuadrícula381"/>
    <w:basedOn w:val="Tablanormal"/>
    <w:next w:val="Tablaconcuadrcula"/>
    <w:rsid w:val="00D749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8">
    <w:name w:val="Sin lista248"/>
    <w:next w:val="Sinlista"/>
    <w:semiHidden/>
    <w:rsid w:val="00980C2F"/>
  </w:style>
  <w:style w:type="table" w:customStyle="1" w:styleId="Tablaconcuadrcula1470">
    <w:name w:val="Tabla con cuadrícula 147"/>
    <w:basedOn w:val="Tablanormal"/>
    <w:next w:val="Tablaconcuadrcula10"/>
    <w:rsid w:val="00980C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footnote3">
    <w:name w:val="footnote3"/>
    <w:basedOn w:val="Normal"/>
    <w:uiPriority w:val="99"/>
    <w:rsid w:val="00A53EC0"/>
    <w:pPr>
      <w:spacing w:after="312" w:line="312" w:lineRule="atLeast"/>
    </w:pPr>
    <w:rPr>
      <w:rFonts w:ascii="Verdana" w:eastAsia="Times New Roman" w:hAnsi="Verdana"/>
      <w:sz w:val="22"/>
      <w:szCs w:val="22"/>
      <w:lang w:val="es-ES"/>
    </w:rPr>
  </w:style>
  <w:style w:type="numbering" w:customStyle="1" w:styleId="Sinlista249">
    <w:name w:val="Sin lista249"/>
    <w:next w:val="Sinlista"/>
    <w:semiHidden/>
    <w:rsid w:val="00957534"/>
  </w:style>
  <w:style w:type="table" w:customStyle="1" w:styleId="Tablaconcuadrcula382">
    <w:name w:val="Tabla con cuadrícula382"/>
    <w:basedOn w:val="Tablanormal"/>
    <w:next w:val="Tablaconcuadrcula"/>
    <w:rsid w:val="009575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3">
    <w:name w:val="Tabla con cuadrícula383"/>
    <w:basedOn w:val="Tablanormal"/>
    <w:next w:val="Tablaconcuadrcula"/>
    <w:rsid w:val="00642F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4">
    <w:name w:val="Tabla con cuadrícula384"/>
    <w:basedOn w:val="Tablanormal"/>
    <w:next w:val="Tablaconcuadrcula"/>
    <w:rsid w:val="005932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0">
    <w:name w:val="Sin lista250"/>
    <w:next w:val="Sinlista"/>
    <w:semiHidden/>
    <w:rsid w:val="00FB055D"/>
  </w:style>
  <w:style w:type="table" w:customStyle="1" w:styleId="Tablaconcuadrcula385">
    <w:name w:val="Tabla con cuadrícula385"/>
    <w:basedOn w:val="Tablanormal"/>
    <w:next w:val="Tablaconcuadrcula"/>
    <w:rsid w:val="00FB05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6">
    <w:name w:val="Tabla con cuadrícula386"/>
    <w:basedOn w:val="Tablanormal"/>
    <w:next w:val="Tablaconcuadrcula"/>
    <w:rsid w:val="001C25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4">
    <w:name w:val="Sin lista254"/>
    <w:next w:val="Sinlista"/>
    <w:semiHidden/>
    <w:rsid w:val="00A5100F"/>
  </w:style>
  <w:style w:type="table" w:customStyle="1" w:styleId="Tablaconcuadrcula387">
    <w:name w:val="Tabla con cuadrícula387"/>
    <w:basedOn w:val="Tablanormal"/>
    <w:next w:val="Tablaconcuadrcula"/>
    <w:rsid w:val="00C577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0">
    <w:name w:val="Tabla con cuadrícula 148"/>
    <w:basedOn w:val="Tablanormal"/>
    <w:next w:val="Tablaconcuadrcula10"/>
    <w:rsid w:val="003947D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8">
    <w:name w:val="Tabla con cuadrícula388"/>
    <w:basedOn w:val="Tablanormal"/>
    <w:next w:val="Tablaconcuadrcula"/>
    <w:rsid w:val="002D3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5">
    <w:name w:val="Sin lista255"/>
    <w:next w:val="Sinlista"/>
    <w:semiHidden/>
    <w:rsid w:val="00D1615D"/>
  </w:style>
  <w:style w:type="paragraph" w:customStyle="1" w:styleId="msonospacing0">
    <w:name w:val="msonospacing"/>
    <w:basedOn w:val="Normal"/>
    <w:rsid w:val="00D1615D"/>
    <w:pPr>
      <w:spacing w:before="100" w:beforeAutospacing="1" w:after="100" w:afterAutospacing="1"/>
    </w:pPr>
    <w:rPr>
      <w:rFonts w:eastAsia="Times New Roman"/>
      <w:lang w:val="es-ES"/>
    </w:rPr>
  </w:style>
  <w:style w:type="table" w:customStyle="1" w:styleId="Tablaconcuadrcula389">
    <w:name w:val="Tabla con cuadrícula389"/>
    <w:basedOn w:val="Tablanormal"/>
    <w:next w:val="Tablaconcuadrcula"/>
    <w:rsid w:val="00D161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0">
    <w:name w:val="Tabla con cuadrícula390"/>
    <w:basedOn w:val="Tablanormal"/>
    <w:next w:val="Tablaconcuadrcula"/>
    <w:rsid w:val="00644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6">
    <w:name w:val="Sin lista256"/>
    <w:next w:val="Sinlista"/>
    <w:semiHidden/>
    <w:rsid w:val="003563C3"/>
  </w:style>
  <w:style w:type="numbering" w:customStyle="1" w:styleId="Sinlista257">
    <w:name w:val="Sin lista257"/>
    <w:next w:val="Sinlista"/>
    <w:semiHidden/>
    <w:rsid w:val="003237A0"/>
  </w:style>
  <w:style w:type="table" w:customStyle="1" w:styleId="Tablaconcuadrcula391">
    <w:name w:val="Tabla con cuadrícula391"/>
    <w:basedOn w:val="Tablanormal"/>
    <w:next w:val="Tablaconcuadrcula"/>
    <w:rsid w:val="006F21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2">
    <w:name w:val="Tabla con cuadrícula392"/>
    <w:basedOn w:val="Tablanormal"/>
    <w:next w:val="Tablaconcuadrcula"/>
    <w:rsid w:val="008B7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3">
    <w:name w:val="Tabla con cuadrícula393"/>
    <w:basedOn w:val="Tablanormal"/>
    <w:next w:val="Tablaconcuadrcula"/>
    <w:rsid w:val="007B62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4">
    <w:name w:val="Tabla con cuadrícula394"/>
    <w:basedOn w:val="Tablanormal"/>
    <w:next w:val="Tablaconcuadrcula"/>
    <w:rsid w:val="000B5FF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8">
    <w:name w:val="Sin lista258"/>
    <w:next w:val="Sinlista"/>
    <w:semiHidden/>
    <w:rsid w:val="001862AE"/>
  </w:style>
  <w:style w:type="table" w:customStyle="1" w:styleId="Tablaconcuadrcula395">
    <w:name w:val="Tabla con cuadrícula395"/>
    <w:basedOn w:val="Tablanormal"/>
    <w:next w:val="Tablaconcuadrcula"/>
    <w:rsid w:val="002C17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9">
    <w:name w:val="Sin lista259"/>
    <w:next w:val="Sinlista"/>
    <w:semiHidden/>
    <w:rsid w:val="00C60BD6"/>
  </w:style>
  <w:style w:type="table" w:customStyle="1" w:styleId="Tablaconcuadrcula396">
    <w:name w:val="Tabla con cuadrícula396"/>
    <w:basedOn w:val="Tablanormal"/>
    <w:next w:val="Tablaconcuadrcula"/>
    <w:rsid w:val="00C60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0">
    <w:name w:val="Sin lista260"/>
    <w:next w:val="Sinlista"/>
    <w:semiHidden/>
    <w:rsid w:val="00384FDC"/>
  </w:style>
  <w:style w:type="character" w:customStyle="1" w:styleId="noteinfo1">
    <w:name w:val="noteinfo1"/>
    <w:basedOn w:val="Fuentedeprrafopredeter"/>
    <w:rsid w:val="00384FDC"/>
    <w:rPr>
      <w:vanish w:val="0"/>
      <w:webHidden w:val="0"/>
      <w:color w:val="969696"/>
      <w:specVanish w:val="0"/>
    </w:rPr>
  </w:style>
  <w:style w:type="character" w:customStyle="1" w:styleId="noteintro1">
    <w:name w:val="noteintro1"/>
    <w:basedOn w:val="Fuentedeprrafopredeter"/>
    <w:rsid w:val="00384FDC"/>
    <w:rPr>
      <w:color w:val="000000"/>
      <w:sz w:val="23"/>
      <w:szCs w:val="23"/>
    </w:rPr>
  </w:style>
  <w:style w:type="table" w:customStyle="1" w:styleId="Tablaconcuadrcula397">
    <w:name w:val="Tabla con cuadrícula397"/>
    <w:basedOn w:val="Tablanormal"/>
    <w:next w:val="Tablaconcuadrcula"/>
    <w:rsid w:val="00384F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4">
    <w:name w:val="Sin lista264"/>
    <w:next w:val="Sinlista"/>
    <w:semiHidden/>
    <w:rsid w:val="005E1DD2"/>
  </w:style>
  <w:style w:type="numbering" w:customStyle="1" w:styleId="Sinlista265">
    <w:name w:val="Sin lista265"/>
    <w:next w:val="Sinlista"/>
    <w:semiHidden/>
    <w:rsid w:val="00EC76F9"/>
  </w:style>
  <w:style w:type="numbering" w:customStyle="1" w:styleId="Sinlista266">
    <w:name w:val="Sin lista266"/>
    <w:next w:val="Sinlista"/>
    <w:semiHidden/>
    <w:rsid w:val="00EC76F9"/>
  </w:style>
  <w:style w:type="table" w:customStyle="1" w:styleId="Tablaconcuadrcula398">
    <w:name w:val="Tabla con cuadrícula398"/>
    <w:basedOn w:val="Tablanormal"/>
    <w:next w:val="Tablaconcuadrcula"/>
    <w:rsid w:val="00EC76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9">
    <w:name w:val="Tabla con cuadrícula399"/>
    <w:basedOn w:val="Tablanormal"/>
    <w:next w:val="Tablaconcuadrcula"/>
    <w:rsid w:val="00BA41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0">
    <w:name w:val="Tabla con cuadrícula400"/>
    <w:basedOn w:val="Tablanormal"/>
    <w:next w:val="Tablaconcuadrcula"/>
    <w:rsid w:val="00E534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7">
    <w:name w:val="Sin lista267"/>
    <w:next w:val="Sinlista"/>
    <w:semiHidden/>
    <w:rsid w:val="00BF2EBD"/>
  </w:style>
  <w:style w:type="numbering" w:customStyle="1" w:styleId="Sinlista268">
    <w:name w:val="Sin lista268"/>
    <w:next w:val="Sinlista"/>
    <w:semiHidden/>
    <w:rsid w:val="00883CEA"/>
  </w:style>
  <w:style w:type="paragraph" w:customStyle="1" w:styleId="Style22">
    <w:name w:val="Style 22"/>
    <w:basedOn w:val="Normal"/>
    <w:uiPriority w:val="99"/>
    <w:rsid w:val="00883CEA"/>
    <w:pPr>
      <w:widowControl w:val="0"/>
      <w:autoSpaceDE w:val="0"/>
      <w:autoSpaceDN w:val="0"/>
      <w:ind w:left="108"/>
    </w:pPr>
    <w:rPr>
      <w:rFonts w:eastAsia="Times New Roman"/>
      <w:lang w:val="en-US"/>
    </w:rPr>
  </w:style>
  <w:style w:type="table" w:customStyle="1" w:styleId="Tablaconcuadrcula401">
    <w:name w:val="Tabla con cuadrícula401"/>
    <w:basedOn w:val="Tablanormal"/>
    <w:next w:val="Tablaconcuadrcula"/>
    <w:rsid w:val="00883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2">
    <w:name w:val="Tabla con cuadrícula402"/>
    <w:basedOn w:val="Tablanormal"/>
    <w:next w:val="Tablaconcuadrcula"/>
    <w:rsid w:val="00F601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9">
    <w:name w:val="Sin lista269"/>
    <w:next w:val="Sinlista"/>
    <w:semiHidden/>
    <w:rsid w:val="00010413"/>
  </w:style>
  <w:style w:type="table" w:customStyle="1" w:styleId="Tablaconcuadrcula403">
    <w:name w:val="Tabla con cuadrícula403"/>
    <w:basedOn w:val="Tablanormal"/>
    <w:next w:val="Tablaconcuadrcula"/>
    <w:rsid w:val="005174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4">
    <w:name w:val="Tabla con cuadrícula404"/>
    <w:basedOn w:val="Tablanormal"/>
    <w:next w:val="Tablaconcuadrcula"/>
    <w:rsid w:val="001D089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490">
    <w:name w:val="Tabla con cuadrícula 149"/>
    <w:basedOn w:val="Tablanormal"/>
    <w:next w:val="Tablaconcuadrcula10"/>
    <w:rsid w:val="00A1704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70">
    <w:name w:val="Sin lista270"/>
    <w:next w:val="Sinlista"/>
    <w:semiHidden/>
    <w:rsid w:val="00892EBE"/>
  </w:style>
  <w:style w:type="table" w:customStyle="1" w:styleId="Tablaconcuadrcula1501">
    <w:name w:val="Tabla con cuadrícula 150"/>
    <w:basedOn w:val="Tablanormal"/>
    <w:next w:val="Tablaconcuadrcula10"/>
    <w:rsid w:val="00BB3DA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05">
    <w:name w:val="Tabla con cuadrícula405"/>
    <w:basedOn w:val="Tablanormal"/>
    <w:next w:val="Tablaconcuadrcula"/>
    <w:rsid w:val="00FD59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4">
    <w:name w:val="Sin lista274"/>
    <w:next w:val="Sinlista"/>
    <w:semiHidden/>
    <w:rsid w:val="001C6D47"/>
  </w:style>
  <w:style w:type="table" w:customStyle="1" w:styleId="Tablaconcuadrcula406">
    <w:name w:val="Tabla con cuadrícula406"/>
    <w:basedOn w:val="Tablanormal"/>
    <w:next w:val="Tablaconcuadrcula"/>
    <w:rsid w:val="001C6D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5">
    <w:name w:val="Sin lista275"/>
    <w:next w:val="Sinlista"/>
    <w:semiHidden/>
    <w:rsid w:val="00AC612A"/>
  </w:style>
  <w:style w:type="table" w:customStyle="1" w:styleId="Tablaconcuadrcula407">
    <w:name w:val="Tabla con cuadrícula407"/>
    <w:basedOn w:val="Tablanormal"/>
    <w:next w:val="Tablaconcuadrcula"/>
    <w:rsid w:val="00AC612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8">
    <w:name w:val="Tabla con cuadrícula408"/>
    <w:basedOn w:val="Tablanormal"/>
    <w:next w:val="Tablaconcuadrcula"/>
    <w:rsid w:val="00B757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9">
    <w:name w:val="Tabla con cuadrícula409"/>
    <w:basedOn w:val="Tablanormal"/>
    <w:next w:val="Tablaconcuadrcula"/>
    <w:rsid w:val="00035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6">
    <w:name w:val="Sin lista276"/>
    <w:next w:val="Sinlista"/>
    <w:semiHidden/>
    <w:rsid w:val="00121CB4"/>
  </w:style>
  <w:style w:type="table" w:customStyle="1" w:styleId="Tablaconcuadrcula410">
    <w:name w:val="Tabla con cuadrícula410"/>
    <w:basedOn w:val="Tablanormal"/>
    <w:next w:val="Tablaconcuadrcula"/>
    <w:rsid w:val="00121C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rsid w:val="005620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rsid w:val="007210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7">
    <w:name w:val="Sin lista277"/>
    <w:next w:val="Sinlista"/>
    <w:semiHidden/>
    <w:rsid w:val="00A94C1F"/>
  </w:style>
  <w:style w:type="table" w:customStyle="1" w:styleId="Tablaconcuadrcula413">
    <w:name w:val="Tabla con cuadrícula413"/>
    <w:basedOn w:val="Tablanormal"/>
    <w:next w:val="Tablaconcuadrcula"/>
    <w:rsid w:val="00A94C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8">
    <w:name w:val="Sin lista278"/>
    <w:next w:val="Sinlista"/>
    <w:semiHidden/>
    <w:rsid w:val="006E3CC2"/>
  </w:style>
  <w:style w:type="table" w:customStyle="1" w:styleId="Tablaconcuadrcula414">
    <w:name w:val="Tabla con cuadrícula414"/>
    <w:basedOn w:val="Tablanormal"/>
    <w:next w:val="Tablaconcuadrcula"/>
    <w:rsid w:val="006E3C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9">
    <w:name w:val="Sin lista279"/>
    <w:next w:val="Sinlista"/>
    <w:semiHidden/>
    <w:rsid w:val="006E1899"/>
  </w:style>
  <w:style w:type="table" w:customStyle="1" w:styleId="Tablaconcuadrcula415">
    <w:name w:val="Tabla con cuadrícula415"/>
    <w:basedOn w:val="Tablanormal"/>
    <w:next w:val="Tablaconcuadrcula"/>
    <w:rsid w:val="006E189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0">
    <w:name w:val="Sin lista280"/>
    <w:next w:val="Sinlista"/>
    <w:semiHidden/>
    <w:rsid w:val="00D215E7"/>
  </w:style>
  <w:style w:type="table" w:customStyle="1" w:styleId="Tablaconcuadrcula416">
    <w:name w:val="Tabla con cuadrícula416"/>
    <w:basedOn w:val="Tablanormal"/>
    <w:next w:val="Tablaconcuadrcula"/>
    <w:rsid w:val="00D215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4">
    <w:name w:val="Sin lista284"/>
    <w:next w:val="Sinlista"/>
    <w:semiHidden/>
    <w:rsid w:val="00FA295E"/>
  </w:style>
  <w:style w:type="table" w:customStyle="1" w:styleId="Tablaconcuadrcula417">
    <w:name w:val="Tabla con cuadrícula417"/>
    <w:basedOn w:val="Tablanormal"/>
    <w:next w:val="Tablaconcuadrcula"/>
    <w:rsid w:val="00FA29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
    <w:name w:val="Tabla con cuadrícula 151"/>
    <w:basedOn w:val="Tablanormal"/>
    <w:next w:val="Tablaconcuadrcula10"/>
    <w:rsid w:val="00057E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85">
    <w:name w:val="Sin lista285"/>
    <w:next w:val="Sinlista"/>
    <w:semiHidden/>
    <w:rsid w:val="002B5A3B"/>
  </w:style>
  <w:style w:type="table" w:customStyle="1" w:styleId="Tablaconcuadrcula418">
    <w:name w:val="Tabla con cuadrícula418"/>
    <w:basedOn w:val="Tablanormal"/>
    <w:next w:val="Tablaconcuadrcula"/>
    <w:rsid w:val="002B5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6">
    <w:name w:val="Sin lista286"/>
    <w:next w:val="Sinlista"/>
    <w:semiHidden/>
    <w:rsid w:val="00A377EF"/>
  </w:style>
  <w:style w:type="table" w:customStyle="1" w:styleId="Tablaconcuadrcula419">
    <w:name w:val="Tabla con cuadrícula419"/>
    <w:basedOn w:val="Tablanormal"/>
    <w:next w:val="Tablaconcuadrcula"/>
    <w:rsid w:val="00A377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7">
    <w:name w:val="Sin lista287"/>
    <w:next w:val="Sinlista"/>
    <w:semiHidden/>
    <w:rsid w:val="008676DE"/>
  </w:style>
  <w:style w:type="table" w:customStyle="1" w:styleId="Tablaconcuadrcula420">
    <w:name w:val="Tabla con cuadrícula420"/>
    <w:basedOn w:val="Tablanormal"/>
    <w:next w:val="Tablaconcuadrcula"/>
    <w:rsid w:val="008676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8">
    <w:name w:val="Sin lista288"/>
    <w:next w:val="Sinlista"/>
    <w:semiHidden/>
    <w:rsid w:val="009173C4"/>
  </w:style>
  <w:style w:type="table" w:customStyle="1" w:styleId="Tablaconcuadrcula421">
    <w:name w:val="Tabla con cuadrícula421"/>
    <w:basedOn w:val="Tablanormal"/>
    <w:next w:val="Tablaconcuadrcula"/>
    <w:rsid w:val="009173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9">
    <w:name w:val="Sin lista289"/>
    <w:next w:val="Sinlista"/>
    <w:semiHidden/>
    <w:rsid w:val="00127795"/>
  </w:style>
  <w:style w:type="table" w:customStyle="1" w:styleId="Tablaconcuadrcula422">
    <w:name w:val="Tabla con cuadrícula422"/>
    <w:basedOn w:val="Tablanormal"/>
    <w:next w:val="Tablaconcuadrcula"/>
    <w:rsid w:val="00127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next w:val="Tablaconcuadrcula"/>
    <w:rsid w:val="00243BC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90">
    <w:name w:val="Sin lista290"/>
    <w:next w:val="Sinlista"/>
    <w:semiHidden/>
    <w:rsid w:val="008B0611"/>
  </w:style>
  <w:style w:type="table" w:customStyle="1" w:styleId="Tablaconcuadrcula424">
    <w:name w:val="Tabla con cuadrícula424"/>
    <w:basedOn w:val="Tablanormal"/>
    <w:next w:val="Tablaconcuadrcula"/>
    <w:rsid w:val="008B06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next w:val="Tablaconcuadrcula"/>
    <w:rsid w:val="00FE11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0">
    <w:name w:val="Tabla con cuadrícula 152"/>
    <w:basedOn w:val="Tablanormal"/>
    <w:next w:val="Tablaconcuadrcula10"/>
    <w:rsid w:val="009E76F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26">
    <w:name w:val="Tabla con cuadrícula426"/>
    <w:basedOn w:val="Tablanormal"/>
    <w:next w:val="Tablaconcuadrcula"/>
    <w:rsid w:val="00B710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4">
    <w:name w:val="Sin lista294"/>
    <w:next w:val="Sinlista"/>
    <w:semiHidden/>
    <w:rsid w:val="00576B47"/>
  </w:style>
  <w:style w:type="table" w:customStyle="1" w:styleId="Tablaconcuadrcula427">
    <w:name w:val="Tabla con cuadrícula427"/>
    <w:basedOn w:val="Tablanormal"/>
    <w:next w:val="Tablaconcuadrcula"/>
    <w:rsid w:val="00576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5">
    <w:name w:val="Sin lista295"/>
    <w:next w:val="Sinlista"/>
    <w:semiHidden/>
    <w:rsid w:val="00956EDE"/>
  </w:style>
  <w:style w:type="table" w:customStyle="1" w:styleId="Tablaconcuadrcula428">
    <w:name w:val="Tabla con cuadrícula428"/>
    <w:basedOn w:val="Tablanormal"/>
    <w:next w:val="Tablaconcuadrcula"/>
    <w:rsid w:val="00956E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6">
    <w:name w:val="Sin lista296"/>
    <w:next w:val="Sinlista"/>
    <w:semiHidden/>
    <w:rsid w:val="0048716F"/>
  </w:style>
  <w:style w:type="table" w:customStyle="1" w:styleId="Tablaconcuadrcula429">
    <w:name w:val="Tabla con cuadrícula429"/>
    <w:basedOn w:val="Tablanormal"/>
    <w:next w:val="Tablaconcuadrcula"/>
    <w:rsid w:val="004871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next w:val="Tablaconcuadrcula"/>
    <w:rsid w:val="006E48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7">
    <w:name w:val="Sin lista297"/>
    <w:next w:val="Sinlista"/>
    <w:semiHidden/>
    <w:rsid w:val="005A5817"/>
  </w:style>
  <w:style w:type="table" w:customStyle="1" w:styleId="Tablaconcuadrcula431">
    <w:name w:val="Tabla con cuadrícula431"/>
    <w:basedOn w:val="Tablanormal"/>
    <w:next w:val="Tablaconcuadrcula"/>
    <w:rsid w:val="00D30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next w:val="Tablaconcuadrcula"/>
    <w:rsid w:val="002E72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next w:val="Tablaconcuadrcula"/>
    <w:rsid w:val="000238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8">
    <w:name w:val="Sin lista298"/>
    <w:next w:val="Sinlista"/>
    <w:semiHidden/>
    <w:rsid w:val="00B527C4"/>
  </w:style>
  <w:style w:type="table" w:customStyle="1" w:styleId="Tablaconcuadrcula434">
    <w:name w:val="Tabla con cuadrícula434"/>
    <w:basedOn w:val="Tablanormal"/>
    <w:next w:val="Tablaconcuadrcula"/>
    <w:rsid w:val="00B527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next w:val="Tablaconcuadrcula"/>
    <w:rsid w:val="00B90E4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9">
    <w:name w:val="Sin lista299"/>
    <w:next w:val="Sinlista"/>
    <w:semiHidden/>
    <w:rsid w:val="002F5D4A"/>
  </w:style>
  <w:style w:type="table" w:customStyle="1" w:styleId="Tablaconcuadrcula436">
    <w:name w:val="Tabla con cuadrícula436"/>
    <w:basedOn w:val="Tablanormal"/>
    <w:next w:val="Tablaconcuadrcula"/>
    <w:rsid w:val="002F5D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next w:val="Tablaconcuadrcula"/>
    <w:rsid w:val="00E96B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next w:val="Tablaconcuadrcula"/>
    <w:rsid w:val="003614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0">
    <w:name w:val="Sin lista300"/>
    <w:next w:val="Sinlista"/>
    <w:semiHidden/>
    <w:rsid w:val="00C655B1"/>
  </w:style>
  <w:style w:type="table" w:customStyle="1" w:styleId="Tablaconcuadrcula439">
    <w:name w:val="Tabla con cuadrícula439"/>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4">
    <w:name w:val="Sin lista304"/>
    <w:next w:val="Sinlista"/>
    <w:semiHidden/>
    <w:rsid w:val="00D02182"/>
  </w:style>
  <w:style w:type="table" w:customStyle="1" w:styleId="Tablaconcuadrcula440">
    <w:name w:val="Tabla con cuadrícula440"/>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rsid w:val="00BA47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5">
    <w:name w:val="Sin lista305"/>
    <w:next w:val="Sinlista"/>
    <w:semiHidden/>
    <w:rsid w:val="005818B8"/>
  </w:style>
  <w:style w:type="table" w:customStyle="1" w:styleId="Tablaconcuadrcula442">
    <w:name w:val="Tabla con cuadrícula442"/>
    <w:basedOn w:val="Tablanormal"/>
    <w:next w:val="Tablaconcuadrcula"/>
    <w:rsid w:val="005818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6">
    <w:name w:val="Sin lista306"/>
    <w:next w:val="Sinlista"/>
    <w:semiHidden/>
    <w:rsid w:val="007600C7"/>
  </w:style>
  <w:style w:type="table" w:customStyle="1" w:styleId="Tablaconcuadrcula443">
    <w:name w:val="Tabla con cuadrícula443"/>
    <w:basedOn w:val="Tablanormal"/>
    <w:next w:val="Tablaconcuadrcula"/>
    <w:rsid w:val="007600C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next w:val="Tablaconcuadrcula"/>
    <w:rsid w:val="007D60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7">
    <w:name w:val="Sin lista307"/>
    <w:next w:val="Sinlista"/>
    <w:semiHidden/>
    <w:rsid w:val="00E86245"/>
  </w:style>
  <w:style w:type="table" w:customStyle="1" w:styleId="Tablaconcuadrcula445">
    <w:name w:val="Tabla con cuadrícula445"/>
    <w:basedOn w:val="Tablanormal"/>
    <w:next w:val="Tablaconcuadrcula"/>
    <w:rsid w:val="00E862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next w:val="Tablaconcuadrcula"/>
    <w:rsid w:val="00B134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next w:val="Tablaconcuadrcula"/>
    <w:rsid w:val="006160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next w:val="Tablaconcuadrcula"/>
    <w:rsid w:val="00FB11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0">
    <w:name w:val="Tabla con cuadrícula 153"/>
    <w:basedOn w:val="Tablanormal"/>
    <w:next w:val="Tablaconcuadrcula10"/>
    <w:rsid w:val="0099037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08">
    <w:name w:val="Sin lista308"/>
    <w:next w:val="Sinlista"/>
    <w:semiHidden/>
    <w:rsid w:val="0076440E"/>
  </w:style>
  <w:style w:type="table" w:customStyle="1" w:styleId="Tablaconcuadrcula449">
    <w:name w:val="Tabla con cuadrícula449"/>
    <w:basedOn w:val="Tablanormal"/>
    <w:next w:val="Tablaconcuadrcula"/>
    <w:rsid w:val="007644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9">
    <w:name w:val="Sin lista309"/>
    <w:next w:val="Sinlista"/>
    <w:semiHidden/>
    <w:rsid w:val="006B3542"/>
  </w:style>
  <w:style w:type="numbering" w:customStyle="1" w:styleId="Sinlista316">
    <w:name w:val="Sin lista316"/>
    <w:next w:val="Sinlista"/>
    <w:semiHidden/>
    <w:rsid w:val="00643404"/>
  </w:style>
  <w:style w:type="table" w:customStyle="1" w:styleId="Tablaconcuadrcula450">
    <w:name w:val="Tabla con cuadrícula450"/>
    <w:basedOn w:val="Tablanormal"/>
    <w:next w:val="Tablaconcuadrcula"/>
    <w:rsid w:val="006434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7">
    <w:name w:val="Sin lista317"/>
    <w:next w:val="Sinlista"/>
    <w:semiHidden/>
    <w:rsid w:val="00DA6F07"/>
  </w:style>
  <w:style w:type="table" w:customStyle="1" w:styleId="Tablaconcuadrcula451">
    <w:name w:val="Tabla con cuadrícula451"/>
    <w:basedOn w:val="Tablanormal"/>
    <w:next w:val="Tablaconcuadrcula"/>
    <w:rsid w:val="00DA6F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60">
    <w:name w:val="Character Style 60"/>
    <w:rsid w:val="00DA6F07"/>
    <w:rPr>
      <w:color w:val="000000"/>
      <w:sz w:val="6"/>
      <w:szCs w:val="6"/>
      <w:shd w:val="clear" w:color="auto" w:fill="DFDFDF"/>
    </w:rPr>
  </w:style>
  <w:style w:type="table" w:customStyle="1" w:styleId="Tablaconcuadrcula1540">
    <w:name w:val="Tabla con cuadrícula 154"/>
    <w:basedOn w:val="Tablanormal"/>
    <w:next w:val="Tablaconcuadrcula10"/>
    <w:rsid w:val="00DA6F0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7">
    <w:name w:val="Style 7"/>
    <w:basedOn w:val="Normal"/>
    <w:uiPriority w:val="99"/>
    <w:rsid w:val="00DA6F07"/>
    <w:pPr>
      <w:widowControl w:val="0"/>
      <w:autoSpaceDE w:val="0"/>
      <w:autoSpaceDN w:val="0"/>
      <w:ind w:firstLine="288"/>
      <w:jc w:val="both"/>
    </w:pPr>
    <w:rPr>
      <w:rFonts w:eastAsia="Times New Roman"/>
      <w:sz w:val="21"/>
      <w:szCs w:val="21"/>
      <w:lang w:val="en-US"/>
    </w:rPr>
  </w:style>
  <w:style w:type="numbering" w:customStyle="1" w:styleId="Sinlista318">
    <w:name w:val="Sin lista318"/>
    <w:next w:val="Sinlista"/>
    <w:semiHidden/>
    <w:rsid w:val="009B69A9"/>
  </w:style>
  <w:style w:type="table" w:customStyle="1" w:styleId="Tablaconcuadrcula452">
    <w:name w:val="Tabla con cuadrícula452"/>
    <w:basedOn w:val="Tablanormal"/>
    <w:next w:val="Tablaconcuadrcula"/>
    <w:rsid w:val="009B69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basedOn w:val="Sinlista"/>
    <w:next w:val="111111"/>
    <w:rsid w:val="00101047"/>
  </w:style>
  <w:style w:type="table" w:customStyle="1" w:styleId="Tablaconcuadrcula453">
    <w:name w:val="Tabla con cuadrícula453"/>
    <w:basedOn w:val="Tablanormal"/>
    <w:next w:val="Tablaconcuadrcula"/>
    <w:rsid w:val="001010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Sinlista"/>
    <w:next w:val="111111"/>
    <w:rsid w:val="00101047"/>
  </w:style>
  <w:style w:type="numbering" w:customStyle="1" w:styleId="Sinlista319">
    <w:name w:val="Sin lista319"/>
    <w:next w:val="Sinlista"/>
    <w:semiHidden/>
    <w:rsid w:val="004B43B6"/>
  </w:style>
  <w:style w:type="table" w:customStyle="1" w:styleId="Tablaconcuadrcula454">
    <w:name w:val="Tabla con cuadrícula454"/>
    <w:basedOn w:val="Tablanormal"/>
    <w:next w:val="Tablaconcuadrcula"/>
    <w:rsid w:val="00A61C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0">
    <w:name w:val="Sin lista320"/>
    <w:next w:val="Sinlista"/>
    <w:semiHidden/>
    <w:rsid w:val="0019748F"/>
  </w:style>
  <w:style w:type="character" w:customStyle="1" w:styleId="CarCar18">
    <w:name w:val="Car Car18"/>
    <w:rsid w:val="0019748F"/>
    <w:rPr>
      <w:rFonts w:cs="CG Palacio (WN)"/>
      <w:b/>
      <w:sz w:val="18"/>
      <w:szCs w:val="24"/>
      <w:lang w:val="es-ES" w:eastAsia="es-ES" w:bidi="ar-SA"/>
    </w:rPr>
  </w:style>
  <w:style w:type="character" w:customStyle="1" w:styleId="CarCar17">
    <w:name w:val="Car Car17"/>
    <w:rsid w:val="0019748F"/>
    <w:rPr>
      <w:rFonts w:ascii="Arial" w:hAnsi="Arial" w:cs="Helv"/>
      <w:sz w:val="18"/>
      <w:lang w:val="es-ES_tradnl" w:eastAsia="es-MX" w:bidi="ar-SA"/>
    </w:rPr>
  </w:style>
  <w:style w:type="character" w:customStyle="1" w:styleId="Ttulo3Car">
    <w:name w:val="Título 3 Car"/>
    <w:aliases w:val="num.                                              3 Car"/>
    <w:link w:val="Ttulo3"/>
    <w:uiPriority w:val="9"/>
    <w:rsid w:val="0019748F"/>
    <w:rPr>
      <w:rFonts w:eastAsia="SimSun"/>
      <w:b/>
      <w:bCs/>
      <w:sz w:val="22"/>
      <w:szCs w:val="22"/>
      <w:lang w:val="es-ES" w:eastAsia="es-ES" w:bidi="ar-SA"/>
    </w:rPr>
  </w:style>
  <w:style w:type="character" w:customStyle="1" w:styleId="CarCar15">
    <w:name w:val="Car Car15"/>
    <w:rsid w:val="0019748F"/>
    <w:rPr>
      <w:sz w:val="24"/>
      <w:lang w:val="es-ES" w:eastAsia="es-ES" w:bidi="ar-SA"/>
    </w:rPr>
  </w:style>
  <w:style w:type="character" w:customStyle="1" w:styleId="CarCar14">
    <w:name w:val="Car Car14"/>
    <w:rsid w:val="0019748F"/>
    <w:rPr>
      <w:rFonts w:ascii="Arial" w:hAnsi="Arial"/>
      <w:b/>
      <w:sz w:val="24"/>
      <w:lang w:val="es-ES" w:eastAsia="es-ES" w:bidi="ar-SA"/>
    </w:rPr>
  </w:style>
  <w:style w:type="character" w:customStyle="1" w:styleId="Ttulo6Car">
    <w:name w:val="Título 6 Car"/>
    <w:link w:val="Ttulo6"/>
    <w:uiPriority w:val="9"/>
    <w:rsid w:val="0019748F"/>
    <w:rPr>
      <w:rFonts w:eastAsia="SimSun"/>
      <w:b/>
      <w:sz w:val="26"/>
      <w:szCs w:val="26"/>
      <w:lang w:val="es-ES" w:eastAsia="es-ES" w:bidi="ar-SA"/>
    </w:rPr>
  </w:style>
  <w:style w:type="character" w:customStyle="1" w:styleId="Ttulo7Car">
    <w:name w:val="Título 7 Car"/>
    <w:link w:val="Ttulo7"/>
    <w:uiPriority w:val="99"/>
    <w:rsid w:val="0019748F"/>
    <w:rPr>
      <w:rFonts w:eastAsia="SimSun"/>
      <w:b/>
      <w:bCs/>
      <w:sz w:val="14"/>
      <w:szCs w:val="26"/>
      <w:lang w:val="es-ES" w:eastAsia="es-ES" w:bidi="ar-SA"/>
    </w:rPr>
  </w:style>
  <w:style w:type="character" w:customStyle="1" w:styleId="Ttulo8Car">
    <w:name w:val="Título 8 Car"/>
    <w:link w:val="Ttulo8"/>
    <w:uiPriority w:val="99"/>
    <w:rsid w:val="0019748F"/>
    <w:rPr>
      <w:rFonts w:eastAsia="SimSun"/>
      <w:i/>
      <w:iCs/>
      <w:sz w:val="24"/>
      <w:szCs w:val="24"/>
      <w:lang w:val="es-MX" w:eastAsia="es-ES" w:bidi="ar-SA"/>
    </w:rPr>
  </w:style>
  <w:style w:type="character" w:customStyle="1" w:styleId="Ttulo9Car">
    <w:name w:val="Título 9 Car"/>
    <w:link w:val="Ttulo9"/>
    <w:uiPriority w:val="99"/>
    <w:rsid w:val="0019748F"/>
    <w:rPr>
      <w:rFonts w:ascii="Arial" w:eastAsia="SimSun" w:hAnsi="Arial"/>
      <w:sz w:val="22"/>
      <w:szCs w:val="22"/>
      <w:lang w:val="es-MX" w:eastAsia="es-ES" w:bidi="ar-SA"/>
    </w:rPr>
  </w:style>
  <w:style w:type="character" w:customStyle="1" w:styleId="SangradetextonormalCar">
    <w:name w:val="Sangría de texto normal Car"/>
    <w:link w:val="Sangradetextonormal"/>
    <w:uiPriority w:val="99"/>
    <w:rsid w:val="0019748F"/>
    <w:rPr>
      <w:rFonts w:eastAsia="SimSun"/>
      <w:sz w:val="24"/>
      <w:szCs w:val="24"/>
      <w:lang w:val="es-ES" w:eastAsia="es-ES" w:bidi="ar-SA"/>
    </w:rPr>
  </w:style>
  <w:style w:type="character" w:customStyle="1" w:styleId="Sangra2detindependienteCar">
    <w:name w:val="Sangría 2 de t. independiente Car"/>
    <w:link w:val="Sangra2detindependiente"/>
    <w:uiPriority w:val="99"/>
    <w:rsid w:val="0019748F"/>
    <w:rPr>
      <w:rFonts w:eastAsia="SimSun"/>
      <w:sz w:val="24"/>
      <w:szCs w:val="24"/>
      <w:lang w:val="es-ES" w:eastAsia="es-ES" w:bidi="ar-SA"/>
    </w:rPr>
  </w:style>
  <w:style w:type="character" w:customStyle="1" w:styleId="CarCar7">
    <w:name w:val="Car Car7"/>
    <w:rsid w:val="0019748F"/>
    <w:rPr>
      <w:lang w:val="es-ES" w:eastAsia="es-ES" w:bidi="ar-SA"/>
    </w:rPr>
  </w:style>
  <w:style w:type="character" w:customStyle="1" w:styleId="PiedepginaCar">
    <w:name w:val="Pie de página Car"/>
    <w:link w:val="Piedepgina"/>
    <w:uiPriority w:val="99"/>
    <w:rsid w:val="0019748F"/>
    <w:rPr>
      <w:rFonts w:eastAsia="SimSun"/>
      <w:sz w:val="24"/>
      <w:szCs w:val="24"/>
      <w:lang w:val="es-MX" w:eastAsia="es-ES" w:bidi="ar-SA"/>
    </w:rPr>
  </w:style>
  <w:style w:type="character" w:customStyle="1" w:styleId="TextoindependienteCar">
    <w:name w:val="Texto independiente Car"/>
    <w:aliases w:val=" Car Car Car Car Car Car Car,Car Car Car Car Car Car Car1"/>
    <w:link w:val="Textoindependiente"/>
    <w:rsid w:val="0019748F"/>
    <w:rPr>
      <w:rFonts w:eastAsia="SimSun"/>
      <w:szCs w:val="24"/>
      <w:lang w:val="es-MX" w:eastAsia="es-ES" w:bidi="ar-SA"/>
    </w:rPr>
  </w:style>
  <w:style w:type="character" w:customStyle="1" w:styleId="Textoindependiente2Car">
    <w:name w:val="Texto independiente 2 Car"/>
    <w:link w:val="Textoindependiente2"/>
    <w:uiPriority w:val="99"/>
    <w:rsid w:val="0019748F"/>
    <w:rPr>
      <w:rFonts w:eastAsia="SimSun"/>
      <w:sz w:val="26"/>
      <w:szCs w:val="24"/>
      <w:lang w:val="es-MX" w:eastAsia="es-ES" w:bidi="ar-SA"/>
    </w:rPr>
  </w:style>
  <w:style w:type="paragraph" w:customStyle="1" w:styleId="xl114">
    <w:name w:val="xl114"/>
    <w:basedOn w:val="Normal"/>
    <w:uiPriority w:val="99"/>
    <w:rsid w:val="0019748F"/>
    <w:pPr>
      <w:shd w:val="clear" w:color="000000" w:fill="FFFFFF"/>
      <w:spacing w:before="100" w:beforeAutospacing="1" w:after="100" w:afterAutospacing="1"/>
      <w:jc w:val="center"/>
    </w:pPr>
    <w:rPr>
      <w:rFonts w:eastAsia="Times New Roman"/>
      <w:lang w:eastAsia="es-MX"/>
    </w:rPr>
  </w:style>
  <w:style w:type="paragraph" w:customStyle="1" w:styleId="xl128">
    <w:name w:val="xl128"/>
    <w:basedOn w:val="Normal"/>
    <w:uiPriority w:val="99"/>
    <w:rsid w:val="0019748F"/>
    <w:pPr>
      <w:shd w:val="clear" w:color="000000" w:fill="FFFFFF"/>
      <w:spacing w:before="100" w:beforeAutospacing="1" w:after="100" w:afterAutospacing="1"/>
      <w:jc w:val="center"/>
    </w:pPr>
    <w:rPr>
      <w:rFonts w:ascii="Arial" w:eastAsia="Times New Roman" w:hAnsi="Arial" w:cs="Arial"/>
      <w:sz w:val="22"/>
      <w:szCs w:val="22"/>
      <w:lang w:eastAsia="es-MX"/>
    </w:rPr>
  </w:style>
  <w:style w:type="paragraph" w:customStyle="1" w:styleId="Secreta">
    <w:name w:val="Secreta"/>
    <w:basedOn w:val="Normal"/>
    <w:autoRedefine/>
    <w:uiPriority w:val="99"/>
    <w:rsid w:val="0019748F"/>
    <w:pPr>
      <w:tabs>
        <w:tab w:val="right" w:leader="dot" w:pos="8100"/>
        <w:tab w:val="right" w:pos="8640"/>
      </w:tabs>
      <w:spacing w:line="334" w:lineRule="exact"/>
      <w:ind w:left="274" w:right="749"/>
      <w:jc w:val="both"/>
    </w:pPr>
    <w:rPr>
      <w:rFonts w:eastAsia="Times New Roman"/>
      <w:b/>
      <w:sz w:val="20"/>
      <w:szCs w:val="20"/>
      <w:u w:val="single"/>
      <w:lang w:val="es-ES_tradnl"/>
    </w:rPr>
  </w:style>
  <w:style w:type="table" w:customStyle="1" w:styleId="Tablaconcuadrcula455">
    <w:name w:val="Tabla con cuadrícula455"/>
    <w:basedOn w:val="Tablanormal"/>
    <w:next w:val="Tablaconcuadrcula"/>
    <w:rsid w:val="000C1D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next w:val="Tablaconcuadrcula"/>
    <w:rsid w:val="003F0E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next w:val="Tablaconcuadrcula"/>
    <w:rsid w:val="000F33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4">
    <w:name w:val="Sin lista324"/>
    <w:next w:val="Sinlista"/>
    <w:semiHidden/>
    <w:rsid w:val="0073114E"/>
  </w:style>
  <w:style w:type="table" w:customStyle="1" w:styleId="Tablaconcuadrcula458">
    <w:name w:val="Tabla con cuadrícula458"/>
    <w:basedOn w:val="Tablanormal"/>
    <w:next w:val="Tablaconcuadrcula"/>
    <w:rsid w:val="00AD7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next w:val="Tablaconcuadrcula"/>
    <w:rsid w:val="005D68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0">
    <w:name w:val="Tabla con cuadrícula460"/>
    <w:basedOn w:val="Tablanormal"/>
    <w:next w:val="Tablaconcuadrcula"/>
    <w:rsid w:val="003107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5">
    <w:name w:val="Sin lista325"/>
    <w:next w:val="Sinlista"/>
    <w:semiHidden/>
    <w:rsid w:val="004E20F6"/>
  </w:style>
  <w:style w:type="table" w:customStyle="1" w:styleId="Tablaconcuadrcula461">
    <w:name w:val="Tabla con cuadrícula461"/>
    <w:basedOn w:val="Tablanormal"/>
    <w:next w:val="Tablaconcuadrcula"/>
    <w:rsid w:val="004E2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next w:val="Tablaconcuadrcula"/>
    <w:rsid w:val="005D11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3">
    <w:name w:val="Tabla con cuadrícula463"/>
    <w:basedOn w:val="Tablanormal"/>
    <w:next w:val="Tablaconcuadrcula"/>
    <w:rsid w:val="00473E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6">
    <w:name w:val="Sin lista326"/>
    <w:next w:val="Sinlista"/>
    <w:semiHidden/>
    <w:rsid w:val="007D6242"/>
  </w:style>
  <w:style w:type="table" w:customStyle="1" w:styleId="Tablaconcuadrcula464">
    <w:name w:val="Tabla con cuadrícula464"/>
    <w:basedOn w:val="Tablanormal"/>
    <w:next w:val="Tablaconcuadrcula"/>
    <w:rsid w:val="007D62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50">
    <w:name w:val="Tabla con cuadrícula 155"/>
    <w:basedOn w:val="Tablanormal"/>
    <w:next w:val="Tablaconcuadrcula10"/>
    <w:rsid w:val="00ED7BC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27">
    <w:name w:val="Sin lista327"/>
    <w:next w:val="Sinlista"/>
    <w:semiHidden/>
    <w:rsid w:val="00C66900"/>
  </w:style>
  <w:style w:type="table" w:customStyle="1" w:styleId="Tablaconcuadrcula465">
    <w:name w:val="Tabla con cuadrícula465"/>
    <w:basedOn w:val="Tablanormal"/>
    <w:next w:val="Tablaconcuadrcula"/>
    <w:rsid w:val="00C669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8">
    <w:name w:val="Sin lista328"/>
    <w:next w:val="Sinlista"/>
    <w:semiHidden/>
    <w:rsid w:val="00322D90"/>
  </w:style>
  <w:style w:type="table" w:customStyle="1" w:styleId="Tablaconcuadrcula466">
    <w:name w:val="Tabla con cuadrícula466"/>
    <w:basedOn w:val="Tablanormal"/>
    <w:next w:val="Tablaconcuadrcula"/>
    <w:rsid w:val="00322D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9">
    <w:name w:val="Sin lista329"/>
    <w:next w:val="Sinlista"/>
    <w:semiHidden/>
    <w:rsid w:val="00E832CC"/>
  </w:style>
  <w:style w:type="table" w:customStyle="1" w:styleId="Tablaconcuadrcula467">
    <w:name w:val="Tabla con cuadrícula467"/>
    <w:basedOn w:val="Tablanormal"/>
    <w:next w:val="Tablaconcuadrcula"/>
    <w:rsid w:val="00E83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8">
    <w:name w:val="Tabla con cuadrícula468"/>
    <w:basedOn w:val="Tablanormal"/>
    <w:next w:val="Tablaconcuadrcula"/>
    <w:rsid w:val="000B2E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0">
    <w:name w:val="Sin lista330"/>
    <w:next w:val="Sinlista"/>
    <w:semiHidden/>
    <w:rsid w:val="00933439"/>
  </w:style>
  <w:style w:type="table" w:customStyle="1" w:styleId="Tablaconcuadrcula469">
    <w:name w:val="Tabla con cuadrícula469"/>
    <w:basedOn w:val="Tablanormal"/>
    <w:next w:val="Tablaconcuadrcula"/>
    <w:rsid w:val="00C615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4">
    <w:name w:val="Sin lista334"/>
    <w:next w:val="Sinlista"/>
    <w:semiHidden/>
    <w:rsid w:val="0091338E"/>
  </w:style>
  <w:style w:type="table" w:customStyle="1" w:styleId="Tablaconcuadrcula1560">
    <w:name w:val="Tabla con cuadrícula 156"/>
    <w:basedOn w:val="Tablanormal"/>
    <w:next w:val="Tablaconcuadrcula10"/>
    <w:rsid w:val="0091338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35">
    <w:name w:val="Sin lista335"/>
    <w:next w:val="Sinlista"/>
    <w:semiHidden/>
    <w:rsid w:val="000860BC"/>
  </w:style>
  <w:style w:type="table" w:customStyle="1" w:styleId="Tablaconcuadrcula470">
    <w:name w:val="Tabla con cuadrícula470"/>
    <w:basedOn w:val="Tablanormal"/>
    <w:next w:val="Tablaconcuadrcula"/>
    <w:rsid w:val="000860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
    <w:name w:val="Tabla con cuadrícula471"/>
    <w:basedOn w:val="Tablanormal"/>
    <w:next w:val="Tablaconcuadrcula"/>
    <w:rsid w:val="00EA65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2">
    <w:name w:val="Tabla con cuadrícula472"/>
    <w:basedOn w:val="Tablanormal"/>
    <w:next w:val="Tablaconcuadrcula"/>
    <w:rsid w:val="00FA50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3">
    <w:name w:val="Tabla con cuadrícula473"/>
    <w:basedOn w:val="Tablanormal"/>
    <w:next w:val="Tablaconcuadrcula"/>
    <w:rsid w:val="00C865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4">
    <w:name w:val="Tabla con cuadrícula474"/>
    <w:basedOn w:val="Tablanormal"/>
    <w:next w:val="Tablaconcuadrcula"/>
    <w:rsid w:val="00395B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6">
    <w:name w:val="Sin lista336"/>
    <w:next w:val="Sinlista"/>
    <w:semiHidden/>
    <w:rsid w:val="006C7C31"/>
  </w:style>
  <w:style w:type="table" w:customStyle="1" w:styleId="Tablaconcuadrcula475">
    <w:name w:val="Tabla con cuadrícula475"/>
    <w:basedOn w:val="Tablanormal"/>
    <w:next w:val="Tablaconcuadrcula"/>
    <w:rsid w:val="006C7C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7">
    <w:name w:val="Sin lista337"/>
    <w:next w:val="Sinlista"/>
    <w:semiHidden/>
    <w:rsid w:val="004745F4"/>
  </w:style>
  <w:style w:type="numbering" w:customStyle="1" w:styleId="Sinlista338">
    <w:name w:val="Sin lista338"/>
    <w:next w:val="Sinlista"/>
    <w:semiHidden/>
    <w:rsid w:val="00727106"/>
  </w:style>
  <w:style w:type="table" w:customStyle="1" w:styleId="Tablaconcuadrcula476">
    <w:name w:val="Tabla con cuadrícula476"/>
    <w:basedOn w:val="Tablanormal"/>
    <w:next w:val="Tablaconcuadrcula"/>
    <w:rsid w:val="007271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
    <w:name w:val="1 / 1.1 / 1.1.1142"/>
    <w:basedOn w:val="Sinlista"/>
    <w:next w:val="111111"/>
    <w:rsid w:val="00776874"/>
    <w:pPr>
      <w:numPr>
        <w:numId w:val="1"/>
      </w:numPr>
    </w:pPr>
  </w:style>
  <w:style w:type="table" w:customStyle="1" w:styleId="Tablaconcuadrcula477">
    <w:name w:val="Tabla con cuadrícula477"/>
    <w:basedOn w:val="Tablanormal"/>
    <w:next w:val="Tablaconcuadrcula"/>
    <w:rsid w:val="005373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8">
    <w:name w:val="Tabla con cuadrícula478"/>
    <w:basedOn w:val="Tablanormal"/>
    <w:next w:val="Tablaconcuadrcula"/>
    <w:rsid w:val="00E549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9">
    <w:name w:val="Tabla con cuadrícula479"/>
    <w:basedOn w:val="Tablanormal"/>
    <w:next w:val="Tablaconcuadrcula"/>
    <w:rsid w:val="007129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9">
    <w:name w:val="Sin lista339"/>
    <w:next w:val="Sinlista"/>
    <w:semiHidden/>
    <w:rsid w:val="0080080D"/>
  </w:style>
  <w:style w:type="numbering" w:customStyle="1" w:styleId="Sinlista340">
    <w:name w:val="Sin lista340"/>
    <w:next w:val="Sinlista"/>
    <w:semiHidden/>
    <w:rsid w:val="003B17A9"/>
  </w:style>
  <w:style w:type="table" w:customStyle="1" w:styleId="Tablaconcuadrcula480">
    <w:name w:val="Tabla con cuadrícula480"/>
    <w:basedOn w:val="Tablanormal"/>
    <w:next w:val="Tablaconcuadrcula"/>
    <w:rsid w:val="003B1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
    <w:name w:val="Tabla con cuadrícula481"/>
    <w:basedOn w:val="Tablanormal"/>
    <w:next w:val="Tablaconcuadrcula"/>
    <w:rsid w:val="004D74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2">
    <w:name w:val="Tabla con cuadrícula482"/>
    <w:basedOn w:val="Tablanormal"/>
    <w:next w:val="Tablaconcuadrcula"/>
    <w:rsid w:val="00965A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4">
    <w:name w:val="Sin lista344"/>
    <w:next w:val="Sinlista"/>
    <w:semiHidden/>
    <w:rsid w:val="006577E9"/>
  </w:style>
  <w:style w:type="table" w:customStyle="1" w:styleId="Tablaconcuadrcula1570">
    <w:name w:val="Tabla con cuadrícula 157"/>
    <w:basedOn w:val="Tablanormal"/>
    <w:next w:val="Tablaconcuadrcula10"/>
    <w:rsid w:val="006577E9"/>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83">
    <w:name w:val="Tabla con cuadrícula483"/>
    <w:basedOn w:val="Tablanormal"/>
    <w:next w:val="Tablaconcuadrcula"/>
    <w:rsid w:val="006577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5">
    <w:name w:val="Sin lista345"/>
    <w:next w:val="Sinlista"/>
    <w:semiHidden/>
    <w:rsid w:val="00F86BD6"/>
  </w:style>
  <w:style w:type="table" w:customStyle="1" w:styleId="Tablaconcuadrcula1105">
    <w:name w:val="Tabla con cuadrícula1105"/>
    <w:basedOn w:val="Tablanormal"/>
    <w:next w:val="Tablaconcuadrcula"/>
    <w:rsid w:val="00F86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4">
    <w:name w:val="Tabla con cuadrícula484"/>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5">
    <w:name w:val="Tabla con cuadrícula485"/>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6">
    <w:name w:val="Tabla con cuadrícula486"/>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7">
    <w:name w:val="Tabla con cuadrícula487"/>
    <w:basedOn w:val="Tablanormal"/>
    <w:next w:val="Tablaconcuadrcula"/>
    <w:rsid w:val="003848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6">
    <w:name w:val="Sin lista346"/>
    <w:next w:val="Sinlista"/>
    <w:semiHidden/>
    <w:rsid w:val="006B7453"/>
  </w:style>
  <w:style w:type="table" w:customStyle="1" w:styleId="Tablaconcuadrcula488">
    <w:name w:val="Tabla con cuadrícula488"/>
    <w:basedOn w:val="Tablanormal"/>
    <w:next w:val="Tablaconcuadrcula"/>
    <w:rsid w:val="006B745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9">
    <w:name w:val="Tabla con cuadrícula489"/>
    <w:basedOn w:val="Tablanormal"/>
    <w:next w:val="Tablaconcuadrcula"/>
    <w:rsid w:val="00D80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0">
    <w:name w:val="Tabla con cuadrícula 158"/>
    <w:basedOn w:val="Tablanormal"/>
    <w:next w:val="Tablaconcuadrcula10"/>
    <w:rsid w:val="00D3383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0">
    <w:name w:val="Tabla con cuadrícula490"/>
    <w:basedOn w:val="Tablanormal"/>
    <w:next w:val="Tablaconcuadrcula"/>
    <w:rsid w:val="00687D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0">
    <w:name w:val="Tabla con cuadrícula 159"/>
    <w:basedOn w:val="Tablanormal"/>
    <w:next w:val="Tablaconcuadrcula10"/>
    <w:rsid w:val="00BC698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47">
    <w:name w:val="Sin lista347"/>
    <w:next w:val="Sinlista"/>
    <w:semiHidden/>
    <w:rsid w:val="003F5F23"/>
  </w:style>
  <w:style w:type="table" w:customStyle="1" w:styleId="Tablaconcuadrcula491">
    <w:name w:val="Tabla con cuadrícula491"/>
    <w:basedOn w:val="Tablanormal"/>
    <w:next w:val="Tablaconcuadrcula"/>
    <w:rsid w:val="003F5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8">
    <w:name w:val="Sin lista348"/>
    <w:next w:val="Sinlista"/>
    <w:semiHidden/>
    <w:rsid w:val="002D25D0"/>
  </w:style>
  <w:style w:type="numbering" w:customStyle="1" w:styleId="Sinlista349">
    <w:name w:val="Sin lista349"/>
    <w:next w:val="Sinlista"/>
    <w:semiHidden/>
    <w:rsid w:val="00853D07"/>
  </w:style>
  <w:style w:type="table" w:customStyle="1" w:styleId="Tablaconcuadrcula492">
    <w:name w:val="Tabla con cuadrícula492"/>
    <w:basedOn w:val="Tablanormal"/>
    <w:next w:val="Tablaconcuadrcula"/>
    <w:rsid w:val="00853D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0">
    <w:name w:val="Sin lista350"/>
    <w:next w:val="Sinlista"/>
    <w:semiHidden/>
    <w:rsid w:val="00180B2F"/>
  </w:style>
  <w:style w:type="table" w:customStyle="1" w:styleId="Tablaconcuadrcula1600">
    <w:name w:val="Tabla con cuadrícula 160"/>
    <w:basedOn w:val="Tablanormal"/>
    <w:next w:val="Tablaconcuadrcula10"/>
    <w:rsid w:val="00180B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3">
    <w:name w:val="Tabla con cuadrícula493"/>
    <w:basedOn w:val="Tablanormal"/>
    <w:next w:val="Tablaconcuadrcula"/>
    <w:rsid w:val="00DA5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4">
    <w:name w:val="Sin lista354"/>
    <w:next w:val="Sinlista"/>
    <w:semiHidden/>
    <w:rsid w:val="00B61BEE"/>
  </w:style>
  <w:style w:type="numbering" w:customStyle="1" w:styleId="Sinlista355">
    <w:name w:val="Sin lista355"/>
    <w:next w:val="Sinlista"/>
    <w:semiHidden/>
    <w:rsid w:val="000F5B37"/>
  </w:style>
  <w:style w:type="table" w:customStyle="1" w:styleId="Tablaconcuadrcula494">
    <w:name w:val="Tabla con cuadrícula494"/>
    <w:basedOn w:val="Tablanormal"/>
    <w:next w:val="Tablaconcuadrcula"/>
    <w:rsid w:val="000F5B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6">
    <w:name w:val="Sin lista356"/>
    <w:next w:val="Sinlista"/>
    <w:semiHidden/>
    <w:rsid w:val="0014404F"/>
  </w:style>
  <w:style w:type="character" w:customStyle="1" w:styleId="EstiloCorreo24501">
    <w:name w:val="EstiloCorreo24501"/>
    <w:basedOn w:val="Fuentedeprrafopredeter"/>
    <w:semiHidden/>
    <w:rsid w:val="0014404F"/>
    <w:rPr>
      <w:rFonts w:ascii="Arial" w:hAnsi="Arial" w:cs="Arial"/>
      <w:color w:val="auto"/>
      <w:sz w:val="20"/>
      <w:szCs w:val="20"/>
    </w:rPr>
  </w:style>
  <w:style w:type="table" w:customStyle="1" w:styleId="Tablaconcuadrcula495">
    <w:name w:val="Tabla con cuadrícula495"/>
    <w:basedOn w:val="Tablanormal"/>
    <w:next w:val="Tablaconcuadrcula"/>
    <w:rsid w:val="00E478C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7">
    <w:name w:val="Sin lista357"/>
    <w:next w:val="Sinlista"/>
    <w:semiHidden/>
    <w:rsid w:val="00E26576"/>
  </w:style>
  <w:style w:type="table" w:customStyle="1" w:styleId="Tablaconcuadrcula496">
    <w:name w:val="Tabla con cuadrícula496"/>
    <w:basedOn w:val="Tablanormal"/>
    <w:next w:val="Tablaconcuadrcula"/>
    <w:rsid w:val="00E265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7">
    <w:name w:val="Tabla con cuadrícula497"/>
    <w:basedOn w:val="Tablanormal"/>
    <w:next w:val="Tablaconcuadrcula"/>
    <w:rsid w:val="001D72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8">
    <w:name w:val="Tabla con cuadrícula498"/>
    <w:basedOn w:val="Tablanormal"/>
    <w:next w:val="Tablaconcuadrcula"/>
    <w:rsid w:val="00A85F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8">
    <w:name w:val="Sin lista358"/>
    <w:next w:val="Sinlista"/>
    <w:semiHidden/>
    <w:rsid w:val="00794ADA"/>
  </w:style>
  <w:style w:type="table" w:customStyle="1" w:styleId="Tablaconcuadrcula499">
    <w:name w:val="Tabla con cuadrícula499"/>
    <w:basedOn w:val="Tablanormal"/>
    <w:next w:val="Tablaconcuadrcula"/>
    <w:rsid w:val="00794A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9">
    <w:name w:val="Sin lista359"/>
    <w:next w:val="Sinlista"/>
    <w:semiHidden/>
    <w:rsid w:val="008D1A96"/>
  </w:style>
  <w:style w:type="table" w:customStyle="1" w:styleId="Tablaconcuadrcula500">
    <w:name w:val="Tabla con cuadrícula500"/>
    <w:basedOn w:val="Tablanormal"/>
    <w:next w:val="Tablaconcuadrcula"/>
    <w:rsid w:val="008D1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a">
    <w:name w:val="Tabla con cuadrícula 21"/>
    <w:basedOn w:val="Tablanormal"/>
    <w:next w:val="Tablaconcuadrcula2a"/>
    <w:rsid w:val="008D1A96"/>
    <w:rPr>
      <w:rFonts w:eastAsia="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aconcuadrcula1611">
    <w:name w:val="Tabla con cuadrícula 161"/>
    <w:basedOn w:val="Tablanormal"/>
    <w:next w:val="Tablaconcuadrcula10"/>
    <w:rsid w:val="008D1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3">
    <w:name w:val="Tabla con cuadrícula503"/>
    <w:basedOn w:val="Tablanormal"/>
    <w:next w:val="Tablaconcuadrcula"/>
    <w:rsid w:val="00A018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4">
    <w:name w:val="Tabla con cuadrícula504"/>
    <w:basedOn w:val="Tablanormal"/>
    <w:next w:val="Tablaconcuadrcula"/>
    <w:rsid w:val="00361B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5">
    <w:name w:val="Tabla con cuadrícula505"/>
    <w:basedOn w:val="Tablanormal"/>
    <w:next w:val="Tablaconcuadrcula"/>
    <w:rsid w:val="007216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0">
    <w:name w:val="Sin lista360"/>
    <w:next w:val="Sinlista"/>
    <w:semiHidden/>
    <w:rsid w:val="00ED4174"/>
  </w:style>
  <w:style w:type="table" w:customStyle="1" w:styleId="Tablaconcuadrcula506">
    <w:name w:val="Tabla con cuadrícula506"/>
    <w:basedOn w:val="Tablanormal"/>
    <w:next w:val="Tablaconcuadrcula"/>
    <w:rsid w:val="00ED41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0">
    <w:name w:val="Tabla con cuadrícula 162"/>
    <w:basedOn w:val="Tablanormal"/>
    <w:next w:val="Tablaconcuadrcula10"/>
    <w:rsid w:val="00ED417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7">
    <w:name w:val="Tabla con cuadrícula507"/>
    <w:basedOn w:val="Tablanormal"/>
    <w:next w:val="Tablaconcuadrcula"/>
    <w:rsid w:val="00C87C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8">
    <w:name w:val="Tabla con cuadrícula508"/>
    <w:basedOn w:val="Tablanormal"/>
    <w:next w:val="Tablaconcuadrcula"/>
    <w:rsid w:val="006255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9">
    <w:name w:val="Tabla con cuadrícula509"/>
    <w:basedOn w:val="Tablanormal"/>
    <w:next w:val="Tablaconcuadrcula"/>
    <w:rsid w:val="009834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
    <w:name w:val="Tabla con cuadrícula510"/>
    <w:basedOn w:val="Tablanormal"/>
    <w:next w:val="Tablaconcuadrcula"/>
    <w:rsid w:val="003275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7">
    <w:name w:val="Tabla con cuadrícula517"/>
    <w:basedOn w:val="Tablanormal"/>
    <w:next w:val="Tablaconcuadrcula"/>
    <w:rsid w:val="005976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8">
    <w:name w:val="Tabla con cuadrícula518"/>
    <w:basedOn w:val="Tablanormal"/>
    <w:next w:val="Tablaconcuadrcula"/>
    <w:rsid w:val="00DC69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4">
    <w:name w:val="Sin lista364"/>
    <w:next w:val="Sinlista"/>
    <w:semiHidden/>
    <w:rsid w:val="0034733D"/>
  </w:style>
  <w:style w:type="table" w:customStyle="1" w:styleId="Tablaconcuadrcula519">
    <w:name w:val="Tabla con cuadrícula519"/>
    <w:basedOn w:val="Tablanormal"/>
    <w:next w:val="Tablaconcuadrcula"/>
    <w:rsid w:val="00347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5">
    <w:name w:val="Sin lista365"/>
    <w:next w:val="Sinlista"/>
    <w:semiHidden/>
    <w:rsid w:val="00777382"/>
  </w:style>
  <w:style w:type="table" w:customStyle="1" w:styleId="Tablaconcuadrcula520">
    <w:name w:val="Tabla con cuadrícula520"/>
    <w:basedOn w:val="Tablanormal"/>
    <w:next w:val="Tablaconcuadrcula"/>
    <w:rsid w:val="001D170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6">
    <w:name w:val="Sin lista366"/>
    <w:next w:val="Sinlista"/>
    <w:semiHidden/>
    <w:rsid w:val="00BB0286"/>
  </w:style>
  <w:style w:type="table" w:customStyle="1" w:styleId="Tablaconcuadrcula524">
    <w:name w:val="Tabla con cuadrícula524"/>
    <w:basedOn w:val="Tablanormal"/>
    <w:next w:val="Tablaconcuadrcula"/>
    <w:rsid w:val="00BB02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5">
    <w:name w:val="Tabla con cuadrícula525"/>
    <w:basedOn w:val="Tablanormal"/>
    <w:next w:val="Tablaconcuadrcula"/>
    <w:rsid w:val="00C82E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6">
    <w:name w:val="Tabla con cuadrícula526"/>
    <w:basedOn w:val="Tablanormal"/>
    <w:next w:val="Tablaconcuadrcula"/>
    <w:rsid w:val="00E406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7">
    <w:name w:val="Tabla con cuadrícula527"/>
    <w:basedOn w:val="Tablanormal"/>
    <w:next w:val="Tablaconcuadrcula"/>
    <w:rsid w:val="00DB68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8">
    <w:name w:val="Tabla con cuadrícula528"/>
    <w:basedOn w:val="Tablanormal"/>
    <w:next w:val="Tablaconcuadrcula"/>
    <w:rsid w:val="00860B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9">
    <w:name w:val="Tabla con cuadrícula529"/>
    <w:basedOn w:val="Tablanormal"/>
    <w:next w:val="Tablaconcuadrcula"/>
    <w:rsid w:val="00C75D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0">
    <w:name w:val="Tabla con cuadrícula530"/>
    <w:basedOn w:val="Tablanormal"/>
    <w:next w:val="Tablaconcuadrcula"/>
    <w:rsid w:val="00084A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7">
    <w:name w:val="Sin lista367"/>
    <w:next w:val="Sinlista"/>
    <w:semiHidden/>
    <w:rsid w:val="005327B1"/>
  </w:style>
  <w:style w:type="numbering" w:customStyle="1" w:styleId="Sinlista368">
    <w:name w:val="Sin lista368"/>
    <w:next w:val="Sinlista"/>
    <w:semiHidden/>
    <w:rsid w:val="007935A8"/>
  </w:style>
  <w:style w:type="numbering" w:customStyle="1" w:styleId="Sinlista369">
    <w:name w:val="Sin lista369"/>
    <w:next w:val="Sinlista"/>
    <w:semiHidden/>
    <w:rsid w:val="00AF0F84"/>
  </w:style>
  <w:style w:type="table" w:customStyle="1" w:styleId="Tablaconcuadrcula531">
    <w:name w:val="Tabla con cuadrícula531"/>
    <w:basedOn w:val="Tablanormal"/>
    <w:next w:val="Tablaconcuadrcula"/>
    <w:rsid w:val="00AF0F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0">
    <w:name w:val="Sin lista370"/>
    <w:next w:val="Sinlista"/>
    <w:semiHidden/>
    <w:rsid w:val="003B575D"/>
  </w:style>
  <w:style w:type="table" w:customStyle="1" w:styleId="Tablaconcuadrcula532">
    <w:name w:val="Tabla con cuadrícula532"/>
    <w:basedOn w:val="Tablanormal"/>
    <w:next w:val="Tablaconcuadrcula"/>
    <w:rsid w:val="003B57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4">
    <w:name w:val="Sin lista374"/>
    <w:next w:val="Sinlista"/>
    <w:semiHidden/>
    <w:rsid w:val="00D637A7"/>
  </w:style>
  <w:style w:type="table" w:customStyle="1" w:styleId="Tablaconcuadrcula533">
    <w:name w:val="Tabla con cuadrícula533"/>
    <w:basedOn w:val="Tablanormal"/>
    <w:next w:val="Tablaconcuadrcula"/>
    <w:rsid w:val="00D637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5">
    <w:name w:val="Sin lista375"/>
    <w:next w:val="Sinlista"/>
    <w:semiHidden/>
    <w:rsid w:val="007924E0"/>
  </w:style>
  <w:style w:type="table" w:customStyle="1" w:styleId="Tablaconcuadrcula534">
    <w:name w:val="Tabla con cuadrícula534"/>
    <w:basedOn w:val="Tablanormal"/>
    <w:next w:val="Tablaconcuadrcula"/>
    <w:rsid w:val="007924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6">
    <w:name w:val="Sin lista376"/>
    <w:next w:val="Sinlista"/>
    <w:semiHidden/>
    <w:rsid w:val="00A034EB"/>
  </w:style>
  <w:style w:type="table" w:customStyle="1" w:styleId="Tablaconcuadrcula535">
    <w:name w:val="Tabla con cuadrícula535"/>
    <w:basedOn w:val="Tablanormal"/>
    <w:next w:val="Tablaconcuadrcula"/>
    <w:rsid w:val="00A034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7">
    <w:name w:val="Sin lista377"/>
    <w:next w:val="Sinlista"/>
    <w:semiHidden/>
    <w:rsid w:val="0026239B"/>
  </w:style>
  <w:style w:type="table" w:customStyle="1" w:styleId="Tablaconcuadrcula536">
    <w:name w:val="Tabla con cuadrícula536"/>
    <w:basedOn w:val="Tablanormal"/>
    <w:next w:val="Tablaconcuadrcula"/>
    <w:rsid w:val="002623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0">
    <w:name w:val="Tabla con cuadrícula 163"/>
    <w:basedOn w:val="Tablanormal"/>
    <w:next w:val="Tablaconcuadrcula10"/>
    <w:rsid w:val="001E29B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7">
    <w:name w:val="Tabla con cuadrícula537"/>
    <w:basedOn w:val="Tablanormal"/>
    <w:next w:val="Tablaconcuadrcula"/>
    <w:rsid w:val="00B154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8">
    <w:name w:val="Tabla con cuadrícula538"/>
    <w:basedOn w:val="Tablanormal"/>
    <w:next w:val="Tablaconcuadrcula"/>
    <w:rsid w:val="006A23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9">
    <w:name w:val="Tabla con cuadrícula539"/>
    <w:basedOn w:val="Tablanormal"/>
    <w:next w:val="Tablaconcuadrcula"/>
    <w:rsid w:val="00F239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8">
    <w:name w:val="Sin lista378"/>
    <w:next w:val="Sinlista"/>
    <w:semiHidden/>
    <w:rsid w:val="00C163B2"/>
  </w:style>
  <w:style w:type="table" w:customStyle="1" w:styleId="Tablaconcuadrcula1640">
    <w:name w:val="Tabla con cuadrícula 164"/>
    <w:basedOn w:val="Tablanormal"/>
    <w:next w:val="Tablaconcuadrcula10"/>
    <w:rsid w:val="00C163B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40">
    <w:name w:val="Tabla con cuadrícula540"/>
    <w:basedOn w:val="Tablanormal"/>
    <w:next w:val="Tablaconcuadrcula"/>
    <w:rsid w:val="00FE4A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next w:val="Tablaconcuadrcula"/>
    <w:rsid w:val="00811E8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79">
    <w:name w:val="Sin lista379"/>
    <w:next w:val="Sinlista"/>
    <w:semiHidden/>
    <w:rsid w:val="00EB3E41"/>
  </w:style>
  <w:style w:type="table" w:customStyle="1" w:styleId="Tablaconcuadrcula542">
    <w:name w:val="Tabla con cuadrícula542"/>
    <w:basedOn w:val="Tablanormal"/>
    <w:next w:val="Tablaconcuadrcula"/>
    <w:rsid w:val="00EB3E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3">
    <w:name w:val="Tabla con cuadrícula543"/>
    <w:basedOn w:val="Tablanormal"/>
    <w:next w:val="Tablaconcuadrcula"/>
    <w:rsid w:val="00C468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4">
    <w:name w:val="Tabla con cuadrícula544"/>
    <w:basedOn w:val="Tablanormal"/>
    <w:next w:val="Tablaconcuadrcula"/>
    <w:rsid w:val="006F11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5">
    <w:name w:val="Tabla con cuadrícula545"/>
    <w:basedOn w:val="Tablanormal"/>
    <w:next w:val="Tablaconcuadrcula"/>
    <w:rsid w:val="00CA0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6">
    <w:name w:val="Tabla con cuadrícula546"/>
    <w:basedOn w:val="Tablanormal"/>
    <w:next w:val="Tablaconcuadrcula"/>
    <w:rsid w:val="00C144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0">
    <w:name w:val="Sin lista380"/>
    <w:next w:val="Sinlista"/>
    <w:semiHidden/>
    <w:rsid w:val="00710A09"/>
  </w:style>
  <w:style w:type="numbering" w:customStyle="1" w:styleId="Sinlista384">
    <w:name w:val="Sin lista384"/>
    <w:next w:val="Sinlista"/>
    <w:semiHidden/>
    <w:rsid w:val="00FC6B95"/>
  </w:style>
  <w:style w:type="table" w:customStyle="1" w:styleId="Tablaconcuadrcula547">
    <w:name w:val="Tabla con cuadrícula547"/>
    <w:basedOn w:val="Tablanormal"/>
    <w:next w:val="Tablaconcuadrcula"/>
    <w:rsid w:val="00FC6B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8">
    <w:name w:val="Tabla con cuadrícula548"/>
    <w:basedOn w:val="Tablanormal"/>
    <w:next w:val="Tablaconcuadrcula"/>
    <w:rsid w:val="008108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5">
    <w:name w:val="Sin lista385"/>
    <w:next w:val="Sinlista"/>
    <w:semiHidden/>
    <w:rsid w:val="007C140A"/>
  </w:style>
  <w:style w:type="table" w:customStyle="1" w:styleId="Tablaconcuadrcula549">
    <w:name w:val="Tabla con cuadrícula549"/>
    <w:basedOn w:val="Tablanormal"/>
    <w:next w:val="Tablaconcuadrcula"/>
    <w:rsid w:val="007970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0">
    <w:name w:val="Tabla con cuadrícula550"/>
    <w:basedOn w:val="Tablanormal"/>
    <w:next w:val="Tablaconcuadrcula"/>
    <w:rsid w:val="00797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6">
    <w:name w:val="Sin lista386"/>
    <w:next w:val="Sinlista"/>
    <w:semiHidden/>
    <w:rsid w:val="001661DA"/>
  </w:style>
  <w:style w:type="table" w:customStyle="1" w:styleId="Tablaconcuadrcula551">
    <w:name w:val="Tabla con cuadrícula551"/>
    <w:basedOn w:val="Tablanormal"/>
    <w:next w:val="Tablaconcuadrcula"/>
    <w:rsid w:val="001661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7">
    <w:name w:val="Sin lista387"/>
    <w:next w:val="Sinlista"/>
    <w:semiHidden/>
    <w:rsid w:val="00002FEA"/>
  </w:style>
  <w:style w:type="table" w:customStyle="1" w:styleId="Tablaconcuadrcula552">
    <w:name w:val="Tabla con cuadrícula552"/>
    <w:basedOn w:val="Tablanormal"/>
    <w:next w:val="Tablaconcuadrcula"/>
    <w:rsid w:val="00002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8">
    <w:name w:val="Sin lista388"/>
    <w:next w:val="Sinlista"/>
    <w:semiHidden/>
    <w:rsid w:val="00DB3342"/>
  </w:style>
  <w:style w:type="table" w:customStyle="1" w:styleId="Tablaconcuadrcula553">
    <w:name w:val="Tabla con cuadrícula553"/>
    <w:basedOn w:val="Tablanormal"/>
    <w:next w:val="Tablaconcuadrcula"/>
    <w:rsid w:val="00DB3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4">
    <w:name w:val="Tabla con cuadrícula554"/>
    <w:basedOn w:val="Tablanormal"/>
    <w:next w:val="Tablaconcuadrcula"/>
    <w:rsid w:val="00AF32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9">
    <w:name w:val="Sin lista389"/>
    <w:next w:val="Sinlista"/>
    <w:semiHidden/>
    <w:rsid w:val="0053744D"/>
  </w:style>
  <w:style w:type="table" w:customStyle="1" w:styleId="Tablaconcuadrcula555">
    <w:name w:val="Tabla con cuadrícula555"/>
    <w:basedOn w:val="Tablanormal"/>
    <w:next w:val="Tablaconcuadrcula"/>
    <w:rsid w:val="005374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6">
    <w:name w:val="Tabla con cuadrícula556"/>
    <w:basedOn w:val="Tablanormal"/>
    <w:next w:val="Tablaconcuadrcula"/>
    <w:rsid w:val="00F038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7">
    <w:name w:val="Tabla con cuadrícula557"/>
    <w:basedOn w:val="Tablanormal"/>
    <w:next w:val="Tablaconcuadrcula"/>
    <w:rsid w:val="00C407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8">
    <w:name w:val="Tabla con cuadrícula558"/>
    <w:basedOn w:val="Tablanormal"/>
    <w:next w:val="Tablaconcuadrcula"/>
    <w:rsid w:val="006E10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9">
    <w:name w:val="Tabla con cuadrícula559"/>
    <w:basedOn w:val="Tablanormal"/>
    <w:next w:val="Tablaconcuadrcula"/>
    <w:rsid w:val="00C73C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0">
    <w:name w:val="Tabla con cuadrícula560"/>
    <w:basedOn w:val="Tablanormal"/>
    <w:next w:val="Tablaconcuadrcula"/>
    <w:rsid w:val="008F1A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1">
    <w:name w:val="Tabla con cuadrícula561"/>
    <w:basedOn w:val="Tablanormal"/>
    <w:next w:val="Tablaconcuadrcula"/>
    <w:rsid w:val="005F28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0">
    <w:name w:val="Sin lista390"/>
    <w:next w:val="Sinlista"/>
    <w:semiHidden/>
    <w:rsid w:val="0057105D"/>
  </w:style>
  <w:style w:type="table" w:customStyle="1" w:styleId="Tablaconcuadrcula562">
    <w:name w:val="Tabla con cuadrícula562"/>
    <w:basedOn w:val="Tablanormal"/>
    <w:next w:val="Tablaconcuadrcula"/>
    <w:rsid w:val="005710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3">
    <w:name w:val="Tabla con cuadrícula563"/>
    <w:basedOn w:val="Tablanormal"/>
    <w:next w:val="Tablaconcuadrcula"/>
    <w:rsid w:val="0022637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94">
    <w:name w:val="Sin lista394"/>
    <w:next w:val="Sinlista"/>
    <w:semiHidden/>
    <w:rsid w:val="009A1C55"/>
  </w:style>
  <w:style w:type="table" w:customStyle="1" w:styleId="Tablaconcuadrcula564">
    <w:name w:val="Tabla con cuadrícula564"/>
    <w:basedOn w:val="Tablanormal"/>
    <w:next w:val="Tablaconcuadrcula"/>
    <w:rsid w:val="009A1C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5">
    <w:name w:val="Tabla con cuadrícula565"/>
    <w:basedOn w:val="Tablanormal"/>
    <w:next w:val="Tablaconcuadrcula"/>
    <w:rsid w:val="00372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5">
    <w:name w:val="Sin lista395"/>
    <w:next w:val="Sinlista"/>
    <w:semiHidden/>
    <w:rsid w:val="00F520DE"/>
  </w:style>
  <w:style w:type="table" w:customStyle="1" w:styleId="Tablaconcuadrcula566">
    <w:name w:val="Tabla con cuadrícula566"/>
    <w:basedOn w:val="Tablanormal"/>
    <w:next w:val="Tablaconcuadrcula"/>
    <w:rsid w:val="00F52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7">
    <w:name w:val="Tabla con cuadrícula567"/>
    <w:basedOn w:val="Tablanormal"/>
    <w:next w:val="Tablaconcuadrcula"/>
    <w:rsid w:val="00C335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8">
    <w:name w:val="Tabla con cuadrícula568"/>
    <w:basedOn w:val="Tablanormal"/>
    <w:next w:val="Tablaconcuadrcula"/>
    <w:rsid w:val="00135E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6">
    <w:name w:val="Sin lista396"/>
    <w:next w:val="Sinlista"/>
    <w:semiHidden/>
    <w:rsid w:val="00B61388"/>
  </w:style>
  <w:style w:type="table" w:customStyle="1" w:styleId="Tablaconcuadrcula569">
    <w:name w:val="Tabla con cuadrícula569"/>
    <w:basedOn w:val="Tablanormal"/>
    <w:next w:val="Tablaconcuadrcula"/>
    <w:rsid w:val="00B613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0">
    <w:name w:val="Tabla con cuadrícula570"/>
    <w:basedOn w:val="Tablanormal"/>
    <w:next w:val="Tablaconcuadrcula"/>
    <w:rsid w:val="00F774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1">
    <w:name w:val="Tabla con cuadrícula571"/>
    <w:basedOn w:val="Tablanormal"/>
    <w:next w:val="Tablaconcuadrcula"/>
    <w:rsid w:val="001D44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2">
    <w:name w:val="Tabla con cuadrícula572"/>
    <w:basedOn w:val="Tablanormal"/>
    <w:next w:val="Tablaconcuadrcula"/>
    <w:rsid w:val="00B80B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3">
    <w:name w:val="Tabla con cuadrícula573"/>
    <w:basedOn w:val="Tablanormal"/>
    <w:next w:val="Tablaconcuadrcula"/>
    <w:rsid w:val="00054A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4">
    <w:name w:val="Tabla con cuadrícula574"/>
    <w:basedOn w:val="Tablanormal"/>
    <w:next w:val="Tablaconcuadrcula"/>
    <w:rsid w:val="00AD71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5">
    <w:name w:val="Tabla con cuadrícula575"/>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6">
    <w:name w:val="Tabla con cuadrícula576"/>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7">
    <w:name w:val="Sin lista397"/>
    <w:next w:val="Sinlista"/>
    <w:semiHidden/>
    <w:rsid w:val="008E3AEF"/>
  </w:style>
  <w:style w:type="table" w:customStyle="1" w:styleId="Tablaconcuadrcula577">
    <w:name w:val="Tabla con cuadrícula577"/>
    <w:basedOn w:val="Tablanormal"/>
    <w:next w:val="Tablaconcuadrcula"/>
    <w:rsid w:val="00BC6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8">
    <w:name w:val="Sin lista398"/>
    <w:next w:val="Sinlista"/>
    <w:semiHidden/>
    <w:rsid w:val="00857EA9"/>
  </w:style>
  <w:style w:type="table" w:customStyle="1" w:styleId="Tablaconcuadrcula578">
    <w:name w:val="Tabla con cuadrícula578"/>
    <w:basedOn w:val="Tablanormal"/>
    <w:next w:val="Tablaconcuadrcula"/>
    <w:rsid w:val="00857E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9">
    <w:name w:val="Tabla con cuadrícula579"/>
    <w:basedOn w:val="Tablanormal"/>
    <w:next w:val="Tablaconcuadrcula"/>
    <w:rsid w:val="002C15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0">
    <w:name w:val="Tabla con cuadrícula580"/>
    <w:basedOn w:val="Tablanormal"/>
    <w:next w:val="Tablaconcuadrcula"/>
    <w:rsid w:val="005E20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9">
    <w:name w:val="Sin lista399"/>
    <w:next w:val="Sinlista"/>
    <w:semiHidden/>
    <w:rsid w:val="00DA75B6"/>
  </w:style>
  <w:style w:type="table" w:customStyle="1" w:styleId="Tablaconcuadrcula581">
    <w:name w:val="Tabla con cuadrícula581"/>
    <w:basedOn w:val="Tablanormal"/>
    <w:next w:val="Tablaconcuadrcula"/>
    <w:rsid w:val="00DA75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2">
    <w:name w:val="Tabla con cuadrícula582"/>
    <w:basedOn w:val="Tablanormal"/>
    <w:next w:val="Tablaconcuadrcula"/>
    <w:rsid w:val="00F404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3">
    <w:name w:val="Tabla con cuadrícula583"/>
    <w:basedOn w:val="Tablanormal"/>
    <w:next w:val="Tablaconcuadrcula"/>
    <w:rsid w:val="008B0A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4">
    <w:name w:val="Tabla con cuadrícula584"/>
    <w:basedOn w:val="Tablanormal"/>
    <w:next w:val="Tablaconcuadrcula"/>
    <w:rsid w:val="00FC7A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5">
    <w:name w:val="Tabla con cuadrícula585"/>
    <w:basedOn w:val="Tablanormal"/>
    <w:next w:val="Tablaconcuadrcula"/>
    <w:rsid w:val="00C20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6">
    <w:name w:val="Tabla con cuadrícula586"/>
    <w:basedOn w:val="Tablanormal"/>
    <w:next w:val="Tablaconcuadrcula"/>
    <w:rsid w:val="00EC2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7">
    <w:name w:val="Tabla con cuadrícula587"/>
    <w:basedOn w:val="Tablanormal"/>
    <w:next w:val="Tablaconcuadrcula"/>
    <w:rsid w:val="002F4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8">
    <w:name w:val="Tabla con cuadrícula588"/>
    <w:basedOn w:val="Tablanormal"/>
    <w:next w:val="Tablaconcuadrcula"/>
    <w:rsid w:val="005F3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0">
    <w:name w:val="Sin lista400"/>
    <w:next w:val="Sinlista"/>
    <w:semiHidden/>
    <w:rsid w:val="00AD555C"/>
  </w:style>
  <w:style w:type="numbering" w:customStyle="1" w:styleId="Sinlista404">
    <w:name w:val="Sin lista404"/>
    <w:next w:val="Sinlista"/>
    <w:semiHidden/>
    <w:rsid w:val="00223825"/>
  </w:style>
  <w:style w:type="table" w:customStyle="1" w:styleId="Tablaconcuadrcula589">
    <w:name w:val="Tabla con cuadrícula589"/>
    <w:basedOn w:val="Tablanormal"/>
    <w:next w:val="Tablaconcuadrcula"/>
    <w:rsid w:val="002238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5">
    <w:name w:val="Sin lista405"/>
    <w:next w:val="Sinlista"/>
    <w:semiHidden/>
    <w:rsid w:val="00FE2A12"/>
  </w:style>
  <w:style w:type="table" w:customStyle="1" w:styleId="Tablaconcuadrcula590">
    <w:name w:val="Tabla con cuadrícula590"/>
    <w:basedOn w:val="Tablanormal"/>
    <w:next w:val="Tablaconcuadrcula"/>
    <w:rsid w:val="00120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
    <w:name w:val="Tabla con cuadrícula591"/>
    <w:basedOn w:val="Tablanormal"/>
    <w:next w:val="Tablaconcuadrcula"/>
    <w:rsid w:val="00147E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2">
    <w:name w:val="Tabla con cuadrícula592"/>
    <w:basedOn w:val="Tablanormal"/>
    <w:next w:val="Tablaconcuadrcula"/>
    <w:rsid w:val="00F240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6">
    <w:name w:val="Sin lista406"/>
    <w:next w:val="Sinlista"/>
    <w:semiHidden/>
    <w:rsid w:val="005E2FF4"/>
  </w:style>
  <w:style w:type="table" w:customStyle="1" w:styleId="Tablaconcuadrcula593">
    <w:name w:val="Tabla con cuadrícula593"/>
    <w:basedOn w:val="Tablanormal"/>
    <w:next w:val="Tablaconcuadrcula"/>
    <w:rsid w:val="005E2F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4">
    <w:name w:val="Tabla con cuadrícula594"/>
    <w:basedOn w:val="Tablanormal"/>
    <w:next w:val="Tablaconcuadrcula"/>
    <w:rsid w:val="001D63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7">
    <w:name w:val="Sin lista407"/>
    <w:next w:val="Sinlista"/>
    <w:semiHidden/>
    <w:rsid w:val="00CD62E3"/>
  </w:style>
  <w:style w:type="table" w:customStyle="1" w:styleId="Tablaconcuadrcula595">
    <w:name w:val="Tabla con cuadrícula595"/>
    <w:basedOn w:val="Tablanormal"/>
    <w:next w:val="Tablaconcuadrcula"/>
    <w:rsid w:val="00CD62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8">
    <w:name w:val="Sin lista408"/>
    <w:next w:val="Sinlista"/>
    <w:semiHidden/>
    <w:rsid w:val="00987EF7"/>
  </w:style>
  <w:style w:type="table" w:customStyle="1" w:styleId="Tablaconcuadrcula596">
    <w:name w:val="Tabla con cuadrícula596"/>
    <w:basedOn w:val="Tablanormal"/>
    <w:next w:val="Tablaconcuadrcula"/>
    <w:rsid w:val="00987E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p">
    <w:name w:val="spip"/>
    <w:basedOn w:val="Normal"/>
    <w:uiPriority w:val="99"/>
    <w:rsid w:val="00DF052F"/>
    <w:pPr>
      <w:spacing w:before="100" w:beforeAutospacing="1" w:after="100" w:afterAutospacing="1"/>
    </w:pPr>
    <w:rPr>
      <w:rFonts w:eastAsia="Times New Roman"/>
      <w:lang w:val="es-ES"/>
    </w:rPr>
  </w:style>
  <w:style w:type="table" w:customStyle="1" w:styleId="Tablaconcuadrcula597">
    <w:name w:val="Tabla con cuadrícula597"/>
    <w:basedOn w:val="Tablanormal"/>
    <w:next w:val="Tablaconcuadrcula"/>
    <w:rsid w:val="00EE06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8">
    <w:name w:val="Tabla con cuadrícula598"/>
    <w:basedOn w:val="Tablanormal"/>
    <w:next w:val="Tablaconcuadrcula"/>
    <w:rsid w:val="00592F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9">
    <w:name w:val="Tabla con cuadrícula599"/>
    <w:basedOn w:val="Tablanormal"/>
    <w:next w:val="Tablaconcuadrcula"/>
    <w:rsid w:val="00473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0">
    <w:name w:val="Tabla con cuadrícula600"/>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
    <w:name w:val="Tabla con cuadrícula601"/>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9">
    <w:name w:val="Sin lista409"/>
    <w:next w:val="Sinlista"/>
    <w:semiHidden/>
    <w:rsid w:val="003B529A"/>
  </w:style>
  <w:style w:type="table" w:customStyle="1" w:styleId="Tablaconcuadrcula602">
    <w:name w:val="Tabla con cuadrícula602"/>
    <w:basedOn w:val="Tablanormal"/>
    <w:next w:val="Tablaconcuadrcula"/>
    <w:rsid w:val="003B52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3">
    <w:name w:val="Tabla con cuadrícula603"/>
    <w:basedOn w:val="Tablanormal"/>
    <w:next w:val="Tablaconcuadrcula"/>
    <w:rsid w:val="003175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4">
    <w:name w:val="Tabla con cuadrícula604"/>
    <w:basedOn w:val="Tablanormal"/>
    <w:next w:val="Tablaconcuadrcula"/>
    <w:rsid w:val="00D372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5">
    <w:name w:val="Tabla con cuadrícula605"/>
    <w:basedOn w:val="Tablanormal"/>
    <w:next w:val="Tablaconcuadrcula"/>
    <w:rsid w:val="00EF4E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6">
    <w:name w:val="Sin lista416"/>
    <w:next w:val="Sinlista"/>
    <w:semiHidden/>
    <w:rsid w:val="00E01CBB"/>
  </w:style>
  <w:style w:type="table" w:customStyle="1" w:styleId="Tablaconcuadrcula606">
    <w:name w:val="Tabla con cuadrícula606"/>
    <w:basedOn w:val="Tablanormal"/>
    <w:next w:val="Tablaconcuadrcula"/>
    <w:rsid w:val="00E01C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7">
    <w:name w:val="Sin lista417"/>
    <w:next w:val="Sinlista"/>
    <w:semiHidden/>
    <w:rsid w:val="00960F64"/>
  </w:style>
  <w:style w:type="table" w:customStyle="1" w:styleId="Tablaconcuadrcula607">
    <w:name w:val="Tabla con cuadrícula607"/>
    <w:basedOn w:val="Tablanormal"/>
    <w:next w:val="Tablaconcuadrcula"/>
    <w:rsid w:val="00960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8">
    <w:name w:val="Sin lista418"/>
    <w:next w:val="Sinlista"/>
    <w:semiHidden/>
    <w:rsid w:val="005B2D60"/>
  </w:style>
  <w:style w:type="table" w:customStyle="1" w:styleId="Tablaconcuadrcula608">
    <w:name w:val="Tabla con cuadrícula608"/>
    <w:basedOn w:val="Tablanormal"/>
    <w:next w:val="Tablaconcuadrcula"/>
    <w:rsid w:val="005B2D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9">
    <w:name w:val="Tabla con cuadrícula609"/>
    <w:basedOn w:val="Tablanormal"/>
    <w:next w:val="Tablaconcuadrcula"/>
    <w:rsid w:val="00D26E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6">
    <w:name w:val="Tabla con cuadrícula616"/>
    <w:basedOn w:val="Tablanormal"/>
    <w:next w:val="Tablaconcuadrcula"/>
    <w:rsid w:val="00026E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9">
    <w:name w:val="Sin lista419"/>
    <w:next w:val="Sinlista"/>
    <w:semiHidden/>
    <w:rsid w:val="00490B4B"/>
  </w:style>
  <w:style w:type="table" w:customStyle="1" w:styleId="Tablaconcuadrcula617">
    <w:name w:val="Tabla con cuadrícula617"/>
    <w:basedOn w:val="Tablanormal"/>
    <w:next w:val="Tablaconcuadrcula"/>
    <w:rsid w:val="00490B4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6">
    <w:name w:val="Tabla con cuadrícula1106"/>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0">
    <w:name w:val="Tabla con cuadrícula2100"/>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0">
    <w:name w:val="Sin lista420"/>
    <w:next w:val="Sinlista"/>
    <w:semiHidden/>
    <w:rsid w:val="00136901"/>
  </w:style>
  <w:style w:type="table" w:customStyle="1" w:styleId="Tablaconcuadrcula618">
    <w:name w:val="Tabla con cuadrícula618"/>
    <w:basedOn w:val="Tablanormal"/>
    <w:next w:val="Tablaconcuadrcula"/>
    <w:rsid w:val="006B31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9">
    <w:name w:val="Tabla con cuadrícula619"/>
    <w:basedOn w:val="Tablanormal"/>
    <w:next w:val="Tablaconcuadrcula"/>
    <w:rsid w:val="00C23E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0">
    <w:name w:val="Tabla con cuadrícula620"/>
    <w:basedOn w:val="Tablanormal"/>
    <w:next w:val="Tablaconcuadrcula"/>
    <w:rsid w:val="00515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4">
    <w:name w:val="Sin lista424"/>
    <w:next w:val="Sinlista"/>
    <w:semiHidden/>
    <w:rsid w:val="00B15CD5"/>
  </w:style>
  <w:style w:type="table" w:customStyle="1" w:styleId="Tablaconcuadrcula621">
    <w:name w:val="Tabla con cuadrícula621"/>
    <w:basedOn w:val="Tablanormal"/>
    <w:next w:val="Tablaconcuadrcula"/>
    <w:rsid w:val="00B15C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5">
    <w:name w:val="Sin lista425"/>
    <w:next w:val="Sinlista"/>
    <w:semiHidden/>
    <w:rsid w:val="006B6E18"/>
  </w:style>
  <w:style w:type="table" w:customStyle="1" w:styleId="Tablaconcuadrcula622">
    <w:name w:val="Tabla con cuadrícula622"/>
    <w:basedOn w:val="Tablanormal"/>
    <w:next w:val="Tablaconcuadrcula"/>
    <w:rsid w:val="006B6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3">
    <w:name w:val="Tabla con cuadrícula623"/>
    <w:basedOn w:val="Tablanormal"/>
    <w:next w:val="Tablaconcuadrcula"/>
    <w:rsid w:val="00950B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4">
    <w:name w:val="Tabla con cuadrícula624"/>
    <w:basedOn w:val="Tablanormal"/>
    <w:next w:val="Tablaconcuadrcula"/>
    <w:rsid w:val="00164E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5">
    <w:name w:val="Tabla con cuadrícula625"/>
    <w:basedOn w:val="Tablanormal"/>
    <w:next w:val="Tablaconcuadrcula"/>
    <w:rsid w:val="003972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6">
    <w:name w:val="Sin lista426"/>
    <w:next w:val="Sinlista"/>
    <w:semiHidden/>
    <w:rsid w:val="00FE5889"/>
  </w:style>
  <w:style w:type="table" w:customStyle="1" w:styleId="Tablaconcuadrcula626">
    <w:name w:val="Tabla con cuadrícula626"/>
    <w:basedOn w:val="Tablanormal"/>
    <w:next w:val="Tablaconcuadrcula"/>
    <w:rsid w:val="00FE58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0">
    <w:name w:val="Footnote Text Char"/>
    <w:aliases w:val="Footnote Text Char1 Char1,Footnote Text Char1 Char Char,Footnote Text Char Char Char Char"/>
    <w:basedOn w:val="Fuentedeprrafopredeter"/>
    <w:semiHidden/>
    <w:locked/>
    <w:rsid w:val="0091248F"/>
    <w:rPr>
      <w:rFonts w:eastAsia="SimSun"/>
      <w:lang w:val="es-MX" w:eastAsia="es-ES" w:bidi="ar-SA"/>
    </w:rPr>
  </w:style>
  <w:style w:type="numbering" w:customStyle="1" w:styleId="Sinlista427">
    <w:name w:val="Sin lista427"/>
    <w:next w:val="Sinlista"/>
    <w:semiHidden/>
    <w:rsid w:val="000B5902"/>
  </w:style>
  <w:style w:type="table" w:customStyle="1" w:styleId="Tablaconcuadrcula627">
    <w:name w:val="Tabla con cuadrícula627"/>
    <w:basedOn w:val="Tablanormal"/>
    <w:next w:val="Tablaconcuadrcula"/>
    <w:rsid w:val="000B59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8">
    <w:name w:val="Sin lista428"/>
    <w:next w:val="Sinlista"/>
    <w:semiHidden/>
    <w:rsid w:val="007014A5"/>
  </w:style>
  <w:style w:type="table" w:customStyle="1" w:styleId="Tablaconcuadrcula628">
    <w:name w:val="Tabla con cuadrícula628"/>
    <w:basedOn w:val="Tablanormal"/>
    <w:next w:val="Tablaconcuadrcula"/>
    <w:rsid w:val="007014A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9">
    <w:name w:val="Sin lista429"/>
    <w:next w:val="Sinlista"/>
    <w:semiHidden/>
    <w:rsid w:val="001473D2"/>
  </w:style>
  <w:style w:type="table" w:customStyle="1" w:styleId="Tablaconcuadrcula629">
    <w:name w:val="Tabla con cuadrícula629"/>
    <w:basedOn w:val="Tablanormal"/>
    <w:next w:val="Tablaconcuadrcula"/>
    <w:rsid w:val="001473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0">
    <w:name w:val="Sin lista430"/>
    <w:next w:val="Sinlista"/>
    <w:semiHidden/>
    <w:rsid w:val="00BE2D39"/>
  </w:style>
  <w:style w:type="table" w:customStyle="1" w:styleId="Tablaconcuadrcula630">
    <w:name w:val="Tabla con cuadrícula630"/>
    <w:basedOn w:val="Tablanormal"/>
    <w:next w:val="Tablaconcuadrcula"/>
    <w:rsid w:val="00BE2D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next w:val="Tablaconcuadrcula"/>
    <w:rsid w:val="00DF64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4">
    <w:name w:val="Sin lista434"/>
    <w:next w:val="Sinlista"/>
    <w:semiHidden/>
    <w:rsid w:val="000C0064"/>
  </w:style>
  <w:style w:type="table" w:customStyle="1" w:styleId="Tablaconcuadrcula632">
    <w:name w:val="Tabla con cuadrícula632"/>
    <w:basedOn w:val="Tablanormal"/>
    <w:next w:val="Tablaconcuadrcula"/>
    <w:rsid w:val="000C00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5">
    <w:name w:val="Sin lista435"/>
    <w:next w:val="Sinlista"/>
    <w:semiHidden/>
    <w:rsid w:val="00EC4773"/>
  </w:style>
  <w:style w:type="table" w:customStyle="1" w:styleId="Tablaconcuadrcula633">
    <w:name w:val="Tabla con cuadrícula633"/>
    <w:basedOn w:val="Tablanormal"/>
    <w:next w:val="Tablaconcuadrcula"/>
    <w:rsid w:val="00EC47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6">
    <w:name w:val="Sin lista436"/>
    <w:next w:val="Sinlista"/>
    <w:semiHidden/>
    <w:rsid w:val="006F1F64"/>
  </w:style>
  <w:style w:type="table" w:customStyle="1" w:styleId="Tablaconcuadrcula634">
    <w:name w:val="Tabla con cuadrícula634"/>
    <w:basedOn w:val="Tablanormal"/>
    <w:next w:val="Tablaconcuadrcula"/>
    <w:rsid w:val="006F1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7">
    <w:name w:val="Sin lista437"/>
    <w:next w:val="Sinlista"/>
    <w:semiHidden/>
    <w:rsid w:val="00DB3241"/>
  </w:style>
  <w:style w:type="table" w:customStyle="1" w:styleId="Tablaconcuadrcula635">
    <w:name w:val="Tabla con cuadrícula635"/>
    <w:basedOn w:val="Tablanormal"/>
    <w:next w:val="Tablaconcuadrcula"/>
    <w:rsid w:val="00DB32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8">
    <w:name w:val="Sin lista438"/>
    <w:next w:val="Sinlista"/>
    <w:semiHidden/>
    <w:rsid w:val="00CF16C8"/>
  </w:style>
  <w:style w:type="table" w:customStyle="1" w:styleId="Tablaconcuadrcula636">
    <w:name w:val="Tabla con cuadrícula636"/>
    <w:basedOn w:val="Tablanormal"/>
    <w:next w:val="Tablaconcuadrcula"/>
    <w:rsid w:val="00CF16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9">
    <w:name w:val="Sin lista439"/>
    <w:next w:val="Sinlista"/>
    <w:semiHidden/>
    <w:rsid w:val="00FD6D7B"/>
  </w:style>
  <w:style w:type="table" w:customStyle="1" w:styleId="Tablaconcuadrcula637">
    <w:name w:val="Tabla con cuadrícula637"/>
    <w:basedOn w:val="Tablanormal"/>
    <w:next w:val="Tablaconcuadrcula"/>
    <w:rsid w:val="00FD6D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0">
    <w:name w:val="Sin lista440"/>
    <w:next w:val="Sinlista"/>
    <w:semiHidden/>
    <w:rsid w:val="00D971F8"/>
  </w:style>
  <w:style w:type="table" w:customStyle="1" w:styleId="Tablaconcuadrcula638">
    <w:name w:val="Tabla con cuadrícula638"/>
    <w:basedOn w:val="Tablanormal"/>
    <w:next w:val="Tablaconcuadrcula"/>
    <w:rsid w:val="00D971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9">
    <w:name w:val="Tabla con cuadrícula639"/>
    <w:basedOn w:val="Tablanormal"/>
    <w:next w:val="Tablaconcuadrcula"/>
    <w:rsid w:val="00A45EE8"/>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40">
    <w:name w:val="Tabla con cuadrícula640"/>
    <w:basedOn w:val="Tablanormal"/>
    <w:next w:val="Tablaconcuadrcula"/>
    <w:rsid w:val="00F247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next w:val="Tablaconcuadrcula"/>
    <w:rsid w:val="009D21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4">
    <w:name w:val="Sin lista444"/>
    <w:next w:val="Sinlista"/>
    <w:semiHidden/>
    <w:rsid w:val="00033B15"/>
  </w:style>
  <w:style w:type="table" w:customStyle="1" w:styleId="Tablaconcuadrcula642">
    <w:name w:val="Tabla con cuadrícula642"/>
    <w:basedOn w:val="Tablanormal"/>
    <w:next w:val="Tablaconcuadrcula"/>
    <w:rsid w:val="00033B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5">
    <w:name w:val="Sin lista445"/>
    <w:next w:val="Sinlista"/>
    <w:semiHidden/>
    <w:rsid w:val="000E5B81"/>
  </w:style>
  <w:style w:type="table" w:customStyle="1" w:styleId="Tablaconcuadrcula643">
    <w:name w:val="Tabla con cuadrícula643"/>
    <w:basedOn w:val="Tablanormal"/>
    <w:next w:val="Tablaconcuadrcula"/>
    <w:rsid w:val="000E5B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4">
    <w:name w:val="Tabla con cuadrícula644"/>
    <w:basedOn w:val="Tablanormal"/>
    <w:next w:val="Tablaconcuadrcula"/>
    <w:rsid w:val="006255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5">
    <w:name w:val="Tabla con cuadrícula645"/>
    <w:basedOn w:val="Tablanormal"/>
    <w:next w:val="Tablaconcuadrcula"/>
    <w:rsid w:val="00EB16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6">
    <w:name w:val="Sin lista446"/>
    <w:next w:val="Sinlista"/>
    <w:semiHidden/>
    <w:rsid w:val="00A161C4"/>
  </w:style>
  <w:style w:type="table" w:customStyle="1" w:styleId="Tablaconcuadrcula646">
    <w:name w:val="Tabla con cuadrícula646"/>
    <w:basedOn w:val="Tablanormal"/>
    <w:next w:val="Tablaconcuadrcula"/>
    <w:rsid w:val="00A161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7">
    <w:name w:val="Sin lista447"/>
    <w:next w:val="Sinlista"/>
    <w:semiHidden/>
    <w:rsid w:val="008B1DDD"/>
  </w:style>
  <w:style w:type="numbering" w:customStyle="1" w:styleId="Sinlista448">
    <w:name w:val="Sin lista448"/>
    <w:next w:val="Sinlista"/>
    <w:semiHidden/>
    <w:rsid w:val="00877C0E"/>
  </w:style>
  <w:style w:type="table" w:customStyle="1" w:styleId="Tablaconcuadrcula647">
    <w:name w:val="Tabla con cuadrícula647"/>
    <w:basedOn w:val="Tablanormal"/>
    <w:next w:val="Tablaconcuadrcula"/>
    <w:rsid w:val="003D7C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8">
    <w:name w:val="Tabla con cuadrícula648"/>
    <w:basedOn w:val="Tablanormal"/>
    <w:next w:val="Tablaconcuadrcula"/>
    <w:rsid w:val="00D11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9">
    <w:name w:val="Tabla con cuadrícula649"/>
    <w:basedOn w:val="Tablanormal"/>
    <w:next w:val="Tablaconcuadrcula"/>
    <w:rsid w:val="006576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9">
    <w:name w:val="Sin lista449"/>
    <w:next w:val="Sinlista"/>
    <w:semiHidden/>
    <w:rsid w:val="001738F6"/>
  </w:style>
  <w:style w:type="table" w:customStyle="1" w:styleId="Tablaconcuadrcula650">
    <w:name w:val="Tabla con cuadrícula650"/>
    <w:basedOn w:val="Tablanormal"/>
    <w:next w:val="Tablaconcuadrcula"/>
    <w:rsid w:val="001738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0">
    <w:name w:val="Sin lista450"/>
    <w:next w:val="Sinlista"/>
    <w:semiHidden/>
    <w:rsid w:val="00227EDD"/>
  </w:style>
  <w:style w:type="table" w:customStyle="1" w:styleId="Tablaconcuadrcula651">
    <w:name w:val="Tabla con cuadrícula651"/>
    <w:basedOn w:val="Tablanormal"/>
    <w:next w:val="Tablaconcuadrcula"/>
    <w:rsid w:val="00227E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2">
    <w:name w:val="Tabla con cuadrícula652"/>
    <w:basedOn w:val="Tablanormal"/>
    <w:next w:val="Tablaconcuadrcula"/>
    <w:rsid w:val="00B14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26651">
    <w:name w:val="EstiloCorreo26651"/>
    <w:basedOn w:val="Fuentedeprrafopredeter"/>
    <w:semiHidden/>
    <w:rsid w:val="003B2825"/>
    <w:rPr>
      <w:rFonts w:ascii="Arial" w:hAnsi="Arial" w:cs="Arial"/>
      <w:color w:val="auto"/>
      <w:sz w:val="20"/>
      <w:szCs w:val="20"/>
    </w:rPr>
  </w:style>
  <w:style w:type="table" w:customStyle="1" w:styleId="Tablaconcuadrcula653">
    <w:name w:val="Tabla con cuadrícula653"/>
    <w:basedOn w:val="Tablanormal"/>
    <w:next w:val="Tablaconcuadrcula"/>
    <w:rsid w:val="00BC69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4">
    <w:name w:val="Tabla con cuadrícula654"/>
    <w:basedOn w:val="Tablanormal"/>
    <w:next w:val="Tablaconcuadrcula"/>
    <w:rsid w:val="00EB41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5">
    <w:name w:val="Tabla con cuadrícula655"/>
    <w:basedOn w:val="Tablanormal"/>
    <w:next w:val="Tablaconcuadrcula"/>
    <w:rsid w:val="00D536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6">
    <w:name w:val="Tabla con cuadrícula656"/>
    <w:basedOn w:val="Tablanormal"/>
    <w:next w:val="Tablaconcuadrcula"/>
    <w:rsid w:val="001922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4">
    <w:name w:val="Sin lista454"/>
    <w:next w:val="Sinlista"/>
    <w:semiHidden/>
    <w:rsid w:val="00A73A8C"/>
  </w:style>
  <w:style w:type="table" w:customStyle="1" w:styleId="Tablaconcuadrcula657">
    <w:name w:val="Tabla con cuadrícula657"/>
    <w:basedOn w:val="Tablanormal"/>
    <w:next w:val="Tablaconcuadrcula"/>
    <w:rsid w:val="00A73A8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5">
    <w:name w:val="Sin lista455"/>
    <w:next w:val="Sinlista"/>
    <w:semiHidden/>
    <w:rsid w:val="00DB7A0C"/>
  </w:style>
  <w:style w:type="numbering" w:customStyle="1" w:styleId="Sinlista456">
    <w:name w:val="Sin lista456"/>
    <w:next w:val="Sinlista"/>
    <w:semiHidden/>
    <w:rsid w:val="009D297D"/>
  </w:style>
  <w:style w:type="table" w:customStyle="1" w:styleId="Tablaconcuadrcula658">
    <w:name w:val="Tabla con cuadrícula658"/>
    <w:basedOn w:val="Tablanormal"/>
    <w:next w:val="Tablaconcuadrcula"/>
    <w:rsid w:val="009D29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9">
    <w:name w:val="Tabla con cuadrícula659"/>
    <w:basedOn w:val="Tablanormal"/>
    <w:next w:val="Tablaconcuadrcula"/>
    <w:rsid w:val="009D297D"/>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7">
    <w:name w:val="Sin lista457"/>
    <w:next w:val="Sinlista"/>
    <w:semiHidden/>
    <w:rsid w:val="001A68F3"/>
  </w:style>
  <w:style w:type="table" w:customStyle="1" w:styleId="Tablaconcuadrcula660">
    <w:name w:val="Tabla con cuadrícula660"/>
    <w:basedOn w:val="Tablanormal"/>
    <w:next w:val="Tablaconcuadrcula"/>
    <w:rsid w:val="001A68F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8">
    <w:name w:val="Sin lista458"/>
    <w:next w:val="Sinlista"/>
    <w:semiHidden/>
    <w:rsid w:val="003A37B7"/>
  </w:style>
  <w:style w:type="table" w:customStyle="1" w:styleId="Tablaconcuadrcula661">
    <w:name w:val="Tabla con cuadrícula661"/>
    <w:basedOn w:val="Tablanormal"/>
    <w:next w:val="Tablaconcuadrcula"/>
    <w:rsid w:val="003A37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9">
    <w:name w:val="Sin lista459"/>
    <w:next w:val="Sinlista"/>
    <w:semiHidden/>
    <w:rsid w:val="00F17AA0"/>
  </w:style>
  <w:style w:type="numbering" w:customStyle="1" w:styleId="Sinlista460">
    <w:name w:val="Sin lista460"/>
    <w:next w:val="Sinlista"/>
    <w:semiHidden/>
    <w:rsid w:val="00E03516"/>
  </w:style>
  <w:style w:type="paragraph" w:customStyle="1" w:styleId="txtnegro">
    <w:name w:val="txt_negro"/>
    <w:basedOn w:val="Normal"/>
    <w:uiPriority w:val="99"/>
    <w:rsid w:val="00E03516"/>
    <w:pPr>
      <w:spacing w:before="100" w:beforeAutospacing="1" w:after="100" w:afterAutospacing="1"/>
    </w:pPr>
    <w:rPr>
      <w:rFonts w:ascii="Verdana" w:eastAsia="Times New Roman" w:hAnsi="Verdana"/>
      <w:color w:val="595959"/>
      <w:sz w:val="15"/>
      <w:szCs w:val="15"/>
      <w:lang w:val="es-ES"/>
    </w:rPr>
  </w:style>
  <w:style w:type="table" w:customStyle="1" w:styleId="Tablaconcuadrcula662">
    <w:name w:val="Tabla con cuadrícula662"/>
    <w:basedOn w:val="Tablanormal"/>
    <w:next w:val="Tablaconcuadrcula"/>
    <w:rsid w:val="00A17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3">
    <w:name w:val="Tabla con cuadrícula663"/>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4">
    <w:name w:val="Tabla con cuadrícula664"/>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5">
    <w:name w:val="Tabla con cuadrícula665"/>
    <w:basedOn w:val="Tablanormal"/>
    <w:next w:val="Tablaconcuadrcula"/>
    <w:rsid w:val="007462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4">
    <w:name w:val="Sin lista464"/>
    <w:next w:val="Sinlista"/>
    <w:semiHidden/>
    <w:rsid w:val="00F31B18"/>
  </w:style>
  <w:style w:type="table" w:customStyle="1" w:styleId="Tablaconcuadrcula666">
    <w:name w:val="Tabla con cuadrícula666"/>
    <w:basedOn w:val="Tablanormal"/>
    <w:next w:val="Tablaconcuadrcula"/>
    <w:rsid w:val="00F31B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5">
    <w:name w:val="Sin lista465"/>
    <w:next w:val="Sinlista"/>
    <w:semiHidden/>
    <w:rsid w:val="00823263"/>
  </w:style>
  <w:style w:type="table" w:customStyle="1" w:styleId="Tablaconcuadrcula667">
    <w:name w:val="Tabla con cuadrícula667"/>
    <w:basedOn w:val="Tablanormal"/>
    <w:next w:val="Tablaconcuadrcula"/>
    <w:rsid w:val="008232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6">
    <w:name w:val="Sin lista466"/>
    <w:next w:val="Sinlista"/>
    <w:semiHidden/>
    <w:rsid w:val="00743EC4"/>
  </w:style>
  <w:style w:type="table" w:customStyle="1" w:styleId="Tablaconcuadrcula668">
    <w:name w:val="Tabla con cuadrícula668"/>
    <w:basedOn w:val="Tablanormal"/>
    <w:next w:val="Tablaconcuadrcula"/>
    <w:rsid w:val="00743E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7">
    <w:name w:val="Sin lista467"/>
    <w:next w:val="Sinlista"/>
    <w:semiHidden/>
    <w:rsid w:val="002E16DD"/>
  </w:style>
  <w:style w:type="table" w:customStyle="1" w:styleId="Tablaconcuadrcula669">
    <w:name w:val="Tabla con cuadrícula669"/>
    <w:basedOn w:val="Tablanormal"/>
    <w:next w:val="Tablaconcuadrcula"/>
    <w:rsid w:val="002E16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0">
    <w:name w:val="Tabla con cuadrícula670"/>
    <w:basedOn w:val="Tablanormal"/>
    <w:next w:val="Tablaconcuadrcula"/>
    <w:rsid w:val="00E162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1">
    <w:name w:val="Tabla con cuadrícula671"/>
    <w:basedOn w:val="Tablanormal"/>
    <w:next w:val="Tablaconcuadrcula"/>
    <w:rsid w:val="005A5D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8">
    <w:name w:val="Sin lista468"/>
    <w:next w:val="Sinlista"/>
    <w:semiHidden/>
    <w:rsid w:val="00F47C45"/>
  </w:style>
  <w:style w:type="table" w:customStyle="1" w:styleId="Tablaconcuadrcula672">
    <w:name w:val="Tabla con cuadrícula672"/>
    <w:basedOn w:val="Tablanormal"/>
    <w:next w:val="Tablaconcuadrcula"/>
    <w:rsid w:val="00F47C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9">
    <w:name w:val="Sin lista469"/>
    <w:next w:val="Sinlista"/>
    <w:semiHidden/>
    <w:rsid w:val="000E0FF1"/>
  </w:style>
  <w:style w:type="table" w:customStyle="1" w:styleId="Tablaconcuadrcula673">
    <w:name w:val="Tabla con cuadrícula673"/>
    <w:basedOn w:val="Tablanormal"/>
    <w:next w:val="Tablaconcuadrcula"/>
    <w:rsid w:val="000E0F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0">
    <w:name w:val="Sin lista470"/>
    <w:next w:val="Sinlista"/>
    <w:semiHidden/>
    <w:rsid w:val="00B04CF7"/>
  </w:style>
  <w:style w:type="table" w:customStyle="1" w:styleId="Tablaconcuadrcula674">
    <w:name w:val="Tabla con cuadrícula674"/>
    <w:basedOn w:val="Tablanormal"/>
    <w:next w:val="Tablaconcuadrcula"/>
    <w:rsid w:val="00B04C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5">
    <w:name w:val="Tabla con cuadrícula675"/>
    <w:basedOn w:val="Tablanormal"/>
    <w:next w:val="Tablaconcuadrcula"/>
    <w:rsid w:val="00A97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4">
    <w:name w:val="Sin lista474"/>
    <w:next w:val="Sinlista"/>
    <w:semiHidden/>
    <w:rsid w:val="00707839"/>
  </w:style>
  <w:style w:type="table" w:customStyle="1" w:styleId="Tablaconcuadrcula676">
    <w:name w:val="Tabla con cuadrícula676"/>
    <w:basedOn w:val="Tablanormal"/>
    <w:next w:val="Tablaconcuadrcula"/>
    <w:rsid w:val="007078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A9"/>
    <w:uiPriority w:val="99"/>
    <w:rsid w:val="00707839"/>
    <w:rPr>
      <w:rFonts w:cs="Frutiger LT Std 55 Roman"/>
      <w:color w:val="000000"/>
      <w:sz w:val="12"/>
      <w:szCs w:val="12"/>
    </w:rPr>
  </w:style>
  <w:style w:type="paragraph" w:customStyle="1" w:styleId="Pa92">
    <w:name w:val="Pa9+2"/>
    <w:basedOn w:val="Normal"/>
    <w:next w:val="Normal"/>
    <w:uiPriority w:val="99"/>
    <w:rsid w:val="00707839"/>
    <w:pPr>
      <w:autoSpaceDE w:val="0"/>
      <w:autoSpaceDN w:val="0"/>
      <w:adjustRightInd w:val="0"/>
      <w:spacing w:line="241" w:lineRule="atLeast"/>
    </w:pPr>
    <w:rPr>
      <w:rFonts w:ascii="Frutiger LT Std 47 Light Cn" w:eastAsia="Times New Roman" w:hAnsi="Frutiger LT Std 47 Light Cn"/>
      <w:lang w:eastAsia="es-MX"/>
    </w:rPr>
  </w:style>
  <w:style w:type="character" w:customStyle="1" w:styleId="A72">
    <w:name w:val="A7+2"/>
    <w:rsid w:val="00707839"/>
    <w:rPr>
      <w:rFonts w:cs="Frutiger LT Std 47 Light Cn"/>
      <w:b/>
      <w:bCs/>
      <w:color w:val="000000"/>
      <w:sz w:val="16"/>
      <w:szCs w:val="16"/>
    </w:rPr>
  </w:style>
  <w:style w:type="paragraph" w:customStyle="1" w:styleId="Pa02">
    <w:name w:val="Pa0+2"/>
    <w:basedOn w:val="Normal"/>
    <w:next w:val="Normal"/>
    <w:uiPriority w:val="99"/>
    <w:rsid w:val="00707839"/>
    <w:pPr>
      <w:autoSpaceDE w:val="0"/>
      <w:autoSpaceDN w:val="0"/>
      <w:adjustRightInd w:val="0"/>
      <w:spacing w:line="241" w:lineRule="atLeast"/>
    </w:pPr>
    <w:rPr>
      <w:rFonts w:ascii="Frutiger LT Std 57 Cn" w:eastAsia="Times New Roman" w:hAnsi="Frutiger LT Std 57 Cn"/>
      <w:lang w:eastAsia="es-MX"/>
    </w:rPr>
  </w:style>
  <w:style w:type="character" w:customStyle="1" w:styleId="A81">
    <w:name w:val="A8+1"/>
    <w:rsid w:val="00707839"/>
    <w:rPr>
      <w:rFonts w:cs="Frutiger LT Std 57 Cn"/>
      <w:color w:val="000000"/>
      <w:sz w:val="12"/>
      <w:szCs w:val="12"/>
    </w:rPr>
  </w:style>
  <w:style w:type="character" w:customStyle="1" w:styleId="A131">
    <w:name w:val="A13+1"/>
    <w:rsid w:val="00707839"/>
    <w:rPr>
      <w:rFonts w:cs="Frutiger LT Std 47 Light Cn"/>
      <w:b/>
      <w:bCs/>
      <w:color w:val="000000"/>
      <w:sz w:val="18"/>
      <w:szCs w:val="18"/>
    </w:rPr>
  </w:style>
  <w:style w:type="numbering" w:customStyle="1" w:styleId="Sinlista475">
    <w:name w:val="Sin lista475"/>
    <w:next w:val="Sinlista"/>
    <w:semiHidden/>
    <w:rsid w:val="00523BCC"/>
  </w:style>
  <w:style w:type="numbering" w:customStyle="1" w:styleId="Sinlista476">
    <w:name w:val="Sin lista476"/>
    <w:next w:val="Sinlista"/>
    <w:semiHidden/>
    <w:rsid w:val="004248D1"/>
  </w:style>
  <w:style w:type="table" w:customStyle="1" w:styleId="Tablaconcuadrcula677">
    <w:name w:val="Tabla con cuadrícula677"/>
    <w:basedOn w:val="Tablanormal"/>
    <w:next w:val="Tablaconcuadrcula"/>
    <w:rsid w:val="004248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8">
    <w:name w:val="Tabla con cuadrícula678"/>
    <w:basedOn w:val="Tablanormal"/>
    <w:next w:val="Tablaconcuadrcula"/>
    <w:rsid w:val="007F72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9">
    <w:name w:val="Tabla con cuadrícula679"/>
    <w:basedOn w:val="Tablanormal"/>
    <w:next w:val="Tablaconcuadrcula"/>
    <w:rsid w:val="003E3E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0">
    <w:name w:val="Tabla con cuadrícula680"/>
    <w:basedOn w:val="Tablanormal"/>
    <w:next w:val="Tablaconcuadrcula"/>
    <w:rsid w:val="00001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1">
    <w:name w:val="Tabla con cuadrícula681"/>
    <w:basedOn w:val="Tablanormal"/>
    <w:next w:val="Tablaconcuadrcula"/>
    <w:rsid w:val="006F3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7">
    <w:name w:val="Sin lista477"/>
    <w:next w:val="Sinlista"/>
    <w:semiHidden/>
    <w:rsid w:val="001324FF"/>
  </w:style>
  <w:style w:type="table" w:customStyle="1" w:styleId="Tablaconcuadrcula682">
    <w:name w:val="Tabla con cuadrícula682"/>
    <w:basedOn w:val="Tablanormal"/>
    <w:next w:val="Tablaconcuadrcula"/>
    <w:rsid w:val="001324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3">
    <w:name w:val="Tabla con cuadrícula683"/>
    <w:basedOn w:val="Tablanormal"/>
    <w:next w:val="Tablaconcuadrcula"/>
    <w:rsid w:val="00CD52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4">
    <w:name w:val="Tabla con cuadrícula684"/>
    <w:basedOn w:val="Tablanormal"/>
    <w:next w:val="Tablaconcuadrcula"/>
    <w:rsid w:val="00046F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8">
    <w:name w:val="Sin lista478"/>
    <w:next w:val="Sinlista"/>
    <w:semiHidden/>
    <w:rsid w:val="004A1626"/>
  </w:style>
  <w:style w:type="numbering" w:customStyle="1" w:styleId="Sinlista479">
    <w:name w:val="Sin lista479"/>
    <w:next w:val="Sinlista"/>
    <w:semiHidden/>
    <w:rsid w:val="00BF4147"/>
  </w:style>
  <w:style w:type="table" w:customStyle="1" w:styleId="Tablaconcuadrcula685">
    <w:name w:val="Tabla con cuadrícula685"/>
    <w:basedOn w:val="Tablanormal"/>
    <w:next w:val="Tablaconcuadrcula"/>
    <w:rsid w:val="00E75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6">
    <w:name w:val="Tabla con cuadrícula686"/>
    <w:basedOn w:val="Tablanormal"/>
    <w:next w:val="Tablaconcuadrcula"/>
    <w:rsid w:val="00F049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0">
    <w:name w:val="Sin lista480"/>
    <w:next w:val="Sinlista"/>
    <w:semiHidden/>
    <w:rsid w:val="00A24D93"/>
  </w:style>
  <w:style w:type="table" w:customStyle="1" w:styleId="Tablaconcuadrcula687">
    <w:name w:val="Tabla con cuadrícula687"/>
    <w:basedOn w:val="Tablanormal"/>
    <w:next w:val="Tablaconcuadrcula"/>
    <w:rsid w:val="00A24D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4">
    <w:name w:val="Sin lista484"/>
    <w:next w:val="Sinlista"/>
    <w:semiHidden/>
    <w:rsid w:val="00E82932"/>
  </w:style>
  <w:style w:type="table" w:customStyle="1" w:styleId="Tablaconcuadrcula688">
    <w:name w:val="Tabla con cuadrícula688"/>
    <w:basedOn w:val="Tablanormal"/>
    <w:next w:val="Tablaconcuadrcula"/>
    <w:rsid w:val="00E829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9">
    <w:name w:val="Tabla con cuadrícula689"/>
    <w:basedOn w:val="Tablanormal"/>
    <w:next w:val="Tablaconcuadrcula"/>
    <w:rsid w:val="001F6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5">
    <w:name w:val="Sin lista485"/>
    <w:next w:val="Sinlista"/>
    <w:semiHidden/>
    <w:rsid w:val="00D240B6"/>
  </w:style>
  <w:style w:type="table" w:customStyle="1" w:styleId="Tablaconcuadrcula690">
    <w:name w:val="Tabla con cuadrícula690"/>
    <w:basedOn w:val="Tablanormal"/>
    <w:next w:val="Tablaconcuadrcula"/>
    <w:rsid w:val="00090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1">
    <w:name w:val="Tabla con cuadrícula691"/>
    <w:basedOn w:val="Tablanormal"/>
    <w:next w:val="Tablaconcuadrcula"/>
    <w:rsid w:val="00DD14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6">
    <w:name w:val="Sin lista486"/>
    <w:next w:val="Sinlista"/>
    <w:semiHidden/>
    <w:rsid w:val="00893BF5"/>
  </w:style>
  <w:style w:type="table" w:customStyle="1" w:styleId="Tablaconcuadrcula692">
    <w:name w:val="Tabla con cuadrícula692"/>
    <w:basedOn w:val="Tablanormal"/>
    <w:next w:val="Tablaconcuadrcula"/>
    <w:rsid w:val="00893B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text">
    <w:name w:val="articletext"/>
    <w:basedOn w:val="Normal"/>
    <w:uiPriority w:val="99"/>
    <w:rsid w:val="00893BF5"/>
    <w:pPr>
      <w:spacing w:before="100" w:beforeAutospacing="1" w:after="100" w:afterAutospacing="1"/>
    </w:pPr>
    <w:rPr>
      <w:rFonts w:eastAsia="Times New Roman"/>
      <w:lang w:val="es-ES"/>
    </w:rPr>
  </w:style>
  <w:style w:type="table" w:customStyle="1" w:styleId="Tablaconcuadrcula693">
    <w:name w:val="Tabla con cuadrícula693"/>
    <w:basedOn w:val="Tablanormal"/>
    <w:next w:val="Tablaconcuadrcula"/>
    <w:rsid w:val="00807B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7">
    <w:name w:val="Sin lista487"/>
    <w:next w:val="Sinlista"/>
    <w:semiHidden/>
    <w:rsid w:val="00002AE6"/>
  </w:style>
  <w:style w:type="table" w:customStyle="1" w:styleId="Tablaconcuadrcula694">
    <w:name w:val="Tabla con cuadrícula694"/>
    <w:basedOn w:val="Tablanormal"/>
    <w:next w:val="Tablaconcuadrcula"/>
    <w:rsid w:val="00002A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5">
    <w:name w:val="Tabla con cuadrícula695"/>
    <w:basedOn w:val="Tablanormal"/>
    <w:next w:val="Tablaconcuadrcula"/>
    <w:rsid w:val="009F495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8">
    <w:name w:val="Sin lista488"/>
    <w:next w:val="Sinlista"/>
    <w:semiHidden/>
    <w:rsid w:val="00370232"/>
  </w:style>
  <w:style w:type="table" w:customStyle="1" w:styleId="Tablaconcuadrcula696">
    <w:name w:val="Tabla con cuadrícula696"/>
    <w:basedOn w:val="Tablanormal"/>
    <w:next w:val="Tablaconcuadrcula"/>
    <w:rsid w:val="003702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0">
    <w:name w:val="Sin lista1100"/>
    <w:next w:val="Sinlista"/>
    <w:semiHidden/>
    <w:rsid w:val="00370232"/>
  </w:style>
  <w:style w:type="table" w:customStyle="1" w:styleId="Tablaconcuadrcula1107">
    <w:name w:val="Tabla con cuadrícula1107"/>
    <w:basedOn w:val="Tablanormal"/>
    <w:next w:val="Tablaconcuadrcula"/>
    <w:rsid w:val="00370232"/>
    <w:pPr>
      <w:widowControl w:val="0"/>
      <w:autoSpaceDE w:val="0"/>
      <w:autoSpaceDN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9">
    <w:name w:val="Sin lista489"/>
    <w:next w:val="Sinlista"/>
    <w:semiHidden/>
    <w:rsid w:val="002C0288"/>
  </w:style>
  <w:style w:type="numbering" w:customStyle="1" w:styleId="Sinlista490">
    <w:name w:val="Sin lista490"/>
    <w:next w:val="Sinlista"/>
    <w:semiHidden/>
    <w:rsid w:val="00E80795"/>
  </w:style>
  <w:style w:type="table" w:customStyle="1" w:styleId="Tablaconcuadrcula697">
    <w:name w:val="Tabla con cuadrícula697"/>
    <w:basedOn w:val="Tablanormal"/>
    <w:next w:val="Tablaconcuadrcula"/>
    <w:rsid w:val="00E80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8">
    <w:name w:val="Tabla con cuadrícula698"/>
    <w:basedOn w:val="Tablanormal"/>
    <w:next w:val="Tablaconcuadrcula"/>
    <w:rsid w:val="004864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9">
    <w:name w:val="Tabla con cuadrícula699"/>
    <w:basedOn w:val="Tablanormal"/>
    <w:next w:val="Tablaconcuadrcula"/>
    <w:rsid w:val="004A081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4">
    <w:name w:val="Sin lista494"/>
    <w:next w:val="Sinlista"/>
    <w:semiHidden/>
    <w:rsid w:val="00662C0A"/>
  </w:style>
  <w:style w:type="table" w:customStyle="1" w:styleId="Tablaconcuadrcula700">
    <w:name w:val="Tabla con cuadrícula700"/>
    <w:basedOn w:val="Tablanormal"/>
    <w:next w:val="Tablaconcuadrcula"/>
    <w:rsid w:val="00662C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5">
    <w:name w:val="Sin lista495"/>
    <w:next w:val="Sinlista"/>
    <w:semiHidden/>
    <w:rsid w:val="009A5989"/>
  </w:style>
  <w:style w:type="table" w:customStyle="1" w:styleId="Tablaconcuadrcula701">
    <w:name w:val="Tabla con cuadrícula701"/>
    <w:basedOn w:val="Tablanormal"/>
    <w:next w:val="Tablaconcuadrcula"/>
    <w:rsid w:val="009A59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2">
    <w:name w:val="Tabla con cuadrícula702"/>
    <w:basedOn w:val="Tablanormal"/>
    <w:next w:val="Tablaconcuadrcula"/>
    <w:rsid w:val="00057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3">
    <w:name w:val="Tabla con cuadrícula703"/>
    <w:basedOn w:val="Tablanormal"/>
    <w:next w:val="Tablaconcuadrcula"/>
    <w:rsid w:val="00D655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6">
    <w:name w:val="Sin lista496"/>
    <w:next w:val="Sinlista"/>
    <w:semiHidden/>
    <w:rsid w:val="00005DC2"/>
  </w:style>
  <w:style w:type="numbering" w:customStyle="1" w:styleId="Sinlista497">
    <w:name w:val="Sin lista497"/>
    <w:next w:val="Sinlista"/>
    <w:semiHidden/>
    <w:rsid w:val="0007687F"/>
  </w:style>
  <w:style w:type="table" w:customStyle="1" w:styleId="Tablaconcuadrcula704">
    <w:name w:val="Tabla con cuadrícula704"/>
    <w:basedOn w:val="Tablanormal"/>
    <w:next w:val="Tablaconcuadrcula"/>
    <w:rsid w:val="000768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5">
    <w:name w:val="Tabla con cuadrícula705"/>
    <w:basedOn w:val="Tablanormal"/>
    <w:next w:val="Tablaconcuadrcula"/>
    <w:rsid w:val="003C76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6">
    <w:name w:val="Tabla con cuadrícula706"/>
    <w:basedOn w:val="Tablanormal"/>
    <w:next w:val="Tablaconcuadrcula"/>
    <w:rsid w:val="002C73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8">
    <w:name w:val="Sin lista498"/>
    <w:next w:val="Sinlista"/>
    <w:semiHidden/>
    <w:rsid w:val="00D96587"/>
  </w:style>
  <w:style w:type="character" w:customStyle="1" w:styleId="apple-style-spanfirst-childlast-child">
    <w:name w:val="apple-style-span first-child last-child"/>
    <w:basedOn w:val="Fuentedeprrafopredeter"/>
    <w:rsid w:val="00D96587"/>
  </w:style>
  <w:style w:type="table" w:customStyle="1" w:styleId="Tablaconcuadrcula707">
    <w:name w:val="Tabla con cuadrícula707"/>
    <w:basedOn w:val="Tablanormal"/>
    <w:next w:val="Tablaconcuadrcula"/>
    <w:rsid w:val="00D96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8">
    <w:name w:val="Tabla con cuadrícula708"/>
    <w:basedOn w:val="Tablanormal"/>
    <w:next w:val="Tablaconcuadrcula"/>
    <w:rsid w:val="006E7A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9">
    <w:name w:val="Tabla con cuadrícula709"/>
    <w:basedOn w:val="Tablanormal"/>
    <w:next w:val="Tablaconcuadrcula"/>
    <w:rsid w:val="00ED5C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0">
    <w:name w:val="Tabla con cuadrícula710"/>
    <w:basedOn w:val="Tablanormal"/>
    <w:next w:val="Tablaconcuadrcula"/>
    <w:rsid w:val="004267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next w:val="Tablaconcuadrcula"/>
    <w:rsid w:val="006802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9">
    <w:name w:val="Sin lista499"/>
    <w:next w:val="Sinlista"/>
    <w:semiHidden/>
    <w:rsid w:val="0028454B"/>
  </w:style>
  <w:style w:type="table" w:customStyle="1" w:styleId="Tablaconcuadrcula712">
    <w:name w:val="Tabla con cuadrícula712"/>
    <w:basedOn w:val="Tablanormal"/>
    <w:next w:val="Tablaconcuadrcula"/>
    <w:rsid w:val="00284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3">
    <w:name w:val="Tabla con cuadrícula713"/>
    <w:basedOn w:val="Tablanormal"/>
    <w:next w:val="Tablaconcuadrcula"/>
    <w:rsid w:val="00BE01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0">
    <w:name w:val="Sin lista500"/>
    <w:next w:val="Sinlista"/>
    <w:semiHidden/>
    <w:rsid w:val="006C75F2"/>
  </w:style>
  <w:style w:type="table" w:customStyle="1" w:styleId="Tablaconcuadrcula714">
    <w:name w:val="Tabla con cuadrícula714"/>
    <w:basedOn w:val="Tablanormal"/>
    <w:next w:val="Tablaconcuadrcula"/>
    <w:rsid w:val="006C75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5">
    <w:name w:val="Tabla con cuadrícula715"/>
    <w:basedOn w:val="Tablanormal"/>
    <w:next w:val="Tablaconcuadrcula"/>
    <w:rsid w:val="00077B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6">
    <w:name w:val="Tabla con cuadrícula716"/>
    <w:basedOn w:val="Tablanormal"/>
    <w:next w:val="Tablaconcuadrcula"/>
    <w:rsid w:val="008B44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7">
    <w:name w:val="Tabla con cuadrícula717"/>
    <w:basedOn w:val="Tablanormal"/>
    <w:next w:val="Tablaconcuadrcula"/>
    <w:rsid w:val="00BB0D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8">
    <w:name w:val="Tabla con cuadrícula718"/>
    <w:basedOn w:val="Tablanormal"/>
    <w:next w:val="Tablaconcuadrcula"/>
    <w:rsid w:val="002E6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4">
    <w:name w:val="Sin lista504"/>
    <w:next w:val="Sinlista"/>
    <w:semiHidden/>
    <w:rsid w:val="000D0E0A"/>
  </w:style>
  <w:style w:type="table" w:customStyle="1" w:styleId="Tablaconcuadrcula719">
    <w:name w:val="Tabla con cuadrícula719"/>
    <w:basedOn w:val="Tablanormal"/>
    <w:next w:val="Tablaconcuadrcula"/>
    <w:rsid w:val="000D0E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0">
    <w:name w:val="Tabla con cuadrícula720"/>
    <w:basedOn w:val="Tablanormal"/>
    <w:next w:val="Tablaconcuadrcula"/>
    <w:rsid w:val="0072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next w:val="Tablaconcuadrcula"/>
    <w:rsid w:val="00283B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2">
    <w:name w:val="Tabla con cuadrícula722"/>
    <w:basedOn w:val="Tablanormal"/>
    <w:next w:val="Tablaconcuadrcula"/>
    <w:rsid w:val="00F536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3">
    <w:name w:val="Tabla con cuadrícula723"/>
    <w:basedOn w:val="Tablanormal"/>
    <w:next w:val="Tablaconcuadrcula"/>
    <w:rsid w:val="00FF497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4">
    <w:name w:val="Tabla con cuadrícula724"/>
    <w:basedOn w:val="Tablanormal"/>
    <w:next w:val="Tablaconcuadrcula"/>
    <w:rsid w:val="006B45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5">
    <w:name w:val="Tabla con cuadrícula725"/>
    <w:basedOn w:val="Tablanormal"/>
    <w:next w:val="Tablaconcuadrcula"/>
    <w:rsid w:val="005479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6">
    <w:name w:val="Tabla con cuadrícula726"/>
    <w:basedOn w:val="Tablanormal"/>
    <w:next w:val="Tablaconcuadrcula"/>
    <w:rsid w:val="00E865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5">
    <w:name w:val="Sin lista505"/>
    <w:next w:val="Sinlista"/>
    <w:semiHidden/>
    <w:rsid w:val="002A2A2C"/>
  </w:style>
  <w:style w:type="table" w:customStyle="1" w:styleId="Tablaconcuadrcula727">
    <w:name w:val="Tabla con cuadrícula727"/>
    <w:basedOn w:val="Tablanormal"/>
    <w:next w:val="Tablaconcuadrcula"/>
    <w:rsid w:val="002A2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8">
    <w:name w:val="Tabla con cuadrícula728"/>
    <w:basedOn w:val="Tablanormal"/>
    <w:next w:val="Tablaconcuadrcula"/>
    <w:rsid w:val="00371F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6">
    <w:name w:val="Sin lista506"/>
    <w:next w:val="Sinlista"/>
    <w:semiHidden/>
    <w:rsid w:val="00F9221B"/>
  </w:style>
  <w:style w:type="table" w:customStyle="1" w:styleId="Tablaconcuadrcula729">
    <w:name w:val="Tabla con cuadrícula729"/>
    <w:basedOn w:val="Tablanormal"/>
    <w:next w:val="Tablaconcuadrcula"/>
    <w:rsid w:val="00F9221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0">
    <w:name w:val="Tabla con cuadrícula730"/>
    <w:basedOn w:val="Tablanormal"/>
    <w:next w:val="Tablaconcuadrcula"/>
    <w:rsid w:val="00C536B5"/>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31">
    <w:name w:val="Tabla con cuadrícula731"/>
    <w:basedOn w:val="Tablanormal"/>
    <w:next w:val="Tablaconcuadrcula"/>
    <w:rsid w:val="004C0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2">
    <w:name w:val="Tabla con cuadrícula732"/>
    <w:basedOn w:val="Tablanormal"/>
    <w:next w:val="Tablaconcuadrcula"/>
    <w:rsid w:val="001E1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7">
    <w:name w:val="Sin lista507"/>
    <w:next w:val="Sinlista"/>
    <w:semiHidden/>
    <w:rsid w:val="006B1843"/>
  </w:style>
  <w:style w:type="table" w:customStyle="1" w:styleId="Tablaconcuadrcula733">
    <w:name w:val="Tabla con cuadrícula733"/>
    <w:basedOn w:val="Tablanormal"/>
    <w:next w:val="Tablaconcuadrcula"/>
    <w:rsid w:val="006B18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4">
    <w:name w:val="Tabla con cuadrícula734"/>
    <w:basedOn w:val="Tablanormal"/>
    <w:next w:val="Tablaconcuadrcula"/>
    <w:rsid w:val="009926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5">
    <w:name w:val="Tabla con cuadrícula735"/>
    <w:basedOn w:val="Tablanormal"/>
    <w:next w:val="Tablaconcuadrcula"/>
    <w:rsid w:val="008E2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8">
    <w:name w:val="Sin lista508"/>
    <w:next w:val="Sinlista"/>
    <w:semiHidden/>
    <w:rsid w:val="00C00E5A"/>
  </w:style>
  <w:style w:type="table" w:customStyle="1" w:styleId="Tablaconcuadrcula736">
    <w:name w:val="Tabla con cuadrícula736"/>
    <w:basedOn w:val="Tablanormal"/>
    <w:next w:val="Tablaconcuadrcula"/>
    <w:rsid w:val="00C00E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7">
    <w:name w:val="Tabla con cuadrícula737"/>
    <w:basedOn w:val="Tablanormal"/>
    <w:next w:val="Tablaconcuadrcula"/>
    <w:rsid w:val="00AF15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9">
    <w:name w:val="Sin lista509"/>
    <w:next w:val="Sinlista"/>
    <w:semiHidden/>
    <w:rsid w:val="00E278C4"/>
  </w:style>
  <w:style w:type="character" w:customStyle="1" w:styleId="ROMANOSCar">
    <w:name w:val="ROMANOS Car"/>
    <w:link w:val="ROMANOS"/>
    <w:locked/>
    <w:rsid w:val="00E278C4"/>
    <w:rPr>
      <w:rFonts w:ascii="Arial" w:eastAsia="SimSun" w:hAnsi="Arial" w:cs="Arial"/>
      <w:sz w:val="18"/>
      <w:szCs w:val="18"/>
      <w:lang w:val="es-MX" w:eastAsia="es-MX" w:bidi="ar-SA"/>
    </w:rPr>
  </w:style>
  <w:style w:type="character" w:customStyle="1" w:styleId="ANOTACIONCar">
    <w:name w:val="ANOTACION Car"/>
    <w:link w:val="ANOTACION"/>
    <w:locked/>
    <w:rsid w:val="00E278C4"/>
    <w:rPr>
      <w:rFonts w:eastAsia="SimSun"/>
      <w:b/>
      <w:sz w:val="18"/>
      <w:szCs w:val="18"/>
      <w:lang w:val="es-MX" w:eastAsia="es-MX" w:bidi="ar-SA"/>
    </w:rPr>
  </w:style>
  <w:style w:type="paragraph" w:customStyle="1" w:styleId="Sangra2detindependiente1">
    <w:name w:val="Sangría 2 de t. independiente1"/>
    <w:basedOn w:val="Normal"/>
    <w:uiPriority w:val="99"/>
    <w:rsid w:val="00E278C4"/>
    <w:pPr>
      <w:ind w:left="3969"/>
      <w:jc w:val="both"/>
    </w:pPr>
    <w:rPr>
      <w:rFonts w:ascii="Arial" w:eastAsia="Times New Roman" w:hAnsi="Arial" w:cs="Arial"/>
      <w:sz w:val="20"/>
      <w:szCs w:val="20"/>
      <w:lang w:val="es-ES" w:eastAsia="es-MX"/>
    </w:rPr>
  </w:style>
  <w:style w:type="paragraph" w:customStyle="1" w:styleId="Textodeglobo1">
    <w:name w:val="Texto de globo1"/>
    <w:basedOn w:val="Normal"/>
    <w:uiPriority w:val="99"/>
    <w:rsid w:val="00E278C4"/>
    <w:rPr>
      <w:rFonts w:ascii="Tahoma" w:eastAsia="Times New Roman" w:hAnsi="Tahoma" w:cs="Tahoma"/>
      <w:sz w:val="16"/>
      <w:szCs w:val="20"/>
      <w:lang w:val="es-ES" w:eastAsia="es-MX"/>
    </w:rPr>
  </w:style>
  <w:style w:type="paragraph" w:customStyle="1" w:styleId="ColorfulShadingAccent">
    <w:name w:val="Colorful Shading Accent"/>
    <w:uiPriority w:val="99"/>
    <w:rsid w:val="00E278C4"/>
    <w:rPr>
      <w:rFonts w:eastAsia="Times New Roman"/>
      <w:lang w:val="es-ES"/>
    </w:rPr>
  </w:style>
  <w:style w:type="paragraph" w:customStyle="1" w:styleId="xl110">
    <w:name w:val="xl110"/>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11">
    <w:name w:val="xl111"/>
    <w:basedOn w:val="Normal"/>
    <w:uiPriority w:val="99"/>
    <w:rsid w:val="00E278C4"/>
    <w:pPr>
      <w:shd w:val="clear" w:color="000000" w:fill="FFFFFF"/>
      <w:spacing w:before="100" w:after="100"/>
    </w:pPr>
    <w:rPr>
      <w:rFonts w:eastAsia="Times New Roman"/>
      <w:szCs w:val="20"/>
      <w:lang w:eastAsia="es-MX"/>
    </w:rPr>
  </w:style>
  <w:style w:type="paragraph" w:customStyle="1" w:styleId="xl112">
    <w:name w:val="xl112"/>
    <w:basedOn w:val="Normal"/>
    <w:uiPriority w:val="99"/>
    <w:rsid w:val="00E278C4"/>
    <w:pPr>
      <w:shd w:val="clear" w:color="000000" w:fill="FFFFFF"/>
      <w:spacing w:before="100" w:after="100"/>
      <w:jc w:val="center"/>
    </w:pPr>
    <w:rPr>
      <w:rFonts w:eastAsia="Times New Roman"/>
      <w:szCs w:val="20"/>
      <w:lang w:eastAsia="es-MX"/>
    </w:rPr>
  </w:style>
  <w:style w:type="paragraph" w:customStyle="1" w:styleId="xl113">
    <w:name w:val="xl113"/>
    <w:basedOn w:val="Normal"/>
    <w:uiPriority w:val="99"/>
    <w:rsid w:val="00E278C4"/>
    <w:pPr>
      <w:shd w:val="clear" w:color="000000" w:fill="FFFFFF"/>
      <w:spacing w:before="100" w:after="100"/>
    </w:pPr>
    <w:rPr>
      <w:rFonts w:eastAsia="Times New Roman"/>
      <w:szCs w:val="20"/>
      <w:lang w:eastAsia="es-MX"/>
    </w:rPr>
  </w:style>
  <w:style w:type="paragraph" w:customStyle="1" w:styleId="xl115">
    <w:name w:val="xl115"/>
    <w:basedOn w:val="Normal"/>
    <w:uiPriority w:val="99"/>
    <w:rsid w:val="00E278C4"/>
    <w:pPr>
      <w:shd w:val="clear" w:color="000000" w:fill="FFFFFF"/>
      <w:spacing w:before="100" w:after="100"/>
    </w:pPr>
    <w:rPr>
      <w:rFonts w:ascii="Arial" w:eastAsia="Times New Roman" w:hAnsi="Arial" w:cs="Arial"/>
      <w:color w:val="FFFFFF"/>
      <w:szCs w:val="20"/>
      <w:lang w:eastAsia="es-MX"/>
    </w:rPr>
  </w:style>
  <w:style w:type="paragraph" w:customStyle="1" w:styleId="xl116">
    <w:name w:val="xl116"/>
    <w:basedOn w:val="Normal"/>
    <w:uiPriority w:val="99"/>
    <w:rsid w:val="00E278C4"/>
    <w:pPr>
      <w:shd w:val="clear" w:color="000000" w:fill="FFFFFF"/>
      <w:spacing w:before="100" w:after="100"/>
      <w:jc w:val="right"/>
    </w:pPr>
    <w:rPr>
      <w:rFonts w:ascii="Arial" w:eastAsia="Times New Roman" w:hAnsi="Arial" w:cs="Arial"/>
      <w:color w:val="0000FF"/>
      <w:szCs w:val="20"/>
      <w:lang w:eastAsia="es-MX"/>
    </w:rPr>
  </w:style>
  <w:style w:type="paragraph" w:customStyle="1" w:styleId="xl117">
    <w:name w:val="xl117"/>
    <w:basedOn w:val="Normal"/>
    <w:uiPriority w:val="99"/>
    <w:rsid w:val="00E278C4"/>
    <w:pPr>
      <w:shd w:val="clear" w:color="000000" w:fill="FFFFFF"/>
      <w:spacing w:before="100" w:after="100"/>
    </w:pPr>
    <w:rPr>
      <w:rFonts w:ascii="Arial" w:eastAsia="Times New Roman" w:hAnsi="Arial" w:cs="Arial"/>
      <w:color w:val="0000FF"/>
      <w:szCs w:val="20"/>
      <w:lang w:eastAsia="es-MX"/>
    </w:rPr>
  </w:style>
  <w:style w:type="paragraph" w:customStyle="1" w:styleId="xl118">
    <w:name w:val="xl118"/>
    <w:basedOn w:val="Normal"/>
    <w:uiPriority w:val="99"/>
    <w:rsid w:val="00E278C4"/>
    <w:pPr>
      <w:shd w:val="clear" w:color="000000" w:fill="FFFFFF"/>
      <w:spacing w:before="100" w:after="100"/>
      <w:jc w:val="center"/>
    </w:pPr>
    <w:rPr>
      <w:rFonts w:ascii="Arial" w:eastAsia="Times New Roman" w:hAnsi="Arial" w:cs="Arial"/>
      <w:color w:val="0000FF"/>
      <w:szCs w:val="20"/>
      <w:lang w:eastAsia="es-MX"/>
    </w:rPr>
  </w:style>
  <w:style w:type="paragraph" w:customStyle="1" w:styleId="xl119">
    <w:name w:val="xl119"/>
    <w:basedOn w:val="Normal"/>
    <w:uiPriority w:val="99"/>
    <w:rsid w:val="00E278C4"/>
    <w:pPr>
      <w:shd w:val="clear" w:color="000000" w:fill="FFFFFF"/>
      <w:spacing w:before="100" w:after="100"/>
      <w:jc w:val="center"/>
    </w:pPr>
    <w:rPr>
      <w:rFonts w:ascii="Arial" w:eastAsia="Times New Roman" w:hAnsi="Arial" w:cs="Arial"/>
      <w:b/>
      <w:sz w:val="22"/>
      <w:szCs w:val="20"/>
      <w:lang w:eastAsia="es-MX"/>
    </w:rPr>
  </w:style>
  <w:style w:type="paragraph" w:customStyle="1" w:styleId="xl120">
    <w:name w:val="xl120"/>
    <w:basedOn w:val="Normal"/>
    <w:uiPriority w:val="99"/>
    <w:rsid w:val="00E278C4"/>
    <w:pPr>
      <w:shd w:val="clear" w:color="000000" w:fill="FFFFFF"/>
      <w:spacing w:before="100" w:after="100"/>
    </w:pPr>
    <w:rPr>
      <w:rFonts w:ascii="Arial MT" w:eastAsia="Times New Roman" w:hAnsi="Arial MT" w:cs="Arial MT"/>
      <w:b/>
      <w:szCs w:val="20"/>
      <w:lang w:eastAsia="es-MX"/>
    </w:rPr>
  </w:style>
  <w:style w:type="paragraph" w:customStyle="1" w:styleId="xl121">
    <w:name w:val="xl121"/>
    <w:basedOn w:val="Normal"/>
    <w:uiPriority w:val="99"/>
    <w:rsid w:val="00E278C4"/>
    <w:pPr>
      <w:pBdr>
        <w:bottom w:val="single" w:sz="6" w:space="0" w:color="auto"/>
      </w:pBdr>
      <w:shd w:val="clear" w:color="000000" w:fill="FFFFFF"/>
      <w:spacing w:before="100" w:after="100"/>
    </w:pPr>
    <w:rPr>
      <w:rFonts w:ascii="Arial" w:eastAsia="Times New Roman" w:hAnsi="Arial" w:cs="Arial"/>
      <w:b/>
      <w:szCs w:val="20"/>
      <w:lang w:eastAsia="es-MX"/>
    </w:rPr>
  </w:style>
  <w:style w:type="paragraph" w:customStyle="1" w:styleId="xl122">
    <w:name w:val="xl122"/>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3">
    <w:name w:val="xl123"/>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 w:val="18"/>
      <w:szCs w:val="20"/>
      <w:lang w:eastAsia="es-MX"/>
    </w:rPr>
  </w:style>
  <w:style w:type="paragraph" w:customStyle="1" w:styleId="xl124">
    <w:name w:val="xl124"/>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5">
    <w:name w:val="xl125"/>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6">
    <w:name w:val="xl126"/>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7">
    <w:name w:val="xl127"/>
    <w:basedOn w:val="Normal"/>
    <w:uiPriority w:val="99"/>
    <w:rsid w:val="00E278C4"/>
    <w:pPr>
      <w:shd w:val="clear" w:color="000000" w:fill="FFFFFF"/>
      <w:spacing w:before="100" w:after="100"/>
    </w:pPr>
    <w:rPr>
      <w:rFonts w:eastAsia="Times New Roman"/>
      <w:szCs w:val="20"/>
      <w:lang w:eastAsia="es-MX"/>
    </w:rPr>
  </w:style>
  <w:style w:type="paragraph" w:customStyle="1" w:styleId="xl129">
    <w:name w:val="xl129"/>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0">
    <w:name w:val="xl130"/>
    <w:basedOn w:val="Normal"/>
    <w:uiPriority w:val="99"/>
    <w:rsid w:val="00E278C4"/>
    <w:pPr>
      <w:shd w:val="clear" w:color="000000" w:fill="FFFFFF"/>
      <w:spacing w:before="100" w:after="100"/>
    </w:pPr>
    <w:rPr>
      <w:rFonts w:ascii="Arial" w:eastAsia="Times New Roman" w:hAnsi="Arial" w:cs="Arial"/>
      <w:szCs w:val="20"/>
      <w:lang w:eastAsia="es-MX"/>
    </w:rPr>
  </w:style>
  <w:style w:type="paragraph" w:customStyle="1" w:styleId="xl131">
    <w:name w:val="xl131"/>
    <w:basedOn w:val="Normal"/>
    <w:uiPriority w:val="99"/>
    <w:rsid w:val="00E278C4"/>
    <w:pPr>
      <w:shd w:val="clear" w:color="000000" w:fill="FFFFFF"/>
      <w:spacing w:before="100" w:after="100"/>
      <w:jc w:val="center"/>
    </w:pPr>
    <w:rPr>
      <w:rFonts w:ascii="Arial" w:eastAsia="Times New Roman" w:hAnsi="Arial" w:cs="Arial"/>
      <w:color w:val="FFFFFF"/>
      <w:szCs w:val="20"/>
      <w:lang w:eastAsia="es-MX"/>
    </w:rPr>
  </w:style>
  <w:style w:type="paragraph" w:customStyle="1" w:styleId="xl132">
    <w:name w:val="xl132"/>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33">
    <w:name w:val="xl133"/>
    <w:basedOn w:val="Normal"/>
    <w:uiPriority w:val="99"/>
    <w:rsid w:val="00E278C4"/>
    <w:pPr>
      <w:shd w:val="clear" w:color="000000" w:fill="FFFFFF"/>
      <w:spacing w:before="100" w:after="100"/>
    </w:pPr>
    <w:rPr>
      <w:rFonts w:eastAsia="Times New Roman"/>
      <w:szCs w:val="20"/>
      <w:lang w:eastAsia="es-MX"/>
    </w:rPr>
  </w:style>
  <w:style w:type="paragraph" w:customStyle="1" w:styleId="xl134">
    <w:name w:val="xl134"/>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5">
    <w:name w:val="xl135"/>
    <w:basedOn w:val="Normal"/>
    <w:uiPriority w:val="99"/>
    <w:rsid w:val="00E278C4"/>
    <w:pPr>
      <w:pBdr>
        <w:bottom w:val="single" w:sz="6" w:space="0" w:color="auto"/>
      </w:pBdr>
      <w:shd w:val="clear" w:color="000000" w:fill="FFFFFF"/>
      <w:spacing w:before="100" w:after="100"/>
      <w:jc w:val="right"/>
    </w:pPr>
    <w:rPr>
      <w:rFonts w:ascii="Arial" w:eastAsia="Times New Roman" w:hAnsi="Arial" w:cs="Arial"/>
      <w:b/>
      <w:szCs w:val="20"/>
      <w:lang w:eastAsia="es-MX"/>
    </w:rPr>
  </w:style>
  <w:style w:type="paragraph" w:customStyle="1" w:styleId="xl136">
    <w:name w:val="xl136"/>
    <w:basedOn w:val="Normal"/>
    <w:uiPriority w:val="99"/>
    <w:rsid w:val="00E278C4"/>
    <w:pPr>
      <w:shd w:val="clear" w:color="000000" w:fill="FFFFFF"/>
      <w:spacing w:before="100" w:after="100"/>
      <w:jc w:val="center"/>
    </w:pPr>
    <w:rPr>
      <w:rFonts w:ascii="Arial" w:eastAsia="Times New Roman" w:hAnsi="Arial" w:cs="Arial"/>
      <w:b/>
      <w:color w:val="0000FF"/>
      <w:szCs w:val="20"/>
      <w:lang w:eastAsia="es-MX"/>
    </w:rPr>
  </w:style>
  <w:style w:type="paragraph" w:customStyle="1" w:styleId="xl137">
    <w:name w:val="xl137"/>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8">
    <w:name w:val="xl138"/>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9">
    <w:name w:val="xl139"/>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Mapadeldocumento1">
    <w:name w:val="Mapa del documento1"/>
    <w:basedOn w:val="Normal"/>
    <w:uiPriority w:val="99"/>
    <w:rsid w:val="00E278C4"/>
    <w:pPr>
      <w:shd w:val="clear" w:color="auto" w:fill="000080"/>
    </w:pPr>
    <w:rPr>
      <w:rFonts w:ascii="Tahoma" w:eastAsia="Times New Roman" w:hAnsi="Tahoma" w:cs="Tahoma"/>
      <w:sz w:val="20"/>
      <w:szCs w:val="20"/>
      <w:lang w:eastAsia="es-MX"/>
    </w:rPr>
  </w:style>
  <w:style w:type="paragraph" w:customStyle="1" w:styleId="EstilotextoPrimeral">
    <w:name w:val="Estilo texto + Primera l"/>
    <w:basedOn w:val="texto0"/>
    <w:uiPriority w:val="99"/>
    <w:rsid w:val="00E278C4"/>
    <w:pPr>
      <w:autoSpaceDE/>
      <w:autoSpaceDN/>
      <w:spacing w:after="101" w:line="216" w:lineRule="exact"/>
      <w:ind w:right="0"/>
    </w:pPr>
    <w:rPr>
      <w:rFonts w:ascii="Arial" w:eastAsia="Times New Roman" w:hAnsi="Arial" w:cs="Arial"/>
      <w:sz w:val="18"/>
      <w:szCs w:val="20"/>
      <w:lang w:val="es-MX" w:eastAsia="es-MX"/>
    </w:rPr>
  </w:style>
  <w:style w:type="paragraph" w:customStyle="1" w:styleId="Listavistosa-nfasis11">
    <w:name w:val="Lista vistosa - Énfasis 11"/>
    <w:basedOn w:val="Normal"/>
    <w:uiPriority w:val="99"/>
    <w:rsid w:val="00E278C4"/>
    <w:pPr>
      <w:spacing w:after="200" w:line="276" w:lineRule="atLeast"/>
      <w:ind w:left="720"/>
    </w:pPr>
    <w:rPr>
      <w:rFonts w:ascii="Calibri" w:eastAsia="Times New Roman" w:hAnsi="Calibri" w:cs="Calibri"/>
      <w:sz w:val="22"/>
      <w:szCs w:val="20"/>
      <w:lang w:val="es-ES" w:eastAsia="es-MX"/>
    </w:rPr>
  </w:style>
  <w:style w:type="numbering" w:customStyle="1" w:styleId="Sinlista516">
    <w:name w:val="Sin lista516"/>
    <w:next w:val="Sinlista"/>
    <w:semiHidden/>
    <w:rsid w:val="0099726E"/>
  </w:style>
  <w:style w:type="table" w:customStyle="1" w:styleId="Tablaconcuadrcula738">
    <w:name w:val="Tabla con cuadrícula738"/>
    <w:basedOn w:val="Tablanormal"/>
    <w:next w:val="Tablaconcuadrcula"/>
    <w:rsid w:val="009972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9">
    <w:name w:val="Tabla con cuadrícula739"/>
    <w:basedOn w:val="Tablanormal"/>
    <w:next w:val="Tablaconcuadrcula"/>
    <w:rsid w:val="00C13F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7">
    <w:name w:val="Sin lista517"/>
    <w:next w:val="Sinlista"/>
    <w:semiHidden/>
    <w:rsid w:val="00841BAF"/>
  </w:style>
  <w:style w:type="table" w:customStyle="1" w:styleId="Tablaconcuadrcula740">
    <w:name w:val="Tabla con cuadrícula740"/>
    <w:basedOn w:val="Tablanormal"/>
    <w:next w:val="Tablaconcuadrcula"/>
    <w:rsid w:val="00841B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7">
    <w:name w:val="Tabla con cuadrícula747"/>
    <w:basedOn w:val="Tablanormal"/>
    <w:next w:val="Tablaconcuadrcula"/>
    <w:rsid w:val="002A6C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2">
    <w:name w:val="Tabla con cuadrícula742"/>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8">
    <w:name w:val="Sin lista518"/>
    <w:next w:val="Sinlista"/>
    <w:semiHidden/>
    <w:rsid w:val="006C5CE6"/>
  </w:style>
  <w:style w:type="numbering" w:customStyle="1" w:styleId="Sinlista519">
    <w:name w:val="Sin lista519"/>
    <w:next w:val="Sinlista"/>
    <w:semiHidden/>
    <w:rsid w:val="006C5CE6"/>
  </w:style>
  <w:style w:type="table" w:customStyle="1" w:styleId="Tablaconcuadrcula743">
    <w:name w:val="Tabla con cuadrícula743"/>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0">
    <w:name w:val="Sin lista520"/>
    <w:next w:val="Sinlista"/>
    <w:semiHidden/>
    <w:rsid w:val="006C5CE6"/>
  </w:style>
  <w:style w:type="table" w:customStyle="1" w:styleId="Tablaconcuadrcula744">
    <w:name w:val="Tabla con cuadrícula744"/>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4">
    <w:name w:val="Sin lista524"/>
    <w:next w:val="Sinlista"/>
    <w:semiHidden/>
    <w:rsid w:val="006C5CE6"/>
  </w:style>
  <w:style w:type="table" w:customStyle="1" w:styleId="Tablaconcuadrcula745">
    <w:name w:val="Tabla con cuadrícula745"/>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5">
    <w:name w:val="Sin lista525"/>
    <w:next w:val="Sinlista"/>
    <w:semiHidden/>
    <w:rsid w:val="006C5CE6"/>
  </w:style>
  <w:style w:type="table" w:customStyle="1" w:styleId="Tablaconcuadrcula746">
    <w:name w:val="Tabla con cuadrícula746"/>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6">
    <w:name w:val="Sin lista526"/>
    <w:next w:val="Sinlista"/>
    <w:semiHidden/>
    <w:rsid w:val="006C5CE6"/>
  </w:style>
  <w:style w:type="numbering" w:customStyle="1" w:styleId="Sinlista527">
    <w:name w:val="Sin lista527"/>
    <w:next w:val="Sinlista"/>
    <w:semiHidden/>
    <w:rsid w:val="009E4D95"/>
  </w:style>
  <w:style w:type="table" w:customStyle="1" w:styleId="Tablaconcuadrcula748">
    <w:name w:val="Tabla con cuadrícula748"/>
    <w:basedOn w:val="Tablanormal"/>
    <w:next w:val="Tablaconcuadrcula"/>
    <w:rsid w:val="004A2D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9">
    <w:name w:val="Tabla con cuadrícula749"/>
    <w:basedOn w:val="Tablanormal"/>
    <w:next w:val="Tablaconcuadrcula"/>
    <w:rsid w:val="00716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0">
    <w:name w:val="Tabla con cuadrícula750"/>
    <w:basedOn w:val="Tablanormal"/>
    <w:next w:val="Tablaconcuadrcula"/>
    <w:rsid w:val="004D39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
    <w:name w:val="Tabla con cuadrícula751"/>
    <w:basedOn w:val="Tablanormal"/>
    <w:next w:val="Tablaconcuadrcula"/>
    <w:rsid w:val="008662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2">
    <w:name w:val="Tabla con cuadrícula752"/>
    <w:basedOn w:val="Tablanormal"/>
    <w:next w:val="Tablaconcuadrcula"/>
    <w:rsid w:val="00AA73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3">
    <w:name w:val="Tabla con cuadrícula753"/>
    <w:basedOn w:val="Tablanormal"/>
    <w:next w:val="Tablaconcuadrcula"/>
    <w:rsid w:val="00430E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4">
    <w:name w:val="Tabla con cuadrícula754"/>
    <w:basedOn w:val="Tablanormal"/>
    <w:next w:val="Tablaconcuadrcula"/>
    <w:rsid w:val="007F64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5">
    <w:name w:val="Tabla con cuadrícula755"/>
    <w:basedOn w:val="Tablanormal"/>
    <w:next w:val="Tablaconcuadrcula"/>
    <w:rsid w:val="003460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8">
    <w:name w:val="Sin lista528"/>
    <w:next w:val="Sinlista"/>
    <w:semiHidden/>
    <w:rsid w:val="00FA45E2"/>
  </w:style>
  <w:style w:type="table" w:customStyle="1" w:styleId="Tablaconcuadrcula756">
    <w:name w:val="Tabla con cuadrícula756"/>
    <w:basedOn w:val="Tablanormal"/>
    <w:next w:val="Tablaconcuadrcula"/>
    <w:rsid w:val="00FA45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9">
    <w:name w:val="Sin lista529"/>
    <w:next w:val="Sinlista"/>
    <w:semiHidden/>
    <w:rsid w:val="00E515DF"/>
  </w:style>
  <w:style w:type="character" w:customStyle="1" w:styleId="hps">
    <w:name w:val="hps"/>
    <w:basedOn w:val="Fuentedeprrafopredeter"/>
    <w:rsid w:val="00E515DF"/>
  </w:style>
  <w:style w:type="character" w:customStyle="1" w:styleId="hpsatn">
    <w:name w:val="hps atn"/>
    <w:basedOn w:val="Fuentedeprrafopredeter"/>
    <w:rsid w:val="00E515DF"/>
  </w:style>
  <w:style w:type="numbering" w:customStyle="1" w:styleId="Sinlista530">
    <w:name w:val="Sin lista530"/>
    <w:next w:val="Sinlista"/>
    <w:semiHidden/>
    <w:rsid w:val="00F1490C"/>
  </w:style>
  <w:style w:type="table" w:customStyle="1" w:styleId="Tablaconcuadrcula757">
    <w:name w:val="Tabla con cuadrícula757"/>
    <w:basedOn w:val="Tablanormal"/>
    <w:next w:val="Tablaconcuadrcula"/>
    <w:rsid w:val="00F14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4">
    <w:name w:val="Sin lista534"/>
    <w:next w:val="Sinlista"/>
    <w:semiHidden/>
    <w:rsid w:val="00532686"/>
  </w:style>
  <w:style w:type="table" w:customStyle="1" w:styleId="Tablaconcuadrcula758">
    <w:name w:val="Tabla con cuadrícula758"/>
    <w:basedOn w:val="Tablanormal"/>
    <w:next w:val="Tablaconcuadrcula"/>
    <w:rsid w:val="005326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9">
    <w:name w:val="Tabla con cuadrícula759"/>
    <w:basedOn w:val="Tablanormal"/>
    <w:next w:val="Tablaconcuadrcula"/>
    <w:rsid w:val="007D72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0">
    <w:name w:val="Tabla con cuadrícula760"/>
    <w:basedOn w:val="Tablanormal"/>
    <w:next w:val="Tablaconcuadrcula"/>
    <w:rsid w:val="000E5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1">
    <w:name w:val="Tabla con cuadrícula761"/>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2">
    <w:name w:val="Tabla con cuadrícula762"/>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5">
    <w:name w:val="Sin lista535"/>
    <w:next w:val="Sinlista"/>
    <w:semiHidden/>
    <w:rsid w:val="00A57FF7"/>
  </w:style>
  <w:style w:type="numbering" w:customStyle="1" w:styleId="Sinlista536">
    <w:name w:val="Sin lista536"/>
    <w:next w:val="Sinlista"/>
    <w:semiHidden/>
    <w:rsid w:val="00C67639"/>
  </w:style>
  <w:style w:type="table" w:customStyle="1" w:styleId="Tablaconcuadrcula763">
    <w:name w:val="Tabla con cuadrícula763"/>
    <w:basedOn w:val="Tablanormal"/>
    <w:next w:val="Tablaconcuadrcula"/>
    <w:rsid w:val="00C676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7">
    <w:name w:val="Sin lista537"/>
    <w:next w:val="Sinlista"/>
    <w:semiHidden/>
    <w:rsid w:val="002B6117"/>
  </w:style>
  <w:style w:type="table" w:customStyle="1" w:styleId="Tablaconcuadrcula764">
    <w:name w:val="Tabla con cuadrícula764"/>
    <w:basedOn w:val="Tablanormal"/>
    <w:next w:val="Tablaconcuadrcula"/>
    <w:rsid w:val="00BF7C6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38">
    <w:name w:val="Sin lista538"/>
    <w:next w:val="Sinlista"/>
    <w:semiHidden/>
    <w:rsid w:val="00211834"/>
  </w:style>
  <w:style w:type="table" w:customStyle="1" w:styleId="Tablaconcuadrcula765">
    <w:name w:val="Tabla con cuadrícula765"/>
    <w:basedOn w:val="Tablanormal"/>
    <w:next w:val="Tablaconcuadrcula"/>
    <w:rsid w:val="00211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9">
    <w:name w:val="Sin lista539"/>
    <w:next w:val="Sinlista"/>
    <w:semiHidden/>
    <w:rsid w:val="000F3AE2"/>
  </w:style>
  <w:style w:type="table" w:customStyle="1" w:styleId="Tablaconcuadrcula766">
    <w:name w:val="Tabla con cuadrícula766"/>
    <w:basedOn w:val="Tablanormal"/>
    <w:next w:val="Tablaconcuadrcula"/>
    <w:rsid w:val="000F3A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0">
    <w:name w:val="Sin lista540"/>
    <w:next w:val="Sinlista"/>
    <w:semiHidden/>
    <w:rsid w:val="000F5384"/>
  </w:style>
  <w:style w:type="table" w:customStyle="1" w:styleId="Tablaconcuadrcula767">
    <w:name w:val="Tabla con cuadrícula767"/>
    <w:basedOn w:val="Tablanormal"/>
    <w:next w:val="Tablaconcuadrcula"/>
    <w:rsid w:val="000F53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4">
    <w:name w:val="Sin lista544"/>
    <w:next w:val="Sinlista"/>
    <w:semiHidden/>
    <w:rsid w:val="00886718"/>
  </w:style>
  <w:style w:type="table" w:customStyle="1" w:styleId="Tablaconcuadrcula768">
    <w:name w:val="Tabla con cuadrícula768"/>
    <w:basedOn w:val="Tablanormal"/>
    <w:next w:val="Tablaconcuadrcula"/>
    <w:rsid w:val="008867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9">
    <w:name w:val="Tabla con cuadrícula769"/>
    <w:basedOn w:val="Tablanormal"/>
    <w:next w:val="Tablaconcuadrcula"/>
    <w:rsid w:val="00005B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0">
    <w:name w:val="Tabla con cuadrícula770"/>
    <w:basedOn w:val="Tablanormal"/>
    <w:next w:val="Tablaconcuadrcula"/>
    <w:rsid w:val="009227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5">
    <w:name w:val="Sin lista545"/>
    <w:next w:val="Sinlista"/>
    <w:semiHidden/>
    <w:rsid w:val="005C0CFA"/>
  </w:style>
  <w:style w:type="table" w:customStyle="1" w:styleId="Tablaconcuadrcula771">
    <w:name w:val="Tabla con cuadrícula771"/>
    <w:basedOn w:val="Tablanormal"/>
    <w:next w:val="Tablaconcuadrcula"/>
    <w:rsid w:val="005C0C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6">
    <w:name w:val="Sin lista546"/>
    <w:next w:val="Sinlista"/>
    <w:semiHidden/>
    <w:rsid w:val="00023E48"/>
  </w:style>
  <w:style w:type="table" w:customStyle="1" w:styleId="Tablaconcuadrcula772">
    <w:name w:val="Tabla con cuadrícula772"/>
    <w:basedOn w:val="Tablanormal"/>
    <w:next w:val="Tablaconcuadrcula"/>
    <w:rsid w:val="00023E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7">
    <w:name w:val="Sin lista547"/>
    <w:next w:val="Sinlista"/>
    <w:semiHidden/>
    <w:rsid w:val="00DF5E01"/>
  </w:style>
  <w:style w:type="table" w:customStyle="1" w:styleId="Tablaconcuadrcula773">
    <w:name w:val="Tabla con cuadrícula773"/>
    <w:basedOn w:val="Tablanormal"/>
    <w:next w:val="Tablaconcuadrcula"/>
    <w:rsid w:val="00DF5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8">
    <w:name w:val="Sin lista548"/>
    <w:next w:val="Sinlista"/>
    <w:semiHidden/>
    <w:rsid w:val="00EF45DE"/>
  </w:style>
  <w:style w:type="table" w:customStyle="1" w:styleId="Tablaconcuadrcula774">
    <w:name w:val="Tabla con cuadrícula774"/>
    <w:basedOn w:val="Tablanormal"/>
    <w:next w:val="Tablaconcuadrcula"/>
    <w:rsid w:val="00EF3C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5">
    <w:name w:val="Tabla con cuadrícula775"/>
    <w:basedOn w:val="Tablanormal"/>
    <w:next w:val="Tablaconcuadrcula"/>
    <w:rsid w:val="00767FC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9">
    <w:name w:val="Sin lista549"/>
    <w:next w:val="Sinlista"/>
    <w:semiHidden/>
    <w:rsid w:val="009A1F9F"/>
  </w:style>
  <w:style w:type="table" w:customStyle="1" w:styleId="Tablaconcuadrcula776">
    <w:name w:val="Tabla con cuadrícula776"/>
    <w:basedOn w:val="Tablanormal"/>
    <w:next w:val="Tablaconcuadrcula"/>
    <w:rsid w:val="009A1F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7">
    <w:name w:val="Tabla con cuadrícula777"/>
    <w:basedOn w:val="Tablanormal"/>
    <w:next w:val="Tablaconcuadrcula"/>
    <w:rsid w:val="007E42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0">
    <w:name w:val="Sin lista550"/>
    <w:next w:val="Sinlista"/>
    <w:semiHidden/>
    <w:rsid w:val="00D978BD"/>
  </w:style>
  <w:style w:type="table" w:customStyle="1" w:styleId="Tablaconcuadrcula778">
    <w:name w:val="Tabla con cuadrícula778"/>
    <w:basedOn w:val="Tablanormal"/>
    <w:next w:val="Tablaconcuadrcula"/>
    <w:rsid w:val="00D978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9">
    <w:name w:val="Tabla con cuadrícula779"/>
    <w:basedOn w:val="Tablanormal"/>
    <w:next w:val="Tablaconcuadrcula"/>
    <w:uiPriority w:val="59"/>
    <w:rsid w:val="00D968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0">
    <w:name w:val="Tabla con cuadrícula780"/>
    <w:basedOn w:val="Tablanormal"/>
    <w:next w:val="Tablaconcuadrcula"/>
    <w:rsid w:val="00785C6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1">
    <w:name w:val="Tabla con cuadrícula781"/>
    <w:basedOn w:val="Tablanormal"/>
    <w:next w:val="Tablaconcuadrcula"/>
    <w:rsid w:val="00EE14F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4">
    <w:name w:val="Sin lista554"/>
    <w:next w:val="Sinlista"/>
    <w:semiHidden/>
    <w:unhideWhenUsed/>
    <w:rsid w:val="006E7E47"/>
  </w:style>
  <w:style w:type="table" w:customStyle="1" w:styleId="Tablaconcuadrcula782">
    <w:name w:val="Tabla con cuadrícula782"/>
    <w:basedOn w:val="Tablanormal"/>
    <w:next w:val="Tablaconcuadrcula"/>
    <w:rsid w:val="006E7E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5">
    <w:name w:val="Sin lista555"/>
    <w:next w:val="Sinlista"/>
    <w:semiHidden/>
    <w:unhideWhenUsed/>
    <w:rsid w:val="00930E01"/>
  </w:style>
  <w:style w:type="character" w:customStyle="1" w:styleId="TextodegloboCar">
    <w:name w:val="Texto de globo Car"/>
    <w:basedOn w:val="Fuentedeprrafopredeter"/>
    <w:link w:val="Textodeglobo"/>
    <w:uiPriority w:val="99"/>
    <w:rsid w:val="00930E01"/>
    <w:rPr>
      <w:rFonts w:ascii="Tahoma" w:hAnsi="Tahoma" w:cs="Tahoma"/>
      <w:sz w:val="16"/>
      <w:szCs w:val="16"/>
      <w:lang w:eastAsia="es-ES"/>
    </w:rPr>
  </w:style>
  <w:style w:type="table" w:customStyle="1" w:styleId="Tablaconcuadrcula783">
    <w:name w:val="Tabla con cuadrícula783"/>
    <w:basedOn w:val="Tablanormal"/>
    <w:next w:val="Tablaconcuadrcula"/>
    <w:rsid w:val="00930E0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4">
    <w:name w:val="Tabla con cuadrícula784"/>
    <w:basedOn w:val="Tablanormal"/>
    <w:next w:val="Tablaconcuadrcula"/>
    <w:rsid w:val="00904B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5">
    <w:name w:val="Tabla con cuadrícula785"/>
    <w:basedOn w:val="Tablanormal"/>
    <w:next w:val="Tablaconcuadrcula"/>
    <w:rsid w:val="00385B5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6">
    <w:name w:val="Tabla con cuadrícula786"/>
    <w:basedOn w:val="Tablanormal"/>
    <w:next w:val="Tablaconcuadrcula"/>
    <w:uiPriority w:val="59"/>
    <w:rsid w:val="00AF5B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6">
    <w:name w:val="Sin lista556"/>
    <w:next w:val="Sinlista"/>
    <w:uiPriority w:val="99"/>
    <w:semiHidden/>
    <w:unhideWhenUsed/>
    <w:rsid w:val="003E3852"/>
  </w:style>
  <w:style w:type="table" w:customStyle="1" w:styleId="Tablaconcuadrcula787">
    <w:name w:val="Tabla con cuadrícula787"/>
    <w:basedOn w:val="Tablanormal"/>
    <w:next w:val="Tablaconcuadrcula"/>
    <w:rsid w:val="003E385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7">
    <w:name w:val="Sin lista557"/>
    <w:next w:val="Sinlista"/>
    <w:semiHidden/>
    <w:unhideWhenUsed/>
    <w:rsid w:val="00612D4F"/>
  </w:style>
  <w:style w:type="table" w:customStyle="1" w:styleId="Tablaconcuadrcula788">
    <w:name w:val="Tabla con cuadrícula788"/>
    <w:basedOn w:val="Tablanormal"/>
    <w:next w:val="Tablaconcuadrcula"/>
    <w:rsid w:val="00612D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9">
    <w:name w:val="Tabla con cuadrícula789"/>
    <w:basedOn w:val="Tablanormal"/>
    <w:next w:val="Tablaconcuadrcula"/>
    <w:rsid w:val="00E46F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8">
    <w:name w:val="Sin lista558"/>
    <w:next w:val="Sinlista"/>
    <w:semiHidden/>
    <w:unhideWhenUsed/>
    <w:rsid w:val="003F3357"/>
  </w:style>
  <w:style w:type="table" w:customStyle="1" w:styleId="Tablaconcuadrcula790">
    <w:name w:val="Tabla con cuadrícula790"/>
    <w:basedOn w:val="Tablanormal"/>
    <w:next w:val="Tablaconcuadrcula"/>
    <w:rsid w:val="003F3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documentosadjuntos">
    <w:name w:val="Info documentos adjuntos"/>
    <w:basedOn w:val="Normal"/>
    <w:uiPriority w:val="99"/>
    <w:rsid w:val="00465231"/>
  </w:style>
  <w:style w:type="numbering" w:customStyle="1" w:styleId="Sinlista559">
    <w:name w:val="Sin lista559"/>
    <w:next w:val="Sinlista"/>
    <w:uiPriority w:val="99"/>
    <w:semiHidden/>
    <w:unhideWhenUsed/>
    <w:rsid w:val="00C12F25"/>
  </w:style>
  <w:style w:type="table" w:customStyle="1" w:styleId="Tablaconcuadrcula791">
    <w:name w:val="Tabla con cuadrícula791"/>
    <w:basedOn w:val="Tablanormal"/>
    <w:next w:val="Tablaconcuadrcula"/>
    <w:rsid w:val="00C12F2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oat-left">
    <w:name w:val="float-left"/>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character" w:customStyle="1" w:styleId="orden">
    <w:name w:val="orden"/>
    <w:basedOn w:val="Fuentedeprrafopredeter"/>
    <w:rsid w:val="00C12F25"/>
  </w:style>
  <w:style w:type="character" w:customStyle="1" w:styleId="seleccionado1">
    <w:name w:val="seleccionado1"/>
    <w:basedOn w:val="Fuentedeprrafopredeter"/>
    <w:rsid w:val="00C12F25"/>
    <w:rPr>
      <w:vanish w:val="0"/>
      <w:webHidden w:val="0"/>
      <w:bdr w:val="single" w:sz="4" w:space="1" w:color="C1C7C7" w:frame="1"/>
      <w:shd w:val="clear" w:color="auto" w:fill="F0F1F3"/>
      <w:specVanish w:val="0"/>
    </w:rPr>
  </w:style>
  <w:style w:type="character" w:customStyle="1" w:styleId="date5">
    <w:name w:val="date5"/>
    <w:basedOn w:val="Fuentedeprrafopredeter"/>
    <w:rsid w:val="00C12F25"/>
  </w:style>
  <w:style w:type="paragraph" w:customStyle="1" w:styleId="float-right4">
    <w:name w:val="float-right4"/>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paragraph" w:customStyle="1" w:styleId="bottomfoot2">
    <w:name w:val="bottom_foot2"/>
    <w:basedOn w:val="Normal"/>
    <w:uiPriority w:val="99"/>
    <w:rsid w:val="00C12F25"/>
    <w:pPr>
      <w:spacing w:before="100" w:beforeAutospacing="1" w:after="100" w:afterAutospacing="1" w:line="300" w:lineRule="atLeast"/>
      <w:ind w:left="709" w:hanging="709"/>
      <w:jc w:val="both"/>
    </w:pPr>
    <w:rPr>
      <w:rFonts w:eastAsia="Times New Roman"/>
      <w:color w:val="666666"/>
      <w:sz w:val="26"/>
      <w:lang w:val="es-ES"/>
    </w:rPr>
  </w:style>
  <w:style w:type="paragraph" w:styleId="Sinespaciado">
    <w:name w:val="No Spacing"/>
    <w:aliases w:val="Fuente de cuadros y gráficas,Sin espaciado1"/>
    <w:uiPriority w:val="1"/>
    <w:qFormat/>
    <w:rsid w:val="00C12F25"/>
    <w:pPr>
      <w:ind w:left="709" w:hanging="709"/>
    </w:pPr>
    <w:rPr>
      <w:rFonts w:eastAsia="Times New Roman"/>
      <w:szCs w:val="24"/>
      <w:lang w:val="es-ES" w:eastAsia="es-ES"/>
    </w:rPr>
  </w:style>
  <w:style w:type="table" w:customStyle="1" w:styleId="Tablaconcuadrcula792">
    <w:name w:val="Tabla con cuadrícula792"/>
    <w:basedOn w:val="Tablanormal"/>
    <w:next w:val="Tablaconcuadrcula"/>
    <w:rsid w:val="001C58A6"/>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3">
    <w:name w:val="Tabla con cuadrícula793"/>
    <w:basedOn w:val="Tablanormal"/>
    <w:next w:val="Tablaconcuadrcula"/>
    <w:rsid w:val="00D324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4">
    <w:name w:val="Tabla con cuadrícula794"/>
    <w:basedOn w:val="Tablanormal"/>
    <w:next w:val="Tablaconcuadrcula"/>
    <w:rsid w:val="00FA0C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0">
    <w:name w:val="Sin lista560"/>
    <w:next w:val="Sinlista"/>
    <w:uiPriority w:val="99"/>
    <w:semiHidden/>
    <w:unhideWhenUsed/>
    <w:rsid w:val="00AC0030"/>
  </w:style>
  <w:style w:type="table" w:customStyle="1" w:styleId="Tablaconcuadrcula795">
    <w:name w:val="Tabla con cuadrícula795"/>
    <w:basedOn w:val="Tablanormal"/>
    <w:next w:val="Tablaconcuadrcula"/>
    <w:rsid w:val="00AC00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4">
    <w:name w:val="Sin lista1104"/>
    <w:next w:val="Sinlista"/>
    <w:semiHidden/>
    <w:rsid w:val="00AC0030"/>
  </w:style>
  <w:style w:type="table" w:customStyle="1" w:styleId="Tablaconcuadrcula1108">
    <w:name w:val="Tabla con cuadrícula1108"/>
    <w:basedOn w:val="Tablanormal"/>
    <w:next w:val="Tablaconcuadrcula"/>
    <w:rsid w:val="00AC00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1">
    <w:name w:val="Tabla con cuadrícula2101"/>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0">
    <w:name w:val="Tabla con cuadrícula3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0">
    <w:name w:val="Tabla con cuadrícula4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0">
    <w:name w:val="Tabla con cuadrícula5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6">
    <w:name w:val="Tabla con cuadrícula796"/>
    <w:basedOn w:val="Tablanormal"/>
    <w:next w:val="Tablaconcuadrcula"/>
    <w:rsid w:val="009E6F04"/>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4">
    <w:name w:val="Sin lista564"/>
    <w:next w:val="Sinlista"/>
    <w:semiHidden/>
    <w:unhideWhenUsed/>
    <w:rsid w:val="00DD5D06"/>
  </w:style>
  <w:style w:type="table" w:customStyle="1" w:styleId="Tablaconcuadrcula797">
    <w:name w:val="Tabla con cuadrícula797"/>
    <w:basedOn w:val="Tablanormal"/>
    <w:next w:val="Tablaconcuadrcula"/>
    <w:rsid w:val="00DD5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5">
    <w:name w:val="Sin lista565"/>
    <w:next w:val="Sinlista"/>
    <w:uiPriority w:val="99"/>
    <w:semiHidden/>
    <w:unhideWhenUsed/>
    <w:rsid w:val="00496822"/>
  </w:style>
  <w:style w:type="table" w:customStyle="1" w:styleId="Tablaconcuadrcula798">
    <w:name w:val="Tabla con cuadrícula798"/>
    <w:basedOn w:val="Tablanormal"/>
    <w:next w:val="Tablaconcuadrcula"/>
    <w:rsid w:val="00496822"/>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tuloCar">
    <w:name w:val="Subtítulo Car"/>
    <w:basedOn w:val="Fuentedeprrafopredeter"/>
    <w:link w:val="Subttulo"/>
    <w:uiPriority w:val="99"/>
    <w:rsid w:val="00496822"/>
    <w:rPr>
      <w:b/>
      <w:bCs/>
      <w:szCs w:val="24"/>
      <w:lang w:val="es-ES" w:eastAsia="es-ES"/>
    </w:rPr>
  </w:style>
  <w:style w:type="character" w:customStyle="1" w:styleId="PuestoCar">
    <w:name w:val="Puesto Car"/>
    <w:aliases w:val="maripaz Car"/>
    <w:basedOn w:val="Fuentedeprrafopredeter"/>
    <w:link w:val="Puesto"/>
    <w:rsid w:val="00496822"/>
    <w:rPr>
      <w:rFonts w:ascii="Arial" w:hAnsi="Arial" w:cs="Arial"/>
      <w:b/>
      <w:bCs/>
      <w:kern w:val="28"/>
      <w:sz w:val="32"/>
      <w:szCs w:val="32"/>
      <w:lang w:eastAsia="es-ES"/>
    </w:rPr>
  </w:style>
  <w:style w:type="numbering" w:customStyle="1" w:styleId="Sinlista566">
    <w:name w:val="Sin lista566"/>
    <w:next w:val="Sinlista"/>
    <w:uiPriority w:val="99"/>
    <w:semiHidden/>
    <w:unhideWhenUsed/>
    <w:rsid w:val="00C54349"/>
  </w:style>
  <w:style w:type="table" w:customStyle="1" w:styleId="Tablaconcuadrcula799">
    <w:name w:val="Tabla con cuadrícula799"/>
    <w:basedOn w:val="Tablanormal"/>
    <w:next w:val="Tablaconcuadrcula"/>
    <w:uiPriority w:val="59"/>
    <w:rsid w:val="00C5434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7">
    <w:name w:val="Sin lista567"/>
    <w:next w:val="Sinlista"/>
    <w:semiHidden/>
    <w:rsid w:val="008B2EA4"/>
  </w:style>
  <w:style w:type="table" w:customStyle="1" w:styleId="Tablaconcuadrcula800">
    <w:name w:val="Tabla con cuadrícula800"/>
    <w:basedOn w:val="Tablanormal"/>
    <w:next w:val="Tablaconcuadrcula"/>
    <w:rsid w:val="008B2EA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
    <w:name w:val="Tabla con cuadrícula801"/>
    <w:basedOn w:val="Tablanormal"/>
    <w:next w:val="Tablaconcuadrcula"/>
    <w:rsid w:val="006D2DE1"/>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2">
    <w:name w:val="Tabla con cuadrícula802"/>
    <w:basedOn w:val="Tablanormal"/>
    <w:next w:val="Tablaconcuadrcula"/>
    <w:uiPriority w:val="59"/>
    <w:rsid w:val="00C33BC8"/>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3">
    <w:name w:val="Tabla con cuadrícula803"/>
    <w:basedOn w:val="Tablanormal"/>
    <w:next w:val="Tablaconcuadrcula"/>
    <w:rsid w:val="001463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8">
    <w:name w:val="Sin lista568"/>
    <w:next w:val="Sinlista"/>
    <w:uiPriority w:val="99"/>
    <w:semiHidden/>
    <w:unhideWhenUsed/>
    <w:rsid w:val="00856B5A"/>
  </w:style>
  <w:style w:type="table" w:customStyle="1" w:styleId="Tablaconcuadrcula804">
    <w:name w:val="Tabla con cuadrícula804"/>
    <w:basedOn w:val="Tablanormal"/>
    <w:next w:val="Tablaconcuadrcula"/>
    <w:uiPriority w:val="59"/>
    <w:rsid w:val="00856B5A"/>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5">
    <w:name w:val="Tabla con cuadrícula805"/>
    <w:basedOn w:val="Tablanormal"/>
    <w:next w:val="Tablaconcuadrcula"/>
    <w:rsid w:val="00CA1E2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6">
    <w:name w:val="Tabla con cuadrícula806"/>
    <w:basedOn w:val="Tablanormal"/>
    <w:next w:val="Tablaconcuadrcula"/>
    <w:rsid w:val="00DC04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7">
    <w:name w:val="Tabla con cuadrícula807"/>
    <w:basedOn w:val="Tablanormal"/>
    <w:next w:val="Tablaconcuadrcula"/>
    <w:rsid w:val="004E7D5F"/>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8">
    <w:name w:val="Tabla con cuadrícula808"/>
    <w:basedOn w:val="Tablanormal"/>
    <w:next w:val="Tablaconcuadrcula"/>
    <w:uiPriority w:val="59"/>
    <w:rsid w:val="004920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9">
    <w:name w:val="Sin lista569"/>
    <w:next w:val="Sinlista"/>
    <w:uiPriority w:val="99"/>
    <w:semiHidden/>
    <w:unhideWhenUsed/>
    <w:rsid w:val="00D102FC"/>
  </w:style>
  <w:style w:type="numbering" w:customStyle="1" w:styleId="Sinlista570">
    <w:name w:val="Sin lista570"/>
    <w:next w:val="Sinlista"/>
    <w:uiPriority w:val="99"/>
    <w:semiHidden/>
    <w:unhideWhenUsed/>
    <w:rsid w:val="00657385"/>
  </w:style>
  <w:style w:type="table" w:customStyle="1" w:styleId="Tablaconcuadrcula809">
    <w:name w:val="Tabla con cuadrícula809"/>
    <w:basedOn w:val="Tablanormal"/>
    <w:next w:val="Tablaconcuadrcula"/>
    <w:rsid w:val="0065738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4">
    <w:name w:val="Sin lista574"/>
    <w:next w:val="Sinlista"/>
    <w:uiPriority w:val="99"/>
    <w:semiHidden/>
    <w:unhideWhenUsed/>
    <w:rsid w:val="00F422D9"/>
  </w:style>
  <w:style w:type="table" w:customStyle="1" w:styleId="Tablaconcuadrcula810">
    <w:name w:val="Tabla con cuadrícula810"/>
    <w:basedOn w:val="Tablanormal"/>
    <w:next w:val="Tablaconcuadrcula"/>
    <w:uiPriority w:val="59"/>
    <w:rsid w:val="00F422D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5">
    <w:name w:val="Sin lista575"/>
    <w:next w:val="Sinlista"/>
    <w:uiPriority w:val="99"/>
    <w:semiHidden/>
    <w:unhideWhenUsed/>
    <w:rsid w:val="004F31D7"/>
  </w:style>
  <w:style w:type="table" w:customStyle="1" w:styleId="Tablaconcuadrcula811">
    <w:name w:val="Tabla con cuadrícula811"/>
    <w:basedOn w:val="Tablanormal"/>
    <w:next w:val="Tablaconcuadrcula"/>
    <w:rsid w:val="004F3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2">
    <w:name w:val="Tabla con cuadrícula812"/>
    <w:basedOn w:val="Tablanormal"/>
    <w:next w:val="Tablaconcuadrcula"/>
    <w:rsid w:val="00664E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6">
    <w:name w:val="Sin lista576"/>
    <w:next w:val="Sinlista"/>
    <w:uiPriority w:val="99"/>
    <w:semiHidden/>
    <w:unhideWhenUsed/>
    <w:rsid w:val="00492BCD"/>
  </w:style>
  <w:style w:type="table" w:customStyle="1" w:styleId="Tablaconcuadrcula813">
    <w:name w:val="Tabla con cuadrícula813"/>
    <w:basedOn w:val="Tablanormal"/>
    <w:next w:val="Tablaconcuadrcula"/>
    <w:rsid w:val="00492B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7">
    <w:name w:val="Sin lista577"/>
    <w:next w:val="Sinlista"/>
    <w:uiPriority w:val="99"/>
    <w:semiHidden/>
    <w:unhideWhenUsed/>
    <w:rsid w:val="003D29D6"/>
  </w:style>
  <w:style w:type="table" w:customStyle="1" w:styleId="Tablaconcuadrcula814">
    <w:name w:val="Tabla con cuadrícula814"/>
    <w:basedOn w:val="Tablanormal"/>
    <w:next w:val="Tablaconcuadrcula"/>
    <w:uiPriority w:val="59"/>
    <w:rsid w:val="003D29D6"/>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alfinalCar">
    <w:name w:val="Texto nota al final Car"/>
    <w:basedOn w:val="Fuentedeprrafopredeter"/>
    <w:link w:val="Textonotaalfinal"/>
    <w:uiPriority w:val="99"/>
    <w:semiHidden/>
    <w:rsid w:val="003D29D6"/>
    <w:rPr>
      <w:lang w:val="es-ES" w:eastAsia="es-ES"/>
    </w:rPr>
  </w:style>
  <w:style w:type="numbering" w:customStyle="1" w:styleId="Sinlista578">
    <w:name w:val="Sin lista578"/>
    <w:next w:val="Sinlista"/>
    <w:uiPriority w:val="99"/>
    <w:semiHidden/>
    <w:unhideWhenUsed/>
    <w:rsid w:val="002654E2"/>
  </w:style>
  <w:style w:type="table" w:customStyle="1" w:styleId="Tablaconcuadrcula815">
    <w:name w:val="Tabla con cuadrícula815"/>
    <w:basedOn w:val="Tablanormal"/>
    <w:next w:val="Tablaconcuadrcula"/>
    <w:rsid w:val="002654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9">
    <w:name w:val="Sin lista579"/>
    <w:next w:val="Sinlista"/>
    <w:semiHidden/>
    <w:rsid w:val="005930B3"/>
  </w:style>
  <w:style w:type="table" w:customStyle="1" w:styleId="Tablaconcuadrcula816">
    <w:name w:val="Tabla con cuadrícula816"/>
    <w:basedOn w:val="Tablanormal"/>
    <w:next w:val="Tablaconcuadrcula"/>
    <w:rsid w:val="005930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0">
    <w:name w:val="Sin lista580"/>
    <w:next w:val="Sinlista"/>
    <w:uiPriority w:val="99"/>
    <w:semiHidden/>
    <w:unhideWhenUsed/>
    <w:rsid w:val="00BC5018"/>
  </w:style>
  <w:style w:type="numbering" w:customStyle="1" w:styleId="Sinlista584">
    <w:name w:val="Sin lista584"/>
    <w:next w:val="Sinlista"/>
    <w:uiPriority w:val="99"/>
    <w:semiHidden/>
    <w:unhideWhenUsed/>
    <w:rsid w:val="00DE2ED6"/>
  </w:style>
  <w:style w:type="table" w:customStyle="1" w:styleId="Tablaconcuadrcula817">
    <w:name w:val="Tabla con cuadrícula817"/>
    <w:basedOn w:val="Tablanormal"/>
    <w:next w:val="Tablaconcuadrcula"/>
    <w:rsid w:val="00DE2ED6"/>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8">
    <w:name w:val="Tabla con cuadrícula818"/>
    <w:basedOn w:val="Tablanormal"/>
    <w:next w:val="Tablaconcuadrcula"/>
    <w:rsid w:val="00524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5">
    <w:name w:val="Sin lista585"/>
    <w:next w:val="Sinlista"/>
    <w:uiPriority w:val="99"/>
    <w:semiHidden/>
    <w:unhideWhenUsed/>
    <w:rsid w:val="002159CD"/>
  </w:style>
  <w:style w:type="table" w:customStyle="1" w:styleId="Tablaconcuadrcula819">
    <w:name w:val="Tabla con cuadrícula819"/>
    <w:basedOn w:val="Tablanormal"/>
    <w:next w:val="Tablaconcuadrcula"/>
    <w:rsid w:val="002159C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6">
    <w:name w:val="Sin lista586"/>
    <w:next w:val="Sinlista"/>
    <w:uiPriority w:val="99"/>
    <w:semiHidden/>
    <w:unhideWhenUsed/>
    <w:rsid w:val="00580977"/>
  </w:style>
  <w:style w:type="table" w:customStyle="1" w:styleId="Tablaconcuadrcula820">
    <w:name w:val="Tabla con cuadrícula820"/>
    <w:basedOn w:val="Tablanormal"/>
    <w:next w:val="Tablaconcuadrcula"/>
    <w:rsid w:val="00D25E67"/>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7">
    <w:name w:val="Sin lista587"/>
    <w:next w:val="Sinlista"/>
    <w:uiPriority w:val="99"/>
    <w:semiHidden/>
    <w:unhideWhenUsed/>
    <w:rsid w:val="0027639C"/>
  </w:style>
  <w:style w:type="numbering" w:customStyle="1" w:styleId="Sinlista588">
    <w:name w:val="Sin lista588"/>
    <w:next w:val="Sinlista"/>
    <w:uiPriority w:val="99"/>
    <w:semiHidden/>
    <w:unhideWhenUsed/>
    <w:rsid w:val="00656CBD"/>
  </w:style>
  <w:style w:type="table" w:customStyle="1" w:styleId="Tablaconcuadrcula821">
    <w:name w:val="Tabla con cuadrícula821"/>
    <w:basedOn w:val="Tablanormal"/>
    <w:next w:val="Tablaconcuadrcula"/>
    <w:rsid w:val="00656C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2">
    <w:name w:val="Tabla con cuadrícula822"/>
    <w:basedOn w:val="Tablanormal"/>
    <w:next w:val="Tablaconcuadrcula"/>
    <w:uiPriority w:val="59"/>
    <w:rsid w:val="00C058DE"/>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3">
    <w:name w:val="Tabla con cuadrícula823"/>
    <w:basedOn w:val="Tablanormal"/>
    <w:next w:val="Tablaconcuadrcula"/>
    <w:rsid w:val="009A6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4">
    <w:name w:val="Tabla con cuadrícula824"/>
    <w:basedOn w:val="Tablanormal"/>
    <w:next w:val="Tablaconcuadrcula"/>
    <w:rsid w:val="001E42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5">
    <w:name w:val="Tabla con cuadrícula825"/>
    <w:basedOn w:val="Tablanormal"/>
    <w:next w:val="Tablaconcuadrcula"/>
    <w:rsid w:val="00E1075F"/>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6">
    <w:name w:val="Tabla con cuadrícula826"/>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7">
    <w:name w:val="Tabla con cuadrícula827"/>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8">
    <w:name w:val="Tabla con cuadrícula828"/>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9">
    <w:name w:val="Tabla con cuadrícula829"/>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0">
    <w:name w:val="Tabla con cuadrícula830"/>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2">
    <w:name w:val="Tabla con cuadrícula832"/>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3">
    <w:name w:val="Tabla con cuadrícula833"/>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4">
    <w:name w:val="Tabla con cuadrícula834"/>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5">
    <w:name w:val="Tabla con cuadrícula835"/>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6">
    <w:name w:val="Tabla con cuadrícula836"/>
    <w:basedOn w:val="Tablanormal"/>
    <w:next w:val="Tablaconcuadrcula"/>
    <w:rsid w:val="009734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7">
    <w:name w:val="Tabla con cuadrícula837"/>
    <w:basedOn w:val="Tablanormal"/>
    <w:next w:val="Tablaconcuadrcula"/>
    <w:rsid w:val="009C33C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8">
    <w:name w:val="Tabla con cuadrícula838"/>
    <w:basedOn w:val="Tablanormal"/>
    <w:next w:val="Tablaconcuadrcula"/>
    <w:uiPriority w:val="59"/>
    <w:rsid w:val="008A5C4B"/>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9">
    <w:name w:val="Sin lista589"/>
    <w:next w:val="Sinlista"/>
    <w:uiPriority w:val="99"/>
    <w:semiHidden/>
    <w:unhideWhenUsed/>
    <w:rsid w:val="008E6D9B"/>
  </w:style>
  <w:style w:type="table" w:customStyle="1" w:styleId="Tablaconcuadrcula839">
    <w:name w:val="Tabla con cuadrícula839"/>
    <w:basedOn w:val="Tablanormal"/>
    <w:next w:val="Tablaconcuadrcula"/>
    <w:rsid w:val="008E6D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0">
    <w:name w:val="Tabla con cuadrícula840"/>
    <w:basedOn w:val="Tablanormal"/>
    <w:next w:val="Tablaconcuadrcula"/>
    <w:uiPriority w:val="59"/>
    <w:rsid w:val="00BA189C"/>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0">
    <w:name w:val="Sin lista590"/>
    <w:next w:val="Sinlista"/>
    <w:semiHidden/>
    <w:unhideWhenUsed/>
    <w:rsid w:val="00402C96"/>
  </w:style>
  <w:style w:type="table" w:customStyle="1" w:styleId="Tablaconcuadrcula841">
    <w:name w:val="Tabla con cuadrícula841"/>
    <w:basedOn w:val="Tablanormal"/>
    <w:next w:val="Tablaconcuadrcula"/>
    <w:uiPriority w:val="59"/>
    <w:rsid w:val="003A411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4">
    <w:name w:val="Sin lista594"/>
    <w:next w:val="Sinlista"/>
    <w:uiPriority w:val="99"/>
    <w:semiHidden/>
    <w:unhideWhenUsed/>
    <w:rsid w:val="00285896"/>
  </w:style>
  <w:style w:type="table" w:customStyle="1" w:styleId="Tablaconcuadrcula842">
    <w:name w:val="Tabla con cuadrícula842"/>
    <w:basedOn w:val="Tablanormal"/>
    <w:next w:val="Tablaconcuadrcula"/>
    <w:rsid w:val="00285896"/>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5">
    <w:name w:val="Sin lista595"/>
    <w:next w:val="Sinlista"/>
    <w:uiPriority w:val="99"/>
    <w:semiHidden/>
    <w:unhideWhenUsed/>
    <w:rsid w:val="007654A9"/>
  </w:style>
  <w:style w:type="table" w:customStyle="1" w:styleId="Tablaconcuadrcula843">
    <w:name w:val="Tabla con cuadrícula843"/>
    <w:basedOn w:val="Tablanormal"/>
    <w:next w:val="Tablaconcuadrcula"/>
    <w:rsid w:val="00765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6">
    <w:name w:val="Sin lista596"/>
    <w:next w:val="Sinlista"/>
    <w:uiPriority w:val="99"/>
    <w:semiHidden/>
    <w:unhideWhenUsed/>
    <w:rsid w:val="00AC62DD"/>
  </w:style>
  <w:style w:type="numbering" w:customStyle="1" w:styleId="Sinlista597">
    <w:name w:val="Sin lista597"/>
    <w:next w:val="Sinlista"/>
    <w:semiHidden/>
    <w:rsid w:val="006E754B"/>
  </w:style>
  <w:style w:type="table" w:customStyle="1" w:styleId="Tablaconcuadrcula844">
    <w:name w:val="Tabla con cuadrícula844"/>
    <w:basedOn w:val="Tablanormal"/>
    <w:next w:val="Tablaconcuadrcula"/>
    <w:rsid w:val="006E7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justificado">
    <w:name w:val="textojustificado"/>
    <w:basedOn w:val="Normal"/>
    <w:uiPriority w:val="99"/>
    <w:rsid w:val="00EA4FC6"/>
    <w:pPr>
      <w:spacing w:before="100" w:beforeAutospacing="1" w:after="100" w:afterAutospacing="1"/>
    </w:pPr>
    <w:rPr>
      <w:rFonts w:eastAsia="Times New Roman"/>
      <w:lang w:eastAsia="es-MX"/>
    </w:rPr>
  </w:style>
  <w:style w:type="table" w:customStyle="1" w:styleId="Tablaconcuadrcula845">
    <w:name w:val="Tabla con cuadrícula845"/>
    <w:basedOn w:val="Tablanormal"/>
    <w:next w:val="Tablaconcuadrcula"/>
    <w:uiPriority w:val="59"/>
    <w:rsid w:val="00DE4997"/>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6">
    <w:name w:val="Tabla con cuadrícula846"/>
    <w:basedOn w:val="Tablanormal"/>
    <w:next w:val="Tablaconcuadrcula"/>
    <w:rsid w:val="00FF316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8">
    <w:name w:val="Sin lista598"/>
    <w:next w:val="Sinlista"/>
    <w:uiPriority w:val="99"/>
    <w:semiHidden/>
    <w:unhideWhenUsed/>
    <w:rsid w:val="004E5C18"/>
  </w:style>
  <w:style w:type="table" w:customStyle="1" w:styleId="Tablaconcuadrcula847">
    <w:name w:val="Tabla con cuadrícula847"/>
    <w:basedOn w:val="Tablanormal"/>
    <w:next w:val="Tablaconcuadrcula"/>
    <w:rsid w:val="004E5C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9">
    <w:name w:val="Sin lista599"/>
    <w:next w:val="Sinlista"/>
    <w:uiPriority w:val="99"/>
    <w:semiHidden/>
    <w:unhideWhenUsed/>
    <w:rsid w:val="00EE7A02"/>
  </w:style>
  <w:style w:type="table" w:customStyle="1" w:styleId="Tablaconcuadrcula848">
    <w:name w:val="Tabla con cuadrícula848"/>
    <w:basedOn w:val="Tablanormal"/>
    <w:next w:val="Tablaconcuadrcula"/>
    <w:uiPriority w:val="59"/>
    <w:rsid w:val="00EE7A02"/>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0">
    <w:name w:val="Sin lista600"/>
    <w:next w:val="Sinlista"/>
    <w:uiPriority w:val="99"/>
    <w:semiHidden/>
    <w:unhideWhenUsed/>
    <w:rsid w:val="00B37EB0"/>
  </w:style>
  <w:style w:type="table" w:customStyle="1" w:styleId="Tablaconcuadrcula849">
    <w:name w:val="Tabla con cuadrícula849"/>
    <w:basedOn w:val="Tablanormal"/>
    <w:next w:val="Tablaconcuadrcula"/>
    <w:uiPriority w:val="59"/>
    <w:rsid w:val="00B37EB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4">
    <w:name w:val="Sin lista604"/>
    <w:next w:val="Sinlista"/>
    <w:semiHidden/>
    <w:rsid w:val="004A7F09"/>
  </w:style>
  <w:style w:type="table" w:customStyle="1" w:styleId="Tablaconcuadrcula850">
    <w:name w:val="Tabla con cuadrícula850"/>
    <w:basedOn w:val="Tablanormal"/>
    <w:next w:val="Tablaconcuadrcula"/>
    <w:uiPriority w:val="59"/>
    <w:rsid w:val="006F6360"/>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
    <w:name w:val="Tabla con cuadrícula851"/>
    <w:basedOn w:val="Tablanormal"/>
    <w:next w:val="Tablaconcuadrcula"/>
    <w:uiPriority w:val="59"/>
    <w:rsid w:val="006B46D4"/>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2">
    <w:name w:val="Tabla con cuadrícula852"/>
    <w:basedOn w:val="Tablanormal"/>
    <w:next w:val="Tablaconcuadrcula"/>
    <w:rsid w:val="00102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3">
    <w:name w:val="Tabla con cuadrícula853"/>
    <w:basedOn w:val="Tablanormal"/>
    <w:next w:val="Tablaconcuadrcula"/>
    <w:uiPriority w:val="59"/>
    <w:rsid w:val="00676B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4">
    <w:name w:val="Tabla con cuadrícula854"/>
    <w:basedOn w:val="Tablanormal"/>
    <w:next w:val="Tablaconcuadrcula"/>
    <w:uiPriority w:val="59"/>
    <w:rsid w:val="007A10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5">
    <w:name w:val="Tabla con cuadrícula855"/>
    <w:basedOn w:val="Tablanormal"/>
    <w:next w:val="Tablaconcuadrcula"/>
    <w:uiPriority w:val="59"/>
    <w:rsid w:val="009745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6">
    <w:name w:val="Tabla con cuadrícula856"/>
    <w:basedOn w:val="Tablanormal"/>
    <w:next w:val="Tablaconcuadrcula"/>
    <w:uiPriority w:val="59"/>
    <w:rsid w:val="00B41DE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7">
    <w:name w:val="Tabla con cuadrícula857"/>
    <w:basedOn w:val="Tablanormal"/>
    <w:next w:val="Tablaconcuadrcula"/>
    <w:uiPriority w:val="59"/>
    <w:rsid w:val="00707A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5">
    <w:name w:val="Sin lista605"/>
    <w:next w:val="Sinlista"/>
    <w:uiPriority w:val="99"/>
    <w:semiHidden/>
    <w:unhideWhenUsed/>
    <w:rsid w:val="00407520"/>
  </w:style>
  <w:style w:type="numbering" w:customStyle="1" w:styleId="Sinlista606">
    <w:name w:val="Sin lista606"/>
    <w:next w:val="Sinlista"/>
    <w:semiHidden/>
    <w:unhideWhenUsed/>
    <w:rsid w:val="004A3CAC"/>
  </w:style>
  <w:style w:type="table" w:customStyle="1" w:styleId="Tablaconcuadrcula858">
    <w:name w:val="Tabla con cuadrícula858"/>
    <w:basedOn w:val="Tablanormal"/>
    <w:next w:val="Tablaconcuadrcula"/>
    <w:rsid w:val="004A3C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9">
    <w:name w:val="Tabla con cuadrícula859"/>
    <w:basedOn w:val="Tablanormal"/>
    <w:next w:val="Tablaconcuadrcula"/>
    <w:uiPriority w:val="59"/>
    <w:rsid w:val="00F44783"/>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7">
    <w:name w:val="Sin lista607"/>
    <w:next w:val="Sinlista"/>
    <w:uiPriority w:val="99"/>
    <w:semiHidden/>
    <w:unhideWhenUsed/>
    <w:rsid w:val="00C033C1"/>
  </w:style>
  <w:style w:type="table" w:customStyle="1" w:styleId="Tablaconcuadrcula860">
    <w:name w:val="Tabla con cuadrícula860"/>
    <w:basedOn w:val="Tablanormal"/>
    <w:next w:val="Tablaconcuadrcula"/>
    <w:uiPriority w:val="59"/>
    <w:rsid w:val="00C033C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
    <w:name w:val="Tabla con cuadrícula861"/>
    <w:basedOn w:val="Tablanormal"/>
    <w:next w:val="Tablaconcuadrcula"/>
    <w:uiPriority w:val="59"/>
    <w:rsid w:val="007D2A9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2">
    <w:name w:val="Tabla con cuadrícula862"/>
    <w:basedOn w:val="Tablanormal"/>
    <w:next w:val="Tablaconcuadrcula"/>
    <w:uiPriority w:val="59"/>
    <w:rsid w:val="001906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3">
    <w:name w:val="Tabla con cuadrícula863"/>
    <w:basedOn w:val="Tablanormal"/>
    <w:next w:val="Tablaconcuadrcula"/>
    <w:rsid w:val="00F713E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64">
    <w:name w:val="Tabla con cuadrícula864"/>
    <w:basedOn w:val="Tablanormal"/>
    <w:next w:val="Tablaconcuadrcula"/>
    <w:uiPriority w:val="59"/>
    <w:rsid w:val="00E819D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8">
    <w:name w:val="Sin lista608"/>
    <w:next w:val="Sinlista"/>
    <w:uiPriority w:val="99"/>
    <w:semiHidden/>
    <w:unhideWhenUsed/>
    <w:rsid w:val="00C63D03"/>
  </w:style>
  <w:style w:type="table" w:customStyle="1" w:styleId="Tablaconcuadrcula865">
    <w:name w:val="Tabla con cuadrícula865"/>
    <w:basedOn w:val="Tablanormal"/>
    <w:next w:val="Tablaconcuadrcula"/>
    <w:rsid w:val="00C63D03"/>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9">
    <w:name w:val="Sin lista609"/>
    <w:next w:val="Sinlista"/>
    <w:uiPriority w:val="99"/>
    <w:semiHidden/>
    <w:unhideWhenUsed/>
    <w:rsid w:val="004F7698"/>
  </w:style>
  <w:style w:type="table" w:customStyle="1" w:styleId="Tablaconcuadrcula866">
    <w:name w:val="Tabla con cuadrícula866"/>
    <w:basedOn w:val="Tablanormal"/>
    <w:next w:val="Tablaconcuadrcula"/>
    <w:rsid w:val="004F76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6">
    <w:name w:val="Sin lista616"/>
    <w:next w:val="Sinlista"/>
    <w:uiPriority w:val="99"/>
    <w:semiHidden/>
    <w:unhideWhenUsed/>
    <w:rsid w:val="002742B3"/>
  </w:style>
  <w:style w:type="table" w:customStyle="1" w:styleId="Tablaconcuadrcula867">
    <w:name w:val="Tabla con cuadrícula867"/>
    <w:basedOn w:val="Tablanormal"/>
    <w:next w:val="Tablaconcuadrcula"/>
    <w:rsid w:val="002742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8">
    <w:name w:val="Tabla con cuadrícula868"/>
    <w:basedOn w:val="Tablanormal"/>
    <w:next w:val="Tablaconcuadrcula"/>
    <w:uiPriority w:val="59"/>
    <w:rsid w:val="002D0E0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9">
    <w:name w:val="Tabla con cuadrícula869"/>
    <w:basedOn w:val="Tablanormal"/>
    <w:next w:val="Tablaconcuadrcula"/>
    <w:rsid w:val="000257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0">
    <w:name w:val="Tabla con cuadrícula870"/>
    <w:basedOn w:val="Tablanormal"/>
    <w:next w:val="Tablaconcuadrcula"/>
    <w:uiPriority w:val="59"/>
    <w:rsid w:val="00EA2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1">
    <w:name w:val="Tabla con cuadrícula871"/>
    <w:basedOn w:val="Tablanormal"/>
    <w:next w:val="Tablaconcuadrcula"/>
    <w:uiPriority w:val="59"/>
    <w:rsid w:val="007F052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7">
    <w:name w:val="Sin lista617"/>
    <w:next w:val="Sinlista"/>
    <w:uiPriority w:val="99"/>
    <w:semiHidden/>
    <w:unhideWhenUsed/>
    <w:rsid w:val="00DF2CB5"/>
  </w:style>
  <w:style w:type="table" w:customStyle="1" w:styleId="Tablaconcuadrcula872">
    <w:name w:val="Tabla con cuadrícula872"/>
    <w:basedOn w:val="Tablanormal"/>
    <w:next w:val="Tablaconcuadrcula"/>
    <w:rsid w:val="00DF2CB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Fuentedeprrafopredeter"/>
    <w:rsid w:val="00DF2CB5"/>
  </w:style>
  <w:style w:type="table" w:customStyle="1" w:styleId="Tablaconcuadrcula873">
    <w:name w:val="Tabla con cuadrícula873"/>
    <w:basedOn w:val="Tablanormal"/>
    <w:next w:val="Tablaconcuadrcula"/>
    <w:rsid w:val="00672B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4">
    <w:name w:val="Tabla con cuadrícula874"/>
    <w:basedOn w:val="Tablanormal"/>
    <w:next w:val="Tablaconcuadrcula"/>
    <w:rsid w:val="00AE61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8">
    <w:name w:val="Sin lista618"/>
    <w:next w:val="Sinlista"/>
    <w:semiHidden/>
    <w:unhideWhenUsed/>
    <w:rsid w:val="007938F2"/>
  </w:style>
  <w:style w:type="table" w:customStyle="1" w:styleId="Tablaconcuadrcula875">
    <w:name w:val="Tabla con cuadrícula875"/>
    <w:basedOn w:val="Tablanormal"/>
    <w:next w:val="Tablaconcuadrcula"/>
    <w:rsid w:val="00B41E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9">
    <w:name w:val="Sin lista619"/>
    <w:next w:val="Sinlista"/>
    <w:semiHidden/>
    <w:rsid w:val="00A438ED"/>
  </w:style>
  <w:style w:type="table" w:customStyle="1" w:styleId="Tablaconcuadrcula876">
    <w:name w:val="Tabla con cuadrícula876"/>
    <w:basedOn w:val="Tablanormal"/>
    <w:next w:val="Tablaconcuadrcula"/>
    <w:rsid w:val="00A438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0">
    <w:name w:val="Sin lista620"/>
    <w:next w:val="Sinlista"/>
    <w:uiPriority w:val="99"/>
    <w:semiHidden/>
    <w:unhideWhenUsed/>
    <w:rsid w:val="00734CE0"/>
  </w:style>
  <w:style w:type="table" w:customStyle="1" w:styleId="Tablaconcuadrcula877">
    <w:name w:val="Tabla con cuadrícula877"/>
    <w:basedOn w:val="Tablanormal"/>
    <w:next w:val="Tablaconcuadrcula"/>
    <w:uiPriority w:val="59"/>
    <w:rsid w:val="00734CE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5">
    <w:name w:val="Sin lista1105"/>
    <w:next w:val="Sinlista"/>
    <w:uiPriority w:val="99"/>
    <w:semiHidden/>
    <w:unhideWhenUsed/>
    <w:rsid w:val="00734CE0"/>
  </w:style>
  <w:style w:type="table" w:customStyle="1" w:styleId="Tablaconcuadrcula1109">
    <w:name w:val="Tabla con cuadrícula1109"/>
    <w:basedOn w:val="Tablanormal"/>
    <w:next w:val="Tablaconcuadrcula"/>
    <w:rsid w:val="00734CE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next w:val="Tablaconcuadrcula"/>
    <w:rsid w:val="00734CE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8">
    <w:name w:val="Tabla con cuadrícula878"/>
    <w:basedOn w:val="Tablanormal"/>
    <w:next w:val="Tablaconcuadrcula"/>
    <w:rsid w:val="00295A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4">
    <w:name w:val="Sin lista624"/>
    <w:next w:val="Sinlista"/>
    <w:uiPriority w:val="99"/>
    <w:semiHidden/>
    <w:unhideWhenUsed/>
    <w:rsid w:val="00BD3ACF"/>
  </w:style>
  <w:style w:type="table" w:customStyle="1" w:styleId="Tablaconcuadrcula879">
    <w:name w:val="Tabla con cuadrícula879"/>
    <w:basedOn w:val="Tablanormal"/>
    <w:next w:val="Tablaconcuadrcula"/>
    <w:rsid w:val="00BD3AC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5">
    <w:name w:val="Sin lista625"/>
    <w:next w:val="Sinlista"/>
    <w:uiPriority w:val="99"/>
    <w:semiHidden/>
    <w:unhideWhenUsed/>
    <w:rsid w:val="00E2725F"/>
  </w:style>
  <w:style w:type="table" w:customStyle="1" w:styleId="Tablaconcuadrcula880">
    <w:name w:val="Tabla con cuadrícula880"/>
    <w:basedOn w:val="Tablanormal"/>
    <w:next w:val="Tablaconcuadrcula"/>
    <w:uiPriority w:val="59"/>
    <w:rsid w:val="00E272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
    <w:name w:val="Tabla con cuadrícula881"/>
    <w:basedOn w:val="Tablanormal"/>
    <w:next w:val="Tablaconcuadrcula"/>
    <w:rsid w:val="001322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6">
    <w:name w:val="Sin lista626"/>
    <w:next w:val="Sinlista"/>
    <w:uiPriority w:val="99"/>
    <w:semiHidden/>
    <w:unhideWhenUsed/>
    <w:rsid w:val="00B21357"/>
  </w:style>
  <w:style w:type="table" w:customStyle="1" w:styleId="Tablaconcuadrcula882">
    <w:name w:val="Tabla con cuadrícula882"/>
    <w:basedOn w:val="Tablanormal"/>
    <w:next w:val="Tablaconcuadrcula"/>
    <w:rsid w:val="00B21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3">
    <w:name w:val="Tabla con cuadrícula883"/>
    <w:basedOn w:val="Tablanormal"/>
    <w:next w:val="Tablaconcuadrcula"/>
    <w:uiPriority w:val="59"/>
    <w:rsid w:val="0024532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4">
    <w:name w:val="Tabla con cuadrícula884"/>
    <w:basedOn w:val="Tablanormal"/>
    <w:next w:val="Tablaconcuadrcula"/>
    <w:uiPriority w:val="59"/>
    <w:rsid w:val="00B92F5B"/>
    <w:pPr>
      <w:ind w:right="-159"/>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7">
    <w:name w:val="Sin lista627"/>
    <w:next w:val="Sinlista"/>
    <w:uiPriority w:val="99"/>
    <w:semiHidden/>
    <w:unhideWhenUsed/>
    <w:rsid w:val="00A70595"/>
  </w:style>
  <w:style w:type="table" w:customStyle="1" w:styleId="Tablaconcuadrcula885">
    <w:name w:val="Tabla con cuadrícula885"/>
    <w:basedOn w:val="Tablanormal"/>
    <w:next w:val="Tablaconcuadrcula"/>
    <w:uiPriority w:val="59"/>
    <w:rsid w:val="00A705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8">
    <w:name w:val="Sin lista628"/>
    <w:next w:val="Sinlista"/>
    <w:semiHidden/>
    <w:unhideWhenUsed/>
    <w:rsid w:val="00543FEF"/>
  </w:style>
  <w:style w:type="table" w:customStyle="1" w:styleId="Tablaconcuadrcula886">
    <w:name w:val="Tabla con cuadrícula886"/>
    <w:basedOn w:val="Tablanormal"/>
    <w:next w:val="Tablaconcuadrcula"/>
    <w:rsid w:val="00543F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7">
    <w:name w:val="Tabla con cuadrícula887"/>
    <w:basedOn w:val="Tablanormal"/>
    <w:next w:val="Tablaconcuadrcula"/>
    <w:rsid w:val="000C14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9">
    <w:name w:val="Sin lista629"/>
    <w:next w:val="Sinlista"/>
    <w:uiPriority w:val="99"/>
    <w:semiHidden/>
    <w:unhideWhenUsed/>
    <w:rsid w:val="005B5C8D"/>
  </w:style>
  <w:style w:type="table" w:customStyle="1" w:styleId="Tablaconcuadrcula888">
    <w:name w:val="Tabla con cuadrícula888"/>
    <w:basedOn w:val="Tablanormal"/>
    <w:next w:val="Tablaconcuadrcula"/>
    <w:rsid w:val="005B5C8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next w:val="Tablaconcuadrcula"/>
    <w:rsid w:val="005B5C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0">
    <w:name w:val="Sin lista630"/>
    <w:next w:val="Sinlista"/>
    <w:semiHidden/>
    <w:unhideWhenUsed/>
    <w:rsid w:val="00490B6B"/>
  </w:style>
  <w:style w:type="table" w:customStyle="1" w:styleId="Tablaconcuadrcula889">
    <w:name w:val="Tabla con cuadrícula889"/>
    <w:basedOn w:val="Tablanormal"/>
    <w:next w:val="Tablaconcuadrcula"/>
    <w:rsid w:val="00490B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0">
    <w:name w:val="Tabla con cuadrícula890"/>
    <w:basedOn w:val="Tablanormal"/>
    <w:next w:val="Tablaconcuadrcula"/>
    <w:uiPriority w:val="59"/>
    <w:rsid w:val="00902E19"/>
    <w:pPr>
      <w:ind w:right="-159"/>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1">
    <w:name w:val="Tabla con cuadrícula891"/>
    <w:basedOn w:val="Tablanormal"/>
    <w:next w:val="Tablaconcuadrcula"/>
    <w:rsid w:val="00C729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2">
    <w:name w:val="Tabla con cuadrícula892"/>
    <w:basedOn w:val="Tablanormal"/>
    <w:next w:val="Tablaconcuadrcula"/>
    <w:rsid w:val="008F07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4">
    <w:name w:val="Sin lista634"/>
    <w:next w:val="Sinlista"/>
    <w:uiPriority w:val="99"/>
    <w:semiHidden/>
    <w:unhideWhenUsed/>
    <w:rsid w:val="00AB09D7"/>
  </w:style>
  <w:style w:type="table" w:customStyle="1" w:styleId="Tablaconcuadrcula893">
    <w:name w:val="Tabla con cuadrícula893"/>
    <w:basedOn w:val="Tablanormal"/>
    <w:next w:val="Tablaconcuadrcula"/>
    <w:uiPriority w:val="59"/>
    <w:rsid w:val="00AB09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3">
    <w:name w:val="Pa13"/>
    <w:basedOn w:val="Normal"/>
    <w:next w:val="Normal"/>
    <w:uiPriority w:val="99"/>
    <w:rsid w:val="00AB09D7"/>
    <w:pPr>
      <w:autoSpaceDE w:val="0"/>
      <w:autoSpaceDN w:val="0"/>
      <w:adjustRightInd w:val="0"/>
      <w:spacing w:line="201" w:lineRule="atLeast"/>
    </w:pPr>
    <w:rPr>
      <w:rFonts w:ascii="Stag Sans Light" w:eastAsiaTheme="minorHAnsi" w:hAnsi="Stag Sans Light" w:cstheme="minorBidi"/>
      <w:lang w:eastAsia="en-US"/>
    </w:rPr>
  </w:style>
  <w:style w:type="paragraph" w:customStyle="1" w:styleId="Pa16">
    <w:name w:val="Pa16"/>
    <w:basedOn w:val="Normal"/>
    <w:next w:val="Normal"/>
    <w:uiPriority w:val="99"/>
    <w:rsid w:val="00AB09D7"/>
    <w:pPr>
      <w:autoSpaceDE w:val="0"/>
      <w:autoSpaceDN w:val="0"/>
      <w:adjustRightInd w:val="0"/>
      <w:spacing w:line="141" w:lineRule="atLeast"/>
    </w:pPr>
    <w:rPr>
      <w:rFonts w:ascii="Stag Sans Light" w:eastAsiaTheme="minorHAnsi" w:hAnsi="Stag Sans Light" w:cstheme="minorBidi"/>
      <w:lang w:eastAsia="en-US"/>
    </w:rPr>
  </w:style>
  <w:style w:type="table" w:customStyle="1" w:styleId="Tablaconcuadrcula894">
    <w:name w:val="Tabla con cuadrícula894"/>
    <w:basedOn w:val="Tablanormal"/>
    <w:next w:val="Tablaconcuadrcula"/>
    <w:rsid w:val="0095627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35">
    <w:name w:val="Sin lista635"/>
    <w:next w:val="Sinlista"/>
    <w:uiPriority w:val="99"/>
    <w:semiHidden/>
    <w:unhideWhenUsed/>
    <w:rsid w:val="00275042"/>
  </w:style>
  <w:style w:type="table" w:customStyle="1" w:styleId="Tablaconcuadrcula895">
    <w:name w:val="Tabla con cuadrícula895"/>
    <w:basedOn w:val="Tablanormal"/>
    <w:next w:val="Tablaconcuadrcula"/>
    <w:rsid w:val="002750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6">
    <w:name w:val="Tabla con cuadrícula896"/>
    <w:basedOn w:val="Tablanormal"/>
    <w:next w:val="Tablaconcuadrcula"/>
    <w:rsid w:val="00802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7">
    <w:name w:val="Tabla con cuadrícula897"/>
    <w:basedOn w:val="Tablanormal"/>
    <w:next w:val="Tablaconcuadrcula"/>
    <w:rsid w:val="000419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8">
    <w:name w:val="Tabla con cuadrícula898"/>
    <w:basedOn w:val="Tablanormal"/>
    <w:next w:val="Tablaconcuadrcula"/>
    <w:rsid w:val="002C1E8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9">
    <w:name w:val="Tabla con cuadrícula899"/>
    <w:basedOn w:val="Tablanormal"/>
    <w:next w:val="Tablaconcuadrcula"/>
    <w:rsid w:val="009A34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0">
    <w:name w:val="Tabla con cuadrícula900"/>
    <w:basedOn w:val="Tablanormal"/>
    <w:next w:val="Tablaconcuadrcula"/>
    <w:uiPriority w:val="59"/>
    <w:rsid w:val="00553BB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
    <w:name w:val="Tabla con cuadrícula901"/>
    <w:basedOn w:val="Tablanormal"/>
    <w:next w:val="Tablaconcuadrcula"/>
    <w:rsid w:val="00964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2">
    <w:name w:val="Tabla con cuadrícula902"/>
    <w:basedOn w:val="Tablanormal"/>
    <w:next w:val="Tablaconcuadrcula"/>
    <w:uiPriority w:val="59"/>
    <w:rsid w:val="006C058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6">
    <w:name w:val="Sin lista636"/>
    <w:next w:val="Sinlista"/>
    <w:uiPriority w:val="99"/>
    <w:semiHidden/>
    <w:unhideWhenUsed/>
    <w:rsid w:val="00967AE3"/>
  </w:style>
  <w:style w:type="paragraph" w:customStyle="1" w:styleId="Sangradetextonormal2">
    <w:name w:val="Sangría de texto normal2"/>
    <w:basedOn w:val="Normal"/>
    <w:uiPriority w:val="99"/>
    <w:rsid w:val="00FC7B90"/>
    <w:pPr>
      <w:spacing w:after="120" w:line="480" w:lineRule="auto"/>
    </w:pPr>
    <w:rPr>
      <w:rFonts w:eastAsia="Times New Roman"/>
      <w:sz w:val="20"/>
      <w:szCs w:val="20"/>
    </w:rPr>
  </w:style>
  <w:style w:type="table" w:customStyle="1" w:styleId="Tablaconcuadrcula903">
    <w:name w:val="Tabla con cuadrícula903"/>
    <w:basedOn w:val="Tablanormal"/>
    <w:next w:val="Tablaconcuadrcula"/>
    <w:rsid w:val="00D972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7">
    <w:name w:val="Sin lista637"/>
    <w:next w:val="Sinlista"/>
    <w:uiPriority w:val="99"/>
    <w:semiHidden/>
    <w:unhideWhenUsed/>
    <w:rsid w:val="003F4C3C"/>
  </w:style>
  <w:style w:type="table" w:customStyle="1" w:styleId="Tablaconcuadrcula904">
    <w:name w:val="Tabla con cuadrícula904"/>
    <w:basedOn w:val="Tablanormal"/>
    <w:next w:val="Tablaconcuadrcula"/>
    <w:uiPriority w:val="59"/>
    <w:rsid w:val="003F4C3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5">
    <w:name w:val="Tabla con cuadrícula905"/>
    <w:basedOn w:val="Tablanormal"/>
    <w:next w:val="Tablaconcuadrcula"/>
    <w:rsid w:val="00CF3E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6">
    <w:name w:val="Tabla con cuadrícula906"/>
    <w:basedOn w:val="Tablanormal"/>
    <w:next w:val="Tablaconcuadrcula"/>
    <w:uiPriority w:val="59"/>
    <w:rsid w:val="00B5620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8">
    <w:name w:val="Sin lista638"/>
    <w:next w:val="Sinlista"/>
    <w:uiPriority w:val="99"/>
    <w:semiHidden/>
    <w:unhideWhenUsed/>
    <w:rsid w:val="00650E40"/>
  </w:style>
  <w:style w:type="table" w:customStyle="1" w:styleId="Tablaconcuadrcula907">
    <w:name w:val="Tabla con cuadrícula907"/>
    <w:basedOn w:val="Tablanormal"/>
    <w:next w:val="Tablaconcuadrcula"/>
    <w:rsid w:val="00650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8">
    <w:name w:val="Tabla con cuadrícula908"/>
    <w:basedOn w:val="Tablanormal"/>
    <w:next w:val="Tablaconcuadrcula"/>
    <w:uiPriority w:val="59"/>
    <w:rsid w:val="00D415A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9">
    <w:name w:val="Sin lista639"/>
    <w:next w:val="Sinlista"/>
    <w:semiHidden/>
    <w:unhideWhenUsed/>
    <w:rsid w:val="00523E4E"/>
  </w:style>
  <w:style w:type="numbering" w:customStyle="1" w:styleId="Sinlista640">
    <w:name w:val="Sin lista640"/>
    <w:next w:val="Sinlista"/>
    <w:uiPriority w:val="99"/>
    <w:semiHidden/>
    <w:unhideWhenUsed/>
    <w:rsid w:val="00361647"/>
  </w:style>
  <w:style w:type="table" w:customStyle="1" w:styleId="Tablaconcuadrcula909">
    <w:name w:val="Tabla con cuadrícula909"/>
    <w:basedOn w:val="Tablanormal"/>
    <w:next w:val="Tablaconcuadrcula"/>
    <w:uiPriority w:val="59"/>
    <w:rsid w:val="0036164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0">
    <w:name w:val="Tabla con cuadrícula910"/>
    <w:basedOn w:val="Tablanormal"/>
    <w:next w:val="Tablaconcuadrcula"/>
    <w:rsid w:val="003B4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4">
    <w:name w:val="Sin lista644"/>
    <w:next w:val="Sinlista"/>
    <w:uiPriority w:val="99"/>
    <w:semiHidden/>
    <w:unhideWhenUsed/>
    <w:rsid w:val="008C3D86"/>
  </w:style>
  <w:style w:type="table" w:customStyle="1" w:styleId="Tablaconcuadrcula911">
    <w:name w:val="Tabla con cuadrícula911"/>
    <w:basedOn w:val="Tablanormal"/>
    <w:next w:val="Tablaconcuadrcula"/>
    <w:uiPriority w:val="59"/>
    <w:rsid w:val="00A12DB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2">
    <w:name w:val="Tabla con cuadrícula912"/>
    <w:basedOn w:val="Tablanormal"/>
    <w:next w:val="Tablaconcuadrcula"/>
    <w:uiPriority w:val="59"/>
    <w:rsid w:val="008A6E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3">
    <w:name w:val="Tabla con cuadrícula913"/>
    <w:basedOn w:val="Tablanormal"/>
    <w:next w:val="Tablaconcuadrcula"/>
    <w:rsid w:val="0074275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5">
    <w:name w:val="Sin lista645"/>
    <w:next w:val="Sinlista"/>
    <w:uiPriority w:val="99"/>
    <w:semiHidden/>
    <w:unhideWhenUsed/>
    <w:rsid w:val="00A105D6"/>
  </w:style>
  <w:style w:type="table" w:customStyle="1" w:styleId="Tablaconcuadrcula914">
    <w:name w:val="Tabla con cuadrícula914"/>
    <w:basedOn w:val="Tablanormal"/>
    <w:next w:val="Tablaconcuadrcula"/>
    <w:rsid w:val="00A105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6">
    <w:name w:val="Sin lista646"/>
    <w:next w:val="Sinlista"/>
    <w:uiPriority w:val="99"/>
    <w:semiHidden/>
    <w:unhideWhenUsed/>
    <w:rsid w:val="008302B1"/>
  </w:style>
  <w:style w:type="table" w:customStyle="1" w:styleId="Tablaconcuadrcula915">
    <w:name w:val="Tabla con cuadrícula915"/>
    <w:basedOn w:val="Tablanormal"/>
    <w:next w:val="Tablaconcuadrcula"/>
    <w:rsid w:val="008302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6">
    <w:name w:val="Tabla con cuadrícula916"/>
    <w:basedOn w:val="Tablanormal"/>
    <w:next w:val="Tablaconcuadrcula"/>
    <w:rsid w:val="003352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7">
    <w:name w:val="Sin lista647"/>
    <w:next w:val="Sinlista"/>
    <w:uiPriority w:val="99"/>
    <w:semiHidden/>
    <w:unhideWhenUsed/>
    <w:rsid w:val="00740F8B"/>
  </w:style>
  <w:style w:type="numbering" w:customStyle="1" w:styleId="Sinlista648">
    <w:name w:val="Sin lista648"/>
    <w:next w:val="Sinlista"/>
    <w:uiPriority w:val="99"/>
    <w:semiHidden/>
    <w:unhideWhenUsed/>
    <w:rsid w:val="00FF2EE3"/>
  </w:style>
  <w:style w:type="numbering" w:customStyle="1" w:styleId="Sinlista649">
    <w:name w:val="Sin lista649"/>
    <w:next w:val="Sinlista"/>
    <w:uiPriority w:val="99"/>
    <w:semiHidden/>
    <w:unhideWhenUsed/>
    <w:rsid w:val="00315E3B"/>
  </w:style>
  <w:style w:type="numbering" w:customStyle="1" w:styleId="Sinlista1106">
    <w:name w:val="Sin lista1106"/>
    <w:next w:val="Sinlista"/>
    <w:semiHidden/>
    <w:rsid w:val="00315E3B"/>
  </w:style>
  <w:style w:type="table" w:customStyle="1" w:styleId="Tablaconcuadrcula917">
    <w:name w:val="Tabla con cuadrícula917"/>
    <w:basedOn w:val="Tablanormal"/>
    <w:next w:val="Tablaconcuadrcula"/>
    <w:uiPriority w:val="59"/>
    <w:rsid w:val="00315E3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8">
    <w:name w:val="Tabla con cuadrícula918"/>
    <w:basedOn w:val="Tablanormal"/>
    <w:next w:val="Tablaconcuadrcula"/>
    <w:uiPriority w:val="59"/>
    <w:rsid w:val="00331B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9">
    <w:name w:val="Tabla con cuadrícula919"/>
    <w:basedOn w:val="Tablanormal"/>
    <w:next w:val="Tablaconcuadrcula"/>
    <w:rsid w:val="009841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0">
    <w:name w:val="Sin lista650"/>
    <w:next w:val="Sinlista"/>
    <w:uiPriority w:val="99"/>
    <w:semiHidden/>
    <w:unhideWhenUsed/>
    <w:rsid w:val="00272B7B"/>
  </w:style>
  <w:style w:type="table" w:customStyle="1" w:styleId="Tablaconcuadrcula920">
    <w:name w:val="Tabla con cuadrícula920"/>
    <w:basedOn w:val="Tablanormal"/>
    <w:next w:val="Tablaconcuadrcula"/>
    <w:uiPriority w:val="59"/>
    <w:rsid w:val="00272B7B"/>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Fuentedeprrafopredeter"/>
    <w:rsid w:val="00272B7B"/>
  </w:style>
  <w:style w:type="table" w:customStyle="1" w:styleId="Tablaconcuadrcula921">
    <w:name w:val="Tabla con cuadrícula921"/>
    <w:basedOn w:val="Tablanormal"/>
    <w:next w:val="Tablaconcuadrcula"/>
    <w:rsid w:val="00EC69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2">
    <w:name w:val="Tabla con cuadrícula922"/>
    <w:basedOn w:val="Tablanormal"/>
    <w:next w:val="Tablaconcuadrcula"/>
    <w:uiPriority w:val="59"/>
    <w:rsid w:val="00110B6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4">
    <w:name w:val="Sin lista654"/>
    <w:next w:val="Sinlista"/>
    <w:uiPriority w:val="99"/>
    <w:semiHidden/>
    <w:unhideWhenUsed/>
    <w:rsid w:val="00111E5F"/>
  </w:style>
  <w:style w:type="table" w:customStyle="1" w:styleId="Tablaconcuadrcula923">
    <w:name w:val="Tabla con cuadrícula923"/>
    <w:basedOn w:val="Tablanormal"/>
    <w:next w:val="Tablaconcuadrcula"/>
    <w:uiPriority w:val="59"/>
    <w:rsid w:val="00111E5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2">
    <w:name w:val="Tabla con cuadrícula2102"/>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1">
    <w:name w:val="Tabla con cuadrícula3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1">
    <w:name w:val="Tabla con cuadrícula4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1">
    <w:name w:val="Tabla con cuadrícula5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0">
    <w:name w:val="Tabla con cuadrícula6100"/>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4">
    <w:name w:val="Tabla con cuadrícula924"/>
    <w:basedOn w:val="Tablanormal"/>
    <w:next w:val="Tablaconcuadrcula"/>
    <w:rsid w:val="00A80F2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5">
    <w:name w:val="Sin lista655"/>
    <w:next w:val="Sinlista"/>
    <w:uiPriority w:val="99"/>
    <w:semiHidden/>
    <w:unhideWhenUsed/>
    <w:rsid w:val="001D5D04"/>
  </w:style>
  <w:style w:type="numbering" w:customStyle="1" w:styleId="Sinlista656">
    <w:name w:val="Sin lista656"/>
    <w:next w:val="Sinlista"/>
    <w:uiPriority w:val="99"/>
    <w:semiHidden/>
    <w:unhideWhenUsed/>
    <w:rsid w:val="009C1BAB"/>
  </w:style>
  <w:style w:type="table" w:customStyle="1" w:styleId="Tablaconcuadrcula925">
    <w:name w:val="Tabla con cuadrícula925"/>
    <w:basedOn w:val="Tablanormal"/>
    <w:next w:val="Tablaconcuadrcula"/>
    <w:rsid w:val="009C1B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6">
    <w:name w:val="Tabla con cuadrícula926"/>
    <w:basedOn w:val="Tablanormal"/>
    <w:next w:val="Tablaconcuadrcula"/>
    <w:uiPriority w:val="59"/>
    <w:rsid w:val="00F0027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7">
    <w:name w:val="Sin lista657"/>
    <w:next w:val="Sinlista"/>
    <w:uiPriority w:val="99"/>
    <w:semiHidden/>
    <w:unhideWhenUsed/>
    <w:rsid w:val="00617915"/>
  </w:style>
  <w:style w:type="table" w:customStyle="1" w:styleId="Tablaconcuadrcula927">
    <w:name w:val="Tabla con cuadrícula927"/>
    <w:basedOn w:val="Tablanormal"/>
    <w:next w:val="Tablaconcuadrcula"/>
    <w:uiPriority w:val="59"/>
    <w:rsid w:val="00617915"/>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28">
    <w:name w:val="Tabla con cuadrícula928"/>
    <w:basedOn w:val="Tablanormal"/>
    <w:next w:val="Tablaconcuadrcula"/>
    <w:rsid w:val="000858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58">
    <w:name w:val="Sin lista658"/>
    <w:next w:val="Sinlista"/>
    <w:uiPriority w:val="99"/>
    <w:semiHidden/>
    <w:unhideWhenUsed/>
    <w:rsid w:val="00DA6633"/>
  </w:style>
  <w:style w:type="table" w:customStyle="1" w:styleId="Tablaconcuadrcula929">
    <w:name w:val="Tabla con cuadrícula929"/>
    <w:basedOn w:val="Tablanormal"/>
    <w:next w:val="Tablaconcuadrcula"/>
    <w:uiPriority w:val="59"/>
    <w:rsid w:val="00DA663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0">
    <w:name w:val="Tabla con cuadrícula930"/>
    <w:basedOn w:val="Tablanormal"/>
    <w:next w:val="Tablaconcuadrcula"/>
    <w:rsid w:val="000E37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9">
    <w:name w:val="Sin lista659"/>
    <w:next w:val="Sinlista"/>
    <w:uiPriority w:val="99"/>
    <w:semiHidden/>
    <w:unhideWhenUsed/>
    <w:rsid w:val="001A5B51"/>
  </w:style>
  <w:style w:type="table" w:customStyle="1" w:styleId="Tablaconcuadrcula931">
    <w:name w:val="Tabla con cuadrícula931"/>
    <w:basedOn w:val="Tablanormal"/>
    <w:next w:val="Tablaconcuadrcula"/>
    <w:rsid w:val="001A5B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2">
    <w:name w:val="Tabla con cuadrícula932"/>
    <w:basedOn w:val="Tablanormal"/>
    <w:next w:val="Tablaconcuadrcula"/>
    <w:uiPriority w:val="59"/>
    <w:rsid w:val="00361E46"/>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33">
    <w:name w:val="Tabla con cuadrícula933"/>
    <w:basedOn w:val="Tablanormal"/>
    <w:next w:val="Tablaconcuadrcula"/>
    <w:uiPriority w:val="59"/>
    <w:rsid w:val="00102EC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4">
    <w:name w:val="Tabla con cuadrícula934"/>
    <w:basedOn w:val="Tablanormal"/>
    <w:next w:val="Tablaconcuadrcula"/>
    <w:rsid w:val="00327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5">
    <w:name w:val="Tabla con cuadrícula935"/>
    <w:basedOn w:val="Tablanormal"/>
    <w:next w:val="Tablaconcuadrcula"/>
    <w:uiPriority w:val="59"/>
    <w:rsid w:val="00111BE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6">
    <w:name w:val="Tabla con cuadrícula936"/>
    <w:basedOn w:val="Tablanormal"/>
    <w:next w:val="Tablaconcuadrcula"/>
    <w:rsid w:val="002347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
    <w:name w:val="Tabla con cuadrícula937"/>
    <w:basedOn w:val="Tablanormal"/>
    <w:next w:val="Tablaconcuadrcula"/>
    <w:rsid w:val="005C26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
    <w:name w:val="Tabla con cuadrícula938"/>
    <w:basedOn w:val="Tablanormal"/>
    <w:next w:val="Tablaconcuadrcula"/>
    <w:rsid w:val="009636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0">
    <w:name w:val="Sin lista660"/>
    <w:next w:val="Sinlista"/>
    <w:uiPriority w:val="99"/>
    <w:semiHidden/>
    <w:unhideWhenUsed/>
    <w:rsid w:val="00803CC4"/>
  </w:style>
  <w:style w:type="numbering" w:customStyle="1" w:styleId="Sinlista1107">
    <w:name w:val="Sin lista1107"/>
    <w:next w:val="Sinlista"/>
    <w:semiHidden/>
    <w:rsid w:val="00803CC4"/>
  </w:style>
  <w:style w:type="table" w:customStyle="1" w:styleId="Tablaconcuadrcula939">
    <w:name w:val="Tabla con cuadrícula939"/>
    <w:basedOn w:val="Tablanormal"/>
    <w:next w:val="Tablaconcuadrcula"/>
    <w:uiPriority w:val="59"/>
    <w:rsid w:val="00803C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4">
    <w:name w:val="Sin lista664"/>
    <w:next w:val="Sinlista"/>
    <w:uiPriority w:val="99"/>
    <w:semiHidden/>
    <w:unhideWhenUsed/>
    <w:rsid w:val="006F1D14"/>
  </w:style>
  <w:style w:type="table" w:customStyle="1" w:styleId="Tablaconcuadrcula940">
    <w:name w:val="Tabla con cuadrícula940"/>
    <w:basedOn w:val="Tablanormal"/>
    <w:next w:val="Tablaconcuadrcula"/>
    <w:rsid w:val="006F1D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paragraph" w:customStyle="1" w:styleId="Pa22">
    <w:name w:val="Pa22"/>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character" w:customStyle="1" w:styleId="A10">
    <w:name w:val="A10"/>
    <w:uiPriority w:val="99"/>
    <w:rsid w:val="006F1D14"/>
    <w:rPr>
      <w:rFonts w:cs="MetroflexUniBold"/>
      <w:color w:val="000000"/>
      <w:sz w:val="18"/>
      <w:szCs w:val="18"/>
    </w:rPr>
  </w:style>
  <w:style w:type="table" w:customStyle="1" w:styleId="Tablaconcuadrcula941">
    <w:name w:val="Tabla con cuadrícula941"/>
    <w:basedOn w:val="Tablanormal"/>
    <w:next w:val="Tablaconcuadrcula"/>
    <w:uiPriority w:val="59"/>
    <w:rsid w:val="00C43FE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5">
    <w:name w:val="Sin lista665"/>
    <w:next w:val="Sinlista"/>
    <w:uiPriority w:val="99"/>
    <w:semiHidden/>
    <w:unhideWhenUsed/>
    <w:rsid w:val="00EA23CE"/>
  </w:style>
  <w:style w:type="table" w:customStyle="1" w:styleId="Tablaconcuadrcula942">
    <w:name w:val="Tabla con cuadrícula942"/>
    <w:basedOn w:val="Tablanormal"/>
    <w:next w:val="Tablaconcuadrcula"/>
    <w:rsid w:val="00EA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3">
    <w:name w:val="Tabla con cuadrícula943"/>
    <w:basedOn w:val="Tablanormal"/>
    <w:next w:val="Tablaconcuadrcula"/>
    <w:uiPriority w:val="59"/>
    <w:rsid w:val="00342F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4">
    <w:name w:val="Tabla con cuadrícula944"/>
    <w:basedOn w:val="Tablanormal"/>
    <w:next w:val="Tablaconcuadrcula"/>
    <w:uiPriority w:val="59"/>
    <w:rsid w:val="002045B1"/>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6">
    <w:name w:val="Sin lista666"/>
    <w:next w:val="Sinlista"/>
    <w:uiPriority w:val="99"/>
    <w:semiHidden/>
    <w:unhideWhenUsed/>
    <w:rsid w:val="00FE795A"/>
  </w:style>
  <w:style w:type="table" w:customStyle="1" w:styleId="Tablaconcuadrcula945">
    <w:name w:val="Tabla con cuadrícula945"/>
    <w:basedOn w:val="Tablanormal"/>
    <w:next w:val="Tablaconcuadrcula"/>
    <w:uiPriority w:val="59"/>
    <w:rsid w:val="00FE795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7">
    <w:name w:val="Sin lista667"/>
    <w:next w:val="Sinlista"/>
    <w:uiPriority w:val="99"/>
    <w:semiHidden/>
    <w:unhideWhenUsed/>
    <w:rsid w:val="003F3CBB"/>
  </w:style>
  <w:style w:type="table" w:customStyle="1" w:styleId="Tablaconcuadrcula946">
    <w:name w:val="Tabla con cuadrícula946"/>
    <w:basedOn w:val="Tablanormal"/>
    <w:next w:val="Tablaconcuadrcula"/>
    <w:uiPriority w:val="59"/>
    <w:rsid w:val="003F3C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8">
    <w:name w:val="Sin lista668"/>
    <w:next w:val="Sinlista"/>
    <w:uiPriority w:val="99"/>
    <w:semiHidden/>
    <w:unhideWhenUsed/>
    <w:rsid w:val="008B5355"/>
  </w:style>
  <w:style w:type="numbering" w:customStyle="1" w:styleId="Sinlista669">
    <w:name w:val="Sin lista669"/>
    <w:next w:val="Sinlista"/>
    <w:uiPriority w:val="99"/>
    <w:semiHidden/>
    <w:unhideWhenUsed/>
    <w:rsid w:val="00B305EC"/>
  </w:style>
  <w:style w:type="table" w:customStyle="1" w:styleId="Tablaconcuadrcula947">
    <w:name w:val="Tabla con cuadrícula947"/>
    <w:basedOn w:val="Tablanormal"/>
    <w:next w:val="Tablaconcuadrcula"/>
    <w:rsid w:val="00B305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B305EC"/>
    <w:rPr>
      <w:color w:val="808080"/>
    </w:rPr>
  </w:style>
  <w:style w:type="numbering" w:customStyle="1" w:styleId="Sinlista670">
    <w:name w:val="Sin lista670"/>
    <w:next w:val="Sinlista"/>
    <w:uiPriority w:val="99"/>
    <w:semiHidden/>
    <w:unhideWhenUsed/>
    <w:rsid w:val="004775C6"/>
  </w:style>
  <w:style w:type="table" w:customStyle="1" w:styleId="Tablaconcuadrcula948">
    <w:name w:val="Tabla con cuadrícula948"/>
    <w:basedOn w:val="Tablanormal"/>
    <w:next w:val="Tablaconcuadrcula"/>
    <w:rsid w:val="004775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9">
    <w:name w:val="Tabla con cuadrícula949"/>
    <w:basedOn w:val="Tablanormal"/>
    <w:next w:val="Tablaconcuadrcula"/>
    <w:rsid w:val="00B730DB"/>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0">
    <w:name w:val="Tabla con cuadrícula950"/>
    <w:basedOn w:val="Tablanormal"/>
    <w:next w:val="Tablaconcuadrcula"/>
    <w:rsid w:val="009161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4">
    <w:name w:val="Sin lista674"/>
    <w:next w:val="Sinlista"/>
    <w:uiPriority w:val="99"/>
    <w:semiHidden/>
    <w:unhideWhenUsed/>
    <w:rsid w:val="004112FD"/>
  </w:style>
  <w:style w:type="table" w:customStyle="1" w:styleId="Tablaconcuadrcula951">
    <w:name w:val="Tabla con cuadrícula951"/>
    <w:basedOn w:val="Tablanormal"/>
    <w:next w:val="Tablaconcuadrcula"/>
    <w:uiPriority w:val="59"/>
    <w:rsid w:val="004112FD"/>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52">
    <w:name w:val="Tabla con cuadrícula952"/>
    <w:basedOn w:val="Tablanormal"/>
    <w:next w:val="Tablaconcuadrcula"/>
    <w:uiPriority w:val="59"/>
    <w:rsid w:val="005044F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5">
    <w:name w:val="Sin lista675"/>
    <w:next w:val="Sinlista"/>
    <w:semiHidden/>
    <w:rsid w:val="00973A2E"/>
  </w:style>
  <w:style w:type="table" w:customStyle="1" w:styleId="Tablaconcuadrcula953">
    <w:name w:val="Tabla con cuadrícula953"/>
    <w:basedOn w:val="Tablanormal"/>
    <w:next w:val="Tablaconcuadrcula"/>
    <w:rsid w:val="00973A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6">
    <w:name w:val="Sin lista676"/>
    <w:next w:val="Sinlista"/>
    <w:uiPriority w:val="99"/>
    <w:semiHidden/>
    <w:unhideWhenUsed/>
    <w:rsid w:val="00042EF9"/>
  </w:style>
  <w:style w:type="table" w:customStyle="1" w:styleId="Tablaconcuadrcula954">
    <w:name w:val="Tabla con cuadrícula954"/>
    <w:basedOn w:val="Tablanormal"/>
    <w:next w:val="Tablaconcuadrcula"/>
    <w:uiPriority w:val="59"/>
    <w:rsid w:val="00042E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7">
    <w:name w:val="Sin lista677"/>
    <w:next w:val="Sinlista"/>
    <w:uiPriority w:val="99"/>
    <w:semiHidden/>
    <w:unhideWhenUsed/>
    <w:rsid w:val="00BA0336"/>
  </w:style>
  <w:style w:type="numbering" w:customStyle="1" w:styleId="Sinlista1108">
    <w:name w:val="Sin lista1108"/>
    <w:next w:val="Sinlista"/>
    <w:semiHidden/>
    <w:rsid w:val="00BA0336"/>
  </w:style>
  <w:style w:type="numbering" w:customStyle="1" w:styleId="Sinlista678">
    <w:name w:val="Sin lista678"/>
    <w:next w:val="Sinlista"/>
    <w:uiPriority w:val="99"/>
    <w:semiHidden/>
    <w:unhideWhenUsed/>
    <w:rsid w:val="00121ED4"/>
  </w:style>
  <w:style w:type="table" w:customStyle="1" w:styleId="Tablaconcuadrcula955">
    <w:name w:val="Tabla con cuadrícula955"/>
    <w:basedOn w:val="Tablanormal"/>
    <w:next w:val="Tablaconcuadrcula"/>
    <w:rsid w:val="00121ED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6">
    <w:name w:val="Tabla con cuadrícula956"/>
    <w:basedOn w:val="Tablanormal"/>
    <w:next w:val="Tablaconcuadrcula"/>
    <w:uiPriority w:val="59"/>
    <w:rsid w:val="001D05C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7">
    <w:name w:val="Tabla con cuadrícula957"/>
    <w:basedOn w:val="Tablanormal"/>
    <w:next w:val="Tablaconcuadrcula"/>
    <w:rsid w:val="00564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9">
    <w:name w:val="Sin lista679"/>
    <w:next w:val="Sinlista"/>
    <w:uiPriority w:val="99"/>
    <w:semiHidden/>
    <w:unhideWhenUsed/>
    <w:rsid w:val="006B11F3"/>
  </w:style>
  <w:style w:type="table" w:customStyle="1" w:styleId="Tablaconcuadrcula958">
    <w:name w:val="Tabla con cuadrícula958"/>
    <w:basedOn w:val="Tablanormal"/>
    <w:next w:val="Tablaconcuadrcula"/>
    <w:uiPriority w:val="59"/>
    <w:rsid w:val="006B11F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0">
    <w:name w:val="Sin lista680"/>
    <w:next w:val="Sinlista"/>
    <w:semiHidden/>
    <w:unhideWhenUsed/>
    <w:rsid w:val="009869B9"/>
  </w:style>
  <w:style w:type="table" w:customStyle="1" w:styleId="Tablaconcuadrcula959">
    <w:name w:val="Tabla con cuadrícula959"/>
    <w:basedOn w:val="Tablanormal"/>
    <w:next w:val="Tablaconcuadrcula"/>
    <w:rsid w:val="009869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0">
    <w:name w:val="Tabla con cuadrícula960"/>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
    <w:name w:val="Tabla con cuadrícula961"/>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2">
    <w:name w:val="Tabla con cuadrícula962"/>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3">
    <w:name w:val="Tabla con cuadrícula963"/>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4">
    <w:name w:val="Sin lista684"/>
    <w:next w:val="Sinlista"/>
    <w:uiPriority w:val="99"/>
    <w:semiHidden/>
    <w:unhideWhenUsed/>
    <w:rsid w:val="006D2E96"/>
  </w:style>
  <w:style w:type="table" w:customStyle="1" w:styleId="Tablaconcuadrcula964">
    <w:name w:val="Tabla con cuadrícula964"/>
    <w:basedOn w:val="Tablanormal"/>
    <w:next w:val="Tablaconcuadrcula"/>
    <w:uiPriority w:val="59"/>
    <w:rsid w:val="006D2E9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5">
    <w:name w:val="Sin lista685"/>
    <w:next w:val="Sinlista"/>
    <w:uiPriority w:val="99"/>
    <w:semiHidden/>
    <w:unhideWhenUsed/>
    <w:rsid w:val="00425036"/>
  </w:style>
  <w:style w:type="paragraph" w:customStyle="1" w:styleId="Prrafodelista1">
    <w:name w:val="Párrafo de lista1"/>
    <w:basedOn w:val="Normal"/>
    <w:uiPriority w:val="99"/>
    <w:rsid w:val="00425036"/>
    <w:pPr>
      <w:spacing w:after="200" w:line="276" w:lineRule="auto"/>
      <w:ind w:left="720"/>
      <w:contextualSpacing/>
    </w:pPr>
    <w:rPr>
      <w:rFonts w:ascii="Calibri" w:eastAsia="Times New Roman" w:hAnsi="Calibri"/>
      <w:sz w:val="22"/>
      <w:szCs w:val="22"/>
      <w:lang w:eastAsia="en-US"/>
    </w:rPr>
  </w:style>
  <w:style w:type="table" w:customStyle="1" w:styleId="Tablaconcuadrcula965">
    <w:name w:val="Tabla con cuadrícula965"/>
    <w:basedOn w:val="Tablanormal"/>
    <w:next w:val="Tablaconcuadrcula"/>
    <w:rsid w:val="0042503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50">
    <w:name w:val="Tabla con cuadrícula 165"/>
    <w:basedOn w:val="Tablanormal"/>
    <w:next w:val="Tablaconcuadrcula10"/>
    <w:rsid w:val="0042503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CarCar4">
    <w:name w:val="Car Car4"/>
    <w:basedOn w:val="Fuentedeprrafopredeter"/>
    <w:locked/>
    <w:rsid w:val="00425036"/>
    <w:rPr>
      <w:rFonts w:cs="Times New Roman"/>
      <w:sz w:val="24"/>
      <w:szCs w:val="24"/>
    </w:rPr>
  </w:style>
  <w:style w:type="numbering" w:customStyle="1" w:styleId="Sinlista686">
    <w:name w:val="Sin lista686"/>
    <w:next w:val="Sinlista"/>
    <w:uiPriority w:val="99"/>
    <w:semiHidden/>
    <w:unhideWhenUsed/>
    <w:rsid w:val="001E339D"/>
  </w:style>
  <w:style w:type="table" w:customStyle="1" w:styleId="Tablaconcuadrcula966">
    <w:name w:val="Tabla con cuadrícula966"/>
    <w:basedOn w:val="Tablanormal"/>
    <w:next w:val="Tablaconcuadrcula"/>
    <w:rsid w:val="001E33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7">
    <w:name w:val="Sin lista687"/>
    <w:next w:val="Sinlista"/>
    <w:semiHidden/>
    <w:unhideWhenUsed/>
    <w:rsid w:val="0045712C"/>
  </w:style>
  <w:style w:type="table" w:customStyle="1" w:styleId="Tablaconcuadrcula967">
    <w:name w:val="Tabla con cuadrícula967"/>
    <w:basedOn w:val="Tablanormal"/>
    <w:next w:val="Tablaconcuadrcula"/>
    <w:rsid w:val="004571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8">
    <w:name w:val="Tabla con cuadrícula968"/>
    <w:basedOn w:val="Tablanormal"/>
    <w:next w:val="Tablaconcuadrcula"/>
    <w:uiPriority w:val="59"/>
    <w:rsid w:val="00A310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8">
    <w:name w:val="Sin lista688"/>
    <w:next w:val="Sinlista"/>
    <w:uiPriority w:val="99"/>
    <w:semiHidden/>
    <w:unhideWhenUsed/>
    <w:rsid w:val="00F54597"/>
  </w:style>
  <w:style w:type="table" w:customStyle="1" w:styleId="Tablaconcuadrcula969">
    <w:name w:val="Tabla con cuadrícula969"/>
    <w:basedOn w:val="Tablanormal"/>
    <w:next w:val="Tablaconcuadrcula"/>
    <w:rsid w:val="00F54597"/>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0">
    <w:name w:val="Tabla con cuadrícula970"/>
    <w:basedOn w:val="Tablanormal"/>
    <w:next w:val="Tablaconcuadrcula"/>
    <w:uiPriority w:val="59"/>
    <w:rsid w:val="00C1462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1">
    <w:name w:val="Tabla con cuadrícula971"/>
    <w:basedOn w:val="Tablanormal"/>
    <w:next w:val="Tablaconcuadrcula"/>
    <w:rsid w:val="00FF7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9">
    <w:name w:val="Sin lista689"/>
    <w:next w:val="Sinlista"/>
    <w:semiHidden/>
    <w:unhideWhenUsed/>
    <w:rsid w:val="003226AD"/>
  </w:style>
  <w:style w:type="table" w:customStyle="1" w:styleId="Tablaconcuadrcula972">
    <w:name w:val="Tabla con cuadrícula972"/>
    <w:basedOn w:val="Tablanormal"/>
    <w:next w:val="Tablaconcuadrcula"/>
    <w:rsid w:val="003226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52">
    <w:name w:val="Pa15+2"/>
    <w:basedOn w:val="Default"/>
    <w:next w:val="Default"/>
    <w:uiPriority w:val="99"/>
    <w:rsid w:val="003226AD"/>
    <w:pPr>
      <w:spacing w:line="161" w:lineRule="atLeast"/>
    </w:pPr>
    <w:rPr>
      <w:rFonts w:ascii="HelveticaNeue Condensed" w:eastAsia="Times New Roman" w:hAnsi="HelveticaNeue Condensed"/>
      <w:color w:val="auto"/>
    </w:rPr>
  </w:style>
  <w:style w:type="paragraph" w:customStyle="1" w:styleId="Pa332">
    <w:name w:val="Pa33+2"/>
    <w:basedOn w:val="Default"/>
    <w:next w:val="Default"/>
    <w:uiPriority w:val="99"/>
    <w:rsid w:val="003226AD"/>
    <w:pPr>
      <w:spacing w:line="161" w:lineRule="atLeast"/>
    </w:pPr>
    <w:rPr>
      <w:rFonts w:ascii="HelveticaNeue Condensed" w:eastAsia="Times New Roman" w:hAnsi="HelveticaNeue Condensed"/>
      <w:color w:val="auto"/>
    </w:rPr>
  </w:style>
  <w:style w:type="character" w:customStyle="1" w:styleId="A102">
    <w:name w:val="A10+2"/>
    <w:rsid w:val="003226AD"/>
    <w:rPr>
      <w:rFonts w:cs="HelveticaNeue Condensed"/>
      <w:color w:val="000000"/>
      <w:sz w:val="11"/>
      <w:szCs w:val="11"/>
    </w:rPr>
  </w:style>
  <w:style w:type="paragraph" w:customStyle="1" w:styleId="Pa162">
    <w:name w:val="Pa16+2"/>
    <w:basedOn w:val="Default"/>
    <w:next w:val="Default"/>
    <w:uiPriority w:val="99"/>
    <w:rsid w:val="003226AD"/>
    <w:pPr>
      <w:spacing w:line="161" w:lineRule="atLeast"/>
    </w:pPr>
    <w:rPr>
      <w:rFonts w:ascii="HelveticaNeue Condensed" w:eastAsia="Times New Roman" w:hAnsi="HelveticaNeue Condensed"/>
      <w:color w:val="auto"/>
    </w:rPr>
  </w:style>
  <w:style w:type="table" w:customStyle="1" w:styleId="Tablaconcuadrcula973">
    <w:name w:val="Tabla con cuadrícula973"/>
    <w:basedOn w:val="Tablanormal"/>
    <w:next w:val="Tablaconcuadrcula"/>
    <w:uiPriority w:val="59"/>
    <w:rsid w:val="006D6C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4">
    <w:name w:val="Tabla con cuadrícula974"/>
    <w:basedOn w:val="Tablanormal"/>
    <w:next w:val="Tablaconcuadrcula"/>
    <w:uiPriority w:val="59"/>
    <w:rsid w:val="00CE391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5">
    <w:name w:val="Tabla con cuadrícula975"/>
    <w:basedOn w:val="Tablanormal"/>
    <w:next w:val="Tablaconcuadrcula"/>
    <w:uiPriority w:val="59"/>
    <w:rsid w:val="00ED2B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6">
    <w:name w:val="Tabla con cuadrícula976"/>
    <w:basedOn w:val="Tablanormal"/>
    <w:next w:val="Tablaconcuadrcula"/>
    <w:rsid w:val="00EB02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7">
    <w:name w:val="Tabla con cuadrícula977"/>
    <w:basedOn w:val="Tablanormal"/>
    <w:next w:val="Tablaconcuadrcula"/>
    <w:uiPriority w:val="59"/>
    <w:rsid w:val="001A60D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0">
    <w:name w:val="Sin lista690"/>
    <w:next w:val="Sinlista"/>
    <w:uiPriority w:val="99"/>
    <w:semiHidden/>
    <w:unhideWhenUsed/>
    <w:rsid w:val="001C3BF9"/>
  </w:style>
  <w:style w:type="table" w:customStyle="1" w:styleId="Tablaconcuadrcula978">
    <w:name w:val="Tabla con cuadrícula978"/>
    <w:basedOn w:val="Tablanormal"/>
    <w:next w:val="Tablaconcuadrcula"/>
    <w:uiPriority w:val="59"/>
    <w:rsid w:val="001C3B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9">
    <w:name w:val="Tabla con cuadrícula979"/>
    <w:basedOn w:val="Tablanormal"/>
    <w:next w:val="Tablaconcuadrcula"/>
    <w:uiPriority w:val="59"/>
    <w:rsid w:val="006C2584"/>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694">
    <w:name w:val="Sin lista694"/>
    <w:next w:val="Sinlista"/>
    <w:uiPriority w:val="99"/>
    <w:semiHidden/>
    <w:unhideWhenUsed/>
    <w:rsid w:val="00500E03"/>
  </w:style>
  <w:style w:type="table" w:customStyle="1" w:styleId="Tablaconcuadrcula980">
    <w:name w:val="Tabla con cuadrícula980"/>
    <w:basedOn w:val="Tablanormal"/>
    <w:next w:val="Tablaconcuadrcula"/>
    <w:uiPriority w:val="59"/>
    <w:rsid w:val="00500E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5">
    <w:name w:val="Sin lista695"/>
    <w:next w:val="Sinlista"/>
    <w:uiPriority w:val="99"/>
    <w:semiHidden/>
    <w:unhideWhenUsed/>
    <w:rsid w:val="00A52B35"/>
  </w:style>
  <w:style w:type="table" w:customStyle="1" w:styleId="Tablaconcuadrcula981">
    <w:name w:val="Tabla con cuadrícula981"/>
    <w:basedOn w:val="Tablanormal"/>
    <w:next w:val="Tablaconcuadrcula"/>
    <w:uiPriority w:val="59"/>
    <w:rsid w:val="00A52B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
    <w:name w:val="long_text"/>
    <w:basedOn w:val="Fuentedeprrafopredeter"/>
    <w:rsid w:val="00A52B35"/>
  </w:style>
  <w:style w:type="numbering" w:customStyle="1" w:styleId="Sinlista696">
    <w:name w:val="Sin lista696"/>
    <w:next w:val="Sinlista"/>
    <w:uiPriority w:val="99"/>
    <w:semiHidden/>
    <w:unhideWhenUsed/>
    <w:rsid w:val="00B52536"/>
  </w:style>
  <w:style w:type="table" w:customStyle="1" w:styleId="Tablaconcuadrcula982">
    <w:name w:val="Tabla con cuadrícula982"/>
    <w:basedOn w:val="Tablanormal"/>
    <w:next w:val="Tablaconcuadrcula"/>
    <w:uiPriority w:val="59"/>
    <w:rsid w:val="00B5253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7">
    <w:name w:val="Sin lista697"/>
    <w:next w:val="Sinlista"/>
    <w:uiPriority w:val="99"/>
    <w:semiHidden/>
    <w:unhideWhenUsed/>
    <w:rsid w:val="00CA1225"/>
  </w:style>
  <w:style w:type="table" w:customStyle="1" w:styleId="Tablaconcuadrcula983">
    <w:name w:val="Tabla con cuadrícula983"/>
    <w:basedOn w:val="Tablanormal"/>
    <w:next w:val="Tablaconcuadrcula"/>
    <w:uiPriority w:val="59"/>
    <w:rsid w:val="00CA122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8">
    <w:name w:val="Sin lista698"/>
    <w:next w:val="Sinlista"/>
    <w:uiPriority w:val="99"/>
    <w:semiHidden/>
    <w:unhideWhenUsed/>
    <w:rsid w:val="00477DCF"/>
  </w:style>
  <w:style w:type="table" w:customStyle="1" w:styleId="Tablaconcuadrcula984">
    <w:name w:val="Tabla con cuadrícula984"/>
    <w:basedOn w:val="Tablanormal"/>
    <w:next w:val="Tablaconcuadrcula"/>
    <w:rsid w:val="00477DC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5">
    <w:name w:val="Tabla con cuadrícula985"/>
    <w:basedOn w:val="Tablanormal"/>
    <w:next w:val="Tablaconcuadrcula"/>
    <w:rsid w:val="00DC3A28"/>
    <w:rPr>
      <w:rFonts w:asciiTheme="minorHAnsi" w:eastAsia="Times New Roman"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6">
    <w:name w:val="Tabla con cuadrícula986"/>
    <w:basedOn w:val="Tablanormal"/>
    <w:next w:val="Tablaconcuadrcula"/>
    <w:rsid w:val="00CC26A1"/>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7">
    <w:name w:val="Tabla con cuadrícula987"/>
    <w:basedOn w:val="Tablanormal"/>
    <w:next w:val="Tablaconcuadrcula"/>
    <w:uiPriority w:val="59"/>
    <w:rsid w:val="0078342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8">
    <w:name w:val="Tabla con cuadrícula988"/>
    <w:basedOn w:val="Tablanormal"/>
    <w:next w:val="Tablaconcuadrcula"/>
    <w:uiPriority w:val="59"/>
    <w:rsid w:val="0066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9">
    <w:name w:val="Sin lista699"/>
    <w:next w:val="Sinlista"/>
    <w:uiPriority w:val="99"/>
    <w:semiHidden/>
    <w:unhideWhenUsed/>
    <w:rsid w:val="00E06EAA"/>
  </w:style>
  <w:style w:type="table" w:customStyle="1" w:styleId="Tablaconcuadrcula989">
    <w:name w:val="Tabla con cuadrícula989"/>
    <w:basedOn w:val="Tablanormal"/>
    <w:next w:val="Tablaconcuadrcula"/>
    <w:uiPriority w:val="59"/>
    <w:rsid w:val="00E06EA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0">
    <w:name w:val="Tabla con cuadrícula990"/>
    <w:basedOn w:val="Tablanormal"/>
    <w:next w:val="Tablaconcuadrcula"/>
    <w:uiPriority w:val="59"/>
    <w:rsid w:val="001A4F7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
    <w:name w:val="Tabla con cuadrícula991"/>
    <w:basedOn w:val="Tablanormal"/>
    <w:next w:val="Tablaconcuadrcula"/>
    <w:uiPriority w:val="59"/>
    <w:rsid w:val="00172F6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2">
    <w:name w:val="Tabla con cuadrícula992"/>
    <w:basedOn w:val="Tablanormal"/>
    <w:next w:val="Tablaconcuadrcula"/>
    <w:uiPriority w:val="59"/>
    <w:rsid w:val="009C6C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3">
    <w:name w:val="Tabla con cuadrícula993"/>
    <w:basedOn w:val="Tablanormal"/>
    <w:next w:val="Tablaconcuadrcula"/>
    <w:uiPriority w:val="59"/>
    <w:rsid w:val="009652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4">
    <w:name w:val="Tabla con cuadrícula994"/>
    <w:basedOn w:val="Tablanormal"/>
    <w:next w:val="Tablaconcuadrcula"/>
    <w:uiPriority w:val="59"/>
    <w:rsid w:val="002A483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5">
    <w:name w:val="Tabla con cuadrícula995"/>
    <w:basedOn w:val="Tablanormal"/>
    <w:next w:val="Tablaconcuadrcula"/>
    <w:uiPriority w:val="59"/>
    <w:rsid w:val="00E56233"/>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6">
    <w:name w:val="Tabla con cuadrícula996"/>
    <w:basedOn w:val="Tablanormal"/>
    <w:next w:val="Tablaconcuadrcula"/>
    <w:rsid w:val="00CC5F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0">
    <w:name w:val="Sin lista700"/>
    <w:next w:val="Sinlista"/>
    <w:uiPriority w:val="99"/>
    <w:semiHidden/>
    <w:unhideWhenUsed/>
    <w:rsid w:val="00D47F04"/>
  </w:style>
  <w:style w:type="table" w:customStyle="1" w:styleId="Tablaconcuadrcula997">
    <w:name w:val="Tabla con cuadrícula997"/>
    <w:basedOn w:val="Tablanormal"/>
    <w:next w:val="Tablaconcuadrcula"/>
    <w:rsid w:val="00D47F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4">
    <w:name w:val="Sin lista704"/>
    <w:next w:val="Sinlista"/>
    <w:uiPriority w:val="99"/>
    <w:semiHidden/>
    <w:unhideWhenUsed/>
    <w:rsid w:val="00D6023F"/>
  </w:style>
  <w:style w:type="table" w:customStyle="1" w:styleId="Tablaconcuadrcula998">
    <w:name w:val="Tabla con cuadrícula998"/>
    <w:basedOn w:val="Tablanormal"/>
    <w:next w:val="Tablaconcuadrcula"/>
    <w:rsid w:val="00D6023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next w:val="Tablaconcuadrcula"/>
    <w:rsid w:val="00D6023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5">
    <w:name w:val="Sin lista705"/>
    <w:next w:val="Sinlista"/>
    <w:uiPriority w:val="99"/>
    <w:semiHidden/>
    <w:unhideWhenUsed/>
    <w:rsid w:val="00B666DA"/>
  </w:style>
  <w:style w:type="table" w:customStyle="1" w:styleId="Tablaconcuadrcula999">
    <w:name w:val="Tabla con cuadrícula999"/>
    <w:basedOn w:val="Tablanormal"/>
    <w:next w:val="Tablaconcuadrcula"/>
    <w:uiPriority w:val="59"/>
    <w:rsid w:val="00B666D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00">
    <w:name w:val="Tabla con cuadrícula1000"/>
    <w:basedOn w:val="Tablanormal"/>
    <w:next w:val="Tablaconcuadrcula"/>
    <w:uiPriority w:val="59"/>
    <w:rsid w:val="00486C5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1">
    <w:name w:val="Tabla con cuadrícula1001"/>
    <w:basedOn w:val="Tablanormal"/>
    <w:next w:val="Tablaconcuadrcula"/>
    <w:rsid w:val="00E34F92"/>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2">
    <w:name w:val="Tabla con cuadrícula1002"/>
    <w:basedOn w:val="Tablanormal"/>
    <w:next w:val="Tablaconcuadrcula"/>
    <w:rsid w:val="00227D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6">
    <w:name w:val="Sin lista706"/>
    <w:next w:val="Sinlista"/>
    <w:uiPriority w:val="99"/>
    <w:semiHidden/>
    <w:unhideWhenUsed/>
    <w:rsid w:val="00FB5E5F"/>
  </w:style>
  <w:style w:type="table" w:customStyle="1" w:styleId="Tablaconcuadrcula1003">
    <w:name w:val="Tabla con cuadrícula1003"/>
    <w:basedOn w:val="Tablanormal"/>
    <w:next w:val="Tablaconcuadrcula"/>
    <w:uiPriority w:val="59"/>
    <w:rsid w:val="00183CCD"/>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7">
    <w:name w:val="Sin lista707"/>
    <w:next w:val="Sinlista"/>
    <w:uiPriority w:val="99"/>
    <w:semiHidden/>
    <w:unhideWhenUsed/>
    <w:rsid w:val="00136C91"/>
  </w:style>
  <w:style w:type="table" w:customStyle="1" w:styleId="Tablaconcuadrcula1004">
    <w:name w:val="Tabla con cuadrícula1004"/>
    <w:basedOn w:val="Tablanormal"/>
    <w:next w:val="Tablaconcuadrcula"/>
    <w:uiPriority w:val="59"/>
    <w:rsid w:val="00F30EE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5">
    <w:name w:val="Tabla con cuadrícula1005"/>
    <w:basedOn w:val="Tablanormal"/>
    <w:next w:val="Tablaconcuadrcula"/>
    <w:uiPriority w:val="59"/>
    <w:rsid w:val="00EB71D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8">
    <w:name w:val="Sin lista708"/>
    <w:next w:val="Sinlista"/>
    <w:uiPriority w:val="99"/>
    <w:semiHidden/>
    <w:unhideWhenUsed/>
    <w:rsid w:val="00D626E3"/>
  </w:style>
  <w:style w:type="table" w:customStyle="1" w:styleId="Tablaconcuadrcula1006">
    <w:name w:val="Tabla con cuadrícula1006"/>
    <w:basedOn w:val="Tablanormal"/>
    <w:next w:val="Tablaconcuadrcula"/>
    <w:uiPriority w:val="59"/>
    <w:rsid w:val="00D626E3"/>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709">
    <w:name w:val="Sin lista709"/>
    <w:next w:val="Sinlista"/>
    <w:uiPriority w:val="99"/>
    <w:semiHidden/>
    <w:unhideWhenUsed/>
    <w:rsid w:val="00F61D3E"/>
  </w:style>
  <w:style w:type="table" w:customStyle="1" w:styleId="Tablaconcuadrcula1007">
    <w:name w:val="Tabla con cuadrícula1007"/>
    <w:basedOn w:val="Tablanormal"/>
    <w:next w:val="Tablaconcuadrcula"/>
    <w:rsid w:val="00F61D3E"/>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60">
    <w:name w:val="Tabla con cuadrícula 166"/>
    <w:basedOn w:val="Tablanormal"/>
    <w:next w:val="Tablaconcuadrcula10"/>
    <w:rsid w:val="00F61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16">
    <w:name w:val="Sin lista716"/>
    <w:next w:val="Sinlista"/>
    <w:uiPriority w:val="99"/>
    <w:semiHidden/>
    <w:unhideWhenUsed/>
    <w:rsid w:val="00CA74ED"/>
  </w:style>
  <w:style w:type="table" w:customStyle="1" w:styleId="Tablaconcuadrcula1008">
    <w:name w:val="Tabla con cuadrícula1008"/>
    <w:basedOn w:val="Tablanormal"/>
    <w:next w:val="Tablaconcuadrcula"/>
    <w:rsid w:val="00CA74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1">
    <w:name w:val="p01"/>
    <w:basedOn w:val="Normal"/>
    <w:next w:val="p0"/>
    <w:uiPriority w:val="99"/>
    <w:rsid w:val="00182BC6"/>
    <w:pPr>
      <w:keepLines/>
      <w:spacing w:before="240"/>
      <w:jc w:val="both"/>
    </w:pPr>
    <w:rPr>
      <w:rFonts w:ascii="Univers" w:eastAsia="Times New Roman" w:hAnsi="Univers"/>
      <w:color w:val="0000FF"/>
      <w:szCs w:val="20"/>
      <w:lang w:val="es-ES_tradnl"/>
    </w:rPr>
  </w:style>
  <w:style w:type="numbering" w:customStyle="1" w:styleId="Sinlista717">
    <w:name w:val="Sin lista717"/>
    <w:next w:val="Sinlista"/>
    <w:uiPriority w:val="99"/>
    <w:semiHidden/>
    <w:unhideWhenUsed/>
    <w:rsid w:val="00A7180D"/>
  </w:style>
  <w:style w:type="table" w:customStyle="1" w:styleId="Tablaconcuadrcula1009">
    <w:name w:val="Tabla con cuadrícula1009"/>
    <w:basedOn w:val="Tablanormal"/>
    <w:next w:val="Tablaconcuadrcula"/>
    <w:rsid w:val="00A718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8">
    <w:name w:val="Sin lista718"/>
    <w:next w:val="Sinlista"/>
    <w:uiPriority w:val="99"/>
    <w:semiHidden/>
    <w:unhideWhenUsed/>
    <w:rsid w:val="007A5777"/>
  </w:style>
  <w:style w:type="table" w:customStyle="1" w:styleId="Tablaconcuadrcula1010">
    <w:name w:val="Tabla con cuadrícula1010"/>
    <w:basedOn w:val="Tablanormal"/>
    <w:next w:val="Tablaconcuadrcula"/>
    <w:uiPriority w:val="59"/>
    <w:rsid w:val="007A577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next w:val="Tablaconcuadrcula"/>
    <w:rsid w:val="00AF6128"/>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2">
    <w:name w:val="Tabla con cuadrícula1012"/>
    <w:basedOn w:val="Tablanormal"/>
    <w:next w:val="Tablaconcuadrcula"/>
    <w:rsid w:val="00AF61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3">
    <w:name w:val="Tabla con cuadrícula1013"/>
    <w:basedOn w:val="Tablanormal"/>
    <w:next w:val="Tablaconcuadrcula"/>
    <w:uiPriority w:val="59"/>
    <w:rsid w:val="001D03E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9">
    <w:name w:val="Sin lista719"/>
    <w:next w:val="Sinlista"/>
    <w:uiPriority w:val="99"/>
    <w:semiHidden/>
    <w:unhideWhenUsed/>
    <w:rsid w:val="00BB50C3"/>
  </w:style>
  <w:style w:type="numbering" w:customStyle="1" w:styleId="Sinlista720">
    <w:name w:val="Sin lista720"/>
    <w:next w:val="Sinlista"/>
    <w:uiPriority w:val="99"/>
    <w:semiHidden/>
    <w:unhideWhenUsed/>
    <w:rsid w:val="0067630D"/>
  </w:style>
  <w:style w:type="table" w:customStyle="1" w:styleId="Tablaconcuadrcula1014">
    <w:name w:val="Tabla con cuadrícula1014"/>
    <w:basedOn w:val="Tablanormal"/>
    <w:next w:val="Tablaconcuadrcula"/>
    <w:uiPriority w:val="59"/>
    <w:rsid w:val="0067630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4">
    <w:name w:val="Sin lista724"/>
    <w:next w:val="Sinlista"/>
    <w:uiPriority w:val="99"/>
    <w:semiHidden/>
    <w:unhideWhenUsed/>
    <w:rsid w:val="00C7439A"/>
  </w:style>
  <w:style w:type="table" w:customStyle="1" w:styleId="Tablaconcuadrcula1015">
    <w:name w:val="Tabla con cuadrícula1015"/>
    <w:basedOn w:val="Tablanormal"/>
    <w:next w:val="Tablaconcuadrcula"/>
    <w:uiPriority w:val="59"/>
    <w:rsid w:val="00C7439A"/>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6">
    <w:name w:val="Tabla con cuadrícula1016"/>
    <w:basedOn w:val="Tablanormal"/>
    <w:next w:val="Tablaconcuadrcula"/>
    <w:rsid w:val="001867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5">
    <w:name w:val="Sin lista725"/>
    <w:next w:val="Sinlista"/>
    <w:uiPriority w:val="99"/>
    <w:semiHidden/>
    <w:unhideWhenUsed/>
    <w:rsid w:val="00223A5B"/>
  </w:style>
  <w:style w:type="table" w:customStyle="1" w:styleId="Tablaconcuadrcula1017">
    <w:name w:val="Tabla con cuadrícula1017"/>
    <w:basedOn w:val="Tablanormal"/>
    <w:next w:val="Tablaconcuadrcula"/>
    <w:rsid w:val="00223A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6">
    <w:name w:val="Sin lista726"/>
    <w:next w:val="Sinlista"/>
    <w:uiPriority w:val="99"/>
    <w:semiHidden/>
    <w:unhideWhenUsed/>
    <w:rsid w:val="0025326F"/>
  </w:style>
  <w:style w:type="table" w:customStyle="1" w:styleId="Tablaconcuadrcula1018">
    <w:name w:val="Tabla con cuadrícula1018"/>
    <w:basedOn w:val="Tablanormal"/>
    <w:next w:val="Tablaconcuadrcula"/>
    <w:uiPriority w:val="59"/>
    <w:rsid w:val="0025326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7">
    <w:name w:val="Sin lista727"/>
    <w:next w:val="Sinlista"/>
    <w:uiPriority w:val="99"/>
    <w:semiHidden/>
    <w:unhideWhenUsed/>
    <w:rsid w:val="001F1917"/>
  </w:style>
  <w:style w:type="table" w:customStyle="1" w:styleId="Tablaconcuadrcula1019">
    <w:name w:val="Tabla con cuadrícula1019"/>
    <w:basedOn w:val="Tablanormal"/>
    <w:next w:val="Tablaconcuadrcula"/>
    <w:uiPriority w:val="59"/>
    <w:rsid w:val="001F19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8">
    <w:name w:val="Sin lista728"/>
    <w:next w:val="Sinlista"/>
    <w:uiPriority w:val="99"/>
    <w:semiHidden/>
    <w:unhideWhenUsed/>
    <w:rsid w:val="006952FF"/>
  </w:style>
  <w:style w:type="table" w:customStyle="1" w:styleId="Tablaconcuadrcula1020">
    <w:name w:val="Tabla con cuadrícula1020"/>
    <w:basedOn w:val="Tablanormal"/>
    <w:next w:val="Tablaconcuadrcula"/>
    <w:uiPriority w:val="59"/>
    <w:rsid w:val="006952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next w:val="Tablaconcuadrcula"/>
    <w:uiPriority w:val="59"/>
    <w:rsid w:val="001B723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9">
    <w:name w:val="Sin lista729"/>
    <w:next w:val="Sinlista"/>
    <w:uiPriority w:val="99"/>
    <w:semiHidden/>
    <w:unhideWhenUsed/>
    <w:rsid w:val="004D60EA"/>
  </w:style>
  <w:style w:type="table" w:customStyle="1" w:styleId="Tablaconcuadrcula1022">
    <w:name w:val="Tabla con cuadrícula1022"/>
    <w:basedOn w:val="Tablanormal"/>
    <w:next w:val="Tablaconcuadrcula"/>
    <w:rsid w:val="004D60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3">
    <w:name w:val="Tabla con cuadrícula1023"/>
    <w:basedOn w:val="Tablanormal"/>
    <w:next w:val="Tablaconcuadrcula"/>
    <w:uiPriority w:val="59"/>
    <w:rsid w:val="00267F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4">
    <w:name w:val="Tabla con cuadrícula1024"/>
    <w:basedOn w:val="Tablanormal"/>
    <w:next w:val="Tablaconcuadrcula"/>
    <w:uiPriority w:val="59"/>
    <w:rsid w:val="00D478F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5">
    <w:name w:val="Tabla con cuadrícula1025"/>
    <w:basedOn w:val="Tablanormal"/>
    <w:next w:val="Tablaconcuadrcula"/>
    <w:rsid w:val="001968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6">
    <w:name w:val="Tabla con cuadrícula1026"/>
    <w:basedOn w:val="Tablanormal"/>
    <w:next w:val="Tablaconcuadrcula"/>
    <w:rsid w:val="006F08B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0">
    <w:name w:val="Sin lista730"/>
    <w:next w:val="Sinlista"/>
    <w:semiHidden/>
    <w:unhideWhenUsed/>
    <w:rsid w:val="00D46ED8"/>
  </w:style>
  <w:style w:type="paragraph" w:customStyle="1" w:styleId="date1">
    <w:name w:val="date1"/>
    <w:basedOn w:val="Normal"/>
    <w:rsid w:val="00D46ED8"/>
    <w:rPr>
      <w:rFonts w:eastAsia="Times New Roman"/>
      <w:color w:val="E27626"/>
      <w:sz w:val="9"/>
      <w:szCs w:val="9"/>
      <w:lang w:eastAsia="es-MX"/>
    </w:rPr>
  </w:style>
  <w:style w:type="table" w:customStyle="1" w:styleId="Tablaconcuadrcula1027">
    <w:name w:val="Tabla con cuadrícula1027"/>
    <w:basedOn w:val="Tablanormal"/>
    <w:next w:val="Tablaconcuadrcula"/>
    <w:rsid w:val="00D46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8">
    <w:name w:val="Tabla con cuadrícula1028"/>
    <w:basedOn w:val="Tablanormal"/>
    <w:next w:val="Tablaconcuadrcula"/>
    <w:uiPriority w:val="59"/>
    <w:rsid w:val="00C5124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4">
    <w:name w:val="Sin lista734"/>
    <w:next w:val="Sinlista"/>
    <w:uiPriority w:val="99"/>
    <w:semiHidden/>
    <w:unhideWhenUsed/>
    <w:rsid w:val="004B1BE8"/>
  </w:style>
  <w:style w:type="table" w:customStyle="1" w:styleId="Tablaconcuadrcula1029">
    <w:name w:val="Tabla con cuadrícula1029"/>
    <w:basedOn w:val="Tablanormal"/>
    <w:next w:val="Tablaconcuadrcula"/>
    <w:uiPriority w:val="59"/>
    <w:rsid w:val="004B1BE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0">
    <w:name w:val="Tabla con cuadrícula1030"/>
    <w:basedOn w:val="Tablanormal"/>
    <w:next w:val="Tablaconcuadrcula"/>
    <w:uiPriority w:val="59"/>
    <w:rsid w:val="00740798"/>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next w:val="Tablaconcuadrcula"/>
    <w:uiPriority w:val="59"/>
    <w:rsid w:val="0024757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5">
    <w:name w:val="Sin lista735"/>
    <w:next w:val="Sinlista"/>
    <w:uiPriority w:val="99"/>
    <w:semiHidden/>
    <w:unhideWhenUsed/>
    <w:rsid w:val="002B7839"/>
  </w:style>
  <w:style w:type="table" w:customStyle="1" w:styleId="Tablaconcuadrcula1032">
    <w:name w:val="Tabla con cuadrícula1032"/>
    <w:basedOn w:val="Tablanormal"/>
    <w:next w:val="Tablaconcuadrcula"/>
    <w:uiPriority w:val="59"/>
    <w:rsid w:val="002B783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3">
    <w:name w:val="Tabla con cuadrícula1033"/>
    <w:basedOn w:val="Tablanormal"/>
    <w:next w:val="Tablaconcuadrcula"/>
    <w:uiPriority w:val="59"/>
    <w:rsid w:val="0034064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6">
    <w:name w:val="Sin lista736"/>
    <w:next w:val="Sinlista"/>
    <w:uiPriority w:val="99"/>
    <w:semiHidden/>
    <w:unhideWhenUsed/>
    <w:rsid w:val="00660393"/>
  </w:style>
  <w:style w:type="table" w:customStyle="1" w:styleId="Tablaconcuadrcula1034">
    <w:name w:val="Tabla con cuadrícula1034"/>
    <w:basedOn w:val="Tablanormal"/>
    <w:next w:val="Tablaconcuadrcula"/>
    <w:uiPriority w:val="59"/>
    <w:rsid w:val="0066039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5">
    <w:name w:val="Tabla con cuadrícula1035"/>
    <w:basedOn w:val="Tablanormal"/>
    <w:next w:val="Tablaconcuadrcula"/>
    <w:rsid w:val="00E75C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6">
    <w:name w:val="Tabla con cuadrícula1036"/>
    <w:basedOn w:val="Tablanormal"/>
    <w:next w:val="Tablaconcuadrcula"/>
    <w:uiPriority w:val="59"/>
    <w:rsid w:val="00F33C9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7">
    <w:name w:val="Tabla con cuadrícula1037"/>
    <w:basedOn w:val="Tablanormal"/>
    <w:next w:val="Tablaconcuadrcula"/>
    <w:rsid w:val="008A7484"/>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38">
    <w:name w:val="Tabla con cuadrícula1038"/>
    <w:basedOn w:val="Tablanormal"/>
    <w:next w:val="Tablaconcuadrcula"/>
    <w:uiPriority w:val="59"/>
    <w:rsid w:val="006F04B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7">
    <w:name w:val="Sin lista737"/>
    <w:next w:val="Sinlista"/>
    <w:uiPriority w:val="99"/>
    <w:semiHidden/>
    <w:unhideWhenUsed/>
    <w:rsid w:val="00D066A2"/>
  </w:style>
  <w:style w:type="table" w:customStyle="1" w:styleId="Tablaconcuadrcula1039">
    <w:name w:val="Tabla con cuadrícula1039"/>
    <w:basedOn w:val="Tablanormal"/>
    <w:next w:val="Tablaconcuadrcula"/>
    <w:rsid w:val="00D066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8">
    <w:name w:val="Sin lista738"/>
    <w:next w:val="Sinlista"/>
    <w:uiPriority w:val="99"/>
    <w:semiHidden/>
    <w:unhideWhenUsed/>
    <w:rsid w:val="00240109"/>
  </w:style>
  <w:style w:type="table" w:customStyle="1" w:styleId="Tablaconcuadrcula1040">
    <w:name w:val="Tabla con cuadrícula1040"/>
    <w:basedOn w:val="Tablanormal"/>
    <w:next w:val="Tablaconcuadrcula"/>
    <w:uiPriority w:val="59"/>
    <w:rsid w:val="0024010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next w:val="Tablaconcuadrcula"/>
    <w:uiPriority w:val="59"/>
    <w:rsid w:val="00D512D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9">
    <w:name w:val="Sin lista739"/>
    <w:next w:val="Sinlista"/>
    <w:uiPriority w:val="99"/>
    <w:semiHidden/>
    <w:unhideWhenUsed/>
    <w:rsid w:val="002D374F"/>
  </w:style>
  <w:style w:type="table" w:customStyle="1" w:styleId="Tablaconcuadrcula1042">
    <w:name w:val="Tabla con cuadrícula1042"/>
    <w:basedOn w:val="Tablanormal"/>
    <w:next w:val="Tablaconcuadrcula"/>
    <w:uiPriority w:val="59"/>
    <w:rsid w:val="002D374F"/>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3">
    <w:name w:val="Tabla con cuadrícula1043"/>
    <w:basedOn w:val="Tablanormal"/>
    <w:next w:val="Tablaconcuadrcula"/>
    <w:uiPriority w:val="59"/>
    <w:rsid w:val="00851756"/>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4">
    <w:name w:val="Tabla con cuadrícula1044"/>
    <w:basedOn w:val="Tablanormal"/>
    <w:next w:val="Tablaconcuadrcula"/>
    <w:rsid w:val="00356A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5">
    <w:name w:val="Tabla con cuadrícula1045"/>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6">
    <w:name w:val="Tabla con cuadrícula1046"/>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7">
    <w:name w:val="Tabla con cuadrícula1047"/>
    <w:basedOn w:val="Tablanormal"/>
    <w:next w:val="Tablaconcuadrcula"/>
    <w:uiPriority w:val="59"/>
    <w:rsid w:val="009B3F4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3">
    <w:name w:val="1 / 1.1 / 1.1.1143"/>
    <w:basedOn w:val="Sinlista"/>
    <w:next w:val="111111"/>
    <w:rsid w:val="00A77BB9"/>
  </w:style>
  <w:style w:type="table" w:customStyle="1" w:styleId="Tablaconcuadrcula10331">
    <w:name w:val="Tabla con cuadrícula10331"/>
    <w:basedOn w:val="Tablanormal"/>
    <w:next w:val="Tablaconcuadrcula3"/>
    <w:uiPriority w:val="59"/>
    <w:rsid w:val="00A77BB9"/>
    <w:pPr>
      <w:ind w:right="170"/>
      <w:jc w:val="right"/>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1">
    <w:name w:val="Tabla con cuadrícula10411"/>
    <w:basedOn w:val="Tablanormal"/>
    <w:uiPriority w:val="59"/>
    <w:rsid w:val="00A77BB9"/>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0">
    <w:name w:val="Sin lista740"/>
    <w:next w:val="Sinlista"/>
    <w:uiPriority w:val="99"/>
    <w:semiHidden/>
    <w:unhideWhenUsed/>
    <w:rsid w:val="00B208D9"/>
  </w:style>
  <w:style w:type="table" w:customStyle="1" w:styleId="Tablaconcuadrcula1048">
    <w:name w:val="Tabla con cuadrícula1048"/>
    <w:basedOn w:val="Tablanormal"/>
    <w:next w:val="Tablaconcuadrcula"/>
    <w:uiPriority w:val="59"/>
    <w:rsid w:val="00B208D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4">
    <w:name w:val="Sin lista744"/>
    <w:next w:val="Sinlista"/>
    <w:uiPriority w:val="99"/>
    <w:semiHidden/>
    <w:unhideWhenUsed/>
    <w:rsid w:val="00336652"/>
  </w:style>
  <w:style w:type="table" w:customStyle="1" w:styleId="Tablaconcuadrcula1049">
    <w:name w:val="Tabla con cuadrícula1049"/>
    <w:basedOn w:val="Tablanormal"/>
    <w:next w:val="Tablaconcuadrcula"/>
    <w:uiPriority w:val="59"/>
    <w:rsid w:val="00336652"/>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5">
    <w:name w:val="Sin lista745"/>
    <w:next w:val="Sinlista"/>
    <w:uiPriority w:val="99"/>
    <w:semiHidden/>
    <w:unhideWhenUsed/>
    <w:rsid w:val="00BE3853"/>
  </w:style>
  <w:style w:type="table" w:customStyle="1" w:styleId="Tablaconcuadrcula1050">
    <w:name w:val="Tabla con cuadrícula1050"/>
    <w:basedOn w:val="Tablanormal"/>
    <w:next w:val="Tablaconcuadrcula"/>
    <w:uiPriority w:val="59"/>
    <w:rsid w:val="00BE385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1">
    <w:name w:val="Tabla con cuadrícula1051"/>
    <w:basedOn w:val="Tablanormal"/>
    <w:next w:val="Tablaconcuadrcula"/>
    <w:uiPriority w:val="59"/>
    <w:rsid w:val="009651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2">
    <w:name w:val="Tabla con cuadrícula1052"/>
    <w:basedOn w:val="Tablanormal"/>
    <w:next w:val="Tablaconcuadrcula"/>
    <w:uiPriority w:val="59"/>
    <w:rsid w:val="004A36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1">
    <w:name w:val="Tabla con cuadrícula937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1">
    <w:name w:val="Tabla con cuadrícula938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3">
    <w:name w:val="Tabla con cuadrícula1053"/>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4">
    <w:name w:val="Tabla con cuadrícula1054"/>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5">
    <w:name w:val="Tabla con cuadrícula1055"/>
    <w:basedOn w:val="Tablanormal"/>
    <w:next w:val="Tablaconcuadrcula"/>
    <w:uiPriority w:val="59"/>
    <w:rsid w:val="006142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6">
    <w:name w:val="Tabla con cuadrícula1056"/>
    <w:basedOn w:val="Tablanormal"/>
    <w:next w:val="Tablaconcuadrcula"/>
    <w:uiPriority w:val="59"/>
    <w:rsid w:val="00C919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7">
    <w:name w:val="Tabla con cuadrícula1057"/>
    <w:basedOn w:val="Tablanormal"/>
    <w:next w:val="Tablaconcuadrcula"/>
    <w:uiPriority w:val="59"/>
    <w:rsid w:val="004B70A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8">
    <w:name w:val="Tabla con cuadrícula1058"/>
    <w:basedOn w:val="Tablanormal"/>
    <w:next w:val="Tablaconcuadrcula"/>
    <w:rsid w:val="00EF11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9">
    <w:name w:val="Tabla con cuadrícula1059"/>
    <w:basedOn w:val="Tablanormal"/>
    <w:next w:val="Tablaconcuadrcula"/>
    <w:uiPriority w:val="59"/>
    <w:rsid w:val="001C4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0">
    <w:name w:val="Tabla con cuadrícula1060"/>
    <w:basedOn w:val="Tablanormal"/>
    <w:next w:val="Tablaconcuadrcula"/>
    <w:rsid w:val="00C417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6">
    <w:name w:val="Sin lista746"/>
    <w:next w:val="Sinlista"/>
    <w:uiPriority w:val="99"/>
    <w:semiHidden/>
    <w:unhideWhenUsed/>
    <w:rsid w:val="005F5DD4"/>
  </w:style>
  <w:style w:type="table" w:customStyle="1" w:styleId="Tablaconcuadrcula1061">
    <w:name w:val="Tabla con cuadrícula1061"/>
    <w:basedOn w:val="Tablanormal"/>
    <w:next w:val="Tablaconcuadrcula"/>
    <w:uiPriority w:val="59"/>
    <w:rsid w:val="00BA147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2">
    <w:name w:val="Tabla con cuadrícula1062"/>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3">
    <w:name w:val="Tabla con cuadrícula1063"/>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4">
    <w:name w:val="Tabla con cuadrícula1064"/>
    <w:basedOn w:val="Tablanormal"/>
    <w:next w:val="Tablaconcuadrcula"/>
    <w:uiPriority w:val="59"/>
    <w:rsid w:val="0000391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5">
    <w:name w:val="Tabla con cuadrícula1065"/>
    <w:basedOn w:val="Tablanormal"/>
    <w:next w:val="Tablaconcuadrcula"/>
    <w:uiPriority w:val="59"/>
    <w:rsid w:val="008B6B0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6">
    <w:name w:val="Tabla con cuadrícula1066"/>
    <w:basedOn w:val="Tablanormal"/>
    <w:next w:val="Tablaconcuadrcula"/>
    <w:uiPriority w:val="59"/>
    <w:rsid w:val="006508B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7">
    <w:name w:val="Tabla con cuadrícula1067"/>
    <w:basedOn w:val="Tablanormal"/>
    <w:next w:val="Tablaconcuadrcula"/>
    <w:uiPriority w:val="59"/>
    <w:rsid w:val="00BD583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7">
    <w:name w:val="Sin lista747"/>
    <w:next w:val="Sinlista"/>
    <w:uiPriority w:val="99"/>
    <w:semiHidden/>
    <w:unhideWhenUsed/>
    <w:rsid w:val="00797820"/>
  </w:style>
  <w:style w:type="table" w:customStyle="1" w:styleId="Tablaconcuadrcula1068">
    <w:name w:val="Tabla con cuadrícula1068"/>
    <w:basedOn w:val="Tablanormal"/>
    <w:next w:val="Tablaconcuadrcula"/>
    <w:uiPriority w:val="59"/>
    <w:rsid w:val="0079782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9">
    <w:name w:val="Tabla con cuadrícula1069"/>
    <w:basedOn w:val="Tablanormal"/>
    <w:next w:val="Tablaconcuadrcula"/>
    <w:uiPriority w:val="59"/>
    <w:rsid w:val="005F20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8">
    <w:name w:val="Sin lista748"/>
    <w:next w:val="Sinlista"/>
    <w:uiPriority w:val="99"/>
    <w:semiHidden/>
    <w:unhideWhenUsed/>
    <w:rsid w:val="006B3051"/>
  </w:style>
  <w:style w:type="table" w:customStyle="1" w:styleId="Tablaconcuadrcula1070">
    <w:name w:val="Tabla con cuadrícula1070"/>
    <w:basedOn w:val="Tablanormal"/>
    <w:next w:val="Tablaconcuadrcula"/>
    <w:rsid w:val="006B305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70">
    <w:name w:val="Tabla con cuadrícula 167"/>
    <w:basedOn w:val="Tablanormal"/>
    <w:next w:val="Tablaconcuadrcula10"/>
    <w:rsid w:val="006B305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71">
    <w:name w:val="Tabla con cuadrícula1071"/>
    <w:basedOn w:val="Tablanormal"/>
    <w:next w:val="Tablaconcuadrcula"/>
    <w:uiPriority w:val="59"/>
    <w:rsid w:val="00F362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2">
    <w:name w:val="Tabla con cuadrícula1072"/>
    <w:basedOn w:val="Tablanormal"/>
    <w:next w:val="Tablaconcuadrcula"/>
    <w:uiPriority w:val="59"/>
    <w:rsid w:val="00EC22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9">
    <w:name w:val="Sin lista749"/>
    <w:next w:val="Sinlista"/>
    <w:uiPriority w:val="99"/>
    <w:semiHidden/>
    <w:unhideWhenUsed/>
    <w:rsid w:val="007B0BDD"/>
  </w:style>
  <w:style w:type="table" w:customStyle="1" w:styleId="Tablaconcuadrcula1073">
    <w:name w:val="Tabla con cuadrícula1073"/>
    <w:basedOn w:val="Tablanormal"/>
    <w:next w:val="Tablaconcuadrcula"/>
    <w:rsid w:val="007B0B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4">
    <w:name w:val="Tabla con cuadrícula1074"/>
    <w:basedOn w:val="Tablanormal"/>
    <w:next w:val="Tablaconcuadrcula"/>
    <w:uiPriority w:val="59"/>
    <w:rsid w:val="001D45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0">
    <w:name w:val="Tabla con cuadrícula1120"/>
    <w:basedOn w:val="Tablanormal"/>
    <w:next w:val="Tablaconcuadrcula"/>
    <w:uiPriority w:val="59"/>
    <w:rsid w:val="001D459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0">
    <w:name w:val="Sin lista750"/>
    <w:next w:val="Sinlista"/>
    <w:uiPriority w:val="99"/>
    <w:semiHidden/>
    <w:unhideWhenUsed/>
    <w:rsid w:val="008A2D5E"/>
  </w:style>
  <w:style w:type="table" w:customStyle="1" w:styleId="Tablaconcuadrcula1075">
    <w:name w:val="Tabla con cuadrícula1075"/>
    <w:basedOn w:val="Tablanormal"/>
    <w:next w:val="Tablaconcuadrcula"/>
    <w:rsid w:val="008A2D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2">
    <w:name w:val="Character Style 2"/>
    <w:uiPriority w:val="99"/>
    <w:rsid w:val="008A2D5E"/>
    <w:rPr>
      <w:sz w:val="20"/>
      <w:szCs w:val="20"/>
    </w:rPr>
  </w:style>
  <w:style w:type="numbering" w:customStyle="1" w:styleId="Sinlista1109">
    <w:name w:val="Sin lista1109"/>
    <w:next w:val="Sinlista"/>
    <w:semiHidden/>
    <w:rsid w:val="008A2D5E"/>
  </w:style>
  <w:style w:type="table" w:customStyle="1" w:styleId="Tablaconcuadrcula1076">
    <w:name w:val="Tabla con cuadrícula1076"/>
    <w:basedOn w:val="Tablanormal"/>
    <w:next w:val="Tablaconcuadrcula"/>
    <w:rsid w:val="007035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7">
    <w:name w:val="Tabla con cuadrícula1077"/>
    <w:basedOn w:val="Tablanormal"/>
    <w:next w:val="Tablaconcuadrcula"/>
    <w:uiPriority w:val="59"/>
    <w:rsid w:val="007810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8">
    <w:name w:val="Tabla con cuadrícula1078"/>
    <w:basedOn w:val="Tablanormal"/>
    <w:next w:val="Tablaconcuadrcula"/>
    <w:rsid w:val="000E53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9">
    <w:name w:val="Tabla con cuadrícula1079"/>
    <w:basedOn w:val="Tablanormal"/>
    <w:next w:val="Tablaconcuadrcula"/>
    <w:rsid w:val="001800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0">
    <w:name w:val="Tabla con cuadrícula1080"/>
    <w:basedOn w:val="Tablanormal"/>
    <w:next w:val="Tablaconcuadrcula"/>
    <w:rsid w:val="00A865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
    <w:name w:val="Tabla con cuadrícula1081"/>
    <w:basedOn w:val="Tablanormal"/>
    <w:next w:val="Tablaconcuadrcula"/>
    <w:uiPriority w:val="59"/>
    <w:rsid w:val="0039406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4">
    <w:name w:val="Sin lista754"/>
    <w:next w:val="Sinlista"/>
    <w:uiPriority w:val="99"/>
    <w:semiHidden/>
    <w:unhideWhenUsed/>
    <w:rsid w:val="00275B34"/>
  </w:style>
  <w:style w:type="table" w:customStyle="1" w:styleId="Tablaconcuadrcula1082">
    <w:name w:val="Tabla con cuadrícula1082"/>
    <w:basedOn w:val="Tablanormal"/>
    <w:next w:val="Tablaconcuadrcula"/>
    <w:uiPriority w:val="59"/>
    <w:rsid w:val="00275B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5">
    <w:name w:val="Sin lista755"/>
    <w:next w:val="Sinlista"/>
    <w:uiPriority w:val="99"/>
    <w:semiHidden/>
    <w:unhideWhenUsed/>
    <w:rsid w:val="00193BBE"/>
  </w:style>
  <w:style w:type="table" w:customStyle="1" w:styleId="Tablaconcuadrcula1083">
    <w:name w:val="Tabla con cuadrícula1083"/>
    <w:basedOn w:val="Tablanormal"/>
    <w:next w:val="Tablaconcuadrcula"/>
    <w:uiPriority w:val="59"/>
    <w:rsid w:val="00193B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rsid w:val="00193BBE"/>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4">
    <w:name w:val="Tabla con cuadrícula1084"/>
    <w:basedOn w:val="Tablanormal"/>
    <w:next w:val="Tablaconcuadrcula"/>
    <w:rsid w:val="00A4410D"/>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59"/>
    <w:rsid w:val="00A441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5">
    <w:name w:val="Tabla con cuadrícula1085"/>
    <w:basedOn w:val="Tablanormal"/>
    <w:next w:val="Tablaconcuadrcula"/>
    <w:uiPriority w:val="59"/>
    <w:rsid w:val="00F76C7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6">
    <w:name w:val="Sin lista756"/>
    <w:next w:val="Sinlista"/>
    <w:uiPriority w:val="99"/>
    <w:semiHidden/>
    <w:unhideWhenUsed/>
    <w:rsid w:val="00F54759"/>
  </w:style>
  <w:style w:type="table" w:customStyle="1" w:styleId="Tablaconcuadrcula1086">
    <w:name w:val="Tabla con cuadrícula1086"/>
    <w:basedOn w:val="Tablanormal"/>
    <w:next w:val="Tablaconcuadrcula"/>
    <w:uiPriority w:val="59"/>
    <w:rsid w:val="00F547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7">
    <w:name w:val="Sin lista757"/>
    <w:next w:val="Sinlista"/>
    <w:uiPriority w:val="99"/>
    <w:semiHidden/>
    <w:unhideWhenUsed/>
    <w:rsid w:val="00195739"/>
  </w:style>
  <w:style w:type="table" w:customStyle="1" w:styleId="Tablaconcuadrcula1087">
    <w:name w:val="Tabla con cuadrícula1087"/>
    <w:basedOn w:val="Tablanormal"/>
    <w:next w:val="Tablaconcuadrcula"/>
    <w:uiPriority w:val="59"/>
    <w:rsid w:val="001957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8">
    <w:name w:val="Tabla con cuadrícula1088"/>
    <w:basedOn w:val="Tablanormal"/>
    <w:next w:val="Tablaconcuadrcula"/>
    <w:uiPriority w:val="59"/>
    <w:rsid w:val="0010166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9">
    <w:name w:val="Tabla con cuadrícula1089"/>
    <w:basedOn w:val="Tablanormal"/>
    <w:next w:val="Tablaconcuadrcula"/>
    <w:uiPriority w:val="59"/>
    <w:rsid w:val="00C93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0">
    <w:name w:val="Tabla con cuadrícula1090"/>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1">
    <w:name w:val="Tabla con cuadrícula1091"/>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2">
    <w:name w:val="Tabla con cuadrícula1092"/>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3">
    <w:name w:val="Tabla con cuadrícula1093"/>
    <w:basedOn w:val="Tablanormal"/>
    <w:next w:val="Tablaconcuadrcula"/>
    <w:uiPriority w:val="59"/>
    <w:rsid w:val="00A57C7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4">
    <w:name w:val="Tabla con cuadrícula1094"/>
    <w:basedOn w:val="Tablanormal"/>
    <w:next w:val="Tablaconcuadrcula"/>
    <w:uiPriority w:val="59"/>
    <w:rsid w:val="00B01D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2">
    <w:name w:val="Tabla con cuadrícula937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2">
    <w:name w:val="Tabla con cuadrícula938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5">
    <w:name w:val="Tabla con cuadrícula1095"/>
    <w:basedOn w:val="Tablanormal"/>
    <w:next w:val="Tablaconcuadrcula"/>
    <w:uiPriority w:val="59"/>
    <w:rsid w:val="00527A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8">
    <w:name w:val="Sin lista758"/>
    <w:next w:val="Sinlista"/>
    <w:uiPriority w:val="99"/>
    <w:semiHidden/>
    <w:unhideWhenUsed/>
    <w:rsid w:val="006D239F"/>
  </w:style>
  <w:style w:type="numbering" w:customStyle="1" w:styleId="Sinlista1116">
    <w:name w:val="Sin lista1116"/>
    <w:next w:val="Sinlista"/>
    <w:uiPriority w:val="99"/>
    <w:semiHidden/>
    <w:unhideWhenUsed/>
    <w:rsid w:val="006D239F"/>
  </w:style>
  <w:style w:type="table" w:customStyle="1" w:styleId="Tablaconcuadrcula1096">
    <w:name w:val="Tabla con cuadrícula1096"/>
    <w:basedOn w:val="Tablanormal"/>
    <w:next w:val="Tablaconcuadrcula"/>
    <w:uiPriority w:val="59"/>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4">
    <w:name w:val="Tabla con cuadrícula160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3">
    <w:name w:val="Tabla con cuadrícula210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6">
    <w:name w:val="Tabla con cuadrícula21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6">
    <w:name w:val="Tabla con cuadrícula22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6">
    <w:name w:val="Tabla con cuadrícula23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7">
    <w:name w:val="Sin lista1117"/>
    <w:next w:val="Sinlista"/>
    <w:semiHidden/>
    <w:unhideWhenUsed/>
    <w:rsid w:val="006D239F"/>
  </w:style>
  <w:style w:type="table" w:customStyle="1" w:styleId="Tablaconcuadrcula3102">
    <w:name w:val="Tabla con cuadrícula3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00">
    <w:name w:val="Sin lista2100"/>
    <w:next w:val="Sinlista"/>
    <w:semiHidden/>
    <w:unhideWhenUsed/>
    <w:rsid w:val="006D239F"/>
  </w:style>
  <w:style w:type="table" w:customStyle="1" w:styleId="Tablaconcuadrcula4102">
    <w:name w:val="Tabla con cuadrícula4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4">
    <w:name w:val="Tabla básica 14"/>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8">
    <w:name w:val="Sin lista1118"/>
    <w:next w:val="Sinlista"/>
    <w:semiHidden/>
    <w:rsid w:val="006D239F"/>
  </w:style>
  <w:style w:type="table" w:customStyle="1" w:styleId="Tablaconcuadrcula1124">
    <w:name w:val="Tabla con cuadrícula11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0">
    <w:name w:val="Tabla con cuadrícula 168"/>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MapadeldocumentoCar">
    <w:name w:val="Mapa del documento Car"/>
    <w:basedOn w:val="Fuentedeprrafopredeter"/>
    <w:link w:val="Mapadeldocumento"/>
    <w:uiPriority w:val="99"/>
    <w:semiHidden/>
    <w:rsid w:val="006D239F"/>
    <w:rPr>
      <w:rFonts w:ascii="Tahoma" w:hAnsi="Tahoma" w:cs="Tahoma"/>
      <w:shd w:val="clear" w:color="auto" w:fill="000080"/>
      <w:lang w:eastAsia="es-ES"/>
    </w:rPr>
  </w:style>
  <w:style w:type="character" w:customStyle="1" w:styleId="Textoindependiente3Car">
    <w:name w:val="Texto independiente 3 Car"/>
    <w:basedOn w:val="Fuentedeprrafopredeter"/>
    <w:link w:val="Textoindependiente3"/>
    <w:uiPriority w:val="99"/>
    <w:rsid w:val="006D239F"/>
    <w:rPr>
      <w:sz w:val="16"/>
      <w:szCs w:val="26"/>
      <w:lang w:val="es-ES" w:eastAsia="es-ES"/>
    </w:rPr>
  </w:style>
  <w:style w:type="table" w:customStyle="1" w:styleId="Tablaconcuadrcula1905">
    <w:name w:val="Tabla con cuadrícula1905"/>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4">
    <w:name w:val="Tabla con cuadrícula293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2">
    <w:name w:val="Tabla con cuadrícula5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01">
    <w:name w:val="Tabla con cuadrícula6101"/>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0">
    <w:name w:val="Sin lista3100"/>
    <w:next w:val="Sinlista"/>
    <w:semiHidden/>
    <w:unhideWhenUsed/>
    <w:rsid w:val="006D239F"/>
  </w:style>
  <w:style w:type="table" w:customStyle="1" w:styleId="Tablaconcuadrcula7100">
    <w:name w:val="Tabla con cuadrícula7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4">
    <w:name w:val="Tabla con cuadrícula18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0">
    <w:name w:val="Tabla con cuadrícula51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0">
    <w:name w:val="Sin lista4100"/>
    <w:next w:val="Sinlista"/>
    <w:semiHidden/>
    <w:rsid w:val="006D239F"/>
  </w:style>
  <w:style w:type="table" w:customStyle="1" w:styleId="Tablaconcuadrcula19011">
    <w:name w:val="Tabla con cuadrícula19011"/>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00">
    <w:name w:val="Tabla con cuadrícula8100"/>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00">
    <w:name w:val="Sin lista5100"/>
    <w:next w:val="Sinlista"/>
    <w:semiHidden/>
    <w:unhideWhenUsed/>
    <w:rsid w:val="006D239F"/>
  </w:style>
  <w:style w:type="numbering" w:customStyle="1" w:styleId="Sinlista1216">
    <w:name w:val="Sin lista1216"/>
    <w:next w:val="Sinlista"/>
    <w:semiHidden/>
    <w:rsid w:val="006D239F"/>
  </w:style>
  <w:style w:type="character" w:customStyle="1" w:styleId="Sangra3detindependienteCar">
    <w:name w:val="Sangría 3 de t. independiente Car"/>
    <w:basedOn w:val="Fuentedeprrafopredeter"/>
    <w:link w:val="Sangra3detindependiente"/>
    <w:uiPriority w:val="99"/>
    <w:rsid w:val="006D239F"/>
    <w:rPr>
      <w:sz w:val="16"/>
      <w:szCs w:val="16"/>
      <w:lang w:val="en-GB" w:eastAsia="en-US"/>
    </w:rPr>
  </w:style>
  <w:style w:type="character" w:customStyle="1" w:styleId="SaludoCar">
    <w:name w:val="Saludo Car"/>
    <w:basedOn w:val="Fuentedeprrafopredeter"/>
    <w:link w:val="Saludo"/>
    <w:uiPriority w:val="99"/>
    <w:rsid w:val="006D239F"/>
    <w:rPr>
      <w:sz w:val="24"/>
      <w:szCs w:val="24"/>
      <w:lang w:val="en-GB" w:eastAsia="en-US"/>
    </w:rPr>
  </w:style>
  <w:style w:type="character" w:customStyle="1" w:styleId="FechaCar">
    <w:name w:val="Fecha Car"/>
    <w:basedOn w:val="Fuentedeprrafopredeter"/>
    <w:link w:val="Fecha"/>
    <w:uiPriority w:val="99"/>
    <w:rsid w:val="006D239F"/>
    <w:rPr>
      <w:sz w:val="24"/>
      <w:szCs w:val="24"/>
      <w:lang w:val="en-GB" w:eastAsia="en-US"/>
    </w:rPr>
  </w:style>
  <w:style w:type="character" w:customStyle="1" w:styleId="z-PrincipiodelformularioCar">
    <w:name w:val="z-Principio del formulario Car"/>
    <w:basedOn w:val="Fuentedeprrafopredeter"/>
    <w:link w:val="z-Principiodelformulario"/>
    <w:uiPriority w:val="99"/>
    <w:rsid w:val="006D239F"/>
    <w:rPr>
      <w:rFonts w:ascii="Arial" w:hAnsi="Arial" w:cs="Arial"/>
      <w:vanish/>
      <w:sz w:val="16"/>
      <w:szCs w:val="16"/>
      <w:lang w:val="es-ES" w:eastAsia="es-ES"/>
    </w:rPr>
  </w:style>
  <w:style w:type="character" w:customStyle="1" w:styleId="z-FinaldelformularioCar">
    <w:name w:val="z-Final del formulario Car"/>
    <w:basedOn w:val="Fuentedeprrafopredeter"/>
    <w:link w:val="z-Finaldelformulario"/>
    <w:uiPriority w:val="99"/>
    <w:rsid w:val="006D239F"/>
    <w:rPr>
      <w:rFonts w:ascii="Arial" w:hAnsi="Arial" w:cs="Arial"/>
      <w:vanish/>
      <w:sz w:val="16"/>
      <w:szCs w:val="16"/>
      <w:lang w:val="es-ES" w:eastAsia="es-ES"/>
    </w:rPr>
  </w:style>
  <w:style w:type="character" w:customStyle="1" w:styleId="HTMLconformatoprevioCar">
    <w:name w:val="HTML con formato previo Car"/>
    <w:basedOn w:val="Fuentedeprrafopredeter"/>
    <w:link w:val="HTMLconformatoprevio"/>
    <w:uiPriority w:val="99"/>
    <w:rsid w:val="006D239F"/>
    <w:rPr>
      <w:rFonts w:ascii="Courier New" w:hAnsi="Courier New" w:cs="Courier New"/>
      <w:lang w:val="es-ES" w:eastAsia="es-ES"/>
    </w:rPr>
  </w:style>
  <w:style w:type="character" w:customStyle="1" w:styleId="Textoindependienteprimerasangra2Car">
    <w:name w:val="Texto independiente primera sangría 2 Car"/>
    <w:basedOn w:val="SangradetextonormalCar"/>
    <w:link w:val="Textoindependienteprimerasangra2"/>
    <w:uiPriority w:val="99"/>
    <w:rsid w:val="006D239F"/>
    <w:rPr>
      <w:rFonts w:eastAsia="SimSun"/>
      <w:sz w:val="24"/>
      <w:szCs w:val="24"/>
      <w:lang w:val="es-ES" w:eastAsia="es-ES" w:bidi="ar-SA"/>
    </w:rPr>
  </w:style>
  <w:style w:type="character" w:customStyle="1" w:styleId="TextocomentarioCar">
    <w:name w:val="Texto comentario Car"/>
    <w:basedOn w:val="Fuentedeprrafopredeter"/>
    <w:link w:val="Textocomentario"/>
    <w:uiPriority w:val="99"/>
    <w:rsid w:val="006D239F"/>
    <w:rPr>
      <w:rFonts w:eastAsia="Arial Unicode MS"/>
      <w:lang w:val="es-ES_tradnl" w:eastAsia="ar-SA"/>
    </w:rPr>
  </w:style>
  <w:style w:type="character" w:customStyle="1" w:styleId="AsuntodelcomentarioCar">
    <w:name w:val="Asunto del comentario Car"/>
    <w:basedOn w:val="TextocomentarioCar"/>
    <w:link w:val="Asuntodelcomentario"/>
    <w:uiPriority w:val="99"/>
    <w:semiHidden/>
    <w:rsid w:val="006D239F"/>
    <w:rPr>
      <w:rFonts w:eastAsia="Arial Unicode MS"/>
      <w:b/>
      <w:bCs/>
      <w:lang w:val="es-ES_tradnl" w:eastAsia="ar-SA"/>
    </w:rPr>
  </w:style>
  <w:style w:type="numbering" w:customStyle="1" w:styleId="Sinlista6100">
    <w:name w:val="Sin lista6100"/>
    <w:next w:val="Sinlista"/>
    <w:semiHidden/>
    <w:unhideWhenUsed/>
    <w:rsid w:val="006D239F"/>
  </w:style>
  <w:style w:type="table" w:customStyle="1" w:styleId="Tablaconcuadrcula9100">
    <w:name w:val="Tabla con cuadrícula9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59">
    <w:name w:val="Sin lista759"/>
    <w:next w:val="Sinlista"/>
    <w:semiHidden/>
    <w:unhideWhenUsed/>
    <w:rsid w:val="006D239F"/>
  </w:style>
  <w:style w:type="table" w:customStyle="1" w:styleId="Tablaconcuadrcula1097">
    <w:name w:val="Tabla con cuadrícula1097"/>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16">
    <w:name w:val="Tabla con cuadrícula1216"/>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0">
    <w:name w:val="Tabla con cuadrícula13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6">
    <w:name w:val="Sin lista816"/>
    <w:next w:val="Sinlista"/>
    <w:semiHidden/>
    <w:unhideWhenUsed/>
    <w:rsid w:val="006D239F"/>
  </w:style>
  <w:style w:type="table" w:customStyle="1" w:styleId="Tablaconcuadrcula14100">
    <w:name w:val="Tabla con cuadrícula14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16">
    <w:name w:val="Sin lista916"/>
    <w:next w:val="Sinlista"/>
    <w:semiHidden/>
    <w:rsid w:val="006D239F"/>
  </w:style>
  <w:style w:type="numbering" w:customStyle="1" w:styleId="Sinlista1016">
    <w:name w:val="Sin lista1016"/>
    <w:next w:val="Sinlista"/>
    <w:semiHidden/>
    <w:unhideWhenUsed/>
    <w:rsid w:val="006D239F"/>
  </w:style>
  <w:style w:type="numbering" w:customStyle="1" w:styleId="Sinlista1316">
    <w:name w:val="Sin lista1316"/>
    <w:next w:val="Sinlista"/>
    <w:semiHidden/>
    <w:rsid w:val="006D239F"/>
  </w:style>
  <w:style w:type="table" w:customStyle="1" w:styleId="Tablaconcuadrcula5210">
    <w:name w:val="Tabla con cuadrícula52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0">
    <w:name w:val="Tabla con cuadrícula1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6">
    <w:name w:val="Sin lista1416"/>
    <w:next w:val="Sinlista"/>
    <w:semiHidden/>
    <w:rsid w:val="006D239F"/>
  </w:style>
  <w:style w:type="table" w:customStyle="1" w:styleId="Tablaconcuadrcula16100">
    <w:name w:val="Tabla con cuadrícula1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5">
    <w:name w:val="Sin lista1515"/>
    <w:next w:val="Sinlista"/>
    <w:semiHidden/>
    <w:rsid w:val="006D239F"/>
  </w:style>
  <w:style w:type="table" w:customStyle="1" w:styleId="Tablaconcuadrcula1710">
    <w:name w:val="Tabla con cuadrícula17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10">
    <w:name w:val="Sin lista1610"/>
    <w:next w:val="Sinlista"/>
    <w:semiHidden/>
    <w:rsid w:val="006D239F"/>
  </w:style>
  <w:style w:type="table" w:customStyle="1" w:styleId="Tablaconcuadrcula1810">
    <w:name w:val="Tabla con cuadrícula18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6">
    <w:name w:val="Tabla con cuadrícula19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0">
    <w:name w:val="Sin lista1710"/>
    <w:next w:val="Sinlista"/>
    <w:semiHidden/>
    <w:rsid w:val="006D239F"/>
  </w:style>
  <w:style w:type="table" w:customStyle="1" w:styleId="Tablaconcuadrcula2010">
    <w:name w:val="Tabla con cuadrícula20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10">
    <w:name w:val="Sin lista1810"/>
    <w:next w:val="Sinlista"/>
    <w:semiHidden/>
    <w:rsid w:val="006D239F"/>
  </w:style>
  <w:style w:type="table" w:customStyle="1" w:styleId="Tablaconcuadrcula11010">
    <w:name w:val="Tabla con cuadrícula110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6">
    <w:name w:val="1 / 1.1 / 1.1.16"/>
    <w:basedOn w:val="Sinlista"/>
    <w:next w:val="111111"/>
    <w:rsid w:val="006D239F"/>
  </w:style>
  <w:style w:type="numbering" w:customStyle="1" w:styleId="Sinlista1910">
    <w:name w:val="Sin lista1910"/>
    <w:next w:val="Sinlista"/>
    <w:semiHidden/>
    <w:unhideWhenUsed/>
    <w:rsid w:val="006D239F"/>
  </w:style>
  <w:style w:type="table" w:customStyle="1" w:styleId="Tablaconcuadrcula2074">
    <w:name w:val="Tabla con cuadrícula207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0">
    <w:name w:val="Tabla con cuadrícula24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6">
    <w:name w:val="Tabla con cuadrícula2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7">
    <w:name w:val="Tabla con cuadrícula2617"/>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7">
    <w:name w:val="Tabla con cuadrícula2717"/>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0">
    <w:name w:val="Tabla con cuadrícula2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0">
    <w:name w:val="Sin lista2010"/>
    <w:next w:val="Sinlista"/>
    <w:semiHidden/>
    <w:rsid w:val="006D239F"/>
  </w:style>
  <w:style w:type="table" w:customStyle="1" w:styleId="Tablaconcuadrcula2910">
    <w:name w:val="Tabla con cuadrícula2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10">
    <w:name w:val="Tabla con cuadrícula3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0">
    <w:name w:val="Tabla con cuadrícula 1113"/>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10">
    <w:name w:val="Sin lista2110"/>
    <w:next w:val="Sinlista"/>
    <w:semiHidden/>
    <w:rsid w:val="006D239F"/>
  </w:style>
  <w:style w:type="table" w:customStyle="1" w:styleId="Tablaconcuadrcula12101">
    <w:name w:val="Tabla con cuadrícula 12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101">
    <w:name w:val="Tabla con cuadrícula 13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10">
    <w:name w:val="Tabla con cuadrícula3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0">
    <w:name w:val="Tabla con cuadrícula3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0">
    <w:name w:val="Tabla con cuadrícula3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1">
    <w:name w:val="Tabla con cuadrícula 14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10">
    <w:name w:val="Tabla con cuadrícula3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0">
    <w:name w:val="Tabla con cuadrícula 15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10">
    <w:name w:val="Tabla con cuadrícula3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10">
    <w:name w:val="Tabla con cuadrícula3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0">
    <w:name w:val="Tabla con cuadrícula37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10">
    <w:name w:val="Sin lista2210"/>
    <w:next w:val="Sinlista"/>
    <w:semiHidden/>
    <w:rsid w:val="006D239F"/>
  </w:style>
  <w:style w:type="numbering" w:customStyle="1" w:styleId="Sinlista2310">
    <w:name w:val="Sin lista2310"/>
    <w:next w:val="Sinlista"/>
    <w:semiHidden/>
    <w:rsid w:val="006D239F"/>
  </w:style>
  <w:style w:type="table" w:customStyle="1" w:styleId="Tablaconcuadrcula3810">
    <w:name w:val="Tabla con cuadrícula3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10">
    <w:name w:val="Tabla con cuadrícula3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10">
    <w:name w:val="Sin lista2410"/>
    <w:next w:val="Sinlista"/>
    <w:semiHidden/>
    <w:rsid w:val="006D239F"/>
  </w:style>
  <w:style w:type="numbering" w:customStyle="1" w:styleId="Sinlista2510">
    <w:name w:val="Sin lista2510"/>
    <w:next w:val="Sinlista"/>
    <w:semiHidden/>
    <w:rsid w:val="006D239F"/>
  </w:style>
  <w:style w:type="numbering" w:customStyle="1" w:styleId="Sinlista2610">
    <w:name w:val="Sin lista2610"/>
    <w:next w:val="Sinlista"/>
    <w:semiHidden/>
    <w:rsid w:val="006D239F"/>
  </w:style>
  <w:style w:type="table" w:customStyle="1" w:styleId="Tablaconcuadrcula4010">
    <w:name w:val="Tabla con cuadrícula4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10">
    <w:name w:val="Sin lista2710"/>
    <w:next w:val="Sinlista"/>
    <w:semiHidden/>
    <w:rsid w:val="006D239F"/>
  </w:style>
  <w:style w:type="table" w:customStyle="1" w:styleId="Tablaconcuadrcula4110">
    <w:name w:val="Tabla con cuadrícula4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0">
    <w:name w:val="Tabla con cuadrícula4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0">
    <w:name w:val="Tabla con cuadrícula4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0">
    <w:name w:val="Tabla con cuadrícula 169"/>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10">
    <w:name w:val="Tabla con cuadrícula45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0">
    <w:name w:val="Tabla con cuadrícula4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0">
    <w:name w:val="Tabla con cuadrícula4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0">
    <w:name w:val="Tabla con cuadrícula4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10">
    <w:name w:val="Tabla con cuadrícula49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10">
    <w:name w:val="Sin lista2810"/>
    <w:next w:val="Sinlista"/>
    <w:semiHidden/>
    <w:rsid w:val="006D239F"/>
  </w:style>
  <w:style w:type="table" w:customStyle="1" w:styleId="Tablaconcuadrcula5010">
    <w:name w:val="Tabla con cuadrícula5010"/>
    <w:basedOn w:val="Tablanormal"/>
    <w:next w:val="Tablaconcuadrcula"/>
    <w:rsid w:val="006D239F"/>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1">
    <w:name w:val="Tabla con cuadrícula5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
    <w:name w:val="Tabla con cuadrícula 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11">
    <w:name w:val="Tabla con cuadrícula 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10">
    <w:name w:val="Tabla con cuadrícula5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1">
    <w:name w:val="Tabla con cuadrícula5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10">
    <w:name w:val="Sin lista2910"/>
    <w:next w:val="Sinlista"/>
    <w:semiHidden/>
    <w:rsid w:val="006D239F"/>
  </w:style>
  <w:style w:type="table" w:customStyle="1" w:styleId="Tablaconcuadrcula5410">
    <w:name w:val="Tabla con cuadrícula5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10">
    <w:name w:val="Tabla con cuadrícula5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7">
    <w:name w:val="Tabla con cuadrícula 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10">
    <w:name w:val="Tabla con cuadrícula5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10">
    <w:name w:val="Sin lista3010"/>
    <w:next w:val="Sinlista"/>
    <w:semiHidden/>
    <w:rsid w:val="006D239F"/>
  </w:style>
  <w:style w:type="table" w:customStyle="1" w:styleId="Tablaconcuadrcula11012">
    <w:name w:val="Tabla con cuadrícula 11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10">
    <w:name w:val="Sin lista3110"/>
    <w:next w:val="Sinlista"/>
    <w:semiHidden/>
    <w:rsid w:val="006D239F"/>
  </w:style>
  <w:style w:type="table" w:customStyle="1" w:styleId="Tablaconcuadrcula5710">
    <w:name w:val="Tabla con cuadrícula5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10">
    <w:name w:val="Tabla con cuadrícula5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0">
    <w:name w:val="Tabla con cuadrícula5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0">
    <w:name w:val="Tabla con cuadrícula6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0">
    <w:name w:val="Tabla con cuadrícula6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0">
    <w:name w:val="Tabla con cuadrícula6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0">
    <w:name w:val="Sin lista3210"/>
    <w:next w:val="Sinlista"/>
    <w:semiHidden/>
    <w:rsid w:val="006D239F"/>
  </w:style>
  <w:style w:type="table" w:customStyle="1" w:styleId="Tablaconcuadrcula6310">
    <w:name w:val="Tabla con cuadrícula6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0">
    <w:name w:val="Tabla con cuadrícula6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10">
    <w:name w:val="Sin lista3310"/>
    <w:next w:val="Sinlista"/>
    <w:semiHidden/>
    <w:unhideWhenUsed/>
    <w:rsid w:val="006D239F"/>
  </w:style>
  <w:style w:type="table" w:customStyle="1" w:styleId="Tablaconcuadrcula6510">
    <w:name w:val="Tabla con cuadrícula65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10">
    <w:name w:val="Sin lista3410"/>
    <w:next w:val="Sinlista"/>
    <w:semiHidden/>
    <w:rsid w:val="006D239F"/>
  </w:style>
  <w:style w:type="numbering" w:customStyle="1" w:styleId="Sinlista3510">
    <w:name w:val="Sin lista3510"/>
    <w:next w:val="Sinlista"/>
    <w:semiHidden/>
    <w:rsid w:val="006D239F"/>
  </w:style>
  <w:style w:type="table" w:customStyle="1" w:styleId="Tablaconcuadrcula6610">
    <w:name w:val="Tabla con cuadrícula6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10">
    <w:name w:val="Sin lista3610"/>
    <w:next w:val="Sinlista"/>
    <w:semiHidden/>
    <w:rsid w:val="006D239F"/>
  </w:style>
  <w:style w:type="table" w:customStyle="1" w:styleId="Tablaconcuadrcula6710">
    <w:name w:val="Tabla con cuadrícula6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10">
    <w:name w:val="Sin lista3710"/>
    <w:next w:val="Sinlista"/>
    <w:semiHidden/>
    <w:rsid w:val="006D239F"/>
  </w:style>
  <w:style w:type="table" w:customStyle="1" w:styleId="Tablaconcuadrcula6810">
    <w:name w:val="Tabla con cuadrícula6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10">
    <w:name w:val="Sin lista3810"/>
    <w:next w:val="Sinlista"/>
    <w:semiHidden/>
    <w:rsid w:val="006D239F"/>
  </w:style>
  <w:style w:type="table" w:customStyle="1" w:styleId="Tablaconcuadrcula6910">
    <w:name w:val="Tabla con cuadrícula6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10">
    <w:name w:val="Sin lista3910"/>
    <w:next w:val="Sinlista"/>
    <w:semiHidden/>
    <w:rsid w:val="006D239F"/>
  </w:style>
  <w:style w:type="table" w:customStyle="1" w:styleId="Tablaconcuadrcula7010">
    <w:name w:val="Tabla con cuadrícula7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0">
    <w:name w:val="Tabla con cuadrícula71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10">
    <w:name w:val="Sin lista4010"/>
    <w:next w:val="Sinlista"/>
    <w:semiHidden/>
    <w:rsid w:val="006D239F"/>
  </w:style>
  <w:style w:type="table" w:customStyle="1" w:styleId="Tablaconcuadrcula7210">
    <w:name w:val="Tabla con cuadrícula7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0">
    <w:name w:val="Sin lista4110"/>
    <w:next w:val="Sinlista"/>
    <w:semiHidden/>
    <w:rsid w:val="006D239F"/>
  </w:style>
  <w:style w:type="table" w:customStyle="1" w:styleId="Tablaconcuadrcula7310">
    <w:name w:val="Tabla con cuadrícula7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0">
    <w:name w:val="Tabla con cuadrícula7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0">
    <w:name w:val="Tabla con cuadrícula7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10">
    <w:name w:val="Sin lista4210"/>
    <w:next w:val="Sinlista"/>
    <w:semiHidden/>
    <w:rsid w:val="006D239F"/>
  </w:style>
  <w:style w:type="table" w:customStyle="1" w:styleId="Tablaconcuadrcula7610">
    <w:name w:val="Tabla con cuadrícula7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10">
    <w:name w:val="Tabla con cuadrícula7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10">
    <w:name w:val="Sin lista4310"/>
    <w:next w:val="Sinlista"/>
    <w:semiHidden/>
    <w:rsid w:val="006D239F"/>
  </w:style>
  <w:style w:type="table" w:customStyle="1" w:styleId="Tablaconcuadrcula7810">
    <w:name w:val="Tabla con cuadrícula7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10">
    <w:name w:val="Tabla con cuadrícula7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0">
    <w:name w:val="Tabla con cuadrícula8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10">
    <w:name w:val="Sin lista4410"/>
    <w:next w:val="Sinlista"/>
    <w:semiHidden/>
    <w:rsid w:val="006D239F"/>
  </w:style>
  <w:style w:type="table" w:customStyle="1" w:styleId="Tablaconcuadrcula8110">
    <w:name w:val="Tabla con cuadrícula8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0">
    <w:name w:val="Tabla con cuadrícula8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10">
    <w:name w:val="Sin lista4510"/>
    <w:next w:val="Sinlista"/>
    <w:semiHidden/>
    <w:rsid w:val="006D239F"/>
  </w:style>
  <w:style w:type="table" w:customStyle="1" w:styleId="Tablaconcuadrcula8310">
    <w:name w:val="Tabla con cuadrícula8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10">
    <w:name w:val="Sin lista4610"/>
    <w:next w:val="Sinlista"/>
    <w:semiHidden/>
    <w:rsid w:val="006D239F"/>
  </w:style>
  <w:style w:type="table" w:customStyle="1" w:styleId="Tablaconcuadrcula8410">
    <w:name w:val="Tabla con cuadrícula8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0">
    <w:name w:val="Tabla con cuadrícula8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0">
    <w:name w:val="Tabla con cuadrícula8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10">
    <w:name w:val="Sin lista4710"/>
    <w:next w:val="Sinlista"/>
    <w:semiHidden/>
    <w:rsid w:val="006D239F"/>
  </w:style>
  <w:style w:type="table" w:customStyle="1" w:styleId="Tablaconcuadrcula8710">
    <w:name w:val="Tabla con cuadrícula8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0">
    <w:name w:val="Tabla con cuadrícula8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10">
    <w:name w:val="Sin lista4810"/>
    <w:next w:val="Sinlista"/>
    <w:semiHidden/>
    <w:rsid w:val="006D239F"/>
  </w:style>
  <w:style w:type="table" w:customStyle="1" w:styleId="Tablaconcuadrcula8910">
    <w:name w:val="Tabla con cuadrícula8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0">
    <w:name w:val="Tabla con cuadrícula9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0">
    <w:name w:val="Tabla con cuadrícula9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10">
    <w:name w:val="Sin lista4910"/>
    <w:next w:val="Sinlista"/>
    <w:semiHidden/>
    <w:rsid w:val="006D239F"/>
  </w:style>
  <w:style w:type="table" w:customStyle="1" w:styleId="Tablaconcuadrcula9210">
    <w:name w:val="Tabla con cuadrícula9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10">
    <w:name w:val="Sin lista5010"/>
    <w:next w:val="Sinlista"/>
    <w:semiHidden/>
    <w:rsid w:val="006D239F"/>
  </w:style>
  <w:style w:type="table" w:customStyle="1" w:styleId="Tablaconcuadrcula9310">
    <w:name w:val="Tabla con cuadrícula9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10">
    <w:name w:val="Tabla con cuadrícula9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10">
    <w:name w:val="Sin lista5110"/>
    <w:next w:val="Sinlista"/>
    <w:semiHidden/>
    <w:rsid w:val="006D239F"/>
  </w:style>
  <w:style w:type="table" w:customStyle="1" w:styleId="Tablaconcuadrcula9510">
    <w:name w:val="Tabla con cuadrícula9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0">
    <w:name w:val="Tabla con cuadrícula9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10">
    <w:name w:val="Sin lista5210"/>
    <w:next w:val="Sinlista"/>
    <w:semiHidden/>
    <w:rsid w:val="006D239F"/>
  </w:style>
  <w:style w:type="numbering" w:customStyle="1" w:styleId="Sinlista5310">
    <w:name w:val="Sin lista5310"/>
    <w:next w:val="Sinlista"/>
    <w:semiHidden/>
    <w:rsid w:val="006D239F"/>
  </w:style>
  <w:style w:type="table" w:customStyle="1" w:styleId="Tablaconcuadrcula9710">
    <w:name w:val="Tabla con cuadrícula9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10">
    <w:name w:val="Sin lista5410"/>
    <w:next w:val="Sinlista"/>
    <w:semiHidden/>
    <w:rsid w:val="006D239F"/>
  </w:style>
  <w:style w:type="table" w:customStyle="1" w:styleId="Tablaconcuadrcula9810">
    <w:name w:val="Tabla con cuadrícula9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0">
    <w:name w:val="Tabla con cuadrícula9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10">
    <w:name w:val="Sin lista5510"/>
    <w:next w:val="Sinlista"/>
    <w:semiHidden/>
    <w:rsid w:val="006D239F"/>
  </w:style>
  <w:style w:type="table" w:customStyle="1" w:styleId="Tablaconcuadrcula10010">
    <w:name w:val="Tabla con cuadrícula10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0">
    <w:name w:val="Tabla con cuadrícula 1114"/>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10">
    <w:name w:val="Sin lista5610"/>
    <w:next w:val="Sinlista"/>
    <w:semiHidden/>
    <w:rsid w:val="006D239F"/>
  </w:style>
  <w:style w:type="table" w:customStyle="1" w:styleId="Tablaconcuadrcula10110">
    <w:name w:val="Tabla con cuadrícula10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0">
    <w:name w:val="Tabla con cuadrícula10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0">
    <w:name w:val="Tabla con cuadrícula10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10">
    <w:name w:val="Sin lista5710"/>
    <w:next w:val="Sinlista"/>
    <w:semiHidden/>
    <w:rsid w:val="006D239F"/>
  </w:style>
  <w:style w:type="table" w:customStyle="1" w:styleId="Tablaconcuadrcula11210">
    <w:name w:val="Tabla con cuadrícula 11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10">
    <w:name w:val="Tabla con cuadrícula10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10">
    <w:name w:val="Sin lista5810"/>
    <w:next w:val="Sinlista"/>
    <w:semiHidden/>
    <w:rsid w:val="006D239F"/>
  </w:style>
  <w:style w:type="table" w:customStyle="1" w:styleId="Tablaconcuadrcula10510">
    <w:name w:val="Tabla con cuadrícula10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10">
    <w:name w:val="Sin lista5910"/>
    <w:next w:val="Sinlista"/>
    <w:semiHidden/>
    <w:rsid w:val="006D239F"/>
  </w:style>
  <w:style w:type="table" w:customStyle="1" w:styleId="Tablaconcuadrcula10610">
    <w:name w:val="Tabla con cuadrícula10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10">
    <w:name w:val="Tabla con cuadrícula10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0">
    <w:name w:val="Tabla con cuadrícula10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8">
    <w:name w:val="Tabla con cuadrícula109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0">
    <w:name w:val="Tabla con cuadrícula11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0">
    <w:name w:val="Sin lista6010"/>
    <w:next w:val="Sinlista"/>
    <w:semiHidden/>
    <w:rsid w:val="006D239F"/>
  </w:style>
  <w:style w:type="table" w:customStyle="1" w:styleId="Tablaconcuadrcula1131">
    <w:name w:val="Tabla con cuadrícula1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10">
    <w:name w:val="Sin lista6110"/>
    <w:next w:val="Sinlista"/>
    <w:semiHidden/>
    <w:rsid w:val="006D239F"/>
  </w:style>
  <w:style w:type="table" w:customStyle="1" w:styleId="Tablaconcuadrcula1141">
    <w:name w:val="Tabla con cuadrícula1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10">
    <w:name w:val="Sin lista6210"/>
    <w:next w:val="Sinlista"/>
    <w:semiHidden/>
    <w:rsid w:val="006D239F"/>
  </w:style>
  <w:style w:type="table" w:customStyle="1" w:styleId="Tablaconcuadrcula1161">
    <w:name w:val="Tabla con cuadrícula1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0">
    <w:name w:val="Tabla con cuadrícula 11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10">
    <w:name w:val="Sin lista6310"/>
    <w:next w:val="Sinlista"/>
    <w:semiHidden/>
    <w:rsid w:val="006D239F"/>
  </w:style>
  <w:style w:type="table" w:customStyle="1" w:styleId="Tablaconcuadrcula1171">
    <w:name w:val="Tabla con cuadrícula1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10">
    <w:name w:val="Sin lista6410"/>
    <w:next w:val="Sinlista"/>
    <w:semiHidden/>
    <w:rsid w:val="006D239F"/>
  </w:style>
  <w:style w:type="table" w:customStyle="1" w:styleId="Tablaconcuadrcula1181">
    <w:name w:val="Tabla con cuadrícula1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10">
    <w:name w:val="Sin lista6510"/>
    <w:next w:val="Sinlista"/>
    <w:semiHidden/>
    <w:rsid w:val="006D239F"/>
  </w:style>
  <w:style w:type="table" w:customStyle="1" w:styleId="Tablaconcuadrcula1191">
    <w:name w:val="Tabla con cuadrícula1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10">
    <w:name w:val="Sin lista6610"/>
    <w:next w:val="Sinlista"/>
    <w:semiHidden/>
    <w:rsid w:val="006D239F"/>
  </w:style>
  <w:style w:type="table" w:customStyle="1" w:styleId="Tablaconcuadrcula12010">
    <w:name w:val="Tabla con cuadrícula1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10">
    <w:name w:val="Sin lista6710"/>
    <w:next w:val="Sinlista"/>
    <w:semiHidden/>
    <w:rsid w:val="006D239F"/>
  </w:style>
  <w:style w:type="numbering" w:customStyle="1" w:styleId="Sinlista6810">
    <w:name w:val="Sin lista6810"/>
    <w:next w:val="Sinlista"/>
    <w:semiHidden/>
    <w:rsid w:val="006D239F"/>
  </w:style>
  <w:style w:type="table" w:customStyle="1" w:styleId="Tablaconcuadrcula1217">
    <w:name w:val="Tabla con cuadrícula1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0">
    <w:name w:val="Sin lista6910"/>
    <w:next w:val="Sinlista"/>
    <w:semiHidden/>
    <w:rsid w:val="006D239F"/>
  </w:style>
  <w:style w:type="table" w:customStyle="1" w:styleId="Tablaconcuadrcula1241">
    <w:name w:val="Tabla con cuadrícula1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
    <w:name w:val="Tabla con cuadrícula1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
    <w:name w:val="Tabla con cuadrícula1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
    <w:name w:val="Tabla con cuadrícula1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1">
    <w:name w:val="Tabla con cuadrícula1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10">
    <w:name w:val="Sin lista7010"/>
    <w:next w:val="Sinlista"/>
    <w:semiHidden/>
    <w:rsid w:val="006D239F"/>
  </w:style>
  <w:style w:type="numbering" w:customStyle="1" w:styleId="Sinlista7110">
    <w:name w:val="Sin lista7110"/>
    <w:next w:val="Sinlista"/>
    <w:semiHidden/>
    <w:rsid w:val="006D239F"/>
  </w:style>
  <w:style w:type="table" w:customStyle="1" w:styleId="Tablaconcuadrcula1291">
    <w:name w:val="Tabla con cuadrícula1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10">
    <w:name w:val="Sin lista7210"/>
    <w:next w:val="Sinlista"/>
    <w:semiHidden/>
    <w:rsid w:val="006D239F"/>
  </w:style>
  <w:style w:type="table" w:customStyle="1" w:styleId="Tablaconcuadrcula13010">
    <w:name w:val="Tabla con cuadrícula1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10">
    <w:name w:val="Sin lista7310"/>
    <w:next w:val="Sinlista"/>
    <w:semiHidden/>
    <w:rsid w:val="006D239F"/>
  </w:style>
  <w:style w:type="table" w:customStyle="1" w:styleId="Tablaconcuadrcula1331">
    <w:name w:val="Tabla con cuadrícula1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1">
    <w:name w:val="Tabla con cuadrícula135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10">
    <w:name w:val="Sin lista7410"/>
    <w:next w:val="Sinlista"/>
    <w:semiHidden/>
    <w:rsid w:val="006D239F"/>
  </w:style>
  <w:style w:type="table" w:customStyle="1" w:styleId="Tablaconcuadrcula1361">
    <w:name w:val="Tabla con cuadrícula1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1">
    <w:name w:val="Tabla con cuadrícula13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1">
    <w:name w:val="Tabla con cuadrícula1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1">
    <w:name w:val="Tabla con cuadrícula1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10">
    <w:name w:val="Tabla con cuadrícula1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10">
    <w:name w:val="Sin lista7510"/>
    <w:next w:val="Sinlista"/>
    <w:semiHidden/>
    <w:rsid w:val="006D239F"/>
  </w:style>
  <w:style w:type="table" w:customStyle="1" w:styleId="Tablaconcuadrcula1451">
    <w:name w:val="Tabla con cuadrícula14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4">
    <w:name w:val="Sin lista764"/>
    <w:next w:val="Sinlista"/>
    <w:semiHidden/>
    <w:rsid w:val="006D239F"/>
  </w:style>
  <w:style w:type="table" w:customStyle="1" w:styleId="Tablaconcuadrcula1461">
    <w:name w:val="Tabla con cuadrícula1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4">
    <w:name w:val="Tabla con cuadrícula51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0">
    <w:name w:val="Tabla con cuadrícula 11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1">
    <w:name w:val="Tabla con cuadrícula1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0">
    <w:name w:val="Tabla con cuadrícula 11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1">
    <w:name w:val="Tabla con cuadrícula1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1">
    <w:name w:val="Tabla con cuadrícula1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10">
    <w:name w:val="Tabla con cuadrícula150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4">
    <w:name w:val="Sin lista774"/>
    <w:next w:val="Sinlista"/>
    <w:semiHidden/>
    <w:rsid w:val="006D239F"/>
  </w:style>
  <w:style w:type="table" w:customStyle="1" w:styleId="Tablaconcuadrcula1517">
    <w:name w:val="Tabla con cuadrícula1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1">
    <w:name w:val="Tabla con cuadrícula15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1">
    <w:name w:val="Tabla con cuadrícula1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1">
    <w:name w:val="Tabla con cuadrícula15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4">
    <w:name w:val="Sin lista784"/>
    <w:next w:val="Sinlista"/>
    <w:semiHidden/>
    <w:rsid w:val="006D239F"/>
  </w:style>
  <w:style w:type="table" w:customStyle="1" w:styleId="Tablaconcuadrcula11610">
    <w:name w:val="Tabla con cuadrícula 11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10">
    <w:name w:val="Tabla con cuadrícula 1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10">
    <w:name w:val="Tabla con cuadrícula 1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4">
    <w:name w:val="Sin lista794"/>
    <w:next w:val="Sinlista"/>
    <w:semiHidden/>
    <w:rsid w:val="006D239F"/>
  </w:style>
  <w:style w:type="table" w:customStyle="1" w:styleId="Tablaconcuadrcula1551">
    <w:name w:val="Tabla con cuadrícula1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4">
    <w:name w:val="Sin lista804"/>
    <w:next w:val="Sinlista"/>
    <w:semiHidden/>
    <w:rsid w:val="006D239F"/>
  </w:style>
  <w:style w:type="table" w:customStyle="1" w:styleId="Tablaconcuadrcula1561">
    <w:name w:val="Tabla con cuadrícula1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1">
    <w:name w:val="Tabla con cuadrícula1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7">
    <w:name w:val="Sin lista817"/>
    <w:next w:val="Sinlista"/>
    <w:semiHidden/>
    <w:rsid w:val="006D239F"/>
  </w:style>
  <w:style w:type="table" w:customStyle="1" w:styleId="Tablaconcuadrcula1581">
    <w:name w:val="Tabla con cuadrícula1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4">
    <w:name w:val="Sin lista824"/>
    <w:next w:val="Sinlista"/>
    <w:semiHidden/>
    <w:rsid w:val="006D239F"/>
  </w:style>
  <w:style w:type="table" w:customStyle="1" w:styleId="Tablaconcuadrcula1591">
    <w:name w:val="Tabla con cuadrícula1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4">
    <w:name w:val="Sin lista834"/>
    <w:next w:val="Sinlista"/>
    <w:semiHidden/>
    <w:rsid w:val="006D239F"/>
  </w:style>
  <w:style w:type="table" w:customStyle="1" w:styleId="Tablaconcuadrcula16110">
    <w:name w:val="Tabla con cuadrícula16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1">
    <w:name w:val="Tabla con cuadrícula1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1">
    <w:name w:val="Tabla con cuadrícula1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1">
    <w:name w:val="Tabla con cuadrícula1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primerasangraCar">
    <w:name w:val="Texto independiente primera sangría Car"/>
    <w:basedOn w:val="TextoindependienteCar"/>
    <w:link w:val="Textoindependienteprimerasangra"/>
    <w:uiPriority w:val="99"/>
    <w:rsid w:val="006D239F"/>
    <w:rPr>
      <w:rFonts w:eastAsia="SimSun"/>
      <w:sz w:val="24"/>
      <w:szCs w:val="24"/>
      <w:lang w:val="es-MX" w:eastAsia="es-ES" w:bidi="ar-SA"/>
    </w:rPr>
  </w:style>
  <w:style w:type="numbering" w:customStyle="1" w:styleId="Sinlista844">
    <w:name w:val="Sin lista844"/>
    <w:next w:val="Sinlista"/>
    <w:semiHidden/>
    <w:rsid w:val="006D239F"/>
  </w:style>
  <w:style w:type="table" w:customStyle="1" w:styleId="Tablaconcuadrcula1651">
    <w:name w:val="Tabla con cuadrícula1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1">
    <w:name w:val="Tabla con cuadrícula1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4">
    <w:name w:val="Sin lista854"/>
    <w:next w:val="Sinlista"/>
    <w:semiHidden/>
    <w:rsid w:val="006D239F"/>
  </w:style>
  <w:style w:type="table" w:customStyle="1" w:styleId="Tablaconcuadrcula1671">
    <w:name w:val="Tabla con cuadrícula16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4">
    <w:name w:val="Sin lista864"/>
    <w:next w:val="Sinlista"/>
    <w:semiHidden/>
    <w:rsid w:val="006D239F"/>
  </w:style>
  <w:style w:type="table" w:customStyle="1" w:styleId="Tablaconcuadrcula1681">
    <w:name w:val="Tabla con cuadrícula1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1">
    <w:name w:val="Tabla con cuadrícula1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1">
    <w:name w:val="Tabla con cuadrícula1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0">
    <w:name w:val="Tabla con cuadrícula17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4">
    <w:name w:val="Sin lista874"/>
    <w:next w:val="Sinlista"/>
    <w:semiHidden/>
    <w:rsid w:val="006D239F"/>
  </w:style>
  <w:style w:type="table" w:customStyle="1" w:styleId="Tablaconcuadrcula1721">
    <w:name w:val="Tabla con cuadrícula17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4">
    <w:name w:val="Sin lista884"/>
    <w:next w:val="Sinlista"/>
    <w:semiHidden/>
    <w:rsid w:val="006D239F"/>
  </w:style>
  <w:style w:type="table" w:customStyle="1" w:styleId="Tablaconcuadrcula1731">
    <w:name w:val="Tabla con cuadrícula1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1">
    <w:name w:val="Tabla con cuadrícula1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4">
    <w:name w:val="Sin lista894"/>
    <w:next w:val="Sinlista"/>
    <w:semiHidden/>
    <w:rsid w:val="006D239F"/>
  </w:style>
  <w:style w:type="table" w:customStyle="1" w:styleId="Tablaconcuadrcula1751">
    <w:name w:val="Tabla con cuadrícula1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1">
    <w:name w:val="Tabla con cuadrícula1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4">
    <w:name w:val="Sin lista904"/>
    <w:next w:val="Sinlista"/>
    <w:semiHidden/>
    <w:rsid w:val="006D239F"/>
  </w:style>
  <w:style w:type="table" w:customStyle="1" w:styleId="Tablaconcuadrcula1771">
    <w:name w:val="Tabla con cuadrícula1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1">
    <w:name w:val="Tabla con cuadrícula1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1">
    <w:name w:val="Tabla con cuadrícula1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1">
    <w:name w:val="Tabla con cuadrícula1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7">
    <w:name w:val="Sin lista917"/>
    <w:next w:val="Sinlista"/>
    <w:semiHidden/>
    <w:rsid w:val="006D239F"/>
  </w:style>
  <w:style w:type="table" w:customStyle="1" w:styleId="Tablaconcuadrcula18110">
    <w:name w:val="Tabla con cuadrícula1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4">
    <w:name w:val="Sin lista924"/>
    <w:next w:val="Sinlista"/>
    <w:semiHidden/>
    <w:rsid w:val="006D239F"/>
  </w:style>
  <w:style w:type="numbering" w:customStyle="1" w:styleId="Sinlista934">
    <w:name w:val="Sin lista934"/>
    <w:next w:val="Sinlista"/>
    <w:semiHidden/>
    <w:rsid w:val="006D239F"/>
  </w:style>
  <w:style w:type="table" w:customStyle="1" w:styleId="Tablaconcuadrcula1831">
    <w:name w:val="Tabla con cuadrícula1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4">
    <w:name w:val="Sin lista944"/>
    <w:next w:val="Sinlista"/>
    <w:semiHidden/>
    <w:rsid w:val="006D239F"/>
  </w:style>
  <w:style w:type="numbering" w:customStyle="1" w:styleId="Sinlista954">
    <w:name w:val="Sin lista954"/>
    <w:next w:val="Sinlista"/>
    <w:semiHidden/>
    <w:rsid w:val="006D239F"/>
  </w:style>
  <w:style w:type="table" w:customStyle="1" w:styleId="Tablaconcuadrcula1841">
    <w:name w:val="Tabla con cuadrícula1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10">
    <w:name w:val="Tabla con cuadrícula 1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1">
    <w:name w:val="Tabla con cuadrícula18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4">
    <w:name w:val="Sin lista964"/>
    <w:next w:val="Sinlista"/>
    <w:semiHidden/>
    <w:rsid w:val="006D239F"/>
  </w:style>
  <w:style w:type="table" w:customStyle="1" w:styleId="Tablaconcuadrcula1861">
    <w:name w:val="Tabla con cuadrícula18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1">
    <w:name w:val="Tabla con cuadrícula 12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10">
    <w:name w:val="Tabla con cuadrícula 12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4">
    <w:name w:val="Sin lista974"/>
    <w:next w:val="Sinlista"/>
    <w:semiHidden/>
    <w:rsid w:val="006D239F"/>
  </w:style>
  <w:style w:type="table" w:customStyle="1" w:styleId="Tablaconcuadrcula1871">
    <w:name w:val="Tabla con cuadrícula18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4">
    <w:name w:val="Sin lista984"/>
    <w:next w:val="Sinlista"/>
    <w:semiHidden/>
    <w:rsid w:val="006D239F"/>
  </w:style>
  <w:style w:type="table" w:customStyle="1" w:styleId="Tablaconcuadrcula1881">
    <w:name w:val="Tabla con cuadrícula18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4">
    <w:name w:val="Sin lista994"/>
    <w:next w:val="Sinlista"/>
    <w:semiHidden/>
    <w:rsid w:val="006D239F"/>
  </w:style>
  <w:style w:type="table" w:customStyle="1" w:styleId="Tablaconcuadrcula1891">
    <w:name w:val="Tabla con cuadrícula18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4">
    <w:name w:val="Sin lista1004"/>
    <w:next w:val="Sinlista"/>
    <w:semiHidden/>
    <w:rsid w:val="006D239F"/>
  </w:style>
  <w:style w:type="numbering" w:customStyle="1" w:styleId="Sinlista1017">
    <w:name w:val="Sin lista1017"/>
    <w:next w:val="Sinlista"/>
    <w:semiHidden/>
    <w:rsid w:val="006D239F"/>
  </w:style>
  <w:style w:type="table" w:customStyle="1" w:styleId="Tablaconcuadrcula19170">
    <w:name w:val="Tabla con cuadrícula19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4">
    <w:name w:val="Sin lista1024"/>
    <w:next w:val="Sinlista"/>
    <w:semiHidden/>
    <w:rsid w:val="006D239F"/>
  </w:style>
  <w:style w:type="table" w:customStyle="1" w:styleId="Tablaconcuadrcula1921">
    <w:name w:val="Tabla con cuadrícula19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4">
    <w:name w:val="Sin lista1034"/>
    <w:next w:val="Sinlista"/>
    <w:semiHidden/>
    <w:rsid w:val="006D239F"/>
  </w:style>
  <w:style w:type="table" w:customStyle="1" w:styleId="Tablaconcuadrcula1931">
    <w:name w:val="Tabla con cuadrícula19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1">
    <w:name w:val="Tabla con cuadrícula19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4">
    <w:name w:val="Sin lista1044"/>
    <w:next w:val="Sinlista"/>
    <w:semiHidden/>
    <w:rsid w:val="006D239F"/>
  </w:style>
  <w:style w:type="table" w:customStyle="1" w:styleId="Tablaconcuadrcula1961">
    <w:name w:val="Tabla con cuadrícula19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1">
    <w:name w:val="Tabla con cuadrícula19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4">
    <w:name w:val="Sin lista1054"/>
    <w:next w:val="Sinlista"/>
    <w:semiHidden/>
    <w:rsid w:val="006D239F"/>
  </w:style>
  <w:style w:type="table" w:customStyle="1" w:styleId="Tablaconcuadrcula1981">
    <w:name w:val="Tabla con cuadrícula19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4">
    <w:name w:val="Sin lista1064"/>
    <w:next w:val="Sinlista"/>
    <w:semiHidden/>
    <w:rsid w:val="006D239F"/>
  </w:style>
  <w:style w:type="table" w:customStyle="1" w:styleId="Tablaconcuadrcula1991">
    <w:name w:val="Tabla con cuadrícula19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4">
    <w:name w:val="Sin lista1074"/>
    <w:next w:val="Sinlista"/>
    <w:semiHidden/>
    <w:rsid w:val="006D239F"/>
  </w:style>
  <w:style w:type="character" w:customStyle="1" w:styleId="EncabezadodemensajeCar">
    <w:name w:val="Encabezado de mensaje Car"/>
    <w:basedOn w:val="Fuentedeprrafopredeter"/>
    <w:link w:val="Encabezadodemensaje"/>
    <w:uiPriority w:val="99"/>
    <w:rsid w:val="006D239F"/>
    <w:rPr>
      <w:rFonts w:ascii="Arial" w:hAnsi="Arial" w:cs="Arial"/>
      <w:sz w:val="24"/>
      <w:szCs w:val="24"/>
      <w:shd w:val="pct20" w:color="auto" w:fill="auto"/>
      <w:lang w:eastAsia="es-ES"/>
    </w:rPr>
  </w:style>
  <w:style w:type="table" w:customStyle="1" w:styleId="Tablaconcuadrcula2001">
    <w:name w:val="Tabla con cuadrícula20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1">
    <w:name w:val="Tabla con cuadrícula2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1">
    <w:name w:val="Tabla con cuadrícula2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1">
    <w:name w:val="Tabla con cuadrícula20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4">
    <w:name w:val="Sin lista1084"/>
    <w:next w:val="Sinlista"/>
    <w:semiHidden/>
    <w:rsid w:val="006D239F"/>
  </w:style>
  <w:style w:type="table" w:customStyle="1" w:styleId="Tablaconcuadrcula2041">
    <w:name w:val="Tabla con cuadrícula20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4">
    <w:name w:val="Sin lista1094"/>
    <w:next w:val="Sinlista"/>
    <w:semiHidden/>
    <w:rsid w:val="006D239F"/>
  </w:style>
  <w:style w:type="table" w:customStyle="1" w:styleId="Tablaconcuadrcula2051">
    <w:name w:val="Tabla con cuadrícula20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0">
    <w:name w:val="Sin lista11010"/>
    <w:next w:val="Sinlista"/>
    <w:semiHidden/>
    <w:rsid w:val="006D239F"/>
  </w:style>
  <w:style w:type="table" w:customStyle="1" w:styleId="Tablaconcuadrcula2061">
    <w:name w:val="Tabla con cuadrícula20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1">
    <w:name w:val="Tabla con cuadrícula20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1">
    <w:name w:val="Tabla con cuadrícula20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0">
    <w:name w:val="Tabla con cuadrícula 12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14">
    <w:name w:val="Sin lista11114"/>
    <w:next w:val="Sinlista"/>
    <w:semiHidden/>
    <w:rsid w:val="006D239F"/>
  </w:style>
  <w:style w:type="table" w:customStyle="1" w:styleId="Tablaconcuadrcula2104">
    <w:name w:val="Tabla con cuadrícula210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4">
    <w:name w:val="Sin lista1124"/>
    <w:next w:val="Sinlista"/>
    <w:semiHidden/>
    <w:rsid w:val="006D239F"/>
  </w:style>
  <w:style w:type="table" w:customStyle="1" w:styleId="Tablaconcuadrcula2117">
    <w:name w:val="Tabla con cuadrícula21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1">
    <w:name w:val="Tabla con cuadrícula2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4">
    <w:name w:val="Sin lista1134"/>
    <w:next w:val="Sinlista"/>
    <w:semiHidden/>
    <w:rsid w:val="006D239F"/>
  </w:style>
  <w:style w:type="table" w:customStyle="1" w:styleId="Tablaconcuadrcula2141">
    <w:name w:val="Tabla con cuadrícula2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0">
    <w:name w:val="Tabla con cuadrícula 12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44">
    <w:name w:val="Sin lista1144"/>
    <w:next w:val="Sinlista"/>
    <w:semiHidden/>
    <w:rsid w:val="006D239F"/>
  </w:style>
  <w:style w:type="table" w:customStyle="1" w:styleId="Tablaconcuadrcula2151">
    <w:name w:val="Tabla con cuadrícula21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4">
    <w:name w:val="Sin lista1154"/>
    <w:next w:val="Sinlista"/>
    <w:semiHidden/>
    <w:rsid w:val="006D239F"/>
  </w:style>
  <w:style w:type="numbering" w:customStyle="1" w:styleId="Sinlista1164">
    <w:name w:val="Sin lista1164"/>
    <w:next w:val="Sinlista"/>
    <w:semiHidden/>
    <w:rsid w:val="006D239F"/>
  </w:style>
  <w:style w:type="table" w:customStyle="1" w:styleId="Tablaconcuadrcula2161">
    <w:name w:val="Tabla con cuadrícula2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1">
    <w:name w:val="Tabla con cuadrícula2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4">
    <w:name w:val="Sin lista1174"/>
    <w:next w:val="Sinlista"/>
    <w:semiHidden/>
    <w:rsid w:val="006D239F"/>
  </w:style>
  <w:style w:type="table" w:customStyle="1" w:styleId="Tablaconcuadrcula2181">
    <w:name w:val="Tabla con cuadrícula2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4">
    <w:name w:val="Sin lista1184"/>
    <w:next w:val="Sinlista"/>
    <w:semiHidden/>
    <w:rsid w:val="006D239F"/>
  </w:style>
  <w:style w:type="table" w:customStyle="1" w:styleId="Tablaconcuadrcula2191">
    <w:name w:val="Tabla con cuadrícula2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1">
    <w:name w:val="Tabla con cuadrícula2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4">
    <w:name w:val="Sin lista1194"/>
    <w:next w:val="Sinlista"/>
    <w:semiHidden/>
    <w:rsid w:val="006D239F"/>
  </w:style>
  <w:style w:type="table" w:customStyle="1" w:styleId="Tablaconcuadrcula2217">
    <w:name w:val="Tabla con cuadrícula2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1">
    <w:name w:val="Tabla con cuadrícula2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4">
    <w:name w:val="Sin lista1204"/>
    <w:next w:val="Sinlista"/>
    <w:semiHidden/>
    <w:rsid w:val="006D239F"/>
  </w:style>
  <w:style w:type="numbering" w:customStyle="1" w:styleId="Sinlista1217">
    <w:name w:val="Sin lista1217"/>
    <w:next w:val="Sinlista"/>
    <w:semiHidden/>
    <w:rsid w:val="006D239F"/>
  </w:style>
  <w:style w:type="table" w:customStyle="1" w:styleId="Tablaconcuadrcula2231">
    <w:name w:val="Tabla con cuadrícula2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4">
    <w:name w:val="Sin lista1224"/>
    <w:next w:val="Sinlista"/>
    <w:semiHidden/>
    <w:rsid w:val="006D239F"/>
  </w:style>
  <w:style w:type="table" w:customStyle="1" w:styleId="Tablaconcuadrcula2241">
    <w:name w:val="Tabla con cuadrícula2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4">
    <w:name w:val="Sin lista1234"/>
    <w:next w:val="Sinlista"/>
    <w:semiHidden/>
    <w:rsid w:val="006D239F"/>
  </w:style>
  <w:style w:type="table" w:customStyle="1" w:styleId="Tablaconcuadrcula12410">
    <w:name w:val="Tabla con cuadrícula 12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1">
    <w:name w:val="Tabla con cuadrícula2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1">
    <w:name w:val="Tabla con cuadrícula2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1">
    <w:name w:val="Tabla con cuadrícula2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1">
    <w:name w:val="Tabla con cuadrícula2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1">
    <w:name w:val="Tabla con cuadrícula2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1">
    <w:name w:val="Tabla con cuadrícula2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4">
    <w:name w:val="Sin lista1244"/>
    <w:next w:val="Sinlista"/>
    <w:semiHidden/>
    <w:rsid w:val="006D239F"/>
  </w:style>
  <w:style w:type="table" w:customStyle="1" w:styleId="Tablaconcuadrcula2317">
    <w:name w:val="Tabla con cuadrícula23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0">
    <w:name w:val="Tabla con cuadrícula 12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4">
    <w:name w:val="Sin lista1254"/>
    <w:next w:val="Sinlista"/>
    <w:semiHidden/>
    <w:rsid w:val="006D239F"/>
  </w:style>
  <w:style w:type="table" w:customStyle="1" w:styleId="Tablaconcuadrcula2321">
    <w:name w:val="Tabla con cuadrícula2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1">
    <w:name w:val="Tabla con cuadrícula2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0">
    <w:name w:val="Tabla con cuadrícula 12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1">
    <w:name w:val="Tabla con cuadrícula2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1">
    <w:name w:val="Tabla con cuadrícula5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1">
    <w:name w:val="Tabla con cuadrícula23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61">
    <w:name w:val="Tabla con cuadrícula2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4">
    <w:name w:val="Sin lista1264"/>
    <w:next w:val="Sinlista"/>
    <w:semiHidden/>
    <w:rsid w:val="006D239F"/>
  </w:style>
  <w:style w:type="table" w:customStyle="1" w:styleId="Tablaconcuadrcula2371">
    <w:name w:val="Tabla con cuadrícula23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0">
    <w:name w:val="Tabla con cuadrícula 12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81">
    <w:name w:val="Tabla con cuadrícula2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1">
    <w:name w:val="Tabla con cuadrícula2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1">
    <w:name w:val="Tabla con cuadrícula2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4">
    <w:name w:val="Sin lista1274"/>
    <w:next w:val="Sinlista"/>
    <w:semiHidden/>
    <w:rsid w:val="006D239F"/>
  </w:style>
  <w:style w:type="table" w:customStyle="1" w:styleId="Tablaconcuadrcula2411">
    <w:name w:val="Tabla con cuadrícula24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4">
    <w:name w:val="Sin lista1284"/>
    <w:next w:val="Sinlista"/>
    <w:semiHidden/>
    <w:rsid w:val="006D239F"/>
  </w:style>
  <w:style w:type="table" w:customStyle="1" w:styleId="Tablaconcuadrcula12810">
    <w:name w:val="Tabla con cuadrícula 12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1">
    <w:name w:val="Tabla con cuadrícula24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4">
    <w:name w:val="Sin lista1294"/>
    <w:next w:val="Sinlista"/>
    <w:semiHidden/>
    <w:rsid w:val="006D239F"/>
  </w:style>
  <w:style w:type="table" w:customStyle="1" w:styleId="Tablaconcuadrcula2431">
    <w:name w:val="Tabla con cuadrícula2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4">
    <w:name w:val="Sin lista1304"/>
    <w:next w:val="Sinlista"/>
    <w:semiHidden/>
    <w:rsid w:val="006D239F"/>
  </w:style>
  <w:style w:type="table" w:customStyle="1" w:styleId="Tablaconcuadrcula2441">
    <w:name w:val="Tabla con cuadrícula24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7">
    <w:name w:val="Sin lista1317"/>
    <w:next w:val="Sinlista"/>
    <w:semiHidden/>
    <w:rsid w:val="006D239F"/>
  </w:style>
  <w:style w:type="table" w:customStyle="1" w:styleId="Tablaconcuadrcula2451">
    <w:name w:val="Tabla con cuadrícula24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4">
    <w:name w:val="Sin lista1324"/>
    <w:next w:val="Sinlista"/>
    <w:semiHidden/>
    <w:rsid w:val="006D239F"/>
  </w:style>
  <w:style w:type="numbering" w:customStyle="1" w:styleId="Sinlista1334">
    <w:name w:val="Sin lista1334"/>
    <w:next w:val="Sinlista"/>
    <w:semiHidden/>
    <w:rsid w:val="006D239F"/>
  </w:style>
  <w:style w:type="table" w:customStyle="1" w:styleId="Tablaconcuadrcula2461">
    <w:name w:val="Tabla con cuadrícula2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4">
    <w:name w:val="Sin lista1344"/>
    <w:next w:val="Sinlista"/>
    <w:semiHidden/>
    <w:rsid w:val="006D239F"/>
  </w:style>
  <w:style w:type="table" w:customStyle="1" w:styleId="Tablaconcuadrcula2471">
    <w:name w:val="Tabla con cuadrícula2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4">
    <w:name w:val="Sin lista1354"/>
    <w:next w:val="Sinlista"/>
    <w:semiHidden/>
    <w:rsid w:val="006D239F"/>
  </w:style>
  <w:style w:type="table" w:customStyle="1" w:styleId="Tablaconcuadrcula2481">
    <w:name w:val="Tabla con cuadrícula2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4">
    <w:name w:val="Sin lista1364"/>
    <w:next w:val="Sinlista"/>
    <w:semiHidden/>
    <w:rsid w:val="006D239F"/>
  </w:style>
  <w:style w:type="table" w:customStyle="1" w:styleId="Tablaconcuadrcula2491">
    <w:name w:val="Tabla con cuadrícula2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1">
    <w:name w:val="Tabla con cuadrícula25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4">
    <w:name w:val="Sin lista1374"/>
    <w:next w:val="Sinlista"/>
    <w:semiHidden/>
    <w:rsid w:val="006D239F"/>
  </w:style>
  <w:style w:type="table" w:customStyle="1" w:styleId="Tablaconcuadrcula2517">
    <w:name w:val="Tabla con cuadrícula2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4">
    <w:name w:val="Sin lista1384"/>
    <w:next w:val="Sinlista"/>
    <w:semiHidden/>
    <w:rsid w:val="006D239F"/>
  </w:style>
  <w:style w:type="table" w:customStyle="1" w:styleId="Tablaconcuadrcula11001">
    <w:name w:val="Tabla con cuadrícula110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1">
    <w:name w:val="Tabla con cuadrícula25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1">
    <w:name w:val="Tabla con cuadrícula2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2">
    <w:name w:val="Tabla con cuadrícula2542"/>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1">
    <w:name w:val="Tabla con cuadrícula2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4">
    <w:name w:val="Sin lista1394"/>
    <w:next w:val="Sinlista"/>
    <w:semiHidden/>
    <w:rsid w:val="006D239F"/>
  </w:style>
  <w:style w:type="table" w:customStyle="1" w:styleId="Tablaconcuadrcula2561">
    <w:name w:val="Tabla con cuadrícula2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4">
    <w:name w:val="Sin lista1404"/>
    <w:next w:val="Sinlista"/>
    <w:semiHidden/>
    <w:rsid w:val="006D239F"/>
  </w:style>
  <w:style w:type="table" w:customStyle="1" w:styleId="Tablaconcuadrcula2571">
    <w:name w:val="Tabla con cuadrícula2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1">
    <w:name w:val="Tabla con cuadrícula2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7">
    <w:name w:val="Sin lista1417"/>
    <w:next w:val="Sinlista"/>
    <w:semiHidden/>
    <w:rsid w:val="006D239F"/>
  </w:style>
  <w:style w:type="table" w:customStyle="1" w:styleId="Tablaconcuadrcula2591">
    <w:name w:val="Tabla con cuadrícula2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4">
    <w:name w:val="Sin lista1424"/>
    <w:next w:val="Sinlista"/>
    <w:semiHidden/>
    <w:rsid w:val="006D239F"/>
  </w:style>
  <w:style w:type="numbering" w:customStyle="1" w:styleId="Sinlista1434">
    <w:name w:val="Sin lista1434"/>
    <w:next w:val="Sinlista"/>
    <w:semiHidden/>
    <w:rsid w:val="006D239F"/>
  </w:style>
  <w:style w:type="table" w:customStyle="1" w:styleId="Tablaconcuadrcula2601">
    <w:name w:val="Tabla con cuadrícula26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8">
    <w:name w:val="Tabla con cuadrícula26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1">
    <w:name w:val="Tabla con cuadrícula2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1">
    <w:name w:val="Tabla con cuadrícula2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1">
    <w:name w:val="Tabla con cuadrícula2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1">
    <w:name w:val="Tabla con cuadrícula2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4">
    <w:name w:val="Sin lista1444"/>
    <w:next w:val="Sinlista"/>
    <w:semiHidden/>
    <w:rsid w:val="006D239F"/>
  </w:style>
  <w:style w:type="table" w:customStyle="1" w:styleId="Tablaconcuadrcula2661">
    <w:name w:val="Tabla con cuadrícula2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4">
    <w:name w:val="Sin lista1454"/>
    <w:next w:val="Sinlista"/>
    <w:semiHidden/>
    <w:rsid w:val="006D239F"/>
  </w:style>
  <w:style w:type="numbering" w:customStyle="1" w:styleId="Sinlista1464">
    <w:name w:val="Sin lista1464"/>
    <w:next w:val="Sinlista"/>
    <w:semiHidden/>
    <w:rsid w:val="006D239F"/>
  </w:style>
  <w:style w:type="table" w:customStyle="1" w:styleId="Tablaconcuadrcula2671">
    <w:name w:val="Tabla con cuadrícula26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10">
    <w:name w:val="Tabla con cuadrícula 12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4">
    <w:name w:val="Sin lista1474"/>
    <w:next w:val="Sinlista"/>
    <w:semiHidden/>
    <w:rsid w:val="006D239F"/>
  </w:style>
  <w:style w:type="table" w:customStyle="1" w:styleId="Tablaconcuadrcula2681">
    <w:name w:val="Tabla con cuadrícula2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a">
    <w:name w:val="Tabla con cuadrícula 22"/>
    <w:basedOn w:val="Tablanormal"/>
    <w:next w:val="Tablaconcuadrcula2a"/>
    <w:rsid w:val="006D239F"/>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1">
    <w:name w:val="Tabla con cuadrícula2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1">
    <w:name w:val="Tabla con cuadrícula2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8">
    <w:name w:val="Tabla con cuadrícula27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4">
    <w:name w:val="Sin lista1484"/>
    <w:next w:val="Sinlista"/>
    <w:semiHidden/>
    <w:rsid w:val="006D239F"/>
  </w:style>
  <w:style w:type="table" w:customStyle="1" w:styleId="Tablaconcuadrcula13011">
    <w:name w:val="Tabla con cuadrícula 13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4">
    <w:name w:val="Sin lista1494"/>
    <w:next w:val="Sinlista"/>
    <w:semiHidden/>
    <w:rsid w:val="006D239F"/>
  </w:style>
  <w:style w:type="table" w:customStyle="1" w:styleId="Tablaconcuadrcula2721">
    <w:name w:val="Tabla con cuadrícula27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4">
    <w:name w:val="Sin lista1504"/>
    <w:next w:val="Sinlista"/>
    <w:semiHidden/>
    <w:rsid w:val="006D239F"/>
  </w:style>
  <w:style w:type="table" w:customStyle="1" w:styleId="Tablaconcuadrcula2731">
    <w:name w:val="Tabla con cuadrícula2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1">
    <w:name w:val="Tabla con cuadrícula2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1">
    <w:name w:val="Tabla con cuadrícula2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6">
    <w:name w:val="Sin lista1516"/>
    <w:next w:val="Sinlista"/>
    <w:semiHidden/>
    <w:rsid w:val="006D239F"/>
  </w:style>
  <w:style w:type="numbering" w:customStyle="1" w:styleId="Sinlista1524">
    <w:name w:val="Sin lista1524"/>
    <w:next w:val="Sinlista"/>
    <w:semiHidden/>
    <w:rsid w:val="006D239F"/>
  </w:style>
  <w:style w:type="table" w:customStyle="1" w:styleId="Tablaconcuadrcula2761">
    <w:name w:val="Tabla con cuadrícula2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4">
    <w:name w:val="Sin lista1534"/>
    <w:next w:val="Sinlista"/>
    <w:semiHidden/>
    <w:rsid w:val="006D239F"/>
  </w:style>
  <w:style w:type="table" w:customStyle="1" w:styleId="Tablaconcuadrcula13110">
    <w:name w:val="Tabla con cuadrícula 13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1">
    <w:name w:val="Tabla con cuadrícula2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4">
    <w:name w:val="Sin lista1544"/>
    <w:next w:val="Sinlista"/>
    <w:semiHidden/>
    <w:rsid w:val="006D239F"/>
  </w:style>
  <w:style w:type="table" w:customStyle="1" w:styleId="Tablaconcuadrcula2781">
    <w:name w:val="Tabla con cuadrícula2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1">
    <w:name w:val="Tabla con cuadrícula2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4">
    <w:name w:val="Sin lista1554"/>
    <w:next w:val="Sinlista"/>
    <w:semiHidden/>
    <w:rsid w:val="006D239F"/>
  </w:style>
  <w:style w:type="table" w:customStyle="1" w:styleId="Tablaconcuadrcula2801">
    <w:name w:val="Tabla con cuadrícula2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1">
    <w:name w:val="Tabla con cuadrícula2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0">
    <w:name w:val="Tabla con cuadrícula 13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1">
    <w:name w:val="Tabla con cuadrícula28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1">
    <w:name w:val="Tabla con cuadrícula2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20">
    <w:name w:val="Tabla con cuadrícula11012"/>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1">
    <w:name w:val="Sin lista1561"/>
    <w:next w:val="Sinlista"/>
    <w:semiHidden/>
    <w:rsid w:val="006D239F"/>
  </w:style>
  <w:style w:type="table" w:customStyle="1" w:styleId="Tablaconcuadrcula2841">
    <w:name w:val="Tabla con cuadrícula2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4">
    <w:name w:val="Tabla con cuadrícula16014"/>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1">
    <w:name w:val="Tabla con cuadrícula21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1">
    <w:name w:val="Tabla con cuadrícula22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1">
    <w:name w:val="Tabla con cuadrícula23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1">
    <w:name w:val="Sin lista1571"/>
    <w:next w:val="Sinlista"/>
    <w:semiHidden/>
    <w:unhideWhenUsed/>
    <w:rsid w:val="006D239F"/>
  </w:style>
  <w:style w:type="numbering" w:customStyle="1" w:styleId="Sinlista2101">
    <w:name w:val="Sin lista2101"/>
    <w:next w:val="Sinlista"/>
    <w:semiHidden/>
    <w:unhideWhenUsed/>
    <w:rsid w:val="006D239F"/>
  </w:style>
  <w:style w:type="table" w:customStyle="1" w:styleId="Tablabsica114">
    <w:name w:val="Tabla básica 114"/>
    <w:basedOn w:val="Tablanormal"/>
    <w:next w:val="Tablabsica1"/>
    <w:rsid w:val="006D239F"/>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1">
    <w:name w:val="Sin lista11101"/>
    <w:next w:val="Sinlista"/>
    <w:semiHidden/>
    <w:rsid w:val="006D239F"/>
  </w:style>
  <w:style w:type="table" w:customStyle="1" w:styleId="Tablaconcuadrcula111010">
    <w:name w:val="Tabla con cuadrícula11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0">
    <w:name w:val="Tabla con cuadrícula 13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4">
    <w:name w:val="Tabla con cuadrícula1902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4">
    <w:name w:val="Tabla con cuadrícula293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2">
    <w:name w:val="Tabla con cuadrícula6102"/>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1">
    <w:name w:val="Sin lista3101"/>
    <w:next w:val="Sinlista"/>
    <w:semiHidden/>
    <w:unhideWhenUsed/>
    <w:rsid w:val="006D239F"/>
  </w:style>
  <w:style w:type="table" w:customStyle="1" w:styleId="Tablaconcuadrcula18214">
    <w:name w:val="Tabla con cuadrícula18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1">
    <w:name w:val="Tabla con cuadrícula5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1">
    <w:name w:val="Sin lista4101"/>
    <w:next w:val="Sinlista"/>
    <w:semiHidden/>
    <w:rsid w:val="006D239F"/>
  </w:style>
  <w:style w:type="numbering" w:customStyle="1" w:styleId="Sinlista5101">
    <w:name w:val="Sin lista5101"/>
    <w:next w:val="Sinlista"/>
    <w:semiHidden/>
    <w:unhideWhenUsed/>
    <w:rsid w:val="006D239F"/>
  </w:style>
  <w:style w:type="numbering" w:customStyle="1" w:styleId="Sinlista12101">
    <w:name w:val="Sin lista12101"/>
    <w:next w:val="Sinlista"/>
    <w:semiHidden/>
    <w:rsid w:val="006D239F"/>
  </w:style>
  <w:style w:type="numbering" w:customStyle="1" w:styleId="Sinlista6101">
    <w:name w:val="Sin lista6101"/>
    <w:next w:val="Sinlista"/>
    <w:semiHidden/>
    <w:unhideWhenUsed/>
    <w:rsid w:val="006D239F"/>
  </w:style>
  <w:style w:type="numbering" w:customStyle="1" w:styleId="Sinlista7101">
    <w:name w:val="Sin lista7101"/>
    <w:next w:val="Sinlista"/>
    <w:semiHidden/>
    <w:unhideWhenUsed/>
    <w:rsid w:val="006D239F"/>
  </w:style>
  <w:style w:type="table" w:customStyle="1" w:styleId="Tablaconcuadrcula121010">
    <w:name w:val="Tabla con cuadrícula12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1">
    <w:name w:val="Sin lista8101"/>
    <w:next w:val="Sinlista"/>
    <w:semiHidden/>
    <w:unhideWhenUsed/>
    <w:rsid w:val="006D239F"/>
  </w:style>
  <w:style w:type="numbering" w:customStyle="1" w:styleId="Sinlista9101">
    <w:name w:val="Sin lista9101"/>
    <w:next w:val="Sinlista"/>
    <w:semiHidden/>
    <w:rsid w:val="006D239F"/>
  </w:style>
  <w:style w:type="numbering" w:customStyle="1" w:styleId="Sinlista10101">
    <w:name w:val="Sin lista10101"/>
    <w:next w:val="Sinlista"/>
    <w:semiHidden/>
    <w:unhideWhenUsed/>
    <w:rsid w:val="006D239F"/>
  </w:style>
  <w:style w:type="numbering" w:customStyle="1" w:styleId="Sinlista13101">
    <w:name w:val="Sin lista13101"/>
    <w:next w:val="Sinlista"/>
    <w:semiHidden/>
    <w:rsid w:val="006D239F"/>
  </w:style>
  <w:style w:type="table" w:customStyle="1" w:styleId="Tablaconcuadrcula5214">
    <w:name w:val="Tabla con cuadrícula5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1">
    <w:name w:val="Tabla con cuadrícula1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1">
    <w:name w:val="Sin lista14101"/>
    <w:next w:val="Sinlista"/>
    <w:semiHidden/>
    <w:rsid w:val="006D239F"/>
  </w:style>
  <w:style w:type="numbering" w:customStyle="1" w:styleId="Sinlista1581">
    <w:name w:val="Sin lista1581"/>
    <w:next w:val="Sinlista"/>
    <w:semiHidden/>
    <w:rsid w:val="006D239F"/>
  </w:style>
  <w:style w:type="numbering" w:customStyle="1" w:styleId="Sinlista1614">
    <w:name w:val="Sin lista1614"/>
    <w:next w:val="Sinlista"/>
    <w:semiHidden/>
    <w:rsid w:val="006D239F"/>
  </w:style>
  <w:style w:type="table" w:customStyle="1" w:styleId="Tablaconcuadrcula19101">
    <w:name w:val="Tabla con cuadrícula19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4">
    <w:name w:val="Sin lista1714"/>
    <w:next w:val="Sinlista"/>
    <w:semiHidden/>
    <w:rsid w:val="006D239F"/>
  </w:style>
  <w:style w:type="numbering" w:customStyle="1" w:styleId="Sinlista1814">
    <w:name w:val="Sin lista1814"/>
    <w:next w:val="Sinlista"/>
    <w:semiHidden/>
    <w:rsid w:val="006D239F"/>
  </w:style>
  <w:style w:type="table" w:customStyle="1" w:styleId="Tablaconcuadrcula11021">
    <w:name w:val="Tabla con cuadrícula11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5">
    <w:name w:val="1 / 1.1 / 1.1.115"/>
    <w:basedOn w:val="Sinlista"/>
    <w:next w:val="111111"/>
    <w:rsid w:val="006D239F"/>
  </w:style>
  <w:style w:type="numbering" w:customStyle="1" w:styleId="Sinlista1914">
    <w:name w:val="Sin lista1914"/>
    <w:next w:val="Sinlista"/>
    <w:semiHidden/>
    <w:unhideWhenUsed/>
    <w:rsid w:val="006D239F"/>
  </w:style>
  <w:style w:type="table" w:customStyle="1" w:styleId="Tablaconcuadrcula20714">
    <w:name w:val="Tabla con cuadrícula207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3">
    <w:name w:val="1 / 1.1 / 1.1.1113"/>
    <w:basedOn w:val="Sinlista"/>
    <w:next w:val="111111"/>
    <w:rsid w:val="006D239F"/>
  </w:style>
  <w:style w:type="table" w:customStyle="1" w:styleId="Tablaconcuadrcula25101">
    <w:name w:val="Tabla con cuadrícula2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1">
    <w:name w:val="Tabla con cuadrícula26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4">
    <w:name w:val="Sin lista2014"/>
    <w:next w:val="Sinlista"/>
    <w:semiHidden/>
    <w:rsid w:val="006D239F"/>
  </w:style>
  <w:style w:type="table" w:customStyle="1" w:styleId="Tablaconcuadrcula27101">
    <w:name w:val="Tabla con cuadrícula271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1">
    <w:name w:val="Tabla con cuadrícula160111"/>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4">
    <w:name w:val="Tabla con cuadrícula21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4">
    <w:name w:val="Tabla con cuadrícula22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4">
    <w:name w:val="Tabla con cuadrícula23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4">
    <w:name w:val="Sin lista11014"/>
    <w:next w:val="Sinlista"/>
    <w:semiHidden/>
    <w:unhideWhenUsed/>
    <w:rsid w:val="006D239F"/>
  </w:style>
  <w:style w:type="numbering" w:customStyle="1" w:styleId="Sinlista2114">
    <w:name w:val="Sin lista2114"/>
    <w:next w:val="Sinlista"/>
    <w:semiHidden/>
    <w:unhideWhenUsed/>
    <w:rsid w:val="006D239F"/>
  </w:style>
  <w:style w:type="table" w:customStyle="1" w:styleId="Tablabsica1111">
    <w:name w:val="Tabla básica 1111"/>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11">
    <w:name w:val="Sin lista111111"/>
    <w:next w:val="Sinlista"/>
    <w:semiHidden/>
    <w:rsid w:val="006D239F"/>
  </w:style>
  <w:style w:type="table" w:customStyle="1" w:styleId="Tablaconcuadrcula11114">
    <w:name w:val="Tabla con cuadrícula1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1">
    <w:name w:val="Tabla con cuadrícula 11101"/>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1">
    <w:name w:val="Tabla con cuadrícula1902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1">
    <w:name w:val="Tabla con cuadrícula293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4">
    <w:name w:val="Tabla con cuadrícula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4">
    <w:name w:val="Sin lista3114"/>
    <w:next w:val="Sinlista"/>
    <w:semiHidden/>
    <w:unhideWhenUsed/>
    <w:rsid w:val="006D239F"/>
  </w:style>
  <w:style w:type="table" w:customStyle="1" w:styleId="Tablaconcuadrcula182111">
    <w:name w:val="Tabla con cuadrícula18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4">
    <w:name w:val="Tabla con cuadrícula5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4">
    <w:name w:val="Sin lista4114"/>
    <w:next w:val="Sinlista"/>
    <w:semiHidden/>
    <w:rsid w:val="006D239F"/>
  </w:style>
  <w:style w:type="numbering" w:customStyle="1" w:styleId="Sinlista5114">
    <w:name w:val="Sin lista5114"/>
    <w:next w:val="Sinlista"/>
    <w:semiHidden/>
    <w:unhideWhenUsed/>
    <w:rsid w:val="006D239F"/>
  </w:style>
  <w:style w:type="numbering" w:customStyle="1" w:styleId="Sinlista12114">
    <w:name w:val="Sin lista12114"/>
    <w:next w:val="Sinlista"/>
    <w:semiHidden/>
    <w:rsid w:val="006D239F"/>
  </w:style>
  <w:style w:type="numbering" w:customStyle="1" w:styleId="Sinlista6114">
    <w:name w:val="Sin lista6114"/>
    <w:next w:val="Sinlista"/>
    <w:semiHidden/>
    <w:unhideWhenUsed/>
    <w:rsid w:val="006D239F"/>
  </w:style>
  <w:style w:type="numbering" w:customStyle="1" w:styleId="Sinlista7114">
    <w:name w:val="Sin lista7114"/>
    <w:next w:val="Sinlista"/>
    <w:semiHidden/>
    <w:unhideWhenUsed/>
    <w:rsid w:val="006D239F"/>
  </w:style>
  <w:style w:type="table" w:customStyle="1" w:styleId="Tablaconcuadrcula12114">
    <w:name w:val="Tabla con cuadrícula12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4">
    <w:name w:val="Sin lista8114"/>
    <w:next w:val="Sinlista"/>
    <w:semiHidden/>
    <w:unhideWhenUsed/>
    <w:rsid w:val="006D239F"/>
  </w:style>
  <w:style w:type="numbering" w:customStyle="1" w:styleId="Sinlista9114">
    <w:name w:val="Sin lista9114"/>
    <w:next w:val="Sinlista"/>
    <w:semiHidden/>
    <w:rsid w:val="006D239F"/>
  </w:style>
  <w:style w:type="numbering" w:customStyle="1" w:styleId="Sinlista10114">
    <w:name w:val="Sin lista10114"/>
    <w:next w:val="Sinlista"/>
    <w:semiHidden/>
    <w:unhideWhenUsed/>
    <w:rsid w:val="006D239F"/>
  </w:style>
  <w:style w:type="numbering" w:customStyle="1" w:styleId="Sinlista13114">
    <w:name w:val="Sin lista13114"/>
    <w:next w:val="Sinlista"/>
    <w:semiHidden/>
    <w:rsid w:val="006D239F"/>
  </w:style>
  <w:style w:type="table" w:customStyle="1" w:styleId="Tablaconcuadrcula52111">
    <w:name w:val="Tabla con cuadrícula5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4">
    <w:name w:val="Tabla con cuadrícula1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4">
    <w:name w:val="Sin lista14114"/>
    <w:next w:val="Sinlista"/>
    <w:semiHidden/>
    <w:rsid w:val="006D239F"/>
  </w:style>
  <w:style w:type="numbering" w:customStyle="1" w:styleId="Sinlista15114">
    <w:name w:val="Sin lista15114"/>
    <w:next w:val="Sinlista"/>
    <w:semiHidden/>
    <w:rsid w:val="006D239F"/>
  </w:style>
  <w:style w:type="numbering" w:customStyle="1" w:styleId="Sinlista16111">
    <w:name w:val="Sin lista16111"/>
    <w:next w:val="Sinlista"/>
    <w:semiHidden/>
    <w:rsid w:val="006D239F"/>
  </w:style>
  <w:style w:type="table" w:customStyle="1" w:styleId="Tablaconcuadrcula19114">
    <w:name w:val="Tabla con cuadrícula19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1">
    <w:name w:val="Sin lista17111"/>
    <w:next w:val="Sinlista"/>
    <w:semiHidden/>
    <w:rsid w:val="006D239F"/>
  </w:style>
  <w:style w:type="numbering" w:customStyle="1" w:styleId="Sinlista18111">
    <w:name w:val="Sin lista18111"/>
    <w:next w:val="Sinlista"/>
    <w:semiHidden/>
    <w:rsid w:val="006D239F"/>
  </w:style>
  <w:style w:type="numbering" w:customStyle="1" w:styleId="11111124">
    <w:name w:val="1 / 1.1 / 1.1.124"/>
    <w:basedOn w:val="Sinlista"/>
    <w:next w:val="111111"/>
    <w:rsid w:val="006D239F"/>
    <w:pPr>
      <w:numPr>
        <w:numId w:val="13"/>
      </w:numPr>
    </w:pPr>
  </w:style>
  <w:style w:type="numbering" w:customStyle="1" w:styleId="Sinlista19111">
    <w:name w:val="Sin lista19111"/>
    <w:next w:val="Sinlista"/>
    <w:semiHidden/>
    <w:unhideWhenUsed/>
    <w:rsid w:val="006D239F"/>
  </w:style>
  <w:style w:type="table" w:customStyle="1" w:styleId="Tablaconcuadrcula207111">
    <w:name w:val="Tabla con cuadrícula207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4">
    <w:name w:val="Tabla con cuadrícula2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4">
    <w:name w:val="Tabla con cuadrícula2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4">
    <w:name w:val="Tabla con cuadrícula27114"/>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1">
    <w:name w:val="Sin lista20111"/>
    <w:next w:val="Sinlista"/>
    <w:semiHidden/>
    <w:rsid w:val="006D239F"/>
  </w:style>
  <w:style w:type="numbering" w:customStyle="1" w:styleId="Sinlista21111">
    <w:name w:val="Sin lista21111"/>
    <w:next w:val="Sinlista"/>
    <w:semiHidden/>
    <w:rsid w:val="006D239F"/>
  </w:style>
  <w:style w:type="numbering" w:customStyle="1" w:styleId="Sinlista2211">
    <w:name w:val="Sin lista2211"/>
    <w:next w:val="Sinlista"/>
    <w:semiHidden/>
    <w:rsid w:val="006D239F"/>
  </w:style>
  <w:style w:type="numbering" w:customStyle="1" w:styleId="Sinlista2311">
    <w:name w:val="Sin lista2311"/>
    <w:next w:val="Sinlista"/>
    <w:semiHidden/>
    <w:rsid w:val="006D239F"/>
  </w:style>
  <w:style w:type="numbering" w:customStyle="1" w:styleId="Sinlista2411">
    <w:name w:val="Sin lista2411"/>
    <w:next w:val="Sinlista"/>
    <w:semiHidden/>
    <w:rsid w:val="006D239F"/>
  </w:style>
  <w:style w:type="numbering" w:customStyle="1" w:styleId="Sinlista2511">
    <w:name w:val="Sin lista2511"/>
    <w:next w:val="Sinlista"/>
    <w:semiHidden/>
    <w:rsid w:val="006D239F"/>
  </w:style>
  <w:style w:type="numbering" w:customStyle="1" w:styleId="Sinlista2611">
    <w:name w:val="Sin lista2611"/>
    <w:next w:val="Sinlista"/>
    <w:semiHidden/>
    <w:rsid w:val="006D239F"/>
  </w:style>
  <w:style w:type="numbering" w:customStyle="1" w:styleId="Sinlista2711">
    <w:name w:val="Sin lista2711"/>
    <w:next w:val="Sinlista"/>
    <w:semiHidden/>
    <w:rsid w:val="006D239F"/>
  </w:style>
  <w:style w:type="numbering" w:customStyle="1" w:styleId="Sinlista2811">
    <w:name w:val="Sin lista2811"/>
    <w:next w:val="Sinlista"/>
    <w:semiHidden/>
    <w:rsid w:val="006D239F"/>
  </w:style>
  <w:style w:type="numbering" w:customStyle="1" w:styleId="Sinlista2911">
    <w:name w:val="Sin lista2911"/>
    <w:next w:val="Sinlista"/>
    <w:semiHidden/>
    <w:rsid w:val="006D239F"/>
  </w:style>
  <w:style w:type="numbering" w:customStyle="1" w:styleId="Sinlista3011">
    <w:name w:val="Sin lista3011"/>
    <w:next w:val="Sinlista"/>
    <w:semiHidden/>
    <w:rsid w:val="006D239F"/>
  </w:style>
  <w:style w:type="numbering" w:customStyle="1" w:styleId="Sinlista31111">
    <w:name w:val="Sin lista31111"/>
    <w:next w:val="Sinlista"/>
    <w:semiHidden/>
    <w:rsid w:val="006D239F"/>
  </w:style>
  <w:style w:type="table" w:customStyle="1" w:styleId="Tablaconcuadrcula61111">
    <w:name w:val="Tabla con cuadrícula6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1">
    <w:name w:val="Sin lista3211"/>
    <w:next w:val="Sinlista"/>
    <w:semiHidden/>
    <w:rsid w:val="006D239F"/>
  </w:style>
  <w:style w:type="numbering" w:customStyle="1" w:styleId="Sinlista3311">
    <w:name w:val="Sin lista3311"/>
    <w:next w:val="Sinlista"/>
    <w:semiHidden/>
    <w:unhideWhenUsed/>
    <w:rsid w:val="006D239F"/>
  </w:style>
  <w:style w:type="numbering" w:customStyle="1" w:styleId="Sinlista3411">
    <w:name w:val="Sin lista3411"/>
    <w:next w:val="Sinlista"/>
    <w:semiHidden/>
    <w:rsid w:val="006D239F"/>
  </w:style>
  <w:style w:type="numbering" w:customStyle="1" w:styleId="Sinlista3511">
    <w:name w:val="Sin lista3511"/>
    <w:next w:val="Sinlista"/>
    <w:semiHidden/>
    <w:rsid w:val="006D239F"/>
  </w:style>
  <w:style w:type="numbering" w:customStyle="1" w:styleId="Sinlista3611">
    <w:name w:val="Sin lista3611"/>
    <w:next w:val="Sinlista"/>
    <w:semiHidden/>
    <w:rsid w:val="006D239F"/>
  </w:style>
  <w:style w:type="numbering" w:customStyle="1" w:styleId="Sinlista3711">
    <w:name w:val="Sin lista3711"/>
    <w:next w:val="Sinlista"/>
    <w:semiHidden/>
    <w:rsid w:val="006D239F"/>
  </w:style>
  <w:style w:type="numbering" w:customStyle="1" w:styleId="Sinlista3811">
    <w:name w:val="Sin lista3811"/>
    <w:next w:val="Sinlista"/>
    <w:semiHidden/>
    <w:rsid w:val="006D239F"/>
  </w:style>
  <w:style w:type="numbering" w:customStyle="1" w:styleId="Sinlista3911">
    <w:name w:val="Sin lista3911"/>
    <w:next w:val="Sinlista"/>
    <w:semiHidden/>
    <w:rsid w:val="006D239F"/>
  </w:style>
  <w:style w:type="numbering" w:customStyle="1" w:styleId="Sinlista4011">
    <w:name w:val="Sin lista4011"/>
    <w:next w:val="Sinlista"/>
    <w:semiHidden/>
    <w:rsid w:val="006D239F"/>
  </w:style>
  <w:style w:type="numbering" w:customStyle="1" w:styleId="Sinlista41111">
    <w:name w:val="Sin lista41111"/>
    <w:next w:val="Sinlista"/>
    <w:semiHidden/>
    <w:rsid w:val="006D239F"/>
  </w:style>
  <w:style w:type="numbering" w:customStyle="1" w:styleId="Sinlista4211">
    <w:name w:val="Sin lista4211"/>
    <w:next w:val="Sinlista"/>
    <w:semiHidden/>
    <w:rsid w:val="006D239F"/>
  </w:style>
  <w:style w:type="numbering" w:customStyle="1" w:styleId="Sinlista4311">
    <w:name w:val="Sin lista4311"/>
    <w:next w:val="Sinlista"/>
    <w:semiHidden/>
    <w:rsid w:val="006D239F"/>
  </w:style>
  <w:style w:type="numbering" w:customStyle="1" w:styleId="Sinlista4411">
    <w:name w:val="Sin lista4411"/>
    <w:next w:val="Sinlista"/>
    <w:semiHidden/>
    <w:rsid w:val="006D239F"/>
  </w:style>
  <w:style w:type="numbering" w:customStyle="1" w:styleId="Sinlista4511">
    <w:name w:val="Sin lista4511"/>
    <w:next w:val="Sinlista"/>
    <w:semiHidden/>
    <w:rsid w:val="006D239F"/>
  </w:style>
  <w:style w:type="numbering" w:customStyle="1" w:styleId="Sinlista4611">
    <w:name w:val="Sin lista4611"/>
    <w:next w:val="Sinlista"/>
    <w:semiHidden/>
    <w:rsid w:val="006D239F"/>
  </w:style>
  <w:style w:type="numbering" w:customStyle="1" w:styleId="Sinlista4711">
    <w:name w:val="Sin lista4711"/>
    <w:next w:val="Sinlista"/>
    <w:semiHidden/>
    <w:rsid w:val="006D239F"/>
  </w:style>
  <w:style w:type="numbering" w:customStyle="1" w:styleId="Sinlista4811">
    <w:name w:val="Sin lista4811"/>
    <w:next w:val="Sinlista"/>
    <w:semiHidden/>
    <w:rsid w:val="006D239F"/>
  </w:style>
  <w:style w:type="numbering" w:customStyle="1" w:styleId="Sinlista4911">
    <w:name w:val="Sin lista4911"/>
    <w:next w:val="Sinlista"/>
    <w:semiHidden/>
    <w:rsid w:val="006D239F"/>
  </w:style>
  <w:style w:type="numbering" w:customStyle="1" w:styleId="Sinlista5011">
    <w:name w:val="Sin lista5011"/>
    <w:next w:val="Sinlista"/>
    <w:semiHidden/>
    <w:rsid w:val="006D239F"/>
  </w:style>
  <w:style w:type="numbering" w:customStyle="1" w:styleId="Sinlista51111">
    <w:name w:val="Sin lista51111"/>
    <w:next w:val="Sinlista"/>
    <w:semiHidden/>
    <w:rsid w:val="006D239F"/>
  </w:style>
  <w:style w:type="numbering" w:customStyle="1" w:styleId="Sinlista5211">
    <w:name w:val="Sin lista5211"/>
    <w:next w:val="Sinlista"/>
    <w:semiHidden/>
    <w:rsid w:val="006D239F"/>
  </w:style>
  <w:style w:type="numbering" w:customStyle="1" w:styleId="Sinlista5311">
    <w:name w:val="Sin lista5311"/>
    <w:next w:val="Sinlista"/>
    <w:semiHidden/>
    <w:rsid w:val="006D239F"/>
  </w:style>
  <w:style w:type="numbering" w:customStyle="1" w:styleId="Sinlista5411">
    <w:name w:val="Sin lista5411"/>
    <w:next w:val="Sinlista"/>
    <w:semiHidden/>
    <w:rsid w:val="006D239F"/>
  </w:style>
  <w:style w:type="numbering" w:customStyle="1" w:styleId="Sinlista5511">
    <w:name w:val="Sin lista5511"/>
    <w:next w:val="Sinlista"/>
    <w:semiHidden/>
    <w:rsid w:val="006D239F"/>
  </w:style>
  <w:style w:type="numbering" w:customStyle="1" w:styleId="Sinlista5611">
    <w:name w:val="Sin lista5611"/>
    <w:next w:val="Sinlista"/>
    <w:semiHidden/>
    <w:rsid w:val="006D239F"/>
  </w:style>
  <w:style w:type="numbering" w:customStyle="1" w:styleId="Sinlista5711">
    <w:name w:val="Sin lista5711"/>
    <w:next w:val="Sinlista"/>
    <w:semiHidden/>
    <w:rsid w:val="006D239F"/>
  </w:style>
  <w:style w:type="numbering" w:customStyle="1" w:styleId="Sinlista5811">
    <w:name w:val="Sin lista5811"/>
    <w:next w:val="Sinlista"/>
    <w:semiHidden/>
    <w:rsid w:val="006D239F"/>
  </w:style>
  <w:style w:type="numbering" w:customStyle="1" w:styleId="Sinlista5911">
    <w:name w:val="Sin lista5911"/>
    <w:next w:val="Sinlista"/>
    <w:semiHidden/>
    <w:rsid w:val="006D239F"/>
  </w:style>
  <w:style w:type="table" w:customStyle="1" w:styleId="Tablaconcuadrcula111111">
    <w:name w:val="Tabla con cuadrícula1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1">
    <w:name w:val="Sin lista6011"/>
    <w:next w:val="Sinlista"/>
    <w:semiHidden/>
    <w:rsid w:val="006D239F"/>
  </w:style>
  <w:style w:type="numbering" w:customStyle="1" w:styleId="Sinlista61111">
    <w:name w:val="Sin lista61111"/>
    <w:next w:val="Sinlista"/>
    <w:semiHidden/>
    <w:rsid w:val="006D239F"/>
  </w:style>
  <w:style w:type="numbering" w:customStyle="1" w:styleId="Sinlista6211">
    <w:name w:val="Sin lista6211"/>
    <w:next w:val="Sinlista"/>
    <w:semiHidden/>
    <w:rsid w:val="006D239F"/>
  </w:style>
  <w:style w:type="numbering" w:customStyle="1" w:styleId="Sinlista6311">
    <w:name w:val="Sin lista6311"/>
    <w:next w:val="Sinlista"/>
    <w:semiHidden/>
    <w:rsid w:val="006D239F"/>
  </w:style>
  <w:style w:type="numbering" w:customStyle="1" w:styleId="Sinlista6411">
    <w:name w:val="Sin lista6411"/>
    <w:next w:val="Sinlista"/>
    <w:semiHidden/>
    <w:rsid w:val="006D239F"/>
  </w:style>
  <w:style w:type="numbering" w:customStyle="1" w:styleId="Sinlista6511">
    <w:name w:val="Sin lista6511"/>
    <w:next w:val="Sinlista"/>
    <w:semiHidden/>
    <w:rsid w:val="006D239F"/>
  </w:style>
  <w:style w:type="numbering" w:customStyle="1" w:styleId="Sinlista6611">
    <w:name w:val="Sin lista6611"/>
    <w:next w:val="Sinlista"/>
    <w:semiHidden/>
    <w:rsid w:val="006D239F"/>
  </w:style>
  <w:style w:type="numbering" w:customStyle="1" w:styleId="Sinlista6711">
    <w:name w:val="Sin lista6711"/>
    <w:next w:val="Sinlista"/>
    <w:semiHidden/>
    <w:rsid w:val="006D239F"/>
  </w:style>
  <w:style w:type="numbering" w:customStyle="1" w:styleId="Sinlista6811">
    <w:name w:val="Sin lista6811"/>
    <w:next w:val="Sinlista"/>
    <w:semiHidden/>
    <w:rsid w:val="006D239F"/>
  </w:style>
  <w:style w:type="table" w:customStyle="1" w:styleId="Tablaconcuadrcula121111">
    <w:name w:val="Tabla con cuadrícula12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1">
    <w:name w:val="Sin lista6911"/>
    <w:next w:val="Sinlista"/>
    <w:semiHidden/>
    <w:rsid w:val="006D239F"/>
  </w:style>
  <w:style w:type="numbering" w:customStyle="1" w:styleId="Sinlista7011">
    <w:name w:val="Sin lista7011"/>
    <w:next w:val="Sinlista"/>
    <w:semiHidden/>
    <w:rsid w:val="006D239F"/>
  </w:style>
  <w:style w:type="numbering" w:customStyle="1" w:styleId="Sinlista71111">
    <w:name w:val="Sin lista71111"/>
    <w:next w:val="Sinlista"/>
    <w:semiHidden/>
    <w:rsid w:val="006D239F"/>
  </w:style>
  <w:style w:type="numbering" w:customStyle="1" w:styleId="Sinlista7211">
    <w:name w:val="Sin lista7211"/>
    <w:next w:val="Sinlista"/>
    <w:semiHidden/>
    <w:rsid w:val="006D239F"/>
  </w:style>
  <w:style w:type="numbering" w:customStyle="1" w:styleId="Sinlista7311">
    <w:name w:val="Sin lista7311"/>
    <w:next w:val="Sinlista"/>
    <w:semiHidden/>
    <w:rsid w:val="006D239F"/>
  </w:style>
  <w:style w:type="numbering" w:customStyle="1" w:styleId="Sinlista7411">
    <w:name w:val="Sin lista7411"/>
    <w:next w:val="Sinlista"/>
    <w:semiHidden/>
    <w:rsid w:val="006D239F"/>
  </w:style>
  <w:style w:type="numbering" w:customStyle="1" w:styleId="Sinlista7511">
    <w:name w:val="Sin lista7511"/>
    <w:next w:val="Sinlista"/>
    <w:semiHidden/>
    <w:rsid w:val="006D239F"/>
  </w:style>
  <w:style w:type="numbering" w:customStyle="1" w:styleId="Sinlista7611">
    <w:name w:val="Sin lista7611"/>
    <w:next w:val="Sinlista"/>
    <w:semiHidden/>
    <w:rsid w:val="006D239F"/>
  </w:style>
  <w:style w:type="table" w:customStyle="1" w:styleId="Tablaconcuadrcula511111">
    <w:name w:val="Tabla con cuadrícula5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1">
    <w:name w:val="Sin lista7711"/>
    <w:next w:val="Sinlista"/>
    <w:semiHidden/>
    <w:rsid w:val="006D239F"/>
  </w:style>
  <w:style w:type="table" w:customStyle="1" w:styleId="Tablaconcuadrcula151111">
    <w:name w:val="Tabla con cuadrícula15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1">
    <w:name w:val="Sin lista7811"/>
    <w:next w:val="Sinlista"/>
    <w:semiHidden/>
    <w:rsid w:val="006D239F"/>
  </w:style>
  <w:style w:type="numbering" w:customStyle="1" w:styleId="Sinlista7911">
    <w:name w:val="Sin lista7911"/>
    <w:next w:val="Sinlista"/>
    <w:semiHidden/>
    <w:rsid w:val="006D239F"/>
  </w:style>
  <w:style w:type="numbering" w:customStyle="1" w:styleId="Sinlista8011">
    <w:name w:val="Sin lista8011"/>
    <w:next w:val="Sinlista"/>
    <w:semiHidden/>
    <w:rsid w:val="006D239F"/>
  </w:style>
  <w:style w:type="numbering" w:customStyle="1" w:styleId="Sinlista81111">
    <w:name w:val="Sin lista81111"/>
    <w:next w:val="Sinlista"/>
    <w:semiHidden/>
    <w:rsid w:val="006D239F"/>
  </w:style>
  <w:style w:type="numbering" w:customStyle="1" w:styleId="Sinlista8211">
    <w:name w:val="Sin lista8211"/>
    <w:next w:val="Sinlista"/>
    <w:semiHidden/>
    <w:rsid w:val="006D239F"/>
  </w:style>
  <w:style w:type="numbering" w:customStyle="1" w:styleId="Sinlista8311">
    <w:name w:val="Sin lista8311"/>
    <w:next w:val="Sinlista"/>
    <w:semiHidden/>
    <w:rsid w:val="006D239F"/>
  </w:style>
  <w:style w:type="numbering" w:customStyle="1" w:styleId="Sinlista8411">
    <w:name w:val="Sin lista8411"/>
    <w:next w:val="Sinlista"/>
    <w:semiHidden/>
    <w:rsid w:val="006D239F"/>
  </w:style>
  <w:style w:type="numbering" w:customStyle="1" w:styleId="Sinlista8511">
    <w:name w:val="Sin lista8511"/>
    <w:next w:val="Sinlista"/>
    <w:semiHidden/>
    <w:rsid w:val="006D239F"/>
  </w:style>
  <w:style w:type="numbering" w:customStyle="1" w:styleId="Sinlista8611">
    <w:name w:val="Sin lista8611"/>
    <w:next w:val="Sinlista"/>
    <w:semiHidden/>
    <w:rsid w:val="006D239F"/>
  </w:style>
  <w:style w:type="numbering" w:customStyle="1" w:styleId="Sinlista8711">
    <w:name w:val="Sin lista8711"/>
    <w:next w:val="Sinlista"/>
    <w:semiHidden/>
    <w:rsid w:val="006D239F"/>
  </w:style>
  <w:style w:type="numbering" w:customStyle="1" w:styleId="Sinlista8811">
    <w:name w:val="Sin lista8811"/>
    <w:next w:val="Sinlista"/>
    <w:semiHidden/>
    <w:rsid w:val="006D239F"/>
  </w:style>
  <w:style w:type="numbering" w:customStyle="1" w:styleId="Sinlista8911">
    <w:name w:val="Sin lista8911"/>
    <w:next w:val="Sinlista"/>
    <w:semiHidden/>
    <w:rsid w:val="006D239F"/>
  </w:style>
  <w:style w:type="numbering" w:customStyle="1" w:styleId="Sinlista9011">
    <w:name w:val="Sin lista9011"/>
    <w:next w:val="Sinlista"/>
    <w:semiHidden/>
    <w:rsid w:val="006D239F"/>
  </w:style>
  <w:style w:type="numbering" w:customStyle="1" w:styleId="Sinlista91111">
    <w:name w:val="Sin lista91111"/>
    <w:next w:val="Sinlista"/>
    <w:semiHidden/>
    <w:rsid w:val="006D239F"/>
  </w:style>
  <w:style w:type="numbering" w:customStyle="1" w:styleId="Sinlista9211">
    <w:name w:val="Sin lista9211"/>
    <w:next w:val="Sinlista"/>
    <w:semiHidden/>
    <w:rsid w:val="006D239F"/>
  </w:style>
  <w:style w:type="numbering" w:customStyle="1" w:styleId="Sinlista9311">
    <w:name w:val="Sin lista9311"/>
    <w:next w:val="Sinlista"/>
    <w:semiHidden/>
    <w:rsid w:val="006D239F"/>
  </w:style>
  <w:style w:type="numbering" w:customStyle="1" w:styleId="Sinlista9411">
    <w:name w:val="Sin lista9411"/>
    <w:next w:val="Sinlista"/>
    <w:semiHidden/>
    <w:rsid w:val="006D239F"/>
  </w:style>
  <w:style w:type="numbering" w:customStyle="1" w:styleId="Sinlista9511">
    <w:name w:val="Sin lista9511"/>
    <w:next w:val="Sinlista"/>
    <w:semiHidden/>
    <w:rsid w:val="006D239F"/>
  </w:style>
  <w:style w:type="table" w:customStyle="1" w:styleId="Tablaconcuadrcula1099">
    <w:name w:val="Tabla con cuadrícula1099"/>
    <w:basedOn w:val="Tablanormal"/>
    <w:next w:val="Tablaconcuadrcula"/>
    <w:uiPriority w:val="59"/>
    <w:rsid w:val="0043163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78163">
      <w:bodyDiv w:val="1"/>
      <w:marLeft w:val="0"/>
      <w:marRight w:val="0"/>
      <w:marTop w:val="0"/>
      <w:marBottom w:val="0"/>
      <w:divBdr>
        <w:top w:val="none" w:sz="0" w:space="0" w:color="auto"/>
        <w:left w:val="none" w:sz="0" w:space="0" w:color="auto"/>
        <w:bottom w:val="none" w:sz="0" w:space="0" w:color="auto"/>
        <w:right w:val="none" w:sz="0" w:space="0" w:color="auto"/>
      </w:divBdr>
      <w:divsChild>
        <w:div w:id="973484287">
          <w:marLeft w:val="0"/>
          <w:marRight w:val="0"/>
          <w:marTop w:val="0"/>
          <w:marBottom w:val="0"/>
          <w:divBdr>
            <w:top w:val="none" w:sz="0" w:space="0" w:color="auto"/>
            <w:left w:val="none" w:sz="0" w:space="0" w:color="auto"/>
            <w:bottom w:val="none" w:sz="0" w:space="0" w:color="auto"/>
            <w:right w:val="none" w:sz="0" w:space="0" w:color="auto"/>
          </w:divBdr>
          <w:divsChild>
            <w:div w:id="41564519">
              <w:marLeft w:val="0"/>
              <w:marRight w:val="0"/>
              <w:marTop w:val="0"/>
              <w:marBottom w:val="0"/>
              <w:divBdr>
                <w:top w:val="none" w:sz="0" w:space="0" w:color="auto"/>
                <w:left w:val="none" w:sz="0" w:space="0" w:color="auto"/>
                <w:bottom w:val="none" w:sz="0" w:space="0" w:color="auto"/>
                <w:right w:val="none" w:sz="0" w:space="0" w:color="auto"/>
              </w:divBdr>
            </w:div>
            <w:div w:id="131093760">
              <w:marLeft w:val="0"/>
              <w:marRight w:val="0"/>
              <w:marTop w:val="0"/>
              <w:marBottom w:val="0"/>
              <w:divBdr>
                <w:top w:val="none" w:sz="0" w:space="0" w:color="auto"/>
                <w:left w:val="none" w:sz="0" w:space="0" w:color="auto"/>
                <w:bottom w:val="none" w:sz="0" w:space="0" w:color="auto"/>
                <w:right w:val="none" w:sz="0" w:space="0" w:color="auto"/>
              </w:divBdr>
            </w:div>
            <w:div w:id="189681957">
              <w:marLeft w:val="0"/>
              <w:marRight w:val="0"/>
              <w:marTop w:val="0"/>
              <w:marBottom w:val="0"/>
              <w:divBdr>
                <w:top w:val="none" w:sz="0" w:space="0" w:color="auto"/>
                <w:left w:val="none" w:sz="0" w:space="0" w:color="auto"/>
                <w:bottom w:val="none" w:sz="0" w:space="0" w:color="auto"/>
                <w:right w:val="none" w:sz="0" w:space="0" w:color="auto"/>
              </w:divBdr>
            </w:div>
            <w:div w:id="298731966">
              <w:marLeft w:val="0"/>
              <w:marRight w:val="0"/>
              <w:marTop w:val="0"/>
              <w:marBottom w:val="0"/>
              <w:divBdr>
                <w:top w:val="none" w:sz="0" w:space="0" w:color="auto"/>
                <w:left w:val="none" w:sz="0" w:space="0" w:color="auto"/>
                <w:bottom w:val="none" w:sz="0" w:space="0" w:color="auto"/>
                <w:right w:val="none" w:sz="0" w:space="0" w:color="auto"/>
              </w:divBdr>
            </w:div>
            <w:div w:id="342514959">
              <w:marLeft w:val="0"/>
              <w:marRight w:val="0"/>
              <w:marTop w:val="0"/>
              <w:marBottom w:val="0"/>
              <w:divBdr>
                <w:top w:val="none" w:sz="0" w:space="0" w:color="auto"/>
                <w:left w:val="none" w:sz="0" w:space="0" w:color="auto"/>
                <w:bottom w:val="none" w:sz="0" w:space="0" w:color="auto"/>
                <w:right w:val="none" w:sz="0" w:space="0" w:color="auto"/>
              </w:divBdr>
            </w:div>
            <w:div w:id="370375806">
              <w:marLeft w:val="0"/>
              <w:marRight w:val="0"/>
              <w:marTop w:val="0"/>
              <w:marBottom w:val="0"/>
              <w:divBdr>
                <w:top w:val="none" w:sz="0" w:space="0" w:color="auto"/>
                <w:left w:val="none" w:sz="0" w:space="0" w:color="auto"/>
                <w:bottom w:val="none" w:sz="0" w:space="0" w:color="auto"/>
                <w:right w:val="none" w:sz="0" w:space="0" w:color="auto"/>
              </w:divBdr>
            </w:div>
            <w:div w:id="487936823">
              <w:marLeft w:val="0"/>
              <w:marRight w:val="0"/>
              <w:marTop w:val="0"/>
              <w:marBottom w:val="0"/>
              <w:divBdr>
                <w:top w:val="none" w:sz="0" w:space="0" w:color="auto"/>
                <w:left w:val="none" w:sz="0" w:space="0" w:color="auto"/>
                <w:bottom w:val="none" w:sz="0" w:space="0" w:color="auto"/>
                <w:right w:val="none" w:sz="0" w:space="0" w:color="auto"/>
              </w:divBdr>
            </w:div>
            <w:div w:id="514156643">
              <w:marLeft w:val="0"/>
              <w:marRight w:val="0"/>
              <w:marTop w:val="0"/>
              <w:marBottom w:val="0"/>
              <w:divBdr>
                <w:top w:val="none" w:sz="0" w:space="0" w:color="auto"/>
                <w:left w:val="none" w:sz="0" w:space="0" w:color="auto"/>
                <w:bottom w:val="none" w:sz="0" w:space="0" w:color="auto"/>
                <w:right w:val="none" w:sz="0" w:space="0" w:color="auto"/>
              </w:divBdr>
            </w:div>
            <w:div w:id="554001139">
              <w:marLeft w:val="0"/>
              <w:marRight w:val="0"/>
              <w:marTop w:val="0"/>
              <w:marBottom w:val="0"/>
              <w:divBdr>
                <w:top w:val="none" w:sz="0" w:space="0" w:color="auto"/>
                <w:left w:val="none" w:sz="0" w:space="0" w:color="auto"/>
                <w:bottom w:val="none" w:sz="0" w:space="0" w:color="auto"/>
                <w:right w:val="none" w:sz="0" w:space="0" w:color="auto"/>
              </w:divBdr>
            </w:div>
            <w:div w:id="798961929">
              <w:marLeft w:val="0"/>
              <w:marRight w:val="0"/>
              <w:marTop w:val="0"/>
              <w:marBottom w:val="0"/>
              <w:divBdr>
                <w:top w:val="none" w:sz="0" w:space="0" w:color="auto"/>
                <w:left w:val="none" w:sz="0" w:space="0" w:color="auto"/>
                <w:bottom w:val="none" w:sz="0" w:space="0" w:color="auto"/>
                <w:right w:val="none" w:sz="0" w:space="0" w:color="auto"/>
              </w:divBdr>
            </w:div>
            <w:div w:id="808283219">
              <w:marLeft w:val="0"/>
              <w:marRight w:val="0"/>
              <w:marTop w:val="0"/>
              <w:marBottom w:val="0"/>
              <w:divBdr>
                <w:top w:val="none" w:sz="0" w:space="0" w:color="auto"/>
                <w:left w:val="none" w:sz="0" w:space="0" w:color="auto"/>
                <w:bottom w:val="none" w:sz="0" w:space="0" w:color="auto"/>
                <w:right w:val="none" w:sz="0" w:space="0" w:color="auto"/>
              </w:divBdr>
            </w:div>
            <w:div w:id="820193410">
              <w:marLeft w:val="0"/>
              <w:marRight w:val="0"/>
              <w:marTop w:val="0"/>
              <w:marBottom w:val="0"/>
              <w:divBdr>
                <w:top w:val="none" w:sz="0" w:space="0" w:color="auto"/>
                <w:left w:val="none" w:sz="0" w:space="0" w:color="auto"/>
                <w:bottom w:val="none" w:sz="0" w:space="0" w:color="auto"/>
                <w:right w:val="none" w:sz="0" w:space="0" w:color="auto"/>
              </w:divBdr>
            </w:div>
            <w:div w:id="1017120399">
              <w:marLeft w:val="0"/>
              <w:marRight w:val="0"/>
              <w:marTop w:val="0"/>
              <w:marBottom w:val="0"/>
              <w:divBdr>
                <w:top w:val="none" w:sz="0" w:space="0" w:color="auto"/>
                <w:left w:val="none" w:sz="0" w:space="0" w:color="auto"/>
                <w:bottom w:val="none" w:sz="0" w:space="0" w:color="auto"/>
                <w:right w:val="none" w:sz="0" w:space="0" w:color="auto"/>
              </w:divBdr>
            </w:div>
            <w:div w:id="1038161467">
              <w:marLeft w:val="0"/>
              <w:marRight w:val="0"/>
              <w:marTop w:val="0"/>
              <w:marBottom w:val="0"/>
              <w:divBdr>
                <w:top w:val="none" w:sz="0" w:space="0" w:color="auto"/>
                <w:left w:val="none" w:sz="0" w:space="0" w:color="auto"/>
                <w:bottom w:val="none" w:sz="0" w:space="0" w:color="auto"/>
                <w:right w:val="none" w:sz="0" w:space="0" w:color="auto"/>
              </w:divBdr>
            </w:div>
            <w:div w:id="1087383139">
              <w:marLeft w:val="0"/>
              <w:marRight w:val="0"/>
              <w:marTop w:val="0"/>
              <w:marBottom w:val="0"/>
              <w:divBdr>
                <w:top w:val="none" w:sz="0" w:space="0" w:color="auto"/>
                <w:left w:val="none" w:sz="0" w:space="0" w:color="auto"/>
                <w:bottom w:val="none" w:sz="0" w:space="0" w:color="auto"/>
                <w:right w:val="none" w:sz="0" w:space="0" w:color="auto"/>
              </w:divBdr>
            </w:div>
            <w:div w:id="1314750259">
              <w:marLeft w:val="0"/>
              <w:marRight w:val="0"/>
              <w:marTop w:val="0"/>
              <w:marBottom w:val="0"/>
              <w:divBdr>
                <w:top w:val="none" w:sz="0" w:space="0" w:color="auto"/>
                <w:left w:val="none" w:sz="0" w:space="0" w:color="auto"/>
                <w:bottom w:val="none" w:sz="0" w:space="0" w:color="auto"/>
                <w:right w:val="none" w:sz="0" w:space="0" w:color="auto"/>
              </w:divBdr>
            </w:div>
            <w:div w:id="1421440787">
              <w:marLeft w:val="0"/>
              <w:marRight w:val="0"/>
              <w:marTop w:val="0"/>
              <w:marBottom w:val="0"/>
              <w:divBdr>
                <w:top w:val="none" w:sz="0" w:space="0" w:color="auto"/>
                <w:left w:val="none" w:sz="0" w:space="0" w:color="auto"/>
                <w:bottom w:val="none" w:sz="0" w:space="0" w:color="auto"/>
                <w:right w:val="none" w:sz="0" w:space="0" w:color="auto"/>
              </w:divBdr>
            </w:div>
            <w:div w:id="1503005837">
              <w:marLeft w:val="0"/>
              <w:marRight w:val="0"/>
              <w:marTop w:val="0"/>
              <w:marBottom w:val="0"/>
              <w:divBdr>
                <w:top w:val="none" w:sz="0" w:space="0" w:color="auto"/>
                <w:left w:val="none" w:sz="0" w:space="0" w:color="auto"/>
                <w:bottom w:val="none" w:sz="0" w:space="0" w:color="auto"/>
                <w:right w:val="none" w:sz="0" w:space="0" w:color="auto"/>
              </w:divBdr>
            </w:div>
            <w:div w:id="1658924668">
              <w:marLeft w:val="0"/>
              <w:marRight w:val="0"/>
              <w:marTop w:val="0"/>
              <w:marBottom w:val="0"/>
              <w:divBdr>
                <w:top w:val="none" w:sz="0" w:space="0" w:color="auto"/>
                <w:left w:val="none" w:sz="0" w:space="0" w:color="auto"/>
                <w:bottom w:val="none" w:sz="0" w:space="0" w:color="auto"/>
                <w:right w:val="none" w:sz="0" w:space="0" w:color="auto"/>
              </w:divBdr>
            </w:div>
            <w:div w:id="1813209298">
              <w:marLeft w:val="0"/>
              <w:marRight w:val="0"/>
              <w:marTop w:val="0"/>
              <w:marBottom w:val="0"/>
              <w:divBdr>
                <w:top w:val="none" w:sz="0" w:space="0" w:color="auto"/>
                <w:left w:val="none" w:sz="0" w:space="0" w:color="auto"/>
                <w:bottom w:val="none" w:sz="0" w:space="0" w:color="auto"/>
                <w:right w:val="none" w:sz="0" w:space="0" w:color="auto"/>
              </w:divBdr>
            </w:div>
            <w:div w:id="1875077418">
              <w:marLeft w:val="0"/>
              <w:marRight w:val="0"/>
              <w:marTop w:val="0"/>
              <w:marBottom w:val="0"/>
              <w:divBdr>
                <w:top w:val="none" w:sz="0" w:space="0" w:color="auto"/>
                <w:left w:val="none" w:sz="0" w:space="0" w:color="auto"/>
                <w:bottom w:val="none" w:sz="0" w:space="0" w:color="auto"/>
                <w:right w:val="none" w:sz="0" w:space="0" w:color="auto"/>
              </w:divBdr>
            </w:div>
          </w:divsChild>
        </w:div>
        <w:div w:id="1248881601">
          <w:marLeft w:val="0"/>
          <w:marRight w:val="0"/>
          <w:marTop w:val="0"/>
          <w:marBottom w:val="0"/>
          <w:divBdr>
            <w:top w:val="none" w:sz="0" w:space="0" w:color="auto"/>
            <w:left w:val="none" w:sz="0" w:space="0" w:color="auto"/>
            <w:bottom w:val="none" w:sz="0" w:space="0" w:color="auto"/>
            <w:right w:val="none" w:sz="0" w:space="0" w:color="auto"/>
          </w:divBdr>
          <w:divsChild>
            <w:div w:id="2055887647">
              <w:marLeft w:val="0"/>
              <w:marRight w:val="0"/>
              <w:marTop w:val="0"/>
              <w:marBottom w:val="0"/>
              <w:divBdr>
                <w:top w:val="none" w:sz="0" w:space="0" w:color="auto"/>
                <w:left w:val="none" w:sz="0" w:space="0" w:color="auto"/>
                <w:bottom w:val="none" w:sz="0" w:space="0" w:color="auto"/>
                <w:right w:val="none" w:sz="0" w:space="0" w:color="auto"/>
              </w:divBdr>
              <w:divsChild>
                <w:div w:id="83939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0311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49586">
      <w:bodyDiv w:val="1"/>
      <w:marLeft w:val="0"/>
      <w:marRight w:val="0"/>
      <w:marTop w:val="0"/>
      <w:marBottom w:val="0"/>
      <w:divBdr>
        <w:top w:val="none" w:sz="0" w:space="0" w:color="auto"/>
        <w:left w:val="none" w:sz="0" w:space="0" w:color="auto"/>
        <w:bottom w:val="none" w:sz="0" w:space="0" w:color="auto"/>
        <w:right w:val="none" w:sz="0" w:space="0" w:color="auto"/>
      </w:divBdr>
    </w:div>
    <w:div w:id="16125322">
      <w:bodyDiv w:val="1"/>
      <w:marLeft w:val="0"/>
      <w:marRight w:val="0"/>
      <w:marTop w:val="0"/>
      <w:marBottom w:val="0"/>
      <w:divBdr>
        <w:top w:val="none" w:sz="0" w:space="0" w:color="auto"/>
        <w:left w:val="none" w:sz="0" w:space="0" w:color="auto"/>
        <w:bottom w:val="none" w:sz="0" w:space="0" w:color="auto"/>
        <w:right w:val="none" w:sz="0" w:space="0" w:color="auto"/>
      </w:divBdr>
    </w:div>
    <w:div w:id="26835422">
      <w:bodyDiv w:val="1"/>
      <w:marLeft w:val="0"/>
      <w:marRight w:val="0"/>
      <w:marTop w:val="0"/>
      <w:marBottom w:val="0"/>
      <w:divBdr>
        <w:top w:val="none" w:sz="0" w:space="0" w:color="auto"/>
        <w:left w:val="none" w:sz="0" w:space="0" w:color="auto"/>
        <w:bottom w:val="none" w:sz="0" w:space="0" w:color="auto"/>
        <w:right w:val="none" w:sz="0" w:space="0" w:color="auto"/>
      </w:divBdr>
    </w:div>
    <w:div w:id="37706207">
      <w:bodyDiv w:val="1"/>
      <w:marLeft w:val="0"/>
      <w:marRight w:val="0"/>
      <w:marTop w:val="0"/>
      <w:marBottom w:val="0"/>
      <w:divBdr>
        <w:top w:val="none" w:sz="0" w:space="0" w:color="auto"/>
        <w:left w:val="none" w:sz="0" w:space="0" w:color="auto"/>
        <w:bottom w:val="none" w:sz="0" w:space="0" w:color="auto"/>
        <w:right w:val="none" w:sz="0" w:space="0" w:color="auto"/>
      </w:divBdr>
    </w:div>
    <w:div w:id="39131455">
      <w:bodyDiv w:val="1"/>
      <w:marLeft w:val="0"/>
      <w:marRight w:val="0"/>
      <w:marTop w:val="0"/>
      <w:marBottom w:val="0"/>
      <w:divBdr>
        <w:top w:val="none" w:sz="0" w:space="0" w:color="auto"/>
        <w:left w:val="none" w:sz="0" w:space="0" w:color="auto"/>
        <w:bottom w:val="none" w:sz="0" w:space="0" w:color="auto"/>
        <w:right w:val="none" w:sz="0" w:space="0" w:color="auto"/>
      </w:divBdr>
    </w:div>
    <w:div w:id="70156022">
      <w:bodyDiv w:val="1"/>
      <w:marLeft w:val="0"/>
      <w:marRight w:val="0"/>
      <w:marTop w:val="0"/>
      <w:marBottom w:val="0"/>
      <w:divBdr>
        <w:top w:val="none" w:sz="0" w:space="0" w:color="auto"/>
        <w:left w:val="none" w:sz="0" w:space="0" w:color="auto"/>
        <w:bottom w:val="none" w:sz="0" w:space="0" w:color="auto"/>
        <w:right w:val="none" w:sz="0" w:space="0" w:color="auto"/>
      </w:divBdr>
    </w:div>
    <w:div w:id="71127360">
      <w:bodyDiv w:val="1"/>
      <w:marLeft w:val="0"/>
      <w:marRight w:val="0"/>
      <w:marTop w:val="0"/>
      <w:marBottom w:val="0"/>
      <w:divBdr>
        <w:top w:val="none" w:sz="0" w:space="0" w:color="auto"/>
        <w:left w:val="none" w:sz="0" w:space="0" w:color="auto"/>
        <w:bottom w:val="none" w:sz="0" w:space="0" w:color="auto"/>
        <w:right w:val="none" w:sz="0" w:space="0" w:color="auto"/>
      </w:divBdr>
    </w:div>
    <w:div w:id="75447338">
      <w:bodyDiv w:val="1"/>
      <w:marLeft w:val="0"/>
      <w:marRight w:val="0"/>
      <w:marTop w:val="0"/>
      <w:marBottom w:val="0"/>
      <w:divBdr>
        <w:top w:val="none" w:sz="0" w:space="0" w:color="auto"/>
        <w:left w:val="none" w:sz="0" w:space="0" w:color="auto"/>
        <w:bottom w:val="none" w:sz="0" w:space="0" w:color="auto"/>
        <w:right w:val="none" w:sz="0" w:space="0" w:color="auto"/>
      </w:divBdr>
    </w:div>
    <w:div w:id="78842056">
      <w:bodyDiv w:val="1"/>
      <w:marLeft w:val="0"/>
      <w:marRight w:val="0"/>
      <w:marTop w:val="0"/>
      <w:marBottom w:val="0"/>
      <w:divBdr>
        <w:top w:val="none" w:sz="0" w:space="0" w:color="auto"/>
        <w:left w:val="none" w:sz="0" w:space="0" w:color="auto"/>
        <w:bottom w:val="none" w:sz="0" w:space="0" w:color="auto"/>
        <w:right w:val="none" w:sz="0" w:space="0" w:color="auto"/>
      </w:divBdr>
    </w:div>
    <w:div w:id="88083276">
      <w:bodyDiv w:val="1"/>
      <w:marLeft w:val="0"/>
      <w:marRight w:val="0"/>
      <w:marTop w:val="0"/>
      <w:marBottom w:val="0"/>
      <w:divBdr>
        <w:top w:val="none" w:sz="0" w:space="0" w:color="auto"/>
        <w:left w:val="none" w:sz="0" w:space="0" w:color="auto"/>
        <w:bottom w:val="none" w:sz="0" w:space="0" w:color="auto"/>
        <w:right w:val="none" w:sz="0" w:space="0" w:color="auto"/>
      </w:divBdr>
    </w:div>
    <w:div w:id="116723441">
      <w:bodyDiv w:val="1"/>
      <w:marLeft w:val="0"/>
      <w:marRight w:val="0"/>
      <w:marTop w:val="0"/>
      <w:marBottom w:val="0"/>
      <w:divBdr>
        <w:top w:val="none" w:sz="0" w:space="0" w:color="auto"/>
        <w:left w:val="none" w:sz="0" w:space="0" w:color="auto"/>
        <w:bottom w:val="none" w:sz="0" w:space="0" w:color="auto"/>
        <w:right w:val="none" w:sz="0" w:space="0" w:color="auto"/>
      </w:divBdr>
    </w:div>
    <w:div w:id="132410450">
      <w:bodyDiv w:val="1"/>
      <w:marLeft w:val="0"/>
      <w:marRight w:val="0"/>
      <w:marTop w:val="0"/>
      <w:marBottom w:val="0"/>
      <w:divBdr>
        <w:top w:val="none" w:sz="0" w:space="0" w:color="auto"/>
        <w:left w:val="none" w:sz="0" w:space="0" w:color="auto"/>
        <w:bottom w:val="none" w:sz="0" w:space="0" w:color="auto"/>
        <w:right w:val="none" w:sz="0" w:space="0" w:color="auto"/>
      </w:divBdr>
      <w:divsChild>
        <w:div w:id="1051802174">
          <w:marLeft w:val="0"/>
          <w:marRight w:val="0"/>
          <w:marTop w:val="0"/>
          <w:marBottom w:val="0"/>
          <w:divBdr>
            <w:top w:val="none" w:sz="0" w:space="0" w:color="auto"/>
            <w:left w:val="none" w:sz="0" w:space="0" w:color="auto"/>
            <w:bottom w:val="none" w:sz="0" w:space="0" w:color="auto"/>
            <w:right w:val="none" w:sz="0" w:space="0" w:color="auto"/>
          </w:divBdr>
          <w:divsChild>
            <w:div w:id="43282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71766">
      <w:bodyDiv w:val="1"/>
      <w:marLeft w:val="0"/>
      <w:marRight w:val="0"/>
      <w:marTop w:val="0"/>
      <w:marBottom w:val="0"/>
      <w:divBdr>
        <w:top w:val="none" w:sz="0" w:space="0" w:color="auto"/>
        <w:left w:val="none" w:sz="0" w:space="0" w:color="auto"/>
        <w:bottom w:val="none" w:sz="0" w:space="0" w:color="auto"/>
        <w:right w:val="none" w:sz="0" w:space="0" w:color="auto"/>
      </w:divBdr>
    </w:div>
    <w:div w:id="135032699">
      <w:bodyDiv w:val="1"/>
      <w:marLeft w:val="0"/>
      <w:marRight w:val="0"/>
      <w:marTop w:val="0"/>
      <w:marBottom w:val="0"/>
      <w:divBdr>
        <w:top w:val="none" w:sz="0" w:space="0" w:color="auto"/>
        <w:left w:val="none" w:sz="0" w:space="0" w:color="auto"/>
        <w:bottom w:val="none" w:sz="0" w:space="0" w:color="auto"/>
        <w:right w:val="none" w:sz="0" w:space="0" w:color="auto"/>
      </w:divBdr>
    </w:div>
    <w:div w:id="186413181">
      <w:bodyDiv w:val="1"/>
      <w:marLeft w:val="0"/>
      <w:marRight w:val="0"/>
      <w:marTop w:val="0"/>
      <w:marBottom w:val="0"/>
      <w:divBdr>
        <w:top w:val="none" w:sz="0" w:space="0" w:color="auto"/>
        <w:left w:val="none" w:sz="0" w:space="0" w:color="auto"/>
        <w:bottom w:val="none" w:sz="0" w:space="0" w:color="auto"/>
        <w:right w:val="none" w:sz="0" w:space="0" w:color="auto"/>
      </w:divBdr>
    </w:div>
    <w:div w:id="208222800">
      <w:bodyDiv w:val="1"/>
      <w:marLeft w:val="0"/>
      <w:marRight w:val="0"/>
      <w:marTop w:val="0"/>
      <w:marBottom w:val="0"/>
      <w:divBdr>
        <w:top w:val="none" w:sz="0" w:space="0" w:color="auto"/>
        <w:left w:val="none" w:sz="0" w:space="0" w:color="auto"/>
        <w:bottom w:val="none" w:sz="0" w:space="0" w:color="auto"/>
        <w:right w:val="none" w:sz="0" w:space="0" w:color="auto"/>
      </w:divBdr>
    </w:div>
    <w:div w:id="210657560">
      <w:bodyDiv w:val="1"/>
      <w:marLeft w:val="0"/>
      <w:marRight w:val="0"/>
      <w:marTop w:val="0"/>
      <w:marBottom w:val="0"/>
      <w:divBdr>
        <w:top w:val="none" w:sz="0" w:space="0" w:color="auto"/>
        <w:left w:val="none" w:sz="0" w:space="0" w:color="auto"/>
        <w:bottom w:val="none" w:sz="0" w:space="0" w:color="auto"/>
        <w:right w:val="none" w:sz="0" w:space="0" w:color="auto"/>
      </w:divBdr>
    </w:div>
    <w:div w:id="243076595">
      <w:bodyDiv w:val="1"/>
      <w:marLeft w:val="0"/>
      <w:marRight w:val="0"/>
      <w:marTop w:val="0"/>
      <w:marBottom w:val="0"/>
      <w:divBdr>
        <w:top w:val="none" w:sz="0" w:space="0" w:color="auto"/>
        <w:left w:val="none" w:sz="0" w:space="0" w:color="auto"/>
        <w:bottom w:val="none" w:sz="0" w:space="0" w:color="auto"/>
        <w:right w:val="none" w:sz="0" w:space="0" w:color="auto"/>
      </w:divBdr>
    </w:div>
    <w:div w:id="257715608">
      <w:bodyDiv w:val="1"/>
      <w:marLeft w:val="0"/>
      <w:marRight w:val="0"/>
      <w:marTop w:val="0"/>
      <w:marBottom w:val="0"/>
      <w:divBdr>
        <w:top w:val="none" w:sz="0" w:space="0" w:color="auto"/>
        <w:left w:val="none" w:sz="0" w:space="0" w:color="auto"/>
        <w:bottom w:val="none" w:sz="0" w:space="0" w:color="auto"/>
        <w:right w:val="none" w:sz="0" w:space="0" w:color="auto"/>
      </w:divBdr>
    </w:div>
    <w:div w:id="261036803">
      <w:bodyDiv w:val="1"/>
      <w:marLeft w:val="0"/>
      <w:marRight w:val="0"/>
      <w:marTop w:val="0"/>
      <w:marBottom w:val="0"/>
      <w:divBdr>
        <w:top w:val="none" w:sz="0" w:space="0" w:color="auto"/>
        <w:left w:val="none" w:sz="0" w:space="0" w:color="auto"/>
        <w:bottom w:val="none" w:sz="0" w:space="0" w:color="auto"/>
        <w:right w:val="none" w:sz="0" w:space="0" w:color="auto"/>
      </w:divBdr>
    </w:div>
    <w:div w:id="265432974">
      <w:bodyDiv w:val="1"/>
      <w:marLeft w:val="0"/>
      <w:marRight w:val="0"/>
      <w:marTop w:val="0"/>
      <w:marBottom w:val="0"/>
      <w:divBdr>
        <w:top w:val="none" w:sz="0" w:space="0" w:color="auto"/>
        <w:left w:val="none" w:sz="0" w:space="0" w:color="auto"/>
        <w:bottom w:val="none" w:sz="0" w:space="0" w:color="auto"/>
        <w:right w:val="none" w:sz="0" w:space="0" w:color="auto"/>
      </w:divBdr>
    </w:div>
    <w:div w:id="289820912">
      <w:bodyDiv w:val="1"/>
      <w:marLeft w:val="0"/>
      <w:marRight w:val="0"/>
      <w:marTop w:val="0"/>
      <w:marBottom w:val="0"/>
      <w:divBdr>
        <w:top w:val="none" w:sz="0" w:space="0" w:color="auto"/>
        <w:left w:val="none" w:sz="0" w:space="0" w:color="auto"/>
        <w:bottom w:val="none" w:sz="0" w:space="0" w:color="auto"/>
        <w:right w:val="none" w:sz="0" w:space="0" w:color="auto"/>
      </w:divBdr>
    </w:div>
    <w:div w:id="297498540">
      <w:bodyDiv w:val="1"/>
      <w:marLeft w:val="0"/>
      <w:marRight w:val="0"/>
      <w:marTop w:val="0"/>
      <w:marBottom w:val="0"/>
      <w:divBdr>
        <w:top w:val="none" w:sz="0" w:space="0" w:color="auto"/>
        <w:left w:val="none" w:sz="0" w:space="0" w:color="auto"/>
        <w:bottom w:val="none" w:sz="0" w:space="0" w:color="auto"/>
        <w:right w:val="none" w:sz="0" w:space="0" w:color="auto"/>
      </w:divBdr>
    </w:div>
    <w:div w:id="310789198">
      <w:bodyDiv w:val="1"/>
      <w:marLeft w:val="0"/>
      <w:marRight w:val="0"/>
      <w:marTop w:val="0"/>
      <w:marBottom w:val="0"/>
      <w:divBdr>
        <w:top w:val="none" w:sz="0" w:space="0" w:color="auto"/>
        <w:left w:val="none" w:sz="0" w:space="0" w:color="auto"/>
        <w:bottom w:val="none" w:sz="0" w:space="0" w:color="auto"/>
        <w:right w:val="none" w:sz="0" w:space="0" w:color="auto"/>
      </w:divBdr>
      <w:divsChild>
        <w:div w:id="1543245625">
          <w:marLeft w:val="0"/>
          <w:marRight w:val="0"/>
          <w:marTop w:val="0"/>
          <w:marBottom w:val="0"/>
          <w:divBdr>
            <w:top w:val="none" w:sz="0" w:space="0" w:color="auto"/>
            <w:left w:val="none" w:sz="0" w:space="0" w:color="auto"/>
            <w:bottom w:val="none" w:sz="0" w:space="0" w:color="auto"/>
            <w:right w:val="none" w:sz="0" w:space="0" w:color="auto"/>
          </w:divBdr>
        </w:div>
      </w:divsChild>
    </w:div>
    <w:div w:id="314645297">
      <w:bodyDiv w:val="1"/>
      <w:marLeft w:val="0"/>
      <w:marRight w:val="0"/>
      <w:marTop w:val="0"/>
      <w:marBottom w:val="0"/>
      <w:divBdr>
        <w:top w:val="none" w:sz="0" w:space="0" w:color="auto"/>
        <w:left w:val="none" w:sz="0" w:space="0" w:color="auto"/>
        <w:bottom w:val="none" w:sz="0" w:space="0" w:color="auto"/>
        <w:right w:val="none" w:sz="0" w:space="0" w:color="auto"/>
      </w:divBdr>
    </w:div>
    <w:div w:id="323900449">
      <w:bodyDiv w:val="1"/>
      <w:marLeft w:val="0"/>
      <w:marRight w:val="0"/>
      <w:marTop w:val="0"/>
      <w:marBottom w:val="0"/>
      <w:divBdr>
        <w:top w:val="none" w:sz="0" w:space="0" w:color="auto"/>
        <w:left w:val="none" w:sz="0" w:space="0" w:color="auto"/>
        <w:bottom w:val="none" w:sz="0" w:space="0" w:color="auto"/>
        <w:right w:val="none" w:sz="0" w:space="0" w:color="auto"/>
      </w:divBdr>
    </w:div>
    <w:div w:id="325405431">
      <w:bodyDiv w:val="1"/>
      <w:marLeft w:val="0"/>
      <w:marRight w:val="0"/>
      <w:marTop w:val="0"/>
      <w:marBottom w:val="0"/>
      <w:divBdr>
        <w:top w:val="none" w:sz="0" w:space="0" w:color="auto"/>
        <w:left w:val="none" w:sz="0" w:space="0" w:color="auto"/>
        <w:bottom w:val="none" w:sz="0" w:space="0" w:color="auto"/>
        <w:right w:val="none" w:sz="0" w:space="0" w:color="auto"/>
      </w:divBdr>
    </w:div>
    <w:div w:id="345640035">
      <w:bodyDiv w:val="1"/>
      <w:marLeft w:val="0"/>
      <w:marRight w:val="0"/>
      <w:marTop w:val="0"/>
      <w:marBottom w:val="0"/>
      <w:divBdr>
        <w:top w:val="none" w:sz="0" w:space="0" w:color="auto"/>
        <w:left w:val="none" w:sz="0" w:space="0" w:color="auto"/>
        <w:bottom w:val="none" w:sz="0" w:space="0" w:color="auto"/>
        <w:right w:val="none" w:sz="0" w:space="0" w:color="auto"/>
      </w:divBdr>
    </w:div>
    <w:div w:id="350227336">
      <w:bodyDiv w:val="1"/>
      <w:marLeft w:val="0"/>
      <w:marRight w:val="0"/>
      <w:marTop w:val="0"/>
      <w:marBottom w:val="0"/>
      <w:divBdr>
        <w:top w:val="none" w:sz="0" w:space="0" w:color="auto"/>
        <w:left w:val="none" w:sz="0" w:space="0" w:color="auto"/>
        <w:bottom w:val="none" w:sz="0" w:space="0" w:color="auto"/>
        <w:right w:val="none" w:sz="0" w:space="0" w:color="auto"/>
      </w:divBdr>
    </w:div>
    <w:div w:id="358042697">
      <w:bodyDiv w:val="1"/>
      <w:marLeft w:val="0"/>
      <w:marRight w:val="0"/>
      <w:marTop w:val="0"/>
      <w:marBottom w:val="0"/>
      <w:divBdr>
        <w:top w:val="none" w:sz="0" w:space="0" w:color="auto"/>
        <w:left w:val="none" w:sz="0" w:space="0" w:color="auto"/>
        <w:bottom w:val="none" w:sz="0" w:space="0" w:color="auto"/>
        <w:right w:val="none" w:sz="0" w:space="0" w:color="auto"/>
      </w:divBdr>
      <w:divsChild>
        <w:div w:id="300765877">
          <w:marLeft w:val="0"/>
          <w:marRight w:val="0"/>
          <w:marTop w:val="0"/>
          <w:marBottom w:val="0"/>
          <w:divBdr>
            <w:top w:val="none" w:sz="0" w:space="0" w:color="auto"/>
            <w:left w:val="none" w:sz="0" w:space="0" w:color="auto"/>
            <w:bottom w:val="none" w:sz="0" w:space="0" w:color="auto"/>
            <w:right w:val="none" w:sz="0" w:space="0" w:color="auto"/>
          </w:divBdr>
        </w:div>
      </w:divsChild>
    </w:div>
    <w:div w:id="362436686">
      <w:bodyDiv w:val="1"/>
      <w:marLeft w:val="0"/>
      <w:marRight w:val="0"/>
      <w:marTop w:val="0"/>
      <w:marBottom w:val="0"/>
      <w:divBdr>
        <w:top w:val="none" w:sz="0" w:space="0" w:color="auto"/>
        <w:left w:val="none" w:sz="0" w:space="0" w:color="auto"/>
        <w:bottom w:val="none" w:sz="0" w:space="0" w:color="auto"/>
        <w:right w:val="none" w:sz="0" w:space="0" w:color="auto"/>
      </w:divBdr>
      <w:divsChild>
        <w:div w:id="390469047">
          <w:marLeft w:val="0"/>
          <w:marRight w:val="0"/>
          <w:marTop w:val="0"/>
          <w:marBottom w:val="0"/>
          <w:divBdr>
            <w:top w:val="none" w:sz="0" w:space="0" w:color="auto"/>
            <w:left w:val="none" w:sz="0" w:space="0" w:color="auto"/>
            <w:bottom w:val="none" w:sz="0" w:space="0" w:color="auto"/>
            <w:right w:val="none" w:sz="0" w:space="0" w:color="auto"/>
          </w:divBdr>
          <w:divsChild>
            <w:div w:id="2138135152">
              <w:marLeft w:val="0"/>
              <w:marRight w:val="0"/>
              <w:marTop w:val="0"/>
              <w:marBottom w:val="0"/>
              <w:divBdr>
                <w:top w:val="none" w:sz="0" w:space="0" w:color="auto"/>
                <w:left w:val="none" w:sz="0" w:space="0" w:color="auto"/>
                <w:bottom w:val="none" w:sz="0" w:space="0" w:color="auto"/>
                <w:right w:val="none" w:sz="0" w:space="0" w:color="auto"/>
              </w:divBdr>
              <w:divsChild>
                <w:div w:id="364985148">
                  <w:marLeft w:val="0"/>
                  <w:marRight w:val="0"/>
                  <w:marTop w:val="0"/>
                  <w:marBottom w:val="0"/>
                  <w:divBdr>
                    <w:top w:val="none" w:sz="0" w:space="0" w:color="auto"/>
                    <w:left w:val="none" w:sz="0" w:space="0" w:color="auto"/>
                    <w:bottom w:val="none" w:sz="0" w:space="0" w:color="auto"/>
                    <w:right w:val="none" w:sz="0" w:space="0" w:color="auto"/>
                  </w:divBdr>
                  <w:divsChild>
                    <w:div w:id="36171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8530966">
      <w:bodyDiv w:val="1"/>
      <w:marLeft w:val="0"/>
      <w:marRight w:val="0"/>
      <w:marTop w:val="0"/>
      <w:marBottom w:val="0"/>
      <w:divBdr>
        <w:top w:val="none" w:sz="0" w:space="0" w:color="auto"/>
        <w:left w:val="none" w:sz="0" w:space="0" w:color="auto"/>
        <w:bottom w:val="none" w:sz="0" w:space="0" w:color="auto"/>
        <w:right w:val="none" w:sz="0" w:space="0" w:color="auto"/>
      </w:divBdr>
    </w:div>
    <w:div w:id="385643864">
      <w:bodyDiv w:val="1"/>
      <w:marLeft w:val="0"/>
      <w:marRight w:val="0"/>
      <w:marTop w:val="0"/>
      <w:marBottom w:val="0"/>
      <w:divBdr>
        <w:top w:val="none" w:sz="0" w:space="0" w:color="auto"/>
        <w:left w:val="none" w:sz="0" w:space="0" w:color="auto"/>
        <w:bottom w:val="none" w:sz="0" w:space="0" w:color="auto"/>
        <w:right w:val="none" w:sz="0" w:space="0" w:color="auto"/>
      </w:divBdr>
    </w:div>
    <w:div w:id="400954339">
      <w:bodyDiv w:val="1"/>
      <w:marLeft w:val="0"/>
      <w:marRight w:val="0"/>
      <w:marTop w:val="0"/>
      <w:marBottom w:val="0"/>
      <w:divBdr>
        <w:top w:val="none" w:sz="0" w:space="0" w:color="auto"/>
        <w:left w:val="none" w:sz="0" w:space="0" w:color="auto"/>
        <w:bottom w:val="none" w:sz="0" w:space="0" w:color="auto"/>
        <w:right w:val="none" w:sz="0" w:space="0" w:color="auto"/>
      </w:divBdr>
    </w:div>
    <w:div w:id="402335387">
      <w:bodyDiv w:val="1"/>
      <w:marLeft w:val="0"/>
      <w:marRight w:val="0"/>
      <w:marTop w:val="0"/>
      <w:marBottom w:val="0"/>
      <w:divBdr>
        <w:top w:val="none" w:sz="0" w:space="0" w:color="auto"/>
        <w:left w:val="none" w:sz="0" w:space="0" w:color="auto"/>
        <w:bottom w:val="none" w:sz="0" w:space="0" w:color="auto"/>
        <w:right w:val="none" w:sz="0" w:space="0" w:color="auto"/>
      </w:divBdr>
    </w:div>
    <w:div w:id="406652472">
      <w:bodyDiv w:val="1"/>
      <w:marLeft w:val="0"/>
      <w:marRight w:val="0"/>
      <w:marTop w:val="0"/>
      <w:marBottom w:val="0"/>
      <w:divBdr>
        <w:top w:val="none" w:sz="0" w:space="0" w:color="auto"/>
        <w:left w:val="none" w:sz="0" w:space="0" w:color="auto"/>
        <w:bottom w:val="none" w:sz="0" w:space="0" w:color="auto"/>
        <w:right w:val="none" w:sz="0" w:space="0" w:color="auto"/>
      </w:divBdr>
      <w:divsChild>
        <w:div w:id="1382560635">
          <w:marLeft w:val="0"/>
          <w:marRight w:val="0"/>
          <w:marTop w:val="100"/>
          <w:marBottom w:val="100"/>
          <w:divBdr>
            <w:top w:val="none" w:sz="0" w:space="0" w:color="auto"/>
            <w:left w:val="none" w:sz="0" w:space="0" w:color="auto"/>
            <w:bottom w:val="none" w:sz="0" w:space="0" w:color="auto"/>
            <w:right w:val="none" w:sz="0" w:space="0" w:color="auto"/>
          </w:divBdr>
          <w:divsChild>
            <w:div w:id="651064547">
              <w:marLeft w:val="0"/>
              <w:marRight w:val="0"/>
              <w:marTop w:val="100"/>
              <w:marBottom w:val="100"/>
              <w:divBdr>
                <w:top w:val="none" w:sz="0" w:space="0" w:color="auto"/>
                <w:left w:val="none" w:sz="0" w:space="0" w:color="auto"/>
                <w:bottom w:val="none" w:sz="0" w:space="0" w:color="auto"/>
                <w:right w:val="none" w:sz="0" w:space="0" w:color="auto"/>
              </w:divBdr>
              <w:divsChild>
                <w:div w:id="342904471">
                  <w:marLeft w:val="0"/>
                  <w:marRight w:val="0"/>
                  <w:marTop w:val="0"/>
                  <w:marBottom w:val="0"/>
                  <w:divBdr>
                    <w:top w:val="none" w:sz="0" w:space="0" w:color="auto"/>
                    <w:left w:val="none" w:sz="0" w:space="0" w:color="auto"/>
                    <w:bottom w:val="none" w:sz="0" w:space="0" w:color="auto"/>
                    <w:right w:val="none" w:sz="0" w:space="0" w:color="auto"/>
                  </w:divBdr>
                  <w:divsChild>
                    <w:div w:id="291903216">
                      <w:marLeft w:val="0"/>
                      <w:marRight w:val="0"/>
                      <w:marTop w:val="0"/>
                      <w:marBottom w:val="0"/>
                      <w:divBdr>
                        <w:top w:val="none" w:sz="0" w:space="0" w:color="auto"/>
                        <w:left w:val="none" w:sz="0" w:space="0" w:color="auto"/>
                        <w:bottom w:val="none" w:sz="0" w:space="0" w:color="auto"/>
                        <w:right w:val="none" w:sz="0" w:space="0" w:color="auto"/>
                      </w:divBdr>
                      <w:divsChild>
                        <w:div w:id="2020504654">
                          <w:marLeft w:val="0"/>
                          <w:marRight w:val="0"/>
                          <w:marTop w:val="0"/>
                          <w:marBottom w:val="0"/>
                          <w:divBdr>
                            <w:top w:val="none" w:sz="0" w:space="0" w:color="auto"/>
                            <w:left w:val="none" w:sz="0" w:space="0" w:color="auto"/>
                            <w:bottom w:val="none" w:sz="0" w:space="0" w:color="auto"/>
                            <w:right w:val="none" w:sz="0" w:space="0" w:color="auto"/>
                          </w:divBdr>
                          <w:divsChild>
                            <w:div w:id="814100526">
                              <w:marLeft w:val="69"/>
                              <w:marRight w:val="69"/>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9758501">
      <w:bodyDiv w:val="1"/>
      <w:marLeft w:val="0"/>
      <w:marRight w:val="0"/>
      <w:marTop w:val="0"/>
      <w:marBottom w:val="0"/>
      <w:divBdr>
        <w:top w:val="none" w:sz="0" w:space="0" w:color="auto"/>
        <w:left w:val="none" w:sz="0" w:space="0" w:color="auto"/>
        <w:bottom w:val="none" w:sz="0" w:space="0" w:color="auto"/>
        <w:right w:val="none" w:sz="0" w:space="0" w:color="auto"/>
      </w:divBdr>
    </w:div>
    <w:div w:id="462430730">
      <w:bodyDiv w:val="1"/>
      <w:marLeft w:val="0"/>
      <w:marRight w:val="0"/>
      <w:marTop w:val="0"/>
      <w:marBottom w:val="0"/>
      <w:divBdr>
        <w:top w:val="none" w:sz="0" w:space="0" w:color="auto"/>
        <w:left w:val="none" w:sz="0" w:space="0" w:color="auto"/>
        <w:bottom w:val="none" w:sz="0" w:space="0" w:color="auto"/>
        <w:right w:val="none" w:sz="0" w:space="0" w:color="auto"/>
      </w:divBdr>
    </w:div>
    <w:div w:id="473060068">
      <w:bodyDiv w:val="1"/>
      <w:marLeft w:val="0"/>
      <w:marRight w:val="0"/>
      <w:marTop w:val="0"/>
      <w:marBottom w:val="0"/>
      <w:divBdr>
        <w:top w:val="none" w:sz="0" w:space="0" w:color="auto"/>
        <w:left w:val="none" w:sz="0" w:space="0" w:color="auto"/>
        <w:bottom w:val="none" w:sz="0" w:space="0" w:color="auto"/>
        <w:right w:val="none" w:sz="0" w:space="0" w:color="auto"/>
      </w:divBdr>
      <w:divsChild>
        <w:div w:id="252862431">
          <w:marLeft w:val="0"/>
          <w:marRight w:val="0"/>
          <w:marTop w:val="0"/>
          <w:marBottom w:val="0"/>
          <w:divBdr>
            <w:top w:val="none" w:sz="0" w:space="0" w:color="auto"/>
            <w:left w:val="none" w:sz="0" w:space="0" w:color="auto"/>
            <w:bottom w:val="none" w:sz="0" w:space="0" w:color="auto"/>
            <w:right w:val="none" w:sz="0" w:space="0" w:color="auto"/>
          </w:divBdr>
          <w:divsChild>
            <w:div w:id="1922174117">
              <w:marLeft w:val="0"/>
              <w:marRight w:val="0"/>
              <w:marTop w:val="0"/>
              <w:marBottom w:val="0"/>
              <w:divBdr>
                <w:top w:val="none" w:sz="0" w:space="0" w:color="auto"/>
                <w:left w:val="none" w:sz="0" w:space="0" w:color="auto"/>
                <w:bottom w:val="none" w:sz="0" w:space="0" w:color="auto"/>
                <w:right w:val="none" w:sz="0" w:space="0" w:color="auto"/>
              </w:divBdr>
              <w:divsChild>
                <w:div w:id="206576268">
                  <w:marLeft w:val="0"/>
                  <w:marRight w:val="0"/>
                  <w:marTop w:val="0"/>
                  <w:marBottom w:val="0"/>
                  <w:divBdr>
                    <w:top w:val="none" w:sz="0" w:space="0" w:color="auto"/>
                    <w:left w:val="none" w:sz="0" w:space="0" w:color="auto"/>
                    <w:bottom w:val="none" w:sz="0" w:space="0" w:color="auto"/>
                    <w:right w:val="none" w:sz="0" w:space="0" w:color="auto"/>
                  </w:divBdr>
                  <w:divsChild>
                    <w:div w:id="332489909">
                      <w:marLeft w:val="0"/>
                      <w:marRight w:val="0"/>
                      <w:marTop w:val="0"/>
                      <w:marBottom w:val="0"/>
                      <w:divBdr>
                        <w:top w:val="none" w:sz="0" w:space="0" w:color="auto"/>
                        <w:left w:val="none" w:sz="0" w:space="0" w:color="auto"/>
                        <w:bottom w:val="none" w:sz="0" w:space="0" w:color="auto"/>
                        <w:right w:val="none" w:sz="0" w:space="0" w:color="auto"/>
                      </w:divBdr>
                      <w:divsChild>
                        <w:div w:id="1368719928">
                          <w:marLeft w:val="0"/>
                          <w:marRight w:val="0"/>
                          <w:marTop w:val="0"/>
                          <w:marBottom w:val="0"/>
                          <w:divBdr>
                            <w:top w:val="none" w:sz="0" w:space="0" w:color="auto"/>
                            <w:left w:val="none" w:sz="0" w:space="0" w:color="auto"/>
                            <w:bottom w:val="none" w:sz="0" w:space="0" w:color="auto"/>
                            <w:right w:val="none" w:sz="0" w:space="0" w:color="auto"/>
                          </w:divBdr>
                          <w:divsChild>
                            <w:div w:id="768429050">
                              <w:marLeft w:val="0"/>
                              <w:marRight w:val="0"/>
                              <w:marTop w:val="0"/>
                              <w:marBottom w:val="0"/>
                              <w:divBdr>
                                <w:top w:val="none" w:sz="0" w:space="0" w:color="auto"/>
                                <w:left w:val="none" w:sz="0" w:space="0" w:color="auto"/>
                                <w:bottom w:val="none" w:sz="0" w:space="0" w:color="auto"/>
                                <w:right w:val="none" w:sz="0" w:space="0" w:color="auto"/>
                              </w:divBdr>
                              <w:divsChild>
                                <w:div w:id="1797210848">
                                  <w:marLeft w:val="0"/>
                                  <w:marRight w:val="0"/>
                                  <w:marTop w:val="240"/>
                                  <w:marBottom w:val="240"/>
                                  <w:divBdr>
                                    <w:top w:val="none" w:sz="0" w:space="0" w:color="auto"/>
                                    <w:left w:val="none" w:sz="0" w:space="0" w:color="auto"/>
                                    <w:bottom w:val="none" w:sz="0" w:space="0" w:color="auto"/>
                                    <w:right w:val="none" w:sz="0" w:space="0" w:color="auto"/>
                                  </w:divBdr>
                                  <w:divsChild>
                                    <w:div w:id="260139982">
                                      <w:marLeft w:val="0"/>
                                      <w:marRight w:val="0"/>
                                      <w:marTop w:val="0"/>
                                      <w:marBottom w:val="0"/>
                                      <w:divBdr>
                                        <w:top w:val="none" w:sz="0" w:space="0" w:color="auto"/>
                                        <w:left w:val="none" w:sz="0" w:space="0" w:color="auto"/>
                                        <w:bottom w:val="none" w:sz="0" w:space="0" w:color="auto"/>
                                        <w:right w:val="none" w:sz="0" w:space="0" w:color="auto"/>
                                      </w:divBdr>
                                      <w:divsChild>
                                        <w:div w:id="211166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8690005">
      <w:bodyDiv w:val="1"/>
      <w:marLeft w:val="0"/>
      <w:marRight w:val="0"/>
      <w:marTop w:val="0"/>
      <w:marBottom w:val="0"/>
      <w:divBdr>
        <w:top w:val="none" w:sz="0" w:space="0" w:color="auto"/>
        <w:left w:val="none" w:sz="0" w:space="0" w:color="auto"/>
        <w:bottom w:val="none" w:sz="0" w:space="0" w:color="auto"/>
        <w:right w:val="none" w:sz="0" w:space="0" w:color="auto"/>
      </w:divBdr>
      <w:divsChild>
        <w:div w:id="607195925">
          <w:marLeft w:val="0"/>
          <w:marRight w:val="0"/>
          <w:marTop w:val="0"/>
          <w:marBottom w:val="0"/>
          <w:divBdr>
            <w:top w:val="none" w:sz="0" w:space="0" w:color="auto"/>
            <w:left w:val="none" w:sz="0" w:space="0" w:color="auto"/>
            <w:bottom w:val="none" w:sz="0" w:space="0" w:color="auto"/>
            <w:right w:val="none" w:sz="0" w:space="0" w:color="auto"/>
          </w:divBdr>
          <w:divsChild>
            <w:div w:id="857813934">
              <w:marLeft w:val="0"/>
              <w:marRight w:val="0"/>
              <w:marTop w:val="0"/>
              <w:marBottom w:val="0"/>
              <w:divBdr>
                <w:top w:val="none" w:sz="0" w:space="0" w:color="auto"/>
                <w:left w:val="none" w:sz="0" w:space="0" w:color="auto"/>
                <w:bottom w:val="none" w:sz="0" w:space="0" w:color="auto"/>
                <w:right w:val="none" w:sz="0" w:space="0" w:color="auto"/>
              </w:divBdr>
              <w:divsChild>
                <w:div w:id="1089499515">
                  <w:marLeft w:val="0"/>
                  <w:marRight w:val="0"/>
                  <w:marTop w:val="0"/>
                  <w:marBottom w:val="0"/>
                  <w:divBdr>
                    <w:top w:val="none" w:sz="0" w:space="0" w:color="auto"/>
                    <w:left w:val="none" w:sz="0" w:space="0" w:color="auto"/>
                    <w:bottom w:val="none" w:sz="0" w:space="0" w:color="auto"/>
                    <w:right w:val="none" w:sz="0" w:space="0" w:color="auto"/>
                  </w:divBdr>
                  <w:divsChild>
                    <w:div w:id="1096054894">
                      <w:marLeft w:val="0"/>
                      <w:marRight w:val="0"/>
                      <w:marTop w:val="0"/>
                      <w:marBottom w:val="0"/>
                      <w:divBdr>
                        <w:top w:val="none" w:sz="0" w:space="0" w:color="auto"/>
                        <w:left w:val="none" w:sz="0" w:space="0" w:color="auto"/>
                        <w:bottom w:val="none" w:sz="0" w:space="0" w:color="auto"/>
                        <w:right w:val="none" w:sz="0" w:space="0" w:color="auto"/>
                      </w:divBdr>
                      <w:divsChild>
                        <w:div w:id="1581526888">
                          <w:marLeft w:val="0"/>
                          <w:marRight w:val="0"/>
                          <w:marTop w:val="0"/>
                          <w:marBottom w:val="0"/>
                          <w:divBdr>
                            <w:top w:val="none" w:sz="0" w:space="0" w:color="auto"/>
                            <w:left w:val="none" w:sz="0" w:space="0" w:color="auto"/>
                            <w:bottom w:val="none" w:sz="0" w:space="0" w:color="auto"/>
                            <w:right w:val="none" w:sz="0" w:space="0" w:color="auto"/>
                          </w:divBdr>
                          <w:divsChild>
                            <w:div w:id="430979382">
                              <w:marLeft w:val="0"/>
                              <w:marRight w:val="0"/>
                              <w:marTop w:val="0"/>
                              <w:marBottom w:val="0"/>
                              <w:divBdr>
                                <w:top w:val="none" w:sz="0" w:space="0" w:color="auto"/>
                                <w:left w:val="none" w:sz="0" w:space="0" w:color="auto"/>
                                <w:bottom w:val="none" w:sz="0" w:space="0" w:color="auto"/>
                                <w:right w:val="none" w:sz="0" w:space="0" w:color="auto"/>
                              </w:divBdr>
                              <w:divsChild>
                                <w:div w:id="99840856">
                                  <w:marLeft w:val="0"/>
                                  <w:marRight w:val="0"/>
                                  <w:marTop w:val="240"/>
                                  <w:marBottom w:val="240"/>
                                  <w:divBdr>
                                    <w:top w:val="none" w:sz="0" w:space="0" w:color="auto"/>
                                    <w:left w:val="none" w:sz="0" w:space="0" w:color="auto"/>
                                    <w:bottom w:val="none" w:sz="0" w:space="0" w:color="auto"/>
                                    <w:right w:val="none" w:sz="0" w:space="0" w:color="auto"/>
                                  </w:divBdr>
                                  <w:divsChild>
                                    <w:div w:id="451636589">
                                      <w:marLeft w:val="0"/>
                                      <w:marRight w:val="0"/>
                                      <w:marTop w:val="0"/>
                                      <w:marBottom w:val="0"/>
                                      <w:divBdr>
                                        <w:top w:val="none" w:sz="0" w:space="0" w:color="auto"/>
                                        <w:left w:val="none" w:sz="0" w:space="0" w:color="auto"/>
                                        <w:bottom w:val="none" w:sz="0" w:space="0" w:color="auto"/>
                                        <w:right w:val="none" w:sz="0" w:space="0" w:color="auto"/>
                                      </w:divBdr>
                                      <w:divsChild>
                                        <w:div w:id="3166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1723268">
      <w:bodyDiv w:val="1"/>
      <w:marLeft w:val="0"/>
      <w:marRight w:val="0"/>
      <w:marTop w:val="0"/>
      <w:marBottom w:val="0"/>
      <w:divBdr>
        <w:top w:val="none" w:sz="0" w:space="0" w:color="auto"/>
        <w:left w:val="none" w:sz="0" w:space="0" w:color="auto"/>
        <w:bottom w:val="none" w:sz="0" w:space="0" w:color="auto"/>
        <w:right w:val="none" w:sz="0" w:space="0" w:color="auto"/>
      </w:divBdr>
    </w:div>
    <w:div w:id="564921703">
      <w:bodyDiv w:val="1"/>
      <w:marLeft w:val="0"/>
      <w:marRight w:val="0"/>
      <w:marTop w:val="0"/>
      <w:marBottom w:val="0"/>
      <w:divBdr>
        <w:top w:val="none" w:sz="0" w:space="0" w:color="auto"/>
        <w:left w:val="none" w:sz="0" w:space="0" w:color="auto"/>
        <w:bottom w:val="none" w:sz="0" w:space="0" w:color="auto"/>
        <w:right w:val="none" w:sz="0" w:space="0" w:color="auto"/>
      </w:divBdr>
    </w:div>
    <w:div w:id="568853260">
      <w:bodyDiv w:val="1"/>
      <w:marLeft w:val="0"/>
      <w:marRight w:val="0"/>
      <w:marTop w:val="0"/>
      <w:marBottom w:val="0"/>
      <w:divBdr>
        <w:top w:val="none" w:sz="0" w:space="0" w:color="auto"/>
        <w:left w:val="none" w:sz="0" w:space="0" w:color="auto"/>
        <w:bottom w:val="none" w:sz="0" w:space="0" w:color="auto"/>
        <w:right w:val="none" w:sz="0" w:space="0" w:color="auto"/>
      </w:divBdr>
    </w:div>
    <w:div w:id="582185202">
      <w:bodyDiv w:val="1"/>
      <w:marLeft w:val="0"/>
      <w:marRight w:val="0"/>
      <w:marTop w:val="0"/>
      <w:marBottom w:val="0"/>
      <w:divBdr>
        <w:top w:val="none" w:sz="0" w:space="0" w:color="auto"/>
        <w:left w:val="none" w:sz="0" w:space="0" w:color="auto"/>
        <w:bottom w:val="none" w:sz="0" w:space="0" w:color="auto"/>
        <w:right w:val="none" w:sz="0" w:space="0" w:color="auto"/>
      </w:divBdr>
    </w:div>
    <w:div w:id="602570632">
      <w:bodyDiv w:val="1"/>
      <w:marLeft w:val="0"/>
      <w:marRight w:val="0"/>
      <w:marTop w:val="0"/>
      <w:marBottom w:val="0"/>
      <w:divBdr>
        <w:top w:val="none" w:sz="0" w:space="0" w:color="auto"/>
        <w:left w:val="none" w:sz="0" w:space="0" w:color="auto"/>
        <w:bottom w:val="none" w:sz="0" w:space="0" w:color="auto"/>
        <w:right w:val="none" w:sz="0" w:space="0" w:color="auto"/>
      </w:divBdr>
    </w:div>
    <w:div w:id="604733115">
      <w:bodyDiv w:val="1"/>
      <w:marLeft w:val="0"/>
      <w:marRight w:val="0"/>
      <w:marTop w:val="0"/>
      <w:marBottom w:val="0"/>
      <w:divBdr>
        <w:top w:val="none" w:sz="0" w:space="0" w:color="auto"/>
        <w:left w:val="none" w:sz="0" w:space="0" w:color="auto"/>
        <w:bottom w:val="none" w:sz="0" w:space="0" w:color="auto"/>
        <w:right w:val="none" w:sz="0" w:space="0" w:color="auto"/>
      </w:divBdr>
    </w:div>
    <w:div w:id="607392862">
      <w:bodyDiv w:val="1"/>
      <w:marLeft w:val="0"/>
      <w:marRight w:val="0"/>
      <w:marTop w:val="0"/>
      <w:marBottom w:val="0"/>
      <w:divBdr>
        <w:top w:val="none" w:sz="0" w:space="0" w:color="auto"/>
        <w:left w:val="none" w:sz="0" w:space="0" w:color="auto"/>
        <w:bottom w:val="none" w:sz="0" w:space="0" w:color="auto"/>
        <w:right w:val="none" w:sz="0" w:space="0" w:color="auto"/>
      </w:divBdr>
      <w:divsChild>
        <w:div w:id="951476585">
          <w:marLeft w:val="0"/>
          <w:marRight w:val="0"/>
          <w:marTop w:val="0"/>
          <w:marBottom w:val="0"/>
          <w:divBdr>
            <w:top w:val="none" w:sz="0" w:space="0" w:color="auto"/>
            <w:left w:val="none" w:sz="0" w:space="0" w:color="auto"/>
            <w:bottom w:val="none" w:sz="0" w:space="0" w:color="auto"/>
            <w:right w:val="none" w:sz="0" w:space="0" w:color="auto"/>
          </w:divBdr>
          <w:divsChild>
            <w:div w:id="174923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442643">
      <w:bodyDiv w:val="1"/>
      <w:marLeft w:val="0"/>
      <w:marRight w:val="0"/>
      <w:marTop w:val="0"/>
      <w:marBottom w:val="0"/>
      <w:divBdr>
        <w:top w:val="none" w:sz="0" w:space="0" w:color="auto"/>
        <w:left w:val="none" w:sz="0" w:space="0" w:color="auto"/>
        <w:bottom w:val="none" w:sz="0" w:space="0" w:color="auto"/>
        <w:right w:val="none" w:sz="0" w:space="0" w:color="auto"/>
      </w:divBdr>
    </w:div>
    <w:div w:id="616179716">
      <w:bodyDiv w:val="1"/>
      <w:marLeft w:val="0"/>
      <w:marRight w:val="0"/>
      <w:marTop w:val="0"/>
      <w:marBottom w:val="0"/>
      <w:divBdr>
        <w:top w:val="none" w:sz="0" w:space="0" w:color="auto"/>
        <w:left w:val="none" w:sz="0" w:space="0" w:color="auto"/>
        <w:bottom w:val="none" w:sz="0" w:space="0" w:color="auto"/>
        <w:right w:val="none" w:sz="0" w:space="0" w:color="auto"/>
      </w:divBdr>
    </w:div>
    <w:div w:id="621109644">
      <w:bodyDiv w:val="1"/>
      <w:marLeft w:val="0"/>
      <w:marRight w:val="0"/>
      <w:marTop w:val="0"/>
      <w:marBottom w:val="0"/>
      <w:divBdr>
        <w:top w:val="none" w:sz="0" w:space="0" w:color="auto"/>
        <w:left w:val="none" w:sz="0" w:space="0" w:color="auto"/>
        <w:bottom w:val="none" w:sz="0" w:space="0" w:color="auto"/>
        <w:right w:val="none" w:sz="0" w:space="0" w:color="auto"/>
      </w:divBdr>
      <w:divsChild>
        <w:div w:id="512304231">
          <w:marLeft w:val="0"/>
          <w:marRight w:val="0"/>
          <w:marTop w:val="0"/>
          <w:marBottom w:val="0"/>
          <w:divBdr>
            <w:top w:val="none" w:sz="0" w:space="0" w:color="auto"/>
            <w:left w:val="none" w:sz="0" w:space="0" w:color="auto"/>
            <w:bottom w:val="none" w:sz="0" w:space="0" w:color="auto"/>
            <w:right w:val="none" w:sz="0" w:space="0" w:color="auto"/>
          </w:divBdr>
          <w:divsChild>
            <w:div w:id="80585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899032">
      <w:bodyDiv w:val="1"/>
      <w:marLeft w:val="0"/>
      <w:marRight w:val="0"/>
      <w:marTop w:val="0"/>
      <w:marBottom w:val="0"/>
      <w:divBdr>
        <w:top w:val="none" w:sz="0" w:space="0" w:color="auto"/>
        <w:left w:val="none" w:sz="0" w:space="0" w:color="auto"/>
        <w:bottom w:val="none" w:sz="0" w:space="0" w:color="auto"/>
        <w:right w:val="none" w:sz="0" w:space="0" w:color="auto"/>
      </w:divBdr>
    </w:div>
    <w:div w:id="671028547">
      <w:bodyDiv w:val="1"/>
      <w:marLeft w:val="0"/>
      <w:marRight w:val="0"/>
      <w:marTop w:val="0"/>
      <w:marBottom w:val="0"/>
      <w:divBdr>
        <w:top w:val="none" w:sz="0" w:space="0" w:color="auto"/>
        <w:left w:val="none" w:sz="0" w:space="0" w:color="auto"/>
        <w:bottom w:val="none" w:sz="0" w:space="0" w:color="auto"/>
        <w:right w:val="none" w:sz="0" w:space="0" w:color="auto"/>
      </w:divBdr>
    </w:div>
    <w:div w:id="682125763">
      <w:bodyDiv w:val="1"/>
      <w:marLeft w:val="0"/>
      <w:marRight w:val="0"/>
      <w:marTop w:val="0"/>
      <w:marBottom w:val="0"/>
      <w:divBdr>
        <w:top w:val="none" w:sz="0" w:space="0" w:color="auto"/>
        <w:left w:val="none" w:sz="0" w:space="0" w:color="auto"/>
        <w:bottom w:val="none" w:sz="0" w:space="0" w:color="auto"/>
        <w:right w:val="none" w:sz="0" w:space="0" w:color="auto"/>
      </w:divBdr>
    </w:div>
    <w:div w:id="690648882">
      <w:bodyDiv w:val="1"/>
      <w:marLeft w:val="0"/>
      <w:marRight w:val="0"/>
      <w:marTop w:val="0"/>
      <w:marBottom w:val="0"/>
      <w:divBdr>
        <w:top w:val="none" w:sz="0" w:space="0" w:color="auto"/>
        <w:left w:val="none" w:sz="0" w:space="0" w:color="auto"/>
        <w:bottom w:val="none" w:sz="0" w:space="0" w:color="auto"/>
        <w:right w:val="none" w:sz="0" w:space="0" w:color="auto"/>
      </w:divBdr>
    </w:div>
    <w:div w:id="704520355">
      <w:bodyDiv w:val="1"/>
      <w:marLeft w:val="0"/>
      <w:marRight w:val="0"/>
      <w:marTop w:val="0"/>
      <w:marBottom w:val="0"/>
      <w:divBdr>
        <w:top w:val="none" w:sz="0" w:space="0" w:color="auto"/>
        <w:left w:val="none" w:sz="0" w:space="0" w:color="auto"/>
        <w:bottom w:val="none" w:sz="0" w:space="0" w:color="auto"/>
        <w:right w:val="none" w:sz="0" w:space="0" w:color="auto"/>
      </w:divBdr>
    </w:div>
    <w:div w:id="710302417">
      <w:bodyDiv w:val="1"/>
      <w:marLeft w:val="0"/>
      <w:marRight w:val="0"/>
      <w:marTop w:val="0"/>
      <w:marBottom w:val="0"/>
      <w:divBdr>
        <w:top w:val="none" w:sz="0" w:space="0" w:color="auto"/>
        <w:left w:val="none" w:sz="0" w:space="0" w:color="auto"/>
        <w:bottom w:val="none" w:sz="0" w:space="0" w:color="auto"/>
        <w:right w:val="none" w:sz="0" w:space="0" w:color="auto"/>
      </w:divBdr>
    </w:div>
    <w:div w:id="714546892">
      <w:bodyDiv w:val="1"/>
      <w:marLeft w:val="0"/>
      <w:marRight w:val="0"/>
      <w:marTop w:val="0"/>
      <w:marBottom w:val="0"/>
      <w:divBdr>
        <w:top w:val="none" w:sz="0" w:space="0" w:color="auto"/>
        <w:left w:val="none" w:sz="0" w:space="0" w:color="auto"/>
        <w:bottom w:val="none" w:sz="0" w:space="0" w:color="auto"/>
        <w:right w:val="none" w:sz="0" w:space="0" w:color="auto"/>
      </w:divBdr>
    </w:div>
    <w:div w:id="733554249">
      <w:bodyDiv w:val="1"/>
      <w:marLeft w:val="0"/>
      <w:marRight w:val="0"/>
      <w:marTop w:val="0"/>
      <w:marBottom w:val="0"/>
      <w:divBdr>
        <w:top w:val="none" w:sz="0" w:space="0" w:color="auto"/>
        <w:left w:val="none" w:sz="0" w:space="0" w:color="auto"/>
        <w:bottom w:val="none" w:sz="0" w:space="0" w:color="auto"/>
        <w:right w:val="none" w:sz="0" w:space="0" w:color="auto"/>
      </w:divBdr>
      <w:divsChild>
        <w:div w:id="621157449">
          <w:marLeft w:val="0"/>
          <w:marRight w:val="0"/>
          <w:marTop w:val="0"/>
          <w:marBottom w:val="0"/>
          <w:divBdr>
            <w:top w:val="none" w:sz="0" w:space="0" w:color="auto"/>
            <w:left w:val="none" w:sz="0" w:space="0" w:color="auto"/>
            <w:bottom w:val="none" w:sz="0" w:space="0" w:color="auto"/>
            <w:right w:val="none" w:sz="0" w:space="0" w:color="auto"/>
          </w:divBdr>
          <w:divsChild>
            <w:div w:id="130195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295132">
      <w:bodyDiv w:val="1"/>
      <w:marLeft w:val="0"/>
      <w:marRight w:val="0"/>
      <w:marTop w:val="0"/>
      <w:marBottom w:val="0"/>
      <w:divBdr>
        <w:top w:val="none" w:sz="0" w:space="0" w:color="auto"/>
        <w:left w:val="none" w:sz="0" w:space="0" w:color="auto"/>
        <w:bottom w:val="none" w:sz="0" w:space="0" w:color="auto"/>
        <w:right w:val="none" w:sz="0" w:space="0" w:color="auto"/>
      </w:divBdr>
    </w:div>
    <w:div w:id="745885047">
      <w:bodyDiv w:val="1"/>
      <w:marLeft w:val="0"/>
      <w:marRight w:val="0"/>
      <w:marTop w:val="0"/>
      <w:marBottom w:val="0"/>
      <w:divBdr>
        <w:top w:val="none" w:sz="0" w:space="0" w:color="auto"/>
        <w:left w:val="none" w:sz="0" w:space="0" w:color="auto"/>
        <w:bottom w:val="none" w:sz="0" w:space="0" w:color="auto"/>
        <w:right w:val="none" w:sz="0" w:space="0" w:color="auto"/>
      </w:divBdr>
    </w:div>
    <w:div w:id="770709711">
      <w:bodyDiv w:val="1"/>
      <w:marLeft w:val="0"/>
      <w:marRight w:val="0"/>
      <w:marTop w:val="0"/>
      <w:marBottom w:val="0"/>
      <w:divBdr>
        <w:top w:val="none" w:sz="0" w:space="0" w:color="auto"/>
        <w:left w:val="none" w:sz="0" w:space="0" w:color="auto"/>
        <w:bottom w:val="none" w:sz="0" w:space="0" w:color="auto"/>
        <w:right w:val="none" w:sz="0" w:space="0" w:color="auto"/>
      </w:divBdr>
    </w:div>
    <w:div w:id="778838616">
      <w:bodyDiv w:val="1"/>
      <w:marLeft w:val="0"/>
      <w:marRight w:val="0"/>
      <w:marTop w:val="72"/>
      <w:marBottom w:val="0"/>
      <w:divBdr>
        <w:top w:val="none" w:sz="0" w:space="0" w:color="auto"/>
        <w:left w:val="none" w:sz="0" w:space="0" w:color="auto"/>
        <w:bottom w:val="none" w:sz="0" w:space="0" w:color="auto"/>
        <w:right w:val="none" w:sz="0" w:space="0" w:color="auto"/>
      </w:divBdr>
      <w:divsChild>
        <w:div w:id="822965090">
          <w:marLeft w:val="0"/>
          <w:marRight w:val="0"/>
          <w:marTop w:val="0"/>
          <w:marBottom w:val="0"/>
          <w:divBdr>
            <w:top w:val="none" w:sz="0" w:space="0" w:color="auto"/>
            <w:left w:val="none" w:sz="0" w:space="0" w:color="auto"/>
            <w:bottom w:val="none" w:sz="0" w:space="0" w:color="auto"/>
            <w:right w:val="none" w:sz="0" w:space="0" w:color="auto"/>
          </w:divBdr>
          <w:divsChild>
            <w:div w:id="755171990">
              <w:marLeft w:val="1725"/>
              <w:marRight w:val="0"/>
              <w:marTop w:val="0"/>
              <w:marBottom w:val="0"/>
              <w:divBdr>
                <w:top w:val="none" w:sz="0" w:space="0" w:color="auto"/>
                <w:left w:val="none" w:sz="0" w:space="0" w:color="auto"/>
                <w:bottom w:val="none" w:sz="0" w:space="0" w:color="auto"/>
                <w:right w:val="none" w:sz="0" w:space="0" w:color="auto"/>
              </w:divBdr>
              <w:divsChild>
                <w:div w:id="1450473698">
                  <w:marLeft w:val="120"/>
                  <w:marRight w:val="0"/>
                  <w:marTop w:val="120"/>
                  <w:marBottom w:val="0"/>
                  <w:divBdr>
                    <w:top w:val="none" w:sz="0" w:space="0" w:color="auto"/>
                    <w:left w:val="none" w:sz="0" w:space="0" w:color="auto"/>
                    <w:bottom w:val="none" w:sz="0" w:space="0" w:color="auto"/>
                    <w:right w:val="none" w:sz="0" w:space="0" w:color="auto"/>
                  </w:divBdr>
                  <w:divsChild>
                    <w:div w:id="977803688">
                      <w:marLeft w:val="0"/>
                      <w:marRight w:val="0"/>
                      <w:marTop w:val="0"/>
                      <w:marBottom w:val="0"/>
                      <w:divBdr>
                        <w:top w:val="none" w:sz="0" w:space="0" w:color="auto"/>
                        <w:left w:val="none" w:sz="0" w:space="0" w:color="auto"/>
                        <w:bottom w:val="none" w:sz="0" w:space="0" w:color="auto"/>
                        <w:right w:val="none" w:sz="0" w:space="0" w:color="auto"/>
                      </w:divBdr>
                      <w:divsChild>
                        <w:div w:id="1004281392">
                          <w:marLeft w:val="0"/>
                          <w:marRight w:val="0"/>
                          <w:marTop w:val="0"/>
                          <w:marBottom w:val="0"/>
                          <w:divBdr>
                            <w:top w:val="none" w:sz="0" w:space="0" w:color="auto"/>
                            <w:left w:val="none" w:sz="0" w:space="0" w:color="auto"/>
                            <w:bottom w:val="none" w:sz="0" w:space="0" w:color="auto"/>
                            <w:right w:val="none" w:sz="0" w:space="0" w:color="auto"/>
                          </w:divBdr>
                          <w:divsChild>
                            <w:div w:id="86417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5199505">
      <w:bodyDiv w:val="1"/>
      <w:marLeft w:val="0"/>
      <w:marRight w:val="0"/>
      <w:marTop w:val="0"/>
      <w:marBottom w:val="0"/>
      <w:divBdr>
        <w:top w:val="none" w:sz="0" w:space="0" w:color="auto"/>
        <w:left w:val="none" w:sz="0" w:space="0" w:color="auto"/>
        <w:bottom w:val="none" w:sz="0" w:space="0" w:color="auto"/>
        <w:right w:val="none" w:sz="0" w:space="0" w:color="auto"/>
      </w:divBdr>
    </w:div>
    <w:div w:id="794786215">
      <w:bodyDiv w:val="1"/>
      <w:marLeft w:val="0"/>
      <w:marRight w:val="0"/>
      <w:marTop w:val="0"/>
      <w:marBottom w:val="0"/>
      <w:divBdr>
        <w:top w:val="none" w:sz="0" w:space="0" w:color="auto"/>
        <w:left w:val="none" w:sz="0" w:space="0" w:color="auto"/>
        <w:bottom w:val="none" w:sz="0" w:space="0" w:color="auto"/>
        <w:right w:val="none" w:sz="0" w:space="0" w:color="auto"/>
      </w:divBdr>
    </w:div>
    <w:div w:id="803962585">
      <w:bodyDiv w:val="1"/>
      <w:marLeft w:val="0"/>
      <w:marRight w:val="0"/>
      <w:marTop w:val="0"/>
      <w:marBottom w:val="0"/>
      <w:divBdr>
        <w:top w:val="none" w:sz="0" w:space="0" w:color="auto"/>
        <w:left w:val="none" w:sz="0" w:space="0" w:color="auto"/>
        <w:bottom w:val="none" w:sz="0" w:space="0" w:color="auto"/>
        <w:right w:val="none" w:sz="0" w:space="0" w:color="auto"/>
      </w:divBdr>
    </w:div>
    <w:div w:id="812261848">
      <w:bodyDiv w:val="1"/>
      <w:marLeft w:val="0"/>
      <w:marRight w:val="0"/>
      <w:marTop w:val="0"/>
      <w:marBottom w:val="0"/>
      <w:divBdr>
        <w:top w:val="none" w:sz="0" w:space="0" w:color="auto"/>
        <w:left w:val="none" w:sz="0" w:space="0" w:color="auto"/>
        <w:bottom w:val="none" w:sz="0" w:space="0" w:color="auto"/>
        <w:right w:val="none" w:sz="0" w:space="0" w:color="auto"/>
      </w:divBdr>
    </w:div>
    <w:div w:id="838929284">
      <w:bodyDiv w:val="1"/>
      <w:marLeft w:val="0"/>
      <w:marRight w:val="0"/>
      <w:marTop w:val="0"/>
      <w:marBottom w:val="0"/>
      <w:divBdr>
        <w:top w:val="none" w:sz="0" w:space="0" w:color="auto"/>
        <w:left w:val="none" w:sz="0" w:space="0" w:color="auto"/>
        <w:bottom w:val="none" w:sz="0" w:space="0" w:color="auto"/>
        <w:right w:val="none" w:sz="0" w:space="0" w:color="auto"/>
      </w:divBdr>
    </w:div>
    <w:div w:id="848060961">
      <w:bodyDiv w:val="1"/>
      <w:marLeft w:val="0"/>
      <w:marRight w:val="0"/>
      <w:marTop w:val="0"/>
      <w:marBottom w:val="0"/>
      <w:divBdr>
        <w:top w:val="none" w:sz="0" w:space="0" w:color="auto"/>
        <w:left w:val="none" w:sz="0" w:space="0" w:color="auto"/>
        <w:bottom w:val="none" w:sz="0" w:space="0" w:color="auto"/>
        <w:right w:val="none" w:sz="0" w:space="0" w:color="auto"/>
      </w:divBdr>
    </w:div>
    <w:div w:id="879324920">
      <w:bodyDiv w:val="1"/>
      <w:marLeft w:val="0"/>
      <w:marRight w:val="0"/>
      <w:marTop w:val="0"/>
      <w:marBottom w:val="0"/>
      <w:divBdr>
        <w:top w:val="none" w:sz="0" w:space="0" w:color="auto"/>
        <w:left w:val="none" w:sz="0" w:space="0" w:color="auto"/>
        <w:bottom w:val="none" w:sz="0" w:space="0" w:color="auto"/>
        <w:right w:val="none" w:sz="0" w:space="0" w:color="auto"/>
      </w:divBdr>
    </w:div>
    <w:div w:id="900747520">
      <w:bodyDiv w:val="1"/>
      <w:marLeft w:val="0"/>
      <w:marRight w:val="0"/>
      <w:marTop w:val="0"/>
      <w:marBottom w:val="0"/>
      <w:divBdr>
        <w:top w:val="none" w:sz="0" w:space="0" w:color="auto"/>
        <w:left w:val="none" w:sz="0" w:space="0" w:color="auto"/>
        <w:bottom w:val="none" w:sz="0" w:space="0" w:color="auto"/>
        <w:right w:val="none" w:sz="0" w:space="0" w:color="auto"/>
      </w:divBdr>
    </w:div>
    <w:div w:id="903566359">
      <w:bodyDiv w:val="1"/>
      <w:marLeft w:val="0"/>
      <w:marRight w:val="0"/>
      <w:marTop w:val="0"/>
      <w:marBottom w:val="0"/>
      <w:divBdr>
        <w:top w:val="none" w:sz="0" w:space="0" w:color="auto"/>
        <w:left w:val="none" w:sz="0" w:space="0" w:color="auto"/>
        <w:bottom w:val="none" w:sz="0" w:space="0" w:color="auto"/>
        <w:right w:val="none" w:sz="0" w:space="0" w:color="auto"/>
      </w:divBdr>
    </w:div>
    <w:div w:id="976881918">
      <w:bodyDiv w:val="1"/>
      <w:marLeft w:val="0"/>
      <w:marRight w:val="0"/>
      <w:marTop w:val="0"/>
      <w:marBottom w:val="0"/>
      <w:divBdr>
        <w:top w:val="none" w:sz="0" w:space="0" w:color="auto"/>
        <w:left w:val="none" w:sz="0" w:space="0" w:color="auto"/>
        <w:bottom w:val="none" w:sz="0" w:space="0" w:color="auto"/>
        <w:right w:val="none" w:sz="0" w:space="0" w:color="auto"/>
      </w:divBdr>
      <w:divsChild>
        <w:div w:id="833448488">
          <w:marLeft w:val="0"/>
          <w:marRight w:val="0"/>
          <w:marTop w:val="100"/>
          <w:marBottom w:val="100"/>
          <w:divBdr>
            <w:top w:val="none" w:sz="0" w:space="0" w:color="auto"/>
            <w:left w:val="none" w:sz="0" w:space="0" w:color="auto"/>
            <w:bottom w:val="none" w:sz="0" w:space="0" w:color="auto"/>
            <w:right w:val="none" w:sz="0" w:space="0" w:color="auto"/>
          </w:divBdr>
          <w:divsChild>
            <w:div w:id="368797985">
              <w:marLeft w:val="0"/>
              <w:marRight w:val="0"/>
              <w:marTop w:val="77"/>
              <w:marBottom w:val="0"/>
              <w:divBdr>
                <w:top w:val="none" w:sz="0" w:space="0" w:color="auto"/>
                <w:left w:val="none" w:sz="0" w:space="0" w:color="auto"/>
                <w:bottom w:val="none" w:sz="0" w:space="0" w:color="auto"/>
                <w:right w:val="none" w:sz="0" w:space="0" w:color="auto"/>
              </w:divBdr>
              <w:divsChild>
                <w:div w:id="935291779">
                  <w:marLeft w:val="0"/>
                  <w:marRight w:val="-6000"/>
                  <w:marTop w:val="0"/>
                  <w:marBottom w:val="0"/>
                  <w:divBdr>
                    <w:top w:val="none" w:sz="0" w:space="0" w:color="auto"/>
                    <w:left w:val="none" w:sz="0" w:space="0" w:color="auto"/>
                    <w:bottom w:val="none" w:sz="0" w:space="0" w:color="auto"/>
                    <w:right w:val="none" w:sz="0" w:space="0" w:color="auto"/>
                  </w:divBdr>
                  <w:divsChild>
                    <w:div w:id="892153550">
                      <w:marLeft w:val="0"/>
                      <w:marRight w:val="5778"/>
                      <w:marTop w:val="0"/>
                      <w:marBottom w:val="0"/>
                      <w:divBdr>
                        <w:top w:val="none" w:sz="0" w:space="0" w:color="auto"/>
                        <w:left w:val="none" w:sz="0" w:space="0" w:color="auto"/>
                        <w:bottom w:val="none" w:sz="0" w:space="0" w:color="auto"/>
                        <w:right w:val="none" w:sz="0" w:space="0" w:color="auto"/>
                      </w:divBdr>
                      <w:divsChild>
                        <w:div w:id="1027681428">
                          <w:marLeft w:val="0"/>
                          <w:marRight w:val="0"/>
                          <w:marTop w:val="0"/>
                          <w:marBottom w:val="0"/>
                          <w:divBdr>
                            <w:top w:val="none" w:sz="0" w:space="0" w:color="auto"/>
                            <w:left w:val="none" w:sz="0" w:space="0" w:color="auto"/>
                            <w:bottom w:val="none" w:sz="0" w:space="0" w:color="auto"/>
                            <w:right w:val="none" w:sz="0" w:space="0" w:color="auto"/>
                          </w:divBdr>
                          <w:divsChild>
                            <w:div w:id="510683478">
                              <w:marLeft w:val="0"/>
                              <w:marRight w:val="0"/>
                              <w:marTop w:val="240"/>
                              <w:marBottom w:val="0"/>
                              <w:divBdr>
                                <w:top w:val="none" w:sz="0" w:space="0" w:color="auto"/>
                                <w:left w:val="none" w:sz="0" w:space="0" w:color="auto"/>
                                <w:bottom w:val="none" w:sz="0" w:space="0" w:color="auto"/>
                                <w:right w:val="none" w:sz="0" w:space="0" w:color="auto"/>
                              </w:divBdr>
                              <w:divsChild>
                                <w:div w:id="69535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2849990">
      <w:bodyDiv w:val="1"/>
      <w:marLeft w:val="0"/>
      <w:marRight w:val="0"/>
      <w:marTop w:val="0"/>
      <w:marBottom w:val="0"/>
      <w:divBdr>
        <w:top w:val="none" w:sz="0" w:space="0" w:color="auto"/>
        <w:left w:val="none" w:sz="0" w:space="0" w:color="auto"/>
        <w:bottom w:val="none" w:sz="0" w:space="0" w:color="auto"/>
        <w:right w:val="none" w:sz="0" w:space="0" w:color="auto"/>
      </w:divBdr>
    </w:div>
    <w:div w:id="1001467238">
      <w:bodyDiv w:val="1"/>
      <w:marLeft w:val="0"/>
      <w:marRight w:val="0"/>
      <w:marTop w:val="0"/>
      <w:marBottom w:val="0"/>
      <w:divBdr>
        <w:top w:val="none" w:sz="0" w:space="0" w:color="auto"/>
        <w:left w:val="none" w:sz="0" w:space="0" w:color="auto"/>
        <w:bottom w:val="none" w:sz="0" w:space="0" w:color="auto"/>
        <w:right w:val="none" w:sz="0" w:space="0" w:color="auto"/>
      </w:divBdr>
    </w:div>
    <w:div w:id="1001929168">
      <w:bodyDiv w:val="1"/>
      <w:marLeft w:val="0"/>
      <w:marRight w:val="0"/>
      <w:marTop w:val="0"/>
      <w:marBottom w:val="0"/>
      <w:divBdr>
        <w:top w:val="none" w:sz="0" w:space="0" w:color="auto"/>
        <w:left w:val="none" w:sz="0" w:space="0" w:color="auto"/>
        <w:bottom w:val="none" w:sz="0" w:space="0" w:color="auto"/>
        <w:right w:val="none" w:sz="0" w:space="0" w:color="auto"/>
      </w:divBdr>
    </w:div>
    <w:div w:id="1005399962">
      <w:bodyDiv w:val="1"/>
      <w:marLeft w:val="0"/>
      <w:marRight w:val="0"/>
      <w:marTop w:val="0"/>
      <w:marBottom w:val="0"/>
      <w:divBdr>
        <w:top w:val="none" w:sz="0" w:space="0" w:color="auto"/>
        <w:left w:val="none" w:sz="0" w:space="0" w:color="auto"/>
        <w:bottom w:val="none" w:sz="0" w:space="0" w:color="auto"/>
        <w:right w:val="none" w:sz="0" w:space="0" w:color="auto"/>
      </w:divBdr>
    </w:div>
    <w:div w:id="1016350876">
      <w:bodyDiv w:val="1"/>
      <w:marLeft w:val="0"/>
      <w:marRight w:val="0"/>
      <w:marTop w:val="0"/>
      <w:marBottom w:val="0"/>
      <w:divBdr>
        <w:top w:val="none" w:sz="0" w:space="0" w:color="auto"/>
        <w:left w:val="none" w:sz="0" w:space="0" w:color="auto"/>
        <w:bottom w:val="none" w:sz="0" w:space="0" w:color="auto"/>
        <w:right w:val="none" w:sz="0" w:space="0" w:color="auto"/>
      </w:divBdr>
    </w:div>
    <w:div w:id="1024747524">
      <w:bodyDiv w:val="1"/>
      <w:marLeft w:val="0"/>
      <w:marRight w:val="0"/>
      <w:marTop w:val="0"/>
      <w:marBottom w:val="0"/>
      <w:divBdr>
        <w:top w:val="none" w:sz="0" w:space="0" w:color="auto"/>
        <w:left w:val="none" w:sz="0" w:space="0" w:color="auto"/>
        <w:bottom w:val="none" w:sz="0" w:space="0" w:color="auto"/>
        <w:right w:val="none" w:sz="0" w:space="0" w:color="auto"/>
      </w:divBdr>
    </w:div>
    <w:div w:id="1042053528">
      <w:bodyDiv w:val="1"/>
      <w:marLeft w:val="0"/>
      <w:marRight w:val="0"/>
      <w:marTop w:val="0"/>
      <w:marBottom w:val="0"/>
      <w:divBdr>
        <w:top w:val="none" w:sz="0" w:space="0" w:color="auto"/>
        <w:left w:val="none" w:sz="0" w:space="0" w:color="auto"/>
        <w:bottom w:val="none" w:sz="0" w:space="0" w:color="auto"/>
        <w:right w:val="none" w:sz="0" w:space="0" w:color="auto"/>
      </w:divBdr>
    </w:div>
    <w:div w:id="1043797023">
      <w:bodyDiv w:val="1"/>
      <w:marLeft w:val="0"/>
      <w:marRight w:val="0"/>
      <w:marTop w:val="0"/>
      <w:marBottom w:val="0"/>
      <w:divBdr>
        <w:top w:val="none" w:sz="0" w:space="0" w:color="auto"/>
        <w:left w:val="none" w:sz="0" w:space="0" w:color="auto"/>
        <w:bottom w:val="none" w:sz="0" w:space="0" w:color="auto"/>
        <w:right w:val="none" w:sz="0" w:space="0" w:color="auto"/>
      </w:divBdr>
    </w:div>
    <w:div w:id="1051659422">
      <w:bodyDiv w:val="1"/>
      <w:marLeft w:val="0"/>
      <w:marRight w:val="0"/>
      <w:marTop w:val="0"/>
      <w:marBottom w:val="0"/>
      <w:divBdr>
        <w:top w:val="none" w:sz="0" w:space="0" w:color="auto"/>
        <w:left w:val="none" w:sz="0" w:space="0" w:color="auto"/>
        <w:bottom w:val="none" w:sz="0" w:space="0" w:color="auto"/>
        <w:right w:val="none" w:sz="0" w:space="0" w:color="auto"/>
      </w:divBdr>
      <w:divsChild>
        <w:div w:id="1031607572">
          <w:marLeft w:val="0"/>
          <w:marRight w:val="0"/>
          <w:marTop w:val="100"/>
          <w:marBottom w:val="100"/>
          <w:divBdr>
            <w:top w:val="none" w:sz="0" w:space="0" w:color="auto"/>
            <w:left w:val="none" w:sz="0" w:space="0" w:color="auto"/>
            <w:bottom w:val="none" w:sz="0" w:space="0" w:color="auto"/>
            <w:right w:val="none" w:sz="0" w:space="0" w:color="auto"/>
          </w:divBdr>
          <w:divsChild>
            <w:div w:id="626470977">
              <w:marLeft w:val="0"/>
              <w:marRight w:val="0"/>
              <w:marTop w:val="77"/>
              <w:marBottom w:val="0"/>
              <w:divBdr>
                <w:top w:val="none" w:sz="0" w:space="0" w:color="auto"/>
                <w:left w:val="none" w:sz="0" w:space="0" w:color="auto"/>
                <w:bottom w:val="none" w:sz="0" w:space="0" w:color="auto"/>
                <w:right w:val="none" w:sz="0" w:space="0" w:color="auto"/>
              </w:divBdr>
              <w:divsChild>
                <w:div w:id="157885844">
                  <w:marLeft w:val="0"/>
                  <w:marRight w:val="-6000"/>
                  <w:marTop w:val="0"/>
                  <w:marBottom w:val="0"/>
                  <w:divBdr>
                    <w:top w:val="none" w:sz="0" w:space="0" w:color="auto"/>
                    <w:left w:val="none" w:sz="0" w:space="0" w:color="auto"/>
                    <w:bottom w:val="none" w:sz="0" w:space="0" w:color="auto"/>
                    <w:right w:val="none" w:sz="0" w:space="0" w:color="auto"/>
                  </w:divBdr>
                  <w:divsChild>
                    <w:div w:id="1043166256">
                      <w:marLeft w:val="0"/>
                      <w:marRight w:val="5778"/>
                      <w:marTop w:val="0"/>
                      <w:marBottom w:val="0"/>
                      <w:divBdr>
                        <w:top w:val="none" w:sz="0" w:space="0" w:color="auto"/>
                        <w:left w:val="none" w:sz="0" w:space="0" w:color="auto"/>
                        <w:bottom w:val="none" w:sz="0" w:space="0" w:color="auto"/>
                        <w:right w:val="none" w:sz="0" w:space="0" w:color="auto"/>
                      </w:divBdr>
                      <w:divsChild>
                        <w:div w:id="1536382980">
                          <w:marLeft w:val="0"/>
                          <w:marRight w:val="0"/>
                          <w:marTop w:val="0"/>
                          <w:marBottom w:val="0"/>
                          <w:divBdr>
                            <w:top w:val="none" w:sz="0" w:space="0" w:color="auto"/>
                            <w:left w:val="none" w:sz="0" w:space="0" w:color="auto"/>
                            <w:bottom w:val="none" w:sz="0" w:space="0" w:color="auto"/>
                            <w:right w:val="none" w:sz="0" w:space="0" w:color="auto"/>
                          </w:divBdr>
                          <w:divsChild>
                            <w:div w:id="1440756168">
                              <w:marLeft w:val="0"/>
                              <w:marRight w:val="0"/>
                              <w:marTop w:val="240"/>
                              <w:marBottom w:val="0"/>
                              <w:divBdr>
                                <w:top w:val="none" w:sz="0" w:space="0" w:color="auto"/>
                                <w:left w:val="none" w:sz="0" w:space="0" w:color="auto"/>
                                <w:bottom w:val="none" w:sz="0" w:space="0" w:color="auto"/>
                                <w:right w:val="none" w:sz="0" w:space="0" w:color="auto"/>
                              </w:divBdr>
                              <w:divsChild>
                                <w:div w:id="110581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5009921">
      <w:bodyDiv w:val="1"/>
      <w:marLeft w:val="0"/>
      <w:marRight w:val="0"/>
      <w:marTop w:val="0"/>
      <w:marBottom w:val="0"/>
      <w:divBdr>
        <w:top w:val="none" w:sz="0" w:space="0" w:color="auto"/>
        <w:left w:val="none" w:sz="0" w:space="0" w:color="auto"/>
        <w:bottom w:val="none" w:sz="0" w:space="0" w:color="auto"/>
        <w:right w:val="none" w:sz="0" w:space="0" w:color="auto"/>
      </w:divBdr>
    </w:div>
    <w:div w:id="1104426575">
      <w:bodyDiv w:val="1"/>
      <w:marLeft w:val="0"/>
      <w:marRight w:val="0"/>
      <w:marTop w:val="0"/>
      <w:marBottom w:val="0"/>
      <w:divBdr>
        <w:top w:val="none" w:sz="0" w:space="0" w:color="auto"/>
        <w:left w:val="none" w:sz="0" w:space="0" w:color="auto"/>
        <w:bottom w:val="none" w:sz="0" w:space="0" w:color="auto"/>
        <w:right w:val="none" w:sz="0" w:space="0" w:color="auto"/>
      </w:divBdr>
    </w:div>
    <w:div w:id="1153377309">
      <w:bodyDiv w:val="1"/>
      <w:marLeft w:val="0"/>
      <w:marRight w:val="0"/>
      <w:marTop w:val="0"/>
      <w:marBottom w:val="0"/>
      <w:divBdr>
        <w:top w:val="none" w:sz="0" w:space="0" w:color="auto"/>
        <w:left w:val="none" w:sz="0" w:space="0" w:color="auto"/>
        <w:bottom w:val="none" w:sz="0" w:space="0" w:color="auto"/>
        <w:right w:val="none" w:sz="0" w:space="0" w:color="auto"/>
      </w:divBdr>
    </w:div>
    <w:div w:id="1177186547">
      <w:bodyDiv w:val="1"/>
      <w:marLeft w:val="0"/>
      <w:marRight w:val="0"/>
      <w:marTop w:val="0"/>
      <w:marBottom w:val="0"/>
      <w:divBdr>
        <w:top w:val="none" w:sz="0" w:space="0" w:color="auto"/>
        <w:left w:val="none" w:sz="0" w:space="0" w:color="auto"/>
        <w:bottom w:val="none" w:sz="0" w:space="0" w:color="auto"/>
        <w:right w:val="none" w:sz="0" w:space="0" w:color="auto"/>
      </w:divBdr>
      <w:divsChild>
        <w:div w:id="733359522">
          <w:marLeft w:val="0"/>
          <w:marRight w:val="0"/>
          <w:marTop w:val="0"/>
          <w:marBottom w:val="0"/>
          <w:divBdr>
            <w:top w:val="none" w:sz="0" w:space="0" w:color="auto"/>
            <w:left w:val="none" w:sz="0" w:space="0" w:color="auto"/>
            <w:bottom w:val="none" w:sz="0" w:space="0" w:color="auto"/>
            <w:right w:val="none" w:sz="0" w:space="0" w:color="auto"/>
          </w:divBdr>
          <w:divsChild>
            <w:div w:id="71633395">
              <w:marLeft w:val="0"/>
              <w:marRight w:val="0"/>
              <w:marTop w:val="0"/>
              <w:marBottom w:val="0"/>
              <w:divBdr>
                <w:top w:val="none" w:sz="0" w:space="0" w:color="auto"/>
                <w:left w:val="none" w:sz="0" w:space="0" w:color="auto"/>
                <w:bottom w:val="none" w:sz="0" w:space="0" w:color="auto"/>
                <w:right w:val="none" w:sz="0" w:space="0" w:color="auto"/>
              </w:divBdr>
              <w:divsChild>
                <w:div w:id="327943162">
                  <w:marLeft w:val="0"/>
                  <w:marRight w:val="0"/>
                  <w:marTop w:val="0"/>
                  <w:marBottom w:val="0"/>
                  <w:divBdr>
                    <w:top w:val="none" w:sz="0" w:space="0" w:color="auto"/>
                    <w:left w:val="none" w:sz="0" w:space="0" w:color="auto"/>
                    <w:bottom w:val="none" w:sz="0" w:space="0" w:color="auto"/>
                    <w:right w:val="none" w:sz="0" w:space="0" w:color="auto"/>
                  </w:divBdr>
                  <w:divsChild>
                    <w:div w:id="127817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594730">
      <w:bodyDiv w:val="1"/>
      <w:marLeft w:val="0"/>
      <w:marRight w:val="0"/>
      <w:marTop w:val="0"/>
      <w:marBottom w:val="0"/>
      <w:divBdr>
        <w:top w:val="none" w:sz="0" w:space="0" w:color="auto"/>
        <w:left w:val="none" w:sz="0" w:space="0" w:color="auto"/>
        <w:bottom w:val="none" w:sz="0" w:space="0" w:color="auto"/>
        <w:right w:val="none" w:sz="0" w:space="0" w:color="auto"/>
      </w:divBdr>
    </w:div>
    <w:div w:id="1208687362">
      <w:bodyDiv w:val="1"/>
      <w:marLeft w:val="0"/>
      <w:marRight w:val="0"/>
      <w:marTop w:val="0"/>
      <w:marBottom w:val="0"/>
      <w:divBdr>
        <w:top w:val="none" w:sz="0" w:space="0" w:color="auto"/>
        <w:left w:val="none" w:sz="0" w:space="0" w:color="auto"/>
        <w:bottom w:val="none" w:sz="0" w:space="0" w:color="auto"/>
        <w:right w:val="none" w:sz="0" w:space="0" w:color="auto"/>
      </w:divBdr>
    </w:div>
    <w:div w:id="1230650618">
      <w:bodyDiv w:val="1"/>
      <w:marLeft w:val="0"/>
      <w:marRight w:val="0"/>
      <w:marTop w:val="0"/>
      <w:marBottom w:val="0"/>
      <w:divBdr>
        <w:top w:val="none" w:sz="0" w:space="0" w:color="auto"/>
        <w:left w:val="none" w:sz="0" w:space="0" w:color="auto"/>
        <w:bottom w:val="none" w:sz="0" w:space="0" w:color="auto"/>
        <w:right w:val="none" w:sz="0" w:space="0" w:color="auto"/>
      </w:divBdr>
    </w:div>
    <w:div w:id="1233615343">
      <w:bodyDiv w:val="1"/>
      <w:marLeft w:val="0"/>
      <w:marRight w:val="0"/>
      <w:marTop w:val="0"/>
      <w:marBottom w:val="0"/>
      <w:divBdr>
        <w:top w:val="none" w:sz="0" w:space="0" w:color="auto"/>
        <w:left w:val="none" w:sz="0" w:space="0" w:color="auto"/>
        <w:bottom w:val="none" w:sz="0" w:space="0" w:color="auto"/>
        <w:right w:val="none" w:sz="0" w:space="0" w:color="auto"/>
      </w:divBdr>
    </w:div>
    <w:div w:id="1235360419">
      <w:bodyDiv w:val="1"/>
      <w:marLeft w:val="0"/>
      <w:marRight w:val="0"/>
      <w:marTop w:val="0"/>
      <w:marBottom w:val="0"/>
      <w:divBdr>
        <w:top w:val="none" w:sz="0" w:space="0" w:color="auto"/>
        <w:left w:val="none" w:sz="0" w:space="0" w:color="auto"/>
        <w:bottom w:val="none" w:sz="0" w:space="0" w:color="auto"/>
        <w:right w:val="none" w:sz="0" w:space="0" w:color="auto"/>
      </w:divBdr>
    </w:div>
    <w:div w:id="1240361686">
      <w:bodyDiv w:val="1"/>
      <w:marLeft w:val="0"/>
      <w:marRight w:val="0"/>
      <w:marTop w:val="0"/>
      <w:marBottom w:val="0"/>
      <w:divBdr>
        <w:top w:val="none" w:sz="0" w:space="0" w:color="auto"/>
        <w:left w:val="none" w:sz="0" w:space="0" w:color="auto"/>
        <w:bottom w:val="none" w:sz="0" w:space="0" w:color="auto"/>
        <w:right w:val="none" w:sz="0" w:space="0" w:color="auto"/>
      </w:divBdr>
    </w:div>
    <w:div w:id="1248466480">
      <w:bodyDiv w:val="1"/>
      <w:marLeft w:val="0"/>
      <w:marRight w:val="0"/>
      <w:marTop w:val="0"/>
      <w:marBottom w:val="0"/>
      <w:divBdr>
        <w:top w:val="none" w:sz="0" w:space="0" w:color="auto"/>
        <w:left w:val="none" w:sz="0" w:space="0" w:color="auto"/>
        <w:bottom w:val="none" w:sz="0" w:space="0" w:color="auto"/>
        <w:right w:val="none" w:sz="0" w:space="0" w:color="auto"/>
      </w:divBdr>
    </w:div>
    <w:div w:id="1271620885">
      <w:bodyDiv w:val="1"/>
      <w:marLeft w:val="0"/>
      <w:marRight w:val="0"/>
      <w:marTop w:val="0"/>
      <w:marBottom w:val="0"/>
      <w:divBdr>
        <w:top w:val="none" w:sz="0" w:space="0" w:color="auto"/>
        <w:left w:val="none" w:sz="0" w:space="0" w:color="auto"/>
        <w:bottom w:val="none" w:sz="0" w:space="0" w:color="auto"/>
        <w:right w:val="none" w:sz="0" w:space="0" w:color="auto"/>
      </w:divBdr>
    </w:div>
    <w:div w:id="1299917559">
      <w:bodyDiv w:val="1"/>
      <w:marLeft w:val="0"/>
      <w:marRight w:val="0"/>
      <w:marTop w:val="0"/>
      <w:marBottom w:val="0"/>
      <w:divBdr>
        <w:top w:val="none" w:sz="0" w:space="0" w:color="auto"/>
        <w:left w:val="none" w:sz="0" w:space="0" w:color="auto"/>
        <w:bottom w:val="none" w:sz="0" w:space="0" w:color="auto"/>
        <w:right w:val="none" w:sz="0" w:space="0" w:color="auto"/>
      </w:divBdr>
    </w:div>
    <w:div w:id="1303459150">
      <w:bodyDiv w:val="1"/>
      <w:marLeft w:val="0"/>
      <w:marRight w:val="0"/>
      <w:marTop w:val="0"/>
      <w:marBottom w:val="0"/>
      <w:divBdr>
        <w:top w:val="none" w:sz="0" w:space="0" w:color="auto"/>
        <w:left w:val="none" w:sz="0" w:space="0" w:color="auto"/>
        <w:bottom w:val="none" w:sz="0" w:space="0" w:color="auto"/>
        <w:right w:val="none" w:sz="0" w:space="0" w:color="auto"/>
      </w:divBdr>
    </w:div>
    <w:div w:id="1304697107">
      <w:bodyDiv w:val="1"/>
      <w:marLeft w:val="0"/>
      <w:marRight w:val="0"/>
      <w:marTop w:val="0"/>
      <w:marBottom w:val="0"/>
      <w:divBdr>
        <w:top w:val="none" w:sz="0" w:space="0" w:color="auto"/>
        <w:left w:val="none" w:sz="0" w:space="0" w:color="auto"/>
        <w:bottom w:val="none" w:sz="0" w:space="0" w:color="auto"/>
        <w:right w:val="none" w:sz="0" w:space="0" w:color="auto"/>
      </w:divBdr>
    </w:div>
    <w:div w:id="1330057582">
      <w:bodyDiv w:val="1"/>
      <w:marLeft w:val="0"/>
      <w:marRight w:val="0"/>
      <w:marTop w:val="0"/>
      <w:marBottom w:val="0"/>
      <w:divBdr>
        <w:top w:val="none" w:sz="0" w:space="0" w:color="auto"/>
        <w:left w:val="none" w:sz="0" w:space="0" w:color="auto"/>
        <w:bottom w:val="none" w:sz="0" w:space="0" w:color="auto"/>
        <w:right w:val="none" w:sz="0" w:space="0" w:color="auto"/>
      </w:divBdr>
    </w:div>
    <w:div w:id="1347056257">
      <w:bodyDiv w:val="1"/>
      <w:marLeft w:val="0"/>
      <w:marRight w:val="0"/>
      <w:marTop w:val="0"/>
      <w:marBottom w:val="0"/>
      <w:divBdr>
        <w:top w:val="none" w:sz="0" w:space="0" w:color="auto"/>
        <w:left w:val="none" w:sz="0" w:space="0" w:color="auto"/>
        <w:bottom w:val="none" w:sz="0" w:space="0" w:color="auto"/>
        <w:right w:val="none" w:sz="0" w:space="0" w:color="auto"/>
      </w:divBdr>
    </w:div>
    <w:div w:id="1359357250">
      <w:bodyDiv w:val="1"/>
      <w:marLeft w:val="0"/>
      <w:marRight w:val="0"/>
      <w:marTop w:val="0"/>
      <w:marBottom w:val="0"/>
      <w:divBdr>
        <w:top w:val="none" w:sz="0" w:space="0" w:color="auto"/>
        <w:left w:val="none" w:sz="0" w:space="0" w:color="auto"/>
        <w:bottom w:val="none" w:sz="0" w:space="0" w:color="auto"/>
        <w:right w:val="none" w:sz="0" w:space="0" w:color="auto"/>
      </w:divBdr>
      <w:divsChild>
        <w:div w:id="87970584">
          <w:marLeft w:val="0"/>
          <w:marRight w:val="0"/>
          <w:marTop w:val="0"/>
          <w:marBottom w:val="0"/>
          <w:divBdr>
            <w:top w:val="none" w:sz="0" w:space="0" w:color="auto"/>
            <w:left w:val="none" w:sz="0" w:space="0" w:color="auto"/>
            <w:bottom w:val="none" w:sz="0" w:space="0" w:color="auto"/>
            <w:right w:val="none" w:sz="0" w:space="0" w:color="auto"/>
          </w:divBdr>
          <w:divsChild>
            <w:div w:id="625043410">
              <w:marLeft w:val="0"/>
              <w:marRight w:val="0"/>
              <w:marTop w:val="100"/>
              <w:marBottom w:val="100"/>
              <w:divBdr>
                <w:top w:val="none" w:sz="0" w:space="0" w:color="auto"/>
                <w:left w:val="none" w:sz="0" w:space="0" w:color="auto"/>
                <w:bottom w:val="none" w:sz="0" w:space="0" w:color="auto"/>
                <w:right w:val="none" w:sz="0" w:space="0" w:color="auto"/>
              </w:divBdr>
              <w:divsChild>
                <w:div w:id="1883596298">
                  <w:marLeft w:val="0"/>
                  <w:marRight w:val="0"/>
                  <w:marTop w:val="100"/>
                  <w:marBottom w:val="100"/>
                  <w:divBdr>
                    <w:top w:val="none" w:sz="0" w:space="0" w:color="auto"/>
                    <w:left w:val="none" w:sz="0" w:space="0" w:color="auto"/>
                    <w:bottom w:val="none" w:sz="0" w:space="0" w:color="auto"/>
                    <w:right w:val="none" w:sz="0" w:space="0" w:color="auto"/>
                  </w:divBdr>
                  <w:divsChild>
                    <w:div w:id="813448766">
                      <w:marLeft w:val="79"/>
                      <w:marRight w:val="0"/>
                      <w:marTop w:val="79"/>
                      <w:marBottom w:val="0"/>
                      <w:divBdr>
                        <w:top w:val="none" w:sz="0" w:space="0" w:color="auto"/>
                        <w:left w:val="none" w:sz="0" w:space="0" w:color="auto"/>
                        <w:bottom w:val="none" w:sz="0" w:space="0" w:color="auto"/>
                        <w:right w:val="none" w:sz="0" w:space="0" w:color="auto"/>
                      </w:divBdr>
                      <w:divsChild>
                        <w:div w:id="994458396">
                          <w:marLeft w:val="0"/>
                          <w:marRight w:val="0"/>
                          <w:marTop w:val="79"/>
                          <w:marBottom w:val="0"/>
                          <w:divBdr>
                            <w:top w:val="none" w:sz="0" w:space="0" w:color="auto"/>
                            <w:left w:val="none" w:sz="0" w:space="0" w:color="auto"/>
                            <w:bottom w:val="none" w:sz="0" w:space="0" w:color="auto"/>
                            <w:right w:val="none" w:sz="0" w:space="0" w:color="auto"/>
                          </w:divBdr>
                          <w:divsChild>
                            <w:div w:id="435752579">
                              <w:marLeft w:val="0"/>
                              <w:marRight w:val="0"/>
                              <w:marTop w:val="0"/>
                              <w:marBottom w:val="0"/>
                              <w:divBdr>
                                <w:top w:val="none" w:sz="0" w:space="0" w:color="auto"/>
                                <w:left w:val="none" w:sz="0" w:space="0" w:color="auto"/>
                                <w:bottom w:val="none" w:sz="0" w:space="0" w:color="auto"/>
                                <w:right w:val="none" w:sz="0" w:space="0" w:color="auto"/>
                              </w:divBdr>
                              <w:divsChild>
                                <w:div w:id="437406225">
                                  <w:marLeft w:val="0"/>
                                  <w:marRight w:val="0"/>
                                  <w:marTop w:val="0"/>
                                  <w:marBottom w:val="0"/>
                                  <w:divBdr>
                                    <w:top w:val="none" w:sz="0" w:space="0" w:color="auto"/>
                                    <w:left w:val="none" w:sz="0" w:space="0" w:color="auto"/>
                                    <w:bottom w:val="none" w:sz="0" w:space="0" w:color="auto"/>
                                    <w:right w:val="none" w:sz="0" w:space="0" w:color="auto"/>
                                  </w:divBdr>
                                  <w:divsChild>
                                    <w:div w:id="158776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4285984">
      <w:bodyDiv w:val="1"/>
      <w:marLeft w:val="0"/>
      <w:marRight w:val="0"/>
      <w:marTop w:val="0"/>
      <w:marBottom w:val="0"/>
      <w:divBdr>
        <w:top w:val="none" w:sz="0" w:space="0" w:color="auto"/>
        <w:left w:val="none" w:sz="0" w:space="0" w:color="auto"/>
        <w:bottom w:val="none" w:sz="0" w:space="0" w:color="auto"/>
        <w:right w:val="none" w:sz="0" w:space="0" w:color="auto"/>
      </w:divBdr>
    </w:div>
    <w:div w:id="1384401983">
      <w:bodyDiv w:val="1"/>
      <w:marLeft w:val="0"/>
      <w:marRight w:val="0"/>
      <w:marTop w:val="0"/>
      <w:marBottom w:val="0"/>
      <w:divBdr>
        <w:top w:val="none" w:sz="0" w:space="0" w:color="auto"/>
        <w:left w:val="none" w:sz="0" w:space="0" w:color="auto"/>
        <w:bottom w:val="none" w:sz="0" w:space="0" w:color="auto"/>
        <w:right w:val="none" w:sz="0" w:space="0" w:color="auto"/>
      </w:divBdr>
      <w:divsChild>
        <w:div w:id="1738547034">
          <w:marLeft w:val="0"/>
          <w:marRight w:val="0"/>
          <w:marTop w:val="0"/>
          <w:marBottom w:val="0"/>
          <w:divBdr>
            <w:top w:val="none" w:sz="0" w:space="0" w:color="auto"/>
            <w:left w:val="none" w:sz="0" w:space="0" w:color="auto"/>
            <w:bottom w:val="none" w:sz="0" w:space="0" w:color="auto"/>
            <w:right w:val="none" w:sz="0" w:space="0" w:color="auto"/>
          </w:divBdr>
          <w:divsChild>
            <w:div w:id="1275138829">
              <w:marLeft w:val="0"/>
              <w:marRight w:val="0"/>
              <w:marTop w:val="0"/>
              <w:marBottom w:val="0"/>
              <w:divBdr>
                <w:top w:val="none" w:sz="0" w:space="0" w:color="auto"/>
                <w:left w:val="none" w:sz="0" w:space="0" w:color="auto"/>
                <w:bottom w:val="none" w:sz="0" w:space="0" w:color="auto"/>
                <w:right w:val="none" w:sz="0" w:space="0" w:color="auto"/>
              </w:divBdr>
              <w:divsChild>
                <w:div w:id="93937836">
                  <w:marLeft w:val="0"/>
                  <w:marRight w:val="0"/>
                  <w:marTop w:val="0"/>
                  <w:marBottom w:val="0"/>
                  <w:divBdr>
                    <w:top w:val="none" w:sz="0" w:space="0" w:color="auto"/>
                    <w:left w:val="none" w:sz="0" w:space="0" w:color="auto"/>
                    <w:bottom w:val="none" w:sz="0" w:space="0" w:color="auto"/>
                    <w:right w:val="none" w:sz="0" w:space="0" w:color="auto"/>
                  </w:divBdr>
                  <w:divsChild>
                    <w:div w:id="84732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4521069">
      <w:bodyDiv w:val="1"/>
      <w:marLeft w:val="0"/>
      <w:marRight w:val="0"/>
      <w:marTop w:val="0"/>
      <w:marBottom w:val="0"/>
      <w:divBdr>
        <w:top w:val="none" w:sz="0" w:space="0" w:color="auto"/>
        <w:left w:val="none" w:sz="0" w:space="0" w:color="auto"/>
        <w:bottom w:val="none" w:sz="0" w:space="0" w:color="auto"/>
        <w:right w:val="none" w:sz="0" w:space="0" w:color="auto"/>
      </w:divBdr>
    </w:div>
    <w:div w:id="1388649445">
      <w:bodyDiv w:val="1"/>
      <w:marLeft w:val="0"/>
      <w:marRight w:val="0"/>
      <w:marTop w:val="0"/>
      <w:marBottom w:val="0"/>
      <w:divBdr>
        <w:top w:val="none" w:sz="0" w:space="0" w:color="auto"/>
        <w:left w:val="none" w:sz="0" w:space="0" w:color="auto"/>
        <w:bottom w:val="none" w:sz="0" w:space="0" w:color="auto"/>
        <w:right w:val="none" w:sz="0" w:space="0" w:color="auto"/>
      </w:divBdr>
    </w:div>
    <w:div w:id="1392192003">
      <w:bodyDiv w:val="1"/>
      <w:marLeft w:val="0"/>
      <w:marRight w:val="0"/>
      <w:marTop w:val="0"/>
      <w:marBottom w:val="0"/>
      <w:divBdr>
        <w:top w:val="none" w:sz="0" w:space="0" w:color="auto"/>
        <w:left w:val="none" w:sz="0" w:space="0" w:color="auto"/>
        <w:bottom w:val="none" w:sz="0" w:space="0" w:color="auto"/>
        <w:right w:val="none" w:sz="0" w:space="0" w:color="auto"/>
      </w:divBdr>
    </w:div>
    <w:div w:id="1426923567">
      <w:bodyDiv w:val="1"/>
      <w:marLeft w:val="0"/>
      <w:marRight w:val="0"/>
      <w:marTop w:val="0"/>
      <w:marBottom w:val="0"/>
      <w:divBdr>
        <w:top w:val="none" w:sz="0" w:space="0" w:color="auto"/>
        <w:left w:val="none" w:sz="0" w:space="0" w:color="auto"/>
        <w:bottom w:val="none" w:sz="0" w:space="0" w:color="auto"/>
        <w:right w:val="none" w:sz="0" w:space="0" w:color="auto"/>
      </w:divBdr>
      <w:divsChild>
        <w:div w:id="1203253677">
          <w:marLeft w:val="0"/>
          <w:marRight w:val="0"/>
          <w:marTop w:val="0"/>
          <w:marBottom w:val="0"/>
          <w:divBdr>
            <w:top w:val="none" w:sz="0" w:space="0" w:color="auto"/>
            <w:left w:val="none" w:sz="0" w:space="0" w:color="auto"/>
            <w:bottom w:val="none" w:sz="0" w:space="0" w:color="auto"/>
            <w:right w:val="none" w:sz="0" w:space="0" w:color="auto"/>
          </w:divBdr>
          <w:divsChild>
            <w:div w:id="295526165">
              <w:marLeft w:val="0"/>
              <w:marRight w:val="0"/>
              <w:marTop w:val="0"/>
              <w:marBottom w:val="0"/>
              <w:divBdr>
                <w:top w:val="none" w:sz="0" w:space="0" w:color="auto"/>
                <w:left w:val="none" w:sz="0" w:space="0" w:color="auto"/>
                <w:bottom w:val="none" w:sz="0" w:space="0" w:color="auto"/>
                <w:right w:val="none" w:sz="0" w:space="0" w:color="auto"/>
              </w:divBdr>
              <w:divsChild>
                <w:div w:id="1625648259">
                  <w:marLeft w:val="0"/>
                  <w:marRight w:val="0"/>
                  <w:marTop w:val="0"/>
                  <w:marBottom w:val="0"/>
                  <w:divBdr>
                    <w:top w:val="none" w:sz="0" w:space="0" w:color="auto"/>
                    <w:left w:val="none" w:sz="0" w:space="0" w:color="auto"/>
                    <w:bottom w:val="none" w:sz="0" w:space="0" w:color="auto"/>
                    <w:right w:val="none" w:sz="0" w:space="0" w:color="auto"/>
                  </w:divBdr>
                  <w:divsChild>
                    <w:div w:id="164766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158163">
      <w:bodyDiv w:val="1"/>
      <w:marLeft w:val="0"/>
      <w:marRight w:val="0"/>
      <w:marTop w:val="0"/>
      <w:marBottom w:val="0"/>
      <w:divBdr>
        <w:top w:val="none" w:sz="0" w:space="0" w:color="auto"/>
        <w:left w:val="none" w:sz="0" w:space="0" w:color="auto"/>
        <w:bottom w:val="none" w:sz="0" w:space="0" w:color="auto"/>
        <w:right w:val="none" w:sz="0" w:space="0" w:color="auto"/>
      </w:divBdr>
    </w:div>
    <w:div w:id="1436052302">
      <w:bodyDiv w:val="1"/>
      <w:marLeft w:val="0"/>
      <w:marRight w:val="0"/>
      <w:marTop w:val="0"/>
      <w:marBottom w:val="0"/>
      <w:divBdr>
        <w:top w:val="none" w:sz="0" w:space="0" w:color="auto"/>
        <w:left w:val="none" w:sz="0" w:space="0" w:color="auto"/>
        <w:bottom w:val="none" w:sz="0" w:space="0" w:color="auto"/>
        <w:right w:val="none" w:sz="0" w:space="0" w:color="auto"/>
      </w:divBdr>
      <w:divsChild>
        <w:div w:id="636836329">
          <w:marLeft w:val="0"/>
          <w:marRight w:val="0"/>
          <w:marTop w:val="0"/>
          <w:marBottom w:val="0"/>
          <w:divBdr>
            <w:top w:val="none" w:sz="0" w:space="0" w:color="auto"/>
            <w:left w:val="none" w:sz="0" w:space="0" w:color="auto"/>
            <w:bottom w:val="none" w:sz="0" w:space="0" w:color="auto"/>
            <w:right w:val="none" w:sz="0" w:space="0" w:color="auto"/>
          </w:divBdr>
        </w:div>
      </w:divsChild>
    </w:div>
    <w:div w:id="1444226465">
      <w:bodyDiv w:val="1"/>
      <w:marLeft w:val="0"/>
      <w:marRight w:val="0"/>
      <w:marTop w:val="0"/>
      <w:marBottom w:val="0"/>
      <w:divBdr>
        <w:top w:val="none" w:sz="0" w:space="0" w:color="auto"/>
        <w:left w:val="none" w:sz="0" w:space="0" w:color="auto"/>
        <w:bottom w:val="none" w:sz="0" w:space="0" w:color="auto"/>
        <w:right w:val="none" w:sz="0" w:space="0" w:color="auto"/>
      </w:divBdr>
      <w:divsChild>
        <w:div w:id="1400785340">
          <w:marLeft w:val="0"/>
          <w:marRight w:val="0"/>
          <w:marTop w:val="0"/>
          <w:marBottom w:val="0"/>
          <w:divBdr>
            <w:top w:val="none" w:sz="0" w:space="0" w:color="auto"/>
            <w:left w:val="none" w:sz="0" w:space="0" w:color="auto"/>
            <w:bottom w:val="none" w:sz="0" w:space="0" w:color="auto"/>
            <w:right w:val="none" w:sz="0" w:space="0" w:color="auto"/>
          </w:divBdr>
          <w:divsChild>
            <w:div w:id="1921330575">
              <w:marLeft w:val="0"/>
              <w:marRight w:val="0"/>
              <w:marTop w:val="0"/>
              <w:marBottom w:val="0"/>
              <w:divBdr>
                <w:top w:val="none" w:sz="0" w:space="0" w:color="auto"/>
                <w:left w:val="none" w:sz="0" w:space="0" w:color="auto"/>
                <w:bottom w:val="none" w:sz="0" w:space="0" w:color="auto"/>
                <w:right w:val="none" w:sz="0" w:space="0" w:color="auto"/>
              </w:divBdr>
              <w:divsChild>
                <w:div w:id="187183948">
                  <w:marLeft w:val="0"/>
                  <w:marRight w:val="0"/>
                  <w:marTop w:val="0"/>
                  <w:marBottom w:val="0"/>
                  <w:divBdr>
                    <w:top w:val="none" w:sz="0" w:space="0" w:color="auto"/>
                    <w:left w:val="none" w:sz="0" w:space="0" w:color="auto"/>
                    <w:bottom w:val="none" w:sz="0" w:space="0" w:color="auto"/>
                    <w:right w:val="none" w:sz="0" w:space="0" w:color="auto"/>
                  </w:divBdr>
                  <w:divsChild>
                    <w:div w:id="748691188">
                      <w:marLeft w:val="0"/>
                      <w:marRight w:val="0"/>
                      <w:marTop w:val="0"/>
                      <w:marBottom w:val="0"/>
                      <w:divBdr>
                        <w:top w:val="none" w:sz="0" w:space="0" w:color="auto"/>
                        <w:left w:val="none" w:sz="0" w:space="0" w:color="auto"/>
                        <w:bottom w:val="none" w:sz="0" w:space="0" w:color="auto"/>
                        <w:right w:val="none" w:sz="0" w:space="0" w:color="auto"/>
                      </w:divBdr>
                      <w:divsChild>
                        <w:div w:id="162465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8614347">
      <w:bodyDiv w:val="1"/>
      <w:marLeft w:val="0"/>
      <w:marRight w:val="0"/>
      <w:marTop w:val="0"/>
      <w:marBottom w:val="0"/>
      <w:divBdr>
        <w:top w:val="none" w:sz="0" w:space="0" w:color="auto"/>
        <w:left w:val="none" w:sz="0" w:space="0" w:color="auto"/>
        <w:bottom w:val="none" w:sz="0" w:space="0" w:color="auto"/>
        <w:right w:val="none" w:sz="0" w:space="0" w:color="auto"/>
      </w:divBdr>
    </w:div>
    <w:div w:id="1523861612">
      <w:bodyDiv w:val="1"/>
      <w:marLeft w:val="0"/>
      <w:marRight w:val="0"/>
      <w:marTop w:val="0"/>
      <w:marBottom w:val="0"/>
      <w:divBdr>
        <w:top w:val="none" w:sz="0" w:space="0" w:color="auto"/>
        <w:left w:val="none" w:sz="0" w:space="0" w:color="auto"/>
        <w:bottom w:val="none" w:sz="0" w:space="0" w:color="auto"/>
        <w:right w:val="none" w:sz="0" w:space="0" w:color="auto"/>
      </w:divBdr>
    </w:div>
    <w:div w:id="1529179170">
      <w:bodyDiv w:val="1"/>
      <w:marLeft w:val="0"/>
      <w:marRight w:val="0"/>
      <w:marTop w:val="0"/>
      <w:marBottom w:val="0"/>
      <w:divBdr>
        <w:top w:val="none" w:sz="0" w:space="0" w:color="auto"/>
        <w:left w:val="none" w:sz="0" w:space="0" w:color="auto"/>
        <w:bottom w:val="none" w:sz="0" w:space="0" w:color="auto"/>
        <w:right w:val="none" w:sz="0" w:space="0" w:color="auto"/>
      </w:divBdr>
    </w:div>
    <w:div w:id="1543514023">
      <w:bodyDiv w:val="1"/>
      <w:marLeft w:val="0"/>
      <w:marRight w:val="0"/>
      <w:marTop w:val="0"/>
      <w:marBottom w:val="0"/>
      <w:divBdr>
        <w:top w:val="none" w:sz="0" w:space="0" w:color="auto"/>
        <w:left w:val="none" w:sz="0" w:space="0" w:color="auto"/>
        <w:bottom w:val="none" w:sz="0" w:space="0" w:color="auto"/>
        <w:right w:val="none" w:sz="0" w:space="0" w:color="auto"/>
      </w:divBdr>
    </w:div>
    <w:div w:id="1559975068">
      <w:bodyDiv w:val="1"/>
      <w:marLeft w:val="0"/>
      <w:marRight w:val="0"/>
      <w:marTop w:val="0"/>
      <w:marBottom w:val="0"/>
      <w:divBdr>
        <w:top w:val="none" w:sz="0" w:space="0" w:color="auto"/>
        <w:left w:val="none" w:sz="0" w:space="0" w:color="auto"/>
        <w:bottom w:val="none" w:sz="0" w:space="0" w:color="auto"/>
        <w:right w:val="none" w:sz="0" w:space="0" w:color="auto"/>
      </w:divBdr>
    </w:div>
    <w:div w:id="1606578064">
      <w:bodyDiv w:val="1"/>
      <w:marLeft w:val="0"/>
      <w:marRight w:val="0"/>
      <w:marTop w:val="0"/>
      <w:marBottom w:val="0"/>
      <w:divBdr>
        <w:top w:val="none" w:sz="0" w:space="0" w:color="auto"/>
        <w:left w:val="none" w:sz="0" w:space="0" w:color="auto"/>
        <w:bottom w:val="none" w:sz="0" w:space="0" w:color="auto"/>
        <w:right w:val="none" w:sz="0" w:space="0" w:color="auto"/>
      </w:divBdr>
    </w:div>
    <w:div w:id="1609695934">
      <w:bodyDiv w:val="1"/>
      <w:marLeft w:val="0"/>
      <w:marRight w:val="0"/>
      <w:marTop w:val="0"/>
      <w:marBottom w:val="0"/>
      <w:divBdr>
        <w:top w:val="none" w:sz="0" w:space="0" w:color="auto"/>
        <w:left w:val="none" w:sz="0" w:space="0" w:color="auto"/>
        <w:bottom w:val="none" w:sz="0" w:space="0" w:color="auto"/>
        <w:right w:val="none" w:sz="0" w:space="0" w:color="auto"/>
      </w:divBdr>
    </w:div>
    <w:div w:id="1621303731">
      <w:bodyDiv w:val="1"/>
      <w:marLeft w:val="0"/>
      <w:marRight w:val="0"/>
      <w:marTop w:val="0"/>
      <w:marBottom w:val="0"/>
      <w:divBdr>
        <w:top w:val="none" w:sz="0" w:space="0" w:color="auto"/>
        <w:left w:val="none" w:sz="0" w:space="0" w:color="auto"/>
        <w:bottom w:val="none" w:sz="0" w:space="0" w:color="auto"/>
        <w:right w:val="none" w:sz="0" w:space="0" w:color="auto"/>
      </w:divBdr>
    </w:div>
    <w:div w:id="1631328503">
      <w:bodyDiv w:val="1"/>
      <w:marLeft w:val="0"/>
      <w:marRight w:val="0"/>
      <w:marTop w:val="0"/>
      <w:marBottom w:val="0"/>
      <w:divBdr>
        <w:top w:val="none" w:sz="0" w:space="0" w:color="auto"/>
        <w:left w:val="none" w:sz="0" w:space="0" w:color="auto"/>
        <w:bottom w:val="none" w:sz="0" w:space="0" w:color="auto"/>
        <w:right w:val="none" w:sz="0" w:space="0" w:color="auto"/>
      </w:divBdr>
    </w:div>
    <w:div w:id="1732388998">
      <w:bodyDiv w:val="1"/>
      <w:marLeft w:val="0"/>
      <w:marRight w:val="0"/>
      <w:marTop w:val="0"/>
      <w:marBottom w:val="0"/>
      <w:divBdr>
        <w:top w:val="none" w:sz="0" w:space="0" w:color="auto"/>
        <w:left w:val="none" w:sz="0" w:space="0" w:color="auto"/>
        <w:bottom w:val="none" w:sz="0" w:space="0" w:color="auto"/>
        <w:right w:val="none" w:sz="0" w:space="0" w:color="auto"/>
      </w:divBdr>
    </w:div>
    <w:div w:id="1736708940">
      <w:bodyDiv w:val="1"/>
      <w:marLeft w:val="0"/>
      <w:marRight w:val="0"/>
      <w:marTop w:val="0"/>
      <w:marBottom w:val="0"/>
      <w:divBdr>
        <w:top w:val="none" w:sz="0" w:space="0" w:color="auto"/>
        <w:left w:val="none" w:sz="0" w:space="0" w:color="auto"/>
        <w:bottom w:val="none" w:sz="0" w:space="0" w:color="auto"/>
        <w:right w:val="none" w:sz="0" w:space="0" w:color="auto"/>
      </w:divBdr>
      <w:divsChild>
        <w:div w:id="742996321">
          <w:marLeft w:val="0"/>
          <w:marRight w:val="0"/>
          <w:marTop w:val="0"/>
          <w:marBottom w:val="0"/>
          <w:divBdr>
            <w:top w:val="none" w:sz="0" w:space="0" w:color="auto"/>
            <w:left w:val="none" w:sz="0" w:space="0" w:color="auto"/>
            <w:bottom w:val="none" w:sz="0" w:space="0" w:color="auto"/>
            <w:right w:val="none" w:sz="0" w:space="0" w:color="auto"/>
          </w:divBdr>
          <w:divsChild>
            <w:div w:id="697202998">
              <w:marLeft w:val="0"/>
              <w:marRight w:val="0"/>
              <w:marTop w:val="0"/>
              <w:marBottom w:val="0"/>
              <w:divBdr>
                <w:top w:val="none" w:sz="0" w:space="0" w:color="auto"/>
                <w:left w:val="none" w:sz="0" w:space="0" w:color="auto"/>
                <w:bottom w:val="none" w:sz="0" w:space="0" w:color="auto"/>
                <w:right w:val="none" w:sz="0" w:space="0" w:color="auto"/>
              </w:divBdr>
              <w:divsChild>
                <w:div w:id="1489445454">
                  <w:marLeft w:val="0"/>
                  <w:marRight w:val="0"/>
                  <w:marTop w:val="0"/>
                  <w:marBottom w:val="0"/>
                  <w:divBdr>
                    <w:top w:val="none" w:sz="0" w:space="0" w:color="auto"/>
                    <w:left w:val="none" w:sz="0" w:space="0" w:color="auto"/>
                    <w:bottom w:val="none" w:sz="0" w:space="0" w:color="auto"/>
                    <w:right w:val="none" w:sz="0" w:space="0" w:color="auto"/>
                  </w:divBdr>
                  <w:divsChild>
                    <w:div w:id="120864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0076899">
      <w:bodyDiv w:val="1"/>
      <w:marLeft w:val="0"/>
      <w:marRight w:val="0"/>
      <w:marTop w:val="0"/>
      <w:marBottom w:val="0"/>
      <w:divBdr>
        <w:top w:val="none" w:sz="0" w:space="0" w:color="auto"/>
        <w:left w:val="none" w:sz="0" w:space="0" w:color="auto"/>
        <w:bottom w:val="none" w:sz="0" w:space="0" w:color="auto"/>
        <w:right w:val="none" w:sz="0" w:space="0" w:color="auto"/>
      </w:divBdr>
    </w:div>
    <w:div w:id="1767845190">
      <w:bodyDiv w:val="1"/>
      <w:marLeft w:val="0"/>
      <w:marRight w:val="0"/>
      <w:marTop w:val="0"/>
      <w:marBottom w:val="0"/>
      <w:divBdr>
        <w:top w:val="none" w:sz="0" w:space="0" w:color="auto"/>
        <w:left w:val="none" w:sz="0" w:space="0" w:color="auto"/>
        <w:bottom w:val="none" w:sz="0" w:space="0" w:color="auto"/>
        <w:right w:val="none" w:sz="0" w:space="0" w:color="auto"/>
      </w:divBdr>
    </w:div>
    <w:div w:id="1810780425">
      <w:bodyDiv w:val="1"/>
      <w:marLeft w:val="0"/>
      <w:marRight w:val="0"/>
      <w:marTop w:val="0"/>
      <w:marBottom w:val="0"/>
      <w:divBdr>
        <w:top w:val="none" w:sz="0" w:space="0" w:color="auto"/>
        <w:left w:val="none" w:sz="0" w:space="0" w:color="auto"/>
        <w:bottom w:val="none" w:sz="0" w:space="0" w:color="auto"/>
        <w:right w:val="none" w:sz="0" w:space="0" w:color="auto"/>
      </w:divBdr>
    </w:div>
    <w:div w:id="1819298760">
      <w:bodyDiv w:val="1"/>
      <w:marLeft w:val="0"/>
      <w:marRight w:val="0"/>
      <w:marTop w:val="0"/>
      <w:marBottom w:val="0"/>
      <w:divBdr>
        <w:top w:val="none" w:sz="0" w:space="0" w:color="auto"/>
        <w:left w:val="none" w:sz="0" w:space="0" w:color="auto"/>
        <w:bottom w:val="none" w:sz="0" w:space="0" w:color="auto"/>
        <w:right w:val="none" w:sz="0" w:space="0" w:color="auto"/>
      </w:divBdr>
    </w:div>
    <w:div w:id="1827236000">
      <w:bodyDiv w:val="1"/>
      <w:marLeft w:val="0"/>
      <w:marRight w:val="0"/>
      <w:marTop w:val="0"/>
      <w:marBottom w:val="0"/>
      <w:divBdr>
        <w:top w:val="none" w:sz="0" w:space="0" w:color="auto"/>
        <w:left w:val="none" w:sz="0" w:space="0" w:color="auto"/>
        <w:bottom w:val="none" w:sz="0" w:space="0" w:color="auto"/>
        <w:right w:val="none" w:sz="0" w:space="0" w:color="auto"/>
      </w:divBdr>
    </w:div>
    <w:div w:id="1833836342">
      <w:bodyDiv w:val="1"/>
      <w:marLeft w:val="0"/>
      <w:marRight w:val="0"/>
      <w:marTop w:val="0"/>
      <w:marBottom w:val="0"/>
      <w:divBdr>
        <w:top w:val="none" w:sz="0" w:space="0" w:color="auto"/>
        <w:left w:val="none" w:sz="0" w:space="0" w:color="auto"/>
        <w:bottom w:val="none" w:sz="0" w:space="0" w:color="auto"/>
        <w:right w:val="none" w:sz="0" w:space="0" w:color="auto"/>
      </w:divBdr>
    </w:div>
    <w:div w:id="1848670764">
      <w:bodyDiv w:val="1"/>
      <w:marLeft w:val="0"/>
      <w:marRight w:val="0"/>
      <w:marTop w:val="0"/>
      <w:marBottom w:val="0"/>
      <w:divBdr>
        <w:top w:val="none" w:sz="0" w:space="0" w:color="auto"/>
        <w:left w:val="none" w:sz="0" w:space="0" w:color="auto"/>
        <w:bottom w:val="none" w:sz="0" w:space="0" w:color="auto"/>
        <w:right w:val="none" w:sz="0" w:space="0" w:color="auto"/>
      </w:divBdr>
    </w:div>
    <w:div w:id="1851337754">
      <w:bodyDiv w:val="1"/>
      <w:marLeft w:val="0"/>
      <w:marRight w:val="0"/>
      <w:marTop w:val="0"/>
      <w:marBottom w:val="0"/>
      <w:divBdr>
        <w:top w:val="none" w:sz="0" w:space="0" w:color="auto"/>
        <w:left w:val="none" w:sz="0" w:space="0" w:color="auto"/>
        <w:bottom w:val="none" w:sz="0" w:space="0" w:color="auto"/>
        <w:right w:val="none" w:sz="0" w:space="0" w:color="auto"/>
      </w:divBdr>
    </w:div>
    <w:div w:id="1876891903">
      <w:bodyDiv w:val="1"/>
      <w:marLeft w:val="0"/>
      <w:marRight w:val="0"/>
      <w:marTop w:val="0"/>
      <w:marBottom w:val="0"/>
      <w:divBdr>
        <w:top w:val="none" w:sz="0" w:space="0" w:color="auto"/>
        <w:left w:val="none" w:sz="0" w:space="0" w:color="auto"/>
        <w:bottom w:val="none" w:sz="0" w:space="0" w:color="auto"/>
        <w:right w:val="none" w:sz="0" w:space="0" w:color="auto"/>
      </w:divBdr>
    </w:div>
    <w:div w:id="1900283541">
      <w:bodyDiv w:val="1"/>
      <w:marLeft w:val="0"/>
      <w:marRight w:val="0"/>
      <w:marTop w:val="0"/>
      <w:marBottom w:val="0"/>
      <w:divBdr>
        <w:top w:val="none" w:sz="0" w:space="0" w:color="auto"/>
        <w:left w:val="none" w:sz="0" w:space="0" w:color="auto"/>
        <w:bottom w:val="none" w:sz="0" w:space="0" w:color="auto"/>
        <w:right w:val="none" w:sz="0" w:space="0" w:color="auto"/>
      </w:divBdr>
      <w:divsChild>
        <w:div w:id="529607275">
          <w:marLeft w:val="0"/>
          <w:marRight w:val="0"/>
          <w:marTop w:val="0"/>
          <w:marBottom w:val="0"/>
          <w:divBdr>
            <w:top w:val="none" w:sz="0" w:space="0" w:color="auto"/>
            <w:left w:val="none" w:sz="0" w:space="0" w:color="auto"/>
            <w:bottom w:val="none" w:sz="0" w:space="0" w:color="auto"/>
            <w:right w:val="none" w:sz="0" w:space="0" w:color="auto"/>
          </w:divBdr>
          <w:divsChild>
            <w:div w:id="1536231806">
              <w:marLeft w:val="0"/>
              <w:marRight w:val="0"/>
              <w:marTop w:val="0"/>
              <w:marBottom w:val="0"/>
              <w:divBdr>
                <w:top w:val="none" w:sz="0" w:space="0" w:color="auto"/>
                <w:left w:val="none" w:sz="0" w:space="0" w:color="auto"/>
                <w:bottom w:val="none" w:sz="0" w:space="0" w:color="auto"/>
                <w:right w:val="none" w:sz="0" w:space="0" w:color="auto"/>
              </w:divBdr>
              <w:divsChild>
                <w:div w:id="1974092780">
                  <w:marLeft w:val="0"/>
                  <w:marRight w:val="0"/>
                  <w:marTop w:val="0"/>
                  <w:marBottom w:val="0"/>
                  <w:divBdr>
                    <w:top w:val="none" w:sz="0" w:space="0" w:color="auto"/>
                    <w:left w:val="none" w:sz="0" w:space="0" w:color="auto"/>
                    <w:bottom w:val="none" w:sz="0" w:space="0" w:color="auto"/>
                    <w:right w:val="none" w:sz="0" w:space="0" w:color="auto"/>
                  </w:divBdr>
                  <w:divsChild>
                    <w:div w:id="203040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3633536">
      <w:bodyDiv w:val="1"/>
      <w:marLeft w:val="0"/>
      <w:marRight w:val="0"/>
      <w:marTop w:val="0"/>
      <w:marBottom w:val="0"/>
      <w:divBdr>
        <w:top w:val="none" w:sz="0" w:space="0" w:color="auto"/>
        <w:left w:val="none" w:sz="0" w:space="0" w:color="auto"/>
        <w:bottom w:val="none" w:sz="0" w:space="0" w:color="auto"/>
        <w:right w:val="none" w:sz="0" w:space="0" w:color="auto"/>
      </w:divBdr>
    </w:div>
    <w:div w:id="1910533830">
      <w:bodyDiv w:val="1"/>
      <w:marLeft w:val="0"/>
      <w:marRight w:val="0"/>
      <w:marTop w:val="0"/>
      <w:marBottom w:val="0"/>
      <w:divBdr>
        <w:top w:val="none" w:sz="0" w:space="0" w:color="auto"/>
        <w:left w:val="none" w:sz="0" w:space="0" w:color="auto"/>
        <w:bottom w:val="none" w:sz="0" w:space="0" w:color="auto"/>
        <w:right w:val="none" w:sz="0" w:space="0" w:color="auto"/>
      </w:divBdr>
    </w:div>
    <w:div w:id="1985887733">
      <w:bodyDiv w:val="1"/>
      <w:marLeft w:val="0"/>
      <w:marRight w:val="0"/>
      <w:marTop w:val="0"/>
      <w:marBottom w:val="0"/>
      <w:divBdr>
        <w:top w:val="none" w:sz="0" w:space="0" w:color="auto"/>
        <w:left w:val="none" w:sz="0" w:space="0" w:color="auto"/>
        <w:bottom w:val="none" w:sz="0" w:space="0" w:color="auto"/>
        <w:right w:val="none" w:sz="0" w:space="0" w:color="auto"/>
      </w:divBdr>
      <w:divsChild>
        <w:div w:id="198858678">
          <w:marLeft w:val="0"/>
          <w:marRight w:val="0"/>
          <w:marTop w:val="0"/>
          <w:marBottom w:val="0"/>
          <w:divBdr>
            <w:top w:val="none" w:sz="0" w:space="0" w:color="auto"/>
            <w:left w:val="none" w:sz="0" w:space="0" w:color="auto"/>
            <w:bottom w:val="none" w:sz="0" w:space="0" w:color="auto"/>
            <w:right w:val="none" w:sz="0" w:space="0" w:color="auto"/>
          </w:divBdr>
          <w:divsChild>
            <w:div w:id="2139444430">
              <w:marLeft w:val="0"/>
              <w:marRight w:val="0"/>
              <w:marTop w:val="0"/>
              <w:marBottom w:val="0"/>
              <w:divBdr>
                <w:top w:val="none" w:sz="0" w:space="0" w:color="auto"/>
                <w:left w:val="none" w:sz="0" w:space="0" w:color="auto"/>
                <w:bottom w:val="none" w:sz="0" w:space="0" w:color="auto"/>
                <w:right w:val="none" w:sz="0" w:space="0" w:color="auto"/>
              </w:divBdr>
              <w:divsChild>
                <w:div w:id="349795169">
                  <w:marLeft w:val="0"/>
                  <w:marRight w:val="0"/>
                  <w:marTop w:val="0"/>
                  <w:marBottom w:val="0"/>
                  <w:divBdr>
                    <w:top w:val="none" w:sz="0" w:space="0" w:color="auto"/>
                    <w:left w:val="none" w:sz="0" w:space="0" w:color="auto"/>
                    <w:bottom w:val="none" w:sz="0" w:space="0" w:color="auto"/>
                    <w:right w:val="none" w:sz="0" w:space="0" w:color="auto"/>
                  </w:divBdr>
                  <w:divsChild>
                    <w:div w:id="665132865">
                      <w:marLeft w:val="0"/>
                      <w:marRight w:val="0"/>
                      <w:marTop w:val="0"/>
                      <w:marBottom w:val="0"/>
                      <w:divBdr>
                        <w:top w:val="none" w:sz="0" w:space="0" w:color="auto"/>
                        <w:left w:val="none" w:sz="0" w:space="0" w:color="auto"/>
                        <w:bottom w:val="none" w:sz="0" w:space="0" w:color="auto"/>
                        <w:right w:val="none" w:sz="0" w:space="0" w:color="auto"/>
                      </w:divBdr>
                      <w:divsChild>
                        <w:div w:id="290719989">
                          <w:marLeft w:val="0"/>
                          <w:marRight w:val="0"/>
                          <w:marTop w:val="0"/>
                          <w:marBottom w:val="0"/>
                          <w:divBdr>
                            <w:top w:val="none" w:sz="0" w:space="0" w:color="auto"/>
                            <w:left w:val="none" w:sz="0" w:space="0" w:color="auto"/>
                            <w:bottom w:val="none" w:sz="0" w:space="0" w:color="auto"/>
                            <w:right w:val="none" w:sz="0" w:space="0" w:color="auto"/>
                          </w:divBdr>
                          <w:divsChild>
                            <w:div w:id="811293225">
                              <w:marLeft w:val="0"/>
                              <w:marRight w:val="0"/>
                              <w:marTop w:val="0"/>
                              <w:marBottom w:val="0"/>
                              <w:divBdr>
                                <w:top w:val="none" w:sz="0" w:space="0" w:color="auto"/>
                                <w:left w:val="none" w:sz="0" w:space="0" w:color="auto"/>
                                <w:bottom w:val="none" w:sz="0" w:space="0" w:color="auto"/>
                                <w:right w:val="none" w:sz="0" w:space="0" w:color="auto"/>
                              </w:divBdr>
                            </w:div>
                            <w:div w:id="1644313231">
                              <w:marLeft w:val="0"/>
                              <w:marRight w:val="0"/>
                              <w:marTop w:val="0"/>
                              <w:marBottom w:val="0"/>
                              <w:divBdr>
                                <w:top w:val="none" w:sz="0" w:space="0" w:color="auto"/>
                                <w:left w:val="none" w:sz="0" w:space="0" w:color="auto"/>
                                <w:bottom w:val="none" w:sz="0" w:space="0" w:color="auto"/>
                                <w:right w:val="none" w:sz="0" w:space="0" w:color="auto"/>
                              </w:divBdr>
                              <w:divsChild>
                                <w:div w:id="1515338125">
                                  <w:marLeft w:val="0"/>
                                  <w:marRight w:val="0"/>
                                  <w:marTop w:val="0"/>
                                  <w:marBottom w:val="0"/>
                                  <w:divBdr>
                                    <w:top w:val="none" w:sz="0" w:space="0" w:color="auto"/>
                                    <w:left w:val="none" w:sz="0" w:space="0" w:color="auto"/>
                                    <w:bottom w:val="none" w:sz="0" w:space="0" w:color="auto"/>
                                    <w:right w:val="none" w:sz="0" w:space="0" w:color="auto"/>
                                  </w:divBdr>
                                  <w:divsChild>
                                    <w:div w:id="182959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4486179">
      <w:bodyDiv w:val="1"/>
      <w:marLeft w:val="0"/>
      <w:marRight w:val="0"/>
      <w:marTop w:val="0"/>
      <w:marBottom w:val="0"/>
      <w:divBdr>
        <w:top w:val="none" w:sz="0" w:space="0" w:color="auto"/>
        <w:left w:val="none" w:sz="0" w:space="0" w:color="auto"/>
        <w:bottom w:val="none" w:sz="0" w:space="0" w:color="auto"/>
        <w:right w:val="none" w:sz="0" w:space="0" w:color="auto"/>
      </w:divBdr>
    </w:div>
    <w:div w:id="2033919264">
      <w:bodyDiv w:val="1"/>
      <w:marLeft w:val="0"/>
      <w:marRight w:val="0"/>
      <w:marTop w:val="0"/>
      <w:marBottom w:val="0"/>
      <w:divBdr>
        <w:top w:val="none" w:sz="0" w:space="0" w:color="auto"/>
        <w:left w:val="none" w:sz="0" w:space="0" w:color="auto"/>
        <w:bottom w:val="none" w:sz="0" w:space="0" w:color="auto"/>
        <w:right w:val="none" w:sz="0" w:space="0" w:color="auto"/>
      </w:divBdr>
    </w:div>
    <w:div w:id="2034257789">
      <w:bodyDiv w:val="1"/>
      <w:marLeft w:val="0"/>
      <w:marRight w:val="0"/>
      <w:marTop w:val="0"/>
      <w:marBottom w:val="0"/>
      <w:divBdr>
        <w:top w:val="none" w:sz="0" w:space="0" w:color="auto"/>
        <w:left w:val="none" w:sz="0" w:space="0" w:color="auto"/>
        <w:bottom w:val="none" w:sz="0" w:space="0" w:color="auto"/>
        <w:right w:val="none" w:sz="0" w:space="0" w:color="auto"/>
      </w:divBdr>
    </w:div>
    <w:div w:id="2039041220">
      <w:bodyDiv w:val="1"/>
      <w:marLeft w:val="0"/>
      <w:marRight w:val="0"/>
      <w:marTop w:val="0"/>
      <w:marBottom w:val="0"/>
      <w:divBdr>
        <w:top w:val="none" w:sz="0" w:space="0" w:color="auto"/>
        <w:left w:val="none" w:sz="0" w:space="0" w:color="auto"/>
        <w:bottom w:val="none" w:sz="0" w:space="0" w:color="auto"/>
        <w:right w:val="none" w:sz="0" w:space="0" w:color="auto"/>
      </w:divBdr>
    </w:div>
    <w:div w:id="2046634585">
      <w:bodyDiv w:val="1"/>
      <w:marLeft w:val="0"/>
      <w:marRight w:val="0"/>
      <w:marTop w:val="0"/>
      <w:marBottom w:val="0"/>
      <w:divBdr>
        <w:top w:val="none" w:sz="0" w:space="0" w:color="auto"/>
        <w:left w:val="none" w:sz="0" w:space="0" w:color="auto"/>
        <w:bottom w:val="none" w:sz="0" w:space="0" w:color="auto"/>
        <w:right w:val="none" w:sz="0" w:space="0" w:color="auto"/>
      </w:divBdr>
    </w:div>
    <w:div w:id="2052537950">
      <w:bodyDiv w:val="1"/>
      <w:marLeft w:val="0"/>
      <w:marRight w:val="0"/>
      <w:marTop w:val="0"/>
      <w:marBottom w:val="0"/>
      <w:divBdr>
        <w:top w:val="none" w:sz="0" w:space="0" w:color="auto"/>
        <w:left w:val="none" w:sz="0" w:space="0" w:color="auto"/>
        <w:bottom w:val="none" w:sz="0" w:space="0" w:color="auto"/>
        <w:right w:val="none" w:sz="0" w:space="0" w:color="auto"/>
      </w:divBdr>
    </w:div>
    <w:div w:id="2057777176">
      <w:bodyDiv w:val="1"/>
      <w:marLeft w:val="0"/>
      <w:marRight w:val="0"/>
      <w:marTop w:val="0"/>
      <w:marBottom w:val="0"/>
      <w:divBdr>
        <w:top w:val="none" w:sz="0" w:space="0" w:color="auto"/>
        <w:left w:val="none" w:sz="0" w:space="0" w:color="auto"/>
        <w:bottom w:val="none" w:sz="0" w:space="0" w:color="auto"/>
        <w:right w:val="none" w:sz="0" w:space="0" w:color="auto"/>
      </w:divBdr>
    </w:div>
    <w:div w:id="2074231683">
      <w:bodyDiv w:val="1"/>
      <w:marLeft w:val="0"/>
      <w:marRight w:val="0"/>
      <w:marTop w:val="0"/>
      <w:marBottom w:val="0"/>
      <w:divBdr>
        <w:top w:val="none" w:sz="0" w:space="0" w:color="auto"/>
        <w:left w:val="none" w:sz="0" w:space="0" w:color="auto"/>
        <w:bottom w:val="none" w:sz="0" w:space="0" w:color="auto"/>
        <w:right w:val="none" w:sz="0" w:space="0" w:color="auto"/>
      </w:divBdr>
    </w:div>
    <w:div w:id="2102993143">
      <w:bodyDiv w:val="1"/>
      <w:marLeft w:val="0"/>
      <w:marRight w:val="0"/>
      <w:marTop w:val="0"/>
      <w:marBottom w:val="0"/>
      <w:divBdr>
        <w:top w:val="none" w:sz="0" w:space="0" w:color="auto"/>
        <w:left w:val="none" w:sz="0" w:space="0" w:color="auto"/>
        <w:bottom w:val="none" w:sz="0" w:space="0" w:color="auto"/>
        <w:right w:val="none" w:sz="0" w:space="0" w:color="auto"/>
      </w:divBdr>
    </w:div>
    <w:div w:id="2105179720">
      <w:bodyDiv w:val="1"/>
      <w:marLeft w:val="0"/>
      <w:marRight w:val="0"/>
      <w:marTop w:val="0"/>
      <w:marBottom w:val="0"/>
      <w:divBdr>
        <w:top w:val="none" w:sz="0" w:space="0" w:color="auto"/>
        <w:left w:val="none" w:sz="0" w:space="0" w:color="auto"/>
        <w:bottom w:val="none" w:sz="0" w:space="0" w:color="auto"/>
        <w:right w:val="none" w:sz="0" w:space="0" w:color="auto"/>
      </w:divBdr>
    </w:div>
    <w:div w:id="2113627713">
      <w:bodyDiv w:val="1"/>
      <w:marLeft w:val="0"/>
      <w:marRight w:val="0"/>
      <w:marTop w:val="0"/>
      <w:marBottom w:val="0"/>
      <w:divBdr>
        <w:top w:val="none" w:sz="0" w:space="0" w:color="auto"/>
        <w:left w:val="none" w:sz="0" w:space="0" w:color="auto"/>
        <w:bottom w:val="none" w:sz="0" w:space="0" w:color="auto"/>
        <w:right w:val="none" w:sz="0" w:space="0" w:color="auto"/>
      </w:divBdr>
    </w:div>
    <w:div w:id="2118987939">
      <w:bodyDiv w:val="1"/>
      <w:marLeft w:val="0"/>
      <w:marRight w:val="0"/>
      <w:marTop w:val="0"/>
      <w:marBottom w:val="0"/>
      <w:divBdr>
        <w:top w:val="none" w:sz="0" w:space="0" w:color="auto"/>
        <w:left w:val="none" w:sz="0" w:space="0" w:color="auto"/>
        <w:bottom w:val="none" w:sz="0" w:space="0" w:color="auto"/>
        <w:right w:val="none" w:sz="0" w:space="0" w:color="auto"/>
      </w:divBdr>
    </w:div>
    <w:div w:id="2141653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emf"/><Relationship Id="rId42" Type="http://schemas.openxmlformats.org/officeDocument/2006/relationships/image" Target="media/image27.emf"/><Relationship Id="rId47" Type="http://schemas.openxmlformats.org/officeDocument/2006/relationships/image" Target="media/image32.emf"/><Relationship Id="rId63" Type="http://schemas.openxmlformats.org/officeDocument/2006/relationships/hyperlink" Target="http://www.economia.gob.mx/eventos-noticias/sala-de-prensa/discursos/10918-discurso15-0226" TargetMode="External"/><Relationship Id="rId68" Type="http://schemas.openxmlformats.org/officeDocument/2006/relationships/hyperlink" Target="https://www.wto.org/spanish/tratop_s/tpr_s/tp410_s.htm" TargetMode="External"/><Relationship Id="rId84" Type="http://schemas.openxmlformats.org/officeDocument/2006/relationships/image" Target="media/image42.emf"/><Relationship Id="rId89" Type="http://schemas.openxmlformats.org/officeDocument/2006/relationships/hyperlink" Target="http://comunicacion.senado.gob.mx/index.php/informacion/boletines/18932-consules-mexicanos-en-ee-uu-podran-registrar-a-migrantes-proponen-senadores.html" TargetMode="External"/><Relationship Id="rId16" Type="http://schemas.openxmlformats.org/officeDocument/2006/relationships/image" Target="media/image9.emf"/><Relationship Id="rId11" Type="http://schemas.openxmlformats.org/officeDocument/2006/relationships/image" Target="media/image4.emf"/><Relationship Id="rId32" Type="http://schemas.openxmlformats.org/officeDocument/2006/relationships/image" Target="media/image23.emf"/><Relationship Id="rId37" Type="http://schemas.openxmlformats.org/officeDocument/2006/relationships/hyperlink" Target="http://saladeprensa.sre.gob.mx/index.php/es/comunicados/5735-127" TargetMode="External"/><Relationship Id="rId53" Type="http://schemas.openxmlformats.org/officeDocument/2006/relationships/hyperlink" Target="http://www.inegi.org.mx/sistemas/bie/default.aspx" TargetMode="External"/><Relationship Id="rId58" Type="http://schemas.openxmlformats.org/officeDocument/2006/relationships/hyperlink" Target="http://saladeprensa.sre.gob.mx/index.php/es/comunicados/5634-083" TargetMode="External"/><Relationship Id="rId74" Type="http://schemas.openxmlformats.org/officeDocument/2006/relationships/hyperlink" Target="http://www.banxico.org.mx/SieInternet/consultarDirectorioInternetAction.do?accion=consultarCuadroAnalitico&amp;idCuadro=CA198&amp;sector=1&amp;locale=es" TargetMode="External"/><Relationship Id="rId79" Type="http://schemas.openxmlformats.org/officeDocument/2006/relationships/image" Target="media/image39.emf"/><Relationship Id="rId5" Type="http://schemas.openxmlformats.org/officeDocument/2006/relationships/webSettings" Target="webSettings.xml"/><Relationship Id="rId90" Type="http://schemas.openxmlformats.org/officeDocument/2006/relationships/hyperlink" Target="http://comunicacion.senado.gob.mx/index.php/informacion/boletines/18845-piden-senadores-facultar-a-consules-en-ee-uu-para-registrar-a-migrantes-mexicanos.html" TargetMode="External"/><Relationship Id="rId22" Type="http://schemas.openxmlformats.org/officeDocument/2006/relationships/image" Target="media/image13.emf"/><Relationship Id="rId27" Type="http://schemas.openxmlformats.org/officeDocument/2006/relationships/image" Target="media/image18.emf"/><Relationship Id="rId43" Type="http://schemas.openxmlformats.org/officeDocument/2006/relationships/image" Target="media/image28.emf"/><Relationship Id="rId48" Type="http://schemas.openxmlformats.org/officeDocument/2006/relationships/image" Target="media/image33.emf"/><Relationship Id="rId64" Type="http://schemas.openxmlformats.org/officeDocument/2006/relationships/hyperlink" Target="http://www.sat.gob.mx/sala_prensa/comunicados_nacionales/Paginas/com2015_021.aspx" TargetMode="External"/><Relationship Id="rId69" Type="http://schemas.openxmlformats.org/officeDocument/2006/relationships/hyperlink" Target="http://www.sagarpa.gob.mx/saladeprensa/2012/Paginas/2015B181.aspx" TargetMode="External"/><Relationship Id="rId8" Type="http://schemas.openxmlformats.org/officeDocument/2006/relationships/image" Target="media/image1.emf"/><Relationship Id="rId51" Type="http://schemas.openxmlformats.org/officeDocument/2006/relationships/hyperlink" Target="http://www.economia.gob.mx/files/comunidad_negocios/ied/enero_diciembre_2014.pdf" TargetMode="External"/><Relationship Id="rId72" Type="http://schemas.openxmlformats.org/officeDocument/2006/relationships/image" Target="media/image37.emf"/><Relationship Id="rId80" Type="http://schemas.openxmlformats.org/officeDocument/2006/relationships/image" Target="media/image40.emf"/><Relationship Id="rId85" Type="http://schemas.openxmlformats.org/officeDocument/2006/relationships/image" Target="media/image43.emf"/><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6.emf"/><Relationship Id="rId33" Type="http://schemas.openxmlformats.org/officeDocument/2006/relationships/hyperlink" Target="http://www.inegi.org.mx/saladeprensa/boletines/2015/balcom_o/balcom_o2015_02.pdf" TargetMode="External"/><Relationship Id="rId38" Type="http://schemas.openxmlformats.org/officeDocument/2006/relationships/hyperlink" Target="http://www.sagarpa.gob.mx/saladeprensa/2012/Paginas/2015B184.aspx" TargetMode="External"/><Relationship Id="rId46" Type="http://schemas.openxmlformats.org/officeDocument/2006/relationships/image" Target="media/image31.emf"/><Relationship Id="rId59" Type="http://schemas.openxmlformats.org/officeDocument/2006/relationships/hyperlink" Target="http://saladeprensa.sre.gob.mx/index.php/es/comunicados/5658-093" TargetMode="External"/><Relationship Id="rId67" Type="http://schemas.openxmlformats.org/officeDocument/2006/relationships/hyperlink" Target="https://www.wto.org/spanish/tratop_s/tpr_s/s310_sum_s.pdf" TargetMode="External"/><Relationship Id="rId20" Type="http://schemas.openxmlformats.org/officeDocument/2006/relationships/image" Target="media/image11.emf"/><Relationship Id="rId41" Type="http://schemas.openxmlformats.org/officeDocument/2006/relationships/image" Target="media/image26.emf"/><Relationship Id="rId54" Type="http://schemas.openxmlformats.org/officeDocument/2006/relationships/hyperlink" Target="http://saladeprensa.sre.gob.mx/index.php/es/comunicados/5638-085" TargetMode="External"/><Relationship Id="rId62" Type="http://schemas.openxmlformats.org/officeDocument/2006/relationships/hyperlink" Target="http://www.presidencia.gob.mx/sector-primario-cierra-2014-con-un-crecimiento-del-4/" TargetMode="External"/><Relationship Id="rId70" Type="http://schemas.openxmlformats.org/officeDocument/2006/relationships/hyperlink" Target="http://www.imf.org/external/pubs/cat/longres.aspx?sk=42784.0" TargetMode="External"/><Relationship Id="rId75" Type="http://schemas.openxmlformats.org/officeDocument/2006/relationships/hyperlink" Target="http://www.banxico.org.mx/SieInternet/consultarDirectorioInternetAction.do?accion=consultarCuadroAnalitico&amp;idCuadro=CA199&amp;sector=1&amp;locale=es" TargetMode="External"/><Relationship Id="rId83" Type="http://schemas.openxmlformats.org/officeDocument/2006/relationships/image" Target="media/image41.emf"/><Relationship Id="rId88" Type="http://schemas.openxmlformats.org/officeDocument/2006/relationships/hyperlink" Target="http://comunicacion.senado.gob.mx/index.php/informacion/boletines/18963-senadores-cuestionan-a-titular-de-sre-sobre-defensa-de-migrantes-seguridad-y-deportaciones.html" TargetMode="External"/><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hyperlink" Target="http://www.presidencia.gob.mx/articulos-prensa/firman-mexico-y-reino-unido-acuerdos-en-material-educativa-y-turistica/" TargetMode="External"/><Relationship Id="rId49" Type="http://schemas.openxmlformats.org/officeDocument/2006/relationships/image" Target="media/image34.emf"/><Relationship Id="rId57" Type="http://schemas.openxmlformats.org/officeDocument/2006/relationships/hyperlink" Target="http://saladeprensa.sre.gob.mx/index.php/es/discursos/5637-2015-02-23-22-30-21" TargetMode="External"/><Relationship Id="rId10" Type="http://schemas.openxmlformats.org/officeDocument/2006/relationships/image" Target="media/image3.emf"/><Relationship Id="rId31" Type="http://schemas.openxmlformats.org/officeDocument/2006/relationships/image" Target="media/image22.emf"/><Relationship Id="rId44" Type="http://schemas.openxmlformats.org/officeDocument/2006/relationships/image" Target="media/image29.emf"/><Relationship Id="rId52" Type="http://schemas.openxmlformats.org/officeDocument/2006/relationships/hyperlink" Target="http://saladeprensa.sre.gob.mx/index.php/es/comunicados/5614-077" TargetMode="External"/><Relationship Id="rId60" Type="http://schemas.openxmlformats.org/officeDocument/2006/relationships/hyperlink" Target="http://www.economia.gob.mx/eventos-noticias/sala-de-prensa/comunicados/10920-comunicado-conjunto15-0226" TargetMode="External"/><Relationship Id="rId65" Type="http://schemas.openxmlformats.org/officeDocument/2006/relationships/hyperlink" Target="http://oncenoticias.tv/index.php?modulo=interior&amp;nota=136&amp;dt=2015-02-23" TargetMode="External"/><Relationship Id="rId73" Type="http://schemas.openxmlformats.org/officeDocument/2006/relationships/image" Target="media/image38.emf"/><Relationship Id="rId78" Type="http://schemas.openxmlformats.org/officeDocument/2006/relationships/hyperlink" Target="http://www.sectur.gob.mx/2015/02/23/boletin-38-pronostica-la-omt-crecimiento-del-turismo-internacional-de-tres-a-cuatro-por-ciento-este-ano/" TargetMode="External"/><Relationship Id="rId81" Type="http://schemas.openxmlformats.org/officeDocument/2006/relationships/hyperlink" Target="http://www.banxico.org.mx/SieInternet/consultarDirectorioInternetAction.do?accion=consultarCuadroAnalitico&amp;idCuadro=CA11&amp;sector=1&amp;locale=es" TargetMode="External"/><Relationship Id="rId86" Type="http://schemas.openxmlformats.org/officeDocument/2006/relationships/hyperlink" Target="https://www.bbvaresearch.com/wp-content/uploads/2015/03/2015-03-02-FlashMigracionMexico1.pdf" TargetMode="Externa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hyperlink" Target="http://www.banxico.org.mx/estadisticas/sie/%7b74DDD8E3-9A34-D805-9472-992D16FF67E6%7d.pdf" TargetMode="External"/><Relationship Id="rId39" Type="http://schemas.openxmlformats.org/officeDocument/2006/relationships/image" Target="media/image24.emf"/><Relationship Id="rId34" Type="http://schemas.openxmlformats.org/officeDocument/2006/relationships/hyperlink" Target="http://www.mexicocomovamos.mx/expertos-opinan-peso-depreciado-pero-no-tanto-como-para-necesariamente-ser-competitivos-en-exportaciones/" TargetMode="External"/><Relationship Id="rId50" Type="http://schemas.openxmlformats.org/officeDocument/2006/relationships/image" Target="media/image35.emf"/><Relationship Id="rId55" Type="http://schemas.openxmlformats.org/officeDocument/2006/relationships/hyperlink" Target="http://comunicacion.senado.gob.mx/index.php/informacion/boletines/18931-libre-comercio-con-panama-permitira-diversificar-negocios-de-mexico-coinciden-senadores-y-funcionarios.html" TargetMode="External"/><Relationship Id="rId76" Type="http://schemas.openxmlformats.org/officeDocument/2006/relationships/hyperlink" Target="http://www.sectur.gob.mx/2015/03/10/boletin-48-crece-8-9-arribo-de-turistas-internacionales-por-via-aerea-en-enero-de-2015-respecto-a-igual-mes-del-2014/" TargetMode="External"/><Relationship Id="rId7" Type="http://schemas.openxmlformats.org/officeDocument/2006/relationships/endnotes" Target="endnotes.xml"/><Relationship Id="rId71" Type="http://schemas.openxmlformats.org/officeDocument/2006/relationships/image" Target="media/image36.emf"/><Relationship Id="rId92"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image" Target="media/image20.emf"/><Relationship Id="rId24" Type="http://schemas.openxmlformats.org/officeDocument/2006/relationships/image" Target="media/image15.emf"/><Relationship Id="rId40" Type="http://schemas.openxmlformats.org/officeDocument/2006/relationships/image" Target="media/image25.emf"/><Relationship Id="rId45" Type="http://schemas.openxmlformats.org/officeDocument/2006/relationships/image" Target="media/image30.emf"/><Relationship Id="rId66" Type="http://schemas.openxmlformats.org/officeDocument/2006/relationships/hyperlink" Target="https://www.bbvaresearch.com/wp-content/plugins/custom-pdf-generator/generate.php?post=68325" TargetMode="External"/><Relationship Id="rId87" Type="http://schemas.openxmlformats.org/officeDocument/2006/relationships/hyperlink" Target="http://saladeprensa.sre.gob.mx/index.php/es/comunicados/5651-090" TargetMode="External"/><Relationship Id="rId61" Type="http://schemas.openxmlformats.org/officeDocument/2006/relationships/hyperlink" Target="http://www.sagarpa.gob.mx/saladeprensa/2012/Paginas/2015B151.aspx" TargetMode="External"/><Relationship Id="rId82" Type="http://schemas.openxmlformats.org/officeDocument/2006/relationships/hyperlink" Target="http://www.banxico.org.mx/SieInternet/consultarDirectorioInternetAction.do?accion=consultarCuadro&amp;idCuadro=CE81&amp;sector=1&amp;locale=es" TargetMode="External"/><Relationship Id="rId19" Type="http://schemas.openxmlformats.org/officeDocument/2006/relationships/hyperlink" Target="http://www.banxico.org.mx/informacion-para-la-prensa/comunicados/sector-externo/balanza-de-pagos/%7BAEE2CBD4-2C71-DA27-336B-8F558037ED1E%7D.pdf" TargetMode="External"/><Relationship Id="rId14" Type="http://schemas.openxmlformats.org/officeDocument/2006/relationships/image" Target="media/image7.emf"/><Relationship Id="rId30" Type="http://schemas.openxmlformats.org/officeDocument/2006/relationships/image" Target="media/image21.emf"/><Relationship Id="rId35" Type="http://schemas.openxmlformats.org/officeDocument/2006/relationships/hyperlink" Target="http://www.sct.gob.mx/despliega-noticias/article/declaracion-conjunta-mexico-reino-unido/" TargetMode="External"/><Relationship Id="rId56" Type="http://schemas.openxmlformats.org/officeDocument/2006/relationships/hyperlink" Target="http://saladeprensa.sre.gob.mx/index.php/es/comunicados/5636-084" TargetMode="External"/><Relationship Id="rId77" Type="http://schemas.openxmlformats.org/officeDocument/2006/relationships/hyperlink" Target="http://www.sectur.gob.mx/2015/03/09/boletin-47-firman-agenda-de-cooperacion-la-secretaria-de-turismo-y-la-entidad-mexicana-de-acreditacion/"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comunicacion.senado.gob.mx/index.php/informacion/boletines/18931-libre-comercio-con-panama-permitira-diversificar-negocios-de-mexico-coinciden-senadores-y-funcionarios.html" TargetMode="External"/><Relationship Id="rId1" Type="http://schemas.openxmlformats.org/officeDocument/2006/relationships/hyperlink" Target="http://www.economia.gob.mx/comunidad-negocios/competitividad-normatividad/inversion" TargetMode="External"/></Relationships>
</file>

<file path=word/theme/theme1.xml><?xml version="1.0" encoding="utf-8"?>
<a:theme xmlns:a="http://schemas.openxmlformats.org/drawingml/2006/main" name="Tema de Office">
  <a:themeElements>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61E080-FFE8-4794-B79F-83C0C2573A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Pages>
  <Words>28075</Words>
  <Characters>154418</Characters>
  <Application>Microsoft Office Word</Application>
  <DocSecurity>0</DocSecurity>
  <Lines>1286</Lines>
  <Paragraphs>364</Paragraphs>
  <ScaleCrop>false</ScaleCrop>
  <HeadingPairs>
    <vt:vector size="2" baseType="variant">
      <vt:variant>
        <vt:lpstr>Título</vt:lpstr>
      </vt:variant>
      <vt:variant>
        <vt:i4>1</vt:i4>
      </vt:variant>
    </vt:vector>
  </HeadingPairs>
  <TitlesOfParts>
    <vt:vector size="1" baseType="lpstr">
      <vt:lpstr>I</vt:lpstr>
    </vt:vector>
  </TitlesOfParts>
  <Company>CONASAMI</Company>
  <LinksUpToDate>false</LinksUpToDate>
  <CharactersWithSpaces>182129</CharactersWithSpaces>
  <SharedDoc>false</SharedDoc>
  <HLinks>
    <vt:vector size="1194" baseType="variant">
      <vt:variant>
        <vt:i4>2359407</vt:i4>
      </vt:variant>
      <vt:variant>
        <vt:i4>653</vt:i4>
      </vt:variant>
      <vt:variant>
        <vt:i4>0</vt:i4>
      </vt:variant>
      <vt:variant>
        <vt:i4>5</vt:i4>
      </vt:variant>
      <vt:variant>
        <vt:lpwstr>http://economy.blogs.ie.edu/archives/2012/02/perspectivas-economicas-riesgos-y-sorpresas-para-2012.php</vt:lpwstr>
      </vt:variant>
      <vt:variant>
        <vt:lpwstr/>
      </vt:variant>
      <vt:variant>
        <vt:i4>131164</vt:i4>
      </vt:variant>
      <vt:variant>
        <vt:i4>650</vt:i4>
      </vt:variant>
      <vt:variant>
        <vt:i4>0</vt:i4>
      </vt:variant>
      <vt:variant>
        <vt:i4>5</vt:i4>
      </vt:variant>
      <vt:variant>
        <vt:lpwstr>http://blog-dialogoafondo.org/?p=1637</vt:lpwstr>
      </vt:variant>
      <vt:variant>
        <vt:lpwstr/>
      </vt:variant>
      <vt:variant>
        <vt:i4>2293876</vt:i4>
      </vt:variant>
      <vt:variant>
        <vt:i4>647</vt:i4>
      </vt:variant>
      <vt:variant>
        <vt:i4>0</vt:i4>
      </vt:variant>
      <vt:variant>
        <vt:i4>5</vt:i4>
      </vt:variant>
      <vt:variant>
        <vt:lpwstr>http://www.felaban.com/</vt:lpwstr>
      </vt:variant>
      <vt:variant>
        <vt:lpwstr/>
      </vt:variant>
      <vt:variant>
        <vt:i4>5832730</vt:i4>
      </vt:variant>
      <vt:variant>
        <vt:i4>644</vt:i4>
      </vt:variant>
      <vt:variant>
        <vt:i4>0</vt:i4>
      </vt:variant>
      <vt:variant>
        <vt:i4>5</vt:i4>
      </vt:variant>
      <vt:variant>
        <vt:lpwstr>http://www.felaban.com/noticia.php?id=36</vt:lpwstr>
      </vt:variant>
      <vt:variant>
        <vt:lpwstr/>
      </vt:variant>
      <vt:variant>
        <vt:i4>65593</vt:i4>
      </vt:variant>
      <vt:variant>
        <vt:i4>641</vt:i4>
      </vt:variant>
      <vt:variant>
        <vt:i4>0</vt:i4>
      </vt:variant>
      <vt:variant>
        <vt:i4>5</vt:i4>
      </vt:variant>
      <vt:variant>
        <vt:lpwstr>http://www.felaban.com/archivos_noticias/Enero 30 - DISMINUCION DEL CRECIMIENTO PRONOSTICA FELABAN.pdf</vt:lpwstr>
      </vt:variant>
      <vt:variant>
        <vt:lpwstr/>
      </vt:variant>
      <vt:variant>
        <vt:i4>5046358</vt:i4>
      </vt:variant>
      <vt:variant>
        <vt:i4>638</vt:i4>
      </vt:variant>
      <vt:variant>
        <vt:i4>0</vt:i4>
      </vt:variant>
      <vt:variant>
        <vt:i4>5</vt:i4>
      </vt:variant>
      <vt:variant>
        <vt:lpwstr>http://www.imf.org/external/spanish/pubs/ft/weo/2012/update/01/pdf/0112s.pdf</vt:lpwstr>
      </vt:variant>
      <vt:variant>
        <vt:lpwstr/>
      </vt:variant>
      <vt:variant>
        <vt:i4>8257582</vt:i4>
      </vt:variant>
      <vt:variant>
        <vt:i4>596</vt:i4>
      </vt:variant>
      <vt:variant>
        <vt:i4>0</vt:i4>
      </vt:variant>
      <vt:variant>
        <vt:i4>5</vt:i4>
      </vt:variant>
      <vt:variant>
        <vt:lpwstr>http://www.oecd.org/dataoecd/35/8/49363879.pdf</vt:lpwstr>
      </vt:variant>
      <vt:variant>
        <vt:lpwstr/>
      </vt:variant>
      <vt:variant>
        <vt:i4>131139</vt:i4>
      </vt:variant>
      <vt:variant>
        <vt:i4>593</vt:i4>
      </vt:variant>
      <vt:variant>
        <vt:i4>0</vt:i4>
      </vt:variant>
      <vt:variant>
        <vt:i4>5</vt:i4>
      </vt:variant>
      <vt:variant>
        <vt:lpwstr>http://www.oecd.org/regreform/indicators</vt:lpwstr>
      </vt:variant>
      <vt:variant>
        <vt:lpwstr/>
      </vt:variant>
      <vt:variant>
        <vt:i4>6946868</vt:i4>
      </vt:variant>
      <vt:variant>
        <vt:i4>590</vt:i4>
      </vt:variant>
      <vt:variant>
        <vt:i4>0</vt:i4>
      </vt:variant>
      <vt:variant>
        <vt:i4>5</vt:i4>
      </vt:variant>
      <vt:variant>
        <vt:lpwstr>http://www.project-syndicate.org/commentary/soros76/Spanish</vt:lpwstr>
      </vt:variant>
      <vt:variant>
        <vt:lpwstr/>
      </vt:variant>
      <vt:variant>
        <vt:i4>4522007</vt:i4>
      </vt:variant>
      <vt:variant>
        <vt:i4>587</vt:i4>
      </vt:variant>
      <vt:variant>
        <vt:i4>0</vt:i4>
      </vt:variant>
      <vt:variant>
        <vt:i4>5</vt:i4>
      </vt:variant>
      <vt:variant>
        <vt:lpwstr>http://economy.blogs.ie.edu/</vt:lpwstr>
      </vt:variant>
      <vt:variant>
        <vt:lpwstr/>
      </vt:variant>
      <vt:variant>
        <vt:i4>6881403</vt:i4>
      </vt:variant>
      <vt:variant>
        <vt:i4>584</vt:i4>
      </vt:variant>
      <vt:variant>
        <vt:i4>0</vt:i4>
      </vt:variant>
      <vt:variant>
        <vt:i4>5</vt:i4>
      </vt:variant>
      <vt:variant>
        <vt:lpwstr>http://www.project-syndicate.org/commentary/stiglitz148/Spanish</vt:lpwstr>
      </vt:variant>
      <vt:variant>
        <vt:lpwstr/>
      </vt:variant>
      <vt:variant>
        <vt:i4>1835011</vt:i4>
      </vt:variant>
      <vt:variant>
        <vt:i4>581</vt:i4>
      </vt:variant>
      <vt:variant>
        <vt:i4>0</vt:i4>
      </vt:variant>
      <vt:variant>
        <vt:i4>5</vt:i4>
      </vt:variant>
      <vt:variant>
        <vt:lpwstr>http://www.comfin.com.mx/comunicados/fitch/12/feb/07informela.pdf</vt:lpwstr>
      </vt:variant>
      <vt:variant>
        <vt:lpwstr/>
      </vt:variant>
      <vt:variant>
        <vt:i4>3211274</vt:i4>
      </vt:variant>
      <vt:variant>
        <vt:i4>578</vt:i4>
      </vt:variant>
      <vt:variant>
        <vt:i4>0</vt:i4>
      </vt:variant>
      <vt:variant>
        <vt:i4>5</vt:i4>
      </vt:variant>
      <vt:variant>
        <vt:lpwstr>http://www.fitchmexico.com/ArchivosHTML/Com_9722.pdf</vt:lpwstr>
      </vt:variant>
      <vt:variant>
        <vt:lpwstr/>
      </vt:variant>
      <vt:variant>
        <vt:i4>2752533</vt:i4>
      </vt:variant>
      <vt:variant>
        <vt:i4>575</vt:i4>
      </vt:variant>
      <vt:variant>
        <vt:i4>0</vt:i4>
      </vt:variant>
      <vt:variant>
        <vt:i4>5</vt:i4>
      </vt:variant>
      <vt:variant>
        <vt:lpwstr>http://www.sela.org/attach/258/default/Canada_Politicas_Programas_Cooperacion_Internacional_para_el_Desarrollo-Oportunidades_para_ALC.pdf</vt:lpwstr>
      </vt:variant>
      <vt:variant>
        <vt:lpwstr/>
      </vt:variant>
      <vt:variant>
        <vt:i4>7864395</vt:i4>
      </vt:variant>
      <vt:variant>
        <vt:i4>572</vt:i4>
      </vt:variant>
      <vt:variant>
        <vt:i4>0</vt:i4>
      </vt:variant>
      <vt:variant>
        <vt:i4>5</vt:i4>
      </vt:variant>
      <vt:variant>
        <vt:lpwstr>http://www.sela.org/view/index.asp?ms=258&amp;pageMs=75192&amp;new_id=98107</vt:lpwstr>
      </vt:variant>
      <vt:variant>
        <vt:lpwstr/>
      </vt:variant>
      <vt:variant>
        <vt:i4>983058</vt:i4>
      </vt:variant>
      <vt:variant>
        <vt:i4>569</vt:i4>
      </vt:variant>
      <vt:variant>
        <vt:i4>0</vt:i4>
      </vt:variant>
      <vt:variant>
        <vt:i4>5</vt:i4>
      </vt:variant>
      <vt:variant>
        <vt:lpwstr>http://www.acdi-cida.gc.ca/acdi-cida/acdi-CIDA.nsf/eng/CAR-616135752-P3Q</vt:lpwstr>
      </vt:variant>
      <vt:variant>
        <vt:lpwstr/>
      </vt:variant>
      <vt:variant>
        <vt:i4>983058</vt:i4>
      </vt:variant>
      <vt:variant>
        <vt:i4>566</vt:i4>
      </vt:variant>
      <vt:variant>
        <vt:i4>0</vt:i4>
      </vt:variant>
      <vt:variant>
        <vt:i4>5</vt:i4>
      </vt:variant>
      <vt:variant>
        <vt:lpwstr>http://www.acdi-cida.gc.ca/acdi-cida/acdi-CIDA.nsf/eng/CAR-616135752-P3Q</vt:lpwstr>
      </vt:variant>
      <vt:variant>
        <vt:lpwstr/>
      </vt:variant>
      <vt:variant>
        <vt:i4>6160417</vt:i4>
      </vt:variant>
      <vt:variant>
        <vt:i4>563</vt:i4>
      </vt:variant>
      <vt:variant>
        <vt:i4>0</vt:i4>
      </vt:variant>
      <vt:variant>
        <vt:i4>5</vt:i4>
      </vt:variant>
      <vt:variant>
        <vt:lpwstr>http://files.shareholder.com/downloads/MAN/1350367079x0x535838/7071e568-457d-455e-b273-3a2eac7d290d/MAN_News_2012_1_24_General.pdf</vt:lpwstr>
      </vt:variant>
      <vt:variant>
        <vt:lpwstr/>
      </vt:variant>
      <vt:variant>
        <vt:i4>3080246</vt:i4>
      </vt:variant>
      <vt:variant>
        <vt:i4>560</vt:i4>
      </vt:variant>
      <vt:variant>
        <vt:i4>0</vt:i4>
      </vt:variant>
      <vt:variant>
        <vt:i4>5</vt:i4>
      </vt:variant>
      <vt:variant>
        <vt:lpwstr>http://www.revistasculturales.com/xrevistas/PDF/13/1480.pdf</vt:lpwstr>
      </vt:variant>
      <vt:variant>
        <vt:lpwstr/>
      </vt:variant>
      <vt:variant>
        <vt:i4>6881402</vt:i4>
      </vt:variant>
      <vt:variant>
        <vt:i4>557</vt:i4>
      </vt:variant>
      <vt:variant>
        <vt:i4>0</vt:i4>
      </vt:variant>
      <vt:variant>
        <vt:i4>5</vt:i4>
      </vt:variant>
      <vt:variant>
        <vt:lpwstr>http://www.cidob.org/es/publicaciones/articulos/revista_cidob_d_afers_internacionals/la_economia_rusa_en_la_crisis_mundial_una_valoracion_de_la_etapa_medvedev</vt:lpwstr>
      </vt:variant>
      <vt:variant>
        <vt:lpwstr/>
      </vt:variant>
      <vt:variant>
        <vt:i4>1441814</vt:i4>
      </vt:variant>
      <vt:variant>
        <vt:i4>554</vt:i4>
      </vt:variant>
      <vt:variant>
        <vt:i4>0</vt:i4>
      </vt:variant>
      <vt:variant>
        <vt:i4>5</vt:i4>
      </vt:variant>
      <vt:variant>
        <vt:lpwstr>http://www.oecd.org/dataoecd/2/13/49417295.pdf?contentId=49417296</vt:lpwstr>
      </vt:variant>
      <vt:variant>
        <vt:lpwstr/>
      </vt:variant>
      <vt:variant>
        <vt:i4>1441814</vt:i4>
      </vt:variant>
      <vt:variant>
        <vt:i4>551</vt:i4>
      </vt:variant>
      <vt:variant>
        <vt:i4>0</vt:i4>
      </vt:variant>
      <vt:variant>
        <vt:i4>5</vt:i4>
      </vt:variant>
      <vt:variant>
        <vt:lpwstr>http://www.oecd.org/dataoecd/2/13/49417295.pdf?contentId=49417296</vt:lpwstr>
      </vt:variant>
      <vt:variant>
        <vt:lpwstr/>
      </vt:variant>
      <vt:variant>
        <vt:i4>1966111</vt:i4>
      </vt:variant>
      <vt:variant>
        <vt:i4>548</vt:i4>
      </vt:variant>
      <vt:variant>
        <vt:i4>0</vt:i4>
      </vt:variant>
      <vt:variant>
        <vt:i4>5</vt:i4>
      </vt:variant>
      <vt:variant>
        <vt:lpwstr>http://www.oecd.org/dataoecd/2/14/49417273.pdf?contentId=49417274</vt:lpwstr>
      </vt:variant>
      <vt:variant>
        <vt:lpwstr/>
      </vt:variant>
      <vt:variant>
        <vt:i4>1966111</vt:i4>
      </vt:variant>
      <vt:variant>
        <vt:i4>545</vt:i4>
      </vt:variant>
      <vt:variant>
        <vt:i4>0</vt:i4>
      </vt:variant>
      <vt:variant>
        <vt:i4>5</vt:i4>
      </vt:variant>
      <vt:variant>
        <vt:lpwstr>http://www.oecd.org/dataoecd/2/14/49417273.pdf?contentId=49417274</vt:lpwstr>
      </vt:variant>
      <vt:variant>
        <vt:lpwstr/>
      </vt:variant>
      <vt:variant>
        <vt:i4>2752555</vt:i4>
      </vt:variant>
      <vt:variant>
        <vt:i4>542</vt:i4>
      </vt:variant>
      <vt:variant>
        <vt:i4>0</vt:i4>
      </vt:variant>
      <vt:variant>
        <vt:i4>5</vt:i4>
      </vt:variant>
      <vt:variant>
        <vt:lpwstr>http://www.oecd.org/dataoecd/44/27/49421268.pdf?contentId=49421269</vt:lpwstr>
      </vt:variant>
      <vt:variant>
        <vt:lpwstr/>
      </vt:variant>
      <vt:variant>
        <vt:i4>2752555</vt:i4>
      </vt:variant>
      <vt:variant>
        <vt:i4>539</vt:i4>
      </vt:variant>
      <vt:variant>
        <vt:i4>0</vt:i4>
      </vt:variant>
      <vt:variant>
        <vt:i4>5</vt:i4>
      </vt:variant>
      <vt:variant>
        <vt:lpwstr>http://www.oecd.org/dataoecd/44/27/49421268.pdf?contentId=49421269</vt:lpwstr>
      </vt:variant>
      <vt:variant>
        <vt:lpwstr/>
      </vt:variant>
      <vt:variant>
        <vt:i4>2228256</vt:i4>
      </vt:variant>
      <vt:variant>
        <vt:i4>536</vt:i4>
      </vt:variant>
      <vt:variant>
        <vt:i4>0</vt:i4>
      </vt:variant>
      <vt:variant>
        <vt:i4>5</vt:i4>
      </vt:variant>
      <vt:variant>
        <vt:lpwstr>http://www.oecd.org/dataoecd/44/26/49421421.pdf?contentId=49421422</vt:lpwstr>
      </vt:variant>
      <vt:variant>
        <vt:lpwstr/>
      </vt:variant>
      <vt:variant>
        <vt:i4>7798867</vt:i4>
      </vt:variant>
      <vt:variant>
        <vt:i4>533</vt:i4>
      </vt:variant>
      <vt:variant>
        <vt:i4>0</vt:i4>
      </vt:variant>
      <vt:variant>
        <vt:i4>5</vt:i4>
      </vt:variant>
      <vt:variant>
        <vt:lpwstr>http://www.oecd.org/document/36/0,3746,en_2649_34113_49334372_1_1_1_1,00.html</vt:lpwstr>
      </vt:variant>
      <vt:variant>
        <vt:lpwstr/>
      </vt:variant>
      <vt:variant>
        <vt:i4>721004</vt:i4>
      </vt:variant>
      <vt:variant>
        <vt:i4>530</vt:i4>
      </vt:variant>
      <vt:variant>
        <vt:i4>0</vt:i4>
      </vt:variant>
      <vt:variant>
        <vt:i4>5</vt:i4>
      </vt:variant>
      <vt:variant>
        <vt:lpwstr>http://www.oecd.org/document/39/0,3746,es_36288966_36288553_49448167_1_1_1_1,00.html</vt:lpwstr>
      </vt:variant>
      <vt:variant>
        <vt:lpwstr/>
      </vt:variant>
      <vt:variant>
        <vt:i4>5505067</vt:i4>
      </vt:variant>
      <vt:variant>
        <vt:i4>527</vt:i4>
      </vt:variant>
      <vt:variant>
        <vt:i4>0</vt:i4>
      </vt:variant>
      <vt:variant>
        <vt:i4>5</vt:i4>
      </vt:variant>
      <vt:variant>
        <vt:lpwstr>http://www.brookings.edu/reports/2012/0118_global_metro_monitor.aspx</vt:lpwstr>
      </vt:variant>
      <vt:variant>
        <vt:lpwstr/>
      </vt:variant>
      <vt:variant>
        <vt:i4>3604512</vt:i4>
      </vt:variant>
      <vt:variant>
        <vt:i4>524</vt:i4>
      </vt:variant>
      <vt:variant>
        <vt:i4>0</vt:i4>
      </vt:variant>
      <vt:variant>
        <vt:i4>5</vt:i4>
      </vt:variant>
      <vt:variant>
        <vt:lpwstr>http://www.brookings.edu/~/media/Files/rc/reports/2012/0118_global_metro_monitor/0118_global_metro_monitor.pdf</vt:lpwstr>
      </vt:variant>
      <vt:variant>
        <vt:lpwstr/>
      </vt:variant>
      <vt:variant>
        <vt:i4>1572917</vt:i4>
      </vt:variant>
      <vt:variant>
        <vt:i4>521</vt:i4>
      </vt:variant>
      <vt:variant>
        <vt:i4>0</vt:i4>
      </vt:variant>
      <vt:variant>
        <vt:i4>5</vt:i4>
      </vt:variant>
      <vt:variant>
        <vt:lpwstr>http://www.brookings.edu/~/media/Files/rc/reports/2012/0118_global_metro_monitor/0118_global_metro_monitor_sp.pdf</vt:lpwstr>
      </vt:variant>
      <vt:variant>
        <vt:lpwstr/>
      </vt:variant>
      <vt:variant>
        <vt:i4>4784214</vt:i4>
      </vt:variant>
      <vt:variant>
        <vt:i4>518</vt:i4>
      </vt:variant>
      <vt:variant>
        <vt:i4>0</vt:i4>
      </vt:variant>
      <vt:variant>
        <vt:i4>5</vt:i4>
      </vt:variant>
      <vt:variant>
        <vt:lpwstr>http://www.project-syndicate.org/commentary/zuma1/Spanish</vt:lpwstr>
      </vt:variant>
      <vt:variant>
        <vt:lpwstr/>
      </vt:variant>
      <vt:variant>
        <vt:i4>4390939</vt:i4>
      </vt:variant>
      <vt:variant>
        <vt:i4>515</vt:i4>
      </vt:variant>
      <vt:variant>
        <vt:i4>0</vt:i4>
      </vt:variant>
      <vt:variant>
        <vt:i4>5</vt:i4>
      </vt:variant>
      <vt:variant>
        <vt:lpwstr>http://www.presidencia.gob.mx/2012/02/encuentro-con-los-sherpas-del-g20/</vt:lpwstr>
      </vt:variant>
      <vt:variant>
        <vt:lpwstr/>
      </vt:variant>
      <vt:variant>
        <vt:i4>3473447</vt:i4>
      </vt:variant>
      <vt:variant>
        <vt:i4>512</vt:i4>
      </vt:variant>
      <vt:variant>
        <vt:i4>0</vt:i4>
      </vt:variant>
      <vt:variant>
        <vt:i4>5</vt:i4>
      </vt:variant>
      <vt:variant>
        <vt:lpwstr>http://www.presidencia.gob.mx/index.php?p=75088</vt:lpwstr>
      </vt:variant>
      <vt:variant>
        <vt:lpwstr/>
      </vt:variant>
      <vt:variant>
        <vt:i4>3473446</vt:i4>
      </vt:variant>
      <vt:variant>
        <vt:i4>509</vt:i4>
      </vt:variant>
      <vt:variant>
        <vt:i4>0</vt:i4>
      </vt:variant>
      <vt:variant>
        <vt:i4>5</vt:i4>
      </vt:variant>
      <vt:variant>
        <vt:lpwstr>http://www.presidencia.gob.mx/index.php?p=75184</vt:lpwstr>
      </vt:variant>
      <vt:variant>
        <vt:lpwstr/>
      </vt:variant>
      <vt:variant>
        <vt:i4>3473446</vt:i4>
      </vt:variant>
      <vt:variant>
        <vt:i4>506</vt:i4>
      </vt:variant>
      <vt:variant>
        <vt:i4>0</vt:i4>
      </vt:variant>
      <vt:variant>
        <vt:i4>5</vt:i4>
      </vt:variant>
      <vt:variant>
        <vt:lpwstr>http://www.presidencia.gob.mx/index.php?p=75185</vt:lpwstr>
      </vt:variant>
      <vt:variant>
        <vt:lpwstr/>
      </vt:variant>
      <vt:variant>
        <vt:i4>2228258</vt:i4>
      </vt:variant>
      <vt:variant>
        <vt:i4>503</vt:i4>
      </vt:variant>
      <vt:variant>
        <vt:i4>0</vt:i4>
      </vt:variant>
      <vt:variant>
        <vt:i4>5</vt:i4>
      </vt:variant>
      <vt:variant>
        <vt:lpwstr>http://www.presidencia.gob.mx/2012/01/se-reune-el-presidente-felipe-calderon-hinojosa-con-bill-gates-2/</vt:lpwstr>
      </vt:variant>
      <vt:variant>
        <vt:lpwstr/>
      </vt:variant>
      <vt:variant>
        <vt:i4>3473446</vt:i4>
      </vt:variant>
      <vt:variant>
        <vt:i4>500</vt:i4>
      </vt:variant>
      <vt:variant>
        <vt:i4>0</vt:i4>
      </vt:variant>
      <vt:variant>
        <vt:i4>5</vt:i4>
      </vt:variant>
      <vt:variant>
        <vt:lpwstr>http://www.presidencia.gob.mx/index.php?p=75184</vt:lpwstr>
      </vt:variant>
      <vt:variant>
        <vt:lpwstr/>
      </vt:variant>
      <vt:variant>
        <vt:i4>1441803</vt:i4>
      </vt:variant>
      <vt:variant>
        <vt:i4>497</vt:i4>
      </vt:variant>
      <vt:variant>
        <vt:i4>0</vt:i4>
      </vt:variant>
      <vt:variant>
        <vt:i4>5</vt:i4>
      </vt:variant>
      <vt:variant>
        <vt:lpwstr>http://www.presidencia.gob.mx/2012/01/premio-al-estadista-global/</vt:lpwstr>
      </vt:variant>
      <vt:variant>
        <vt:lpwstr/>
      </vt:variant>
      <vt:variant>
        <vt:i4>3473518</vt:i4>
      </vt:variant>
      <vt:variant>
        <vt:i4>494</vt:i4>
      </vt:variant>
      <vt:variant>
        <vt:i4>0</vt:i4>
      </vt:variant>
      <vt:variant>
        <vt:i4>5</vt:i4>
      </vt:variant>
      <vt:variant>
        <vt:lpwstr>http://presidencia.gob.mx/multimedia/infografias/?Info=503</vt:lpwstr>
      </vt:variant>
      <vt:variant>
        <vt:lpwstr/>
      </vt:variant>
      <vt:variant>
        <vt:i4>2621472</vt:i4>
      </vt:variant>
      <vt:variant>
        <vt:i4>491</vt:i4>
      </vt:variant>
      <vt:variant>
        <vt:i4>0</vt:i4>
      </vt:variant>
      <vt:variant>
        <vt:i4>5</vt:i4>
      </vt:variant>
      <vt:variant>
        <vt:lpwstr>http://www.project-syndicate.org/commentary/tyson2/Spanish</vt:lpwstr>
      </vt:variant>
      <vt:variant>
        <vt:lpwstr/>
      </vt:variant>
      <vt:variant>
        <vt:i4>7471151</vt:i4>
      </vt:variant>
      <vt:variant>
        <vt:i4>488</vt:i4>
      </vt:variant>
      <vt:variant>
        <vt:i4>0</vt:i4>
      </vt:variant>
      <vt:variant>
        <vt:i4>5</vt:i4>
      </vt:variant>
      <vt:variant>
        <vt:lpwstr>http://www.federalreserve.gov/monetarypolicy/files/fomcprojtabl20120125.pdf</vt:lpwstr>
      </vt:variant>
      <vt:variant>
        <vt:lpwstr/>
      </vt:variant>
      <vt:variant>
        <vt:i4>4325442</vt:i4>
      </vt:variant>
      <vt:variant>
        <vt:i4>485</vt:i4>
      </vt:variant>
      <vt:variant>
        <vt:i4>0</vt:i4>
      </vt:variant>
      <vt:variant>
        <vt:i4>5</vt:i4>
      </vt:variant>
      <vt:variant>
        <vt:lpwstr>http://www.federalreserve.gov/newsevents/press/monetary/20120125c.htm</vt:lpwstr>
      </vt:variant>
      <vt:variant>
        <vt:lpwstr/>
      </vt:variant>
      <vt:variant>
        <vt:i4>2687019</vt:i4>
      </vt:variant>
      <vt:variant>
        <vt:i4>482</vt:i4>
      </vt:variant>
      <vt:variant>
        <vt:i4>0</vt:i4>
      </vt:variant>
      <vt:variant>
        <vt:i4>5</vt:i4>
      </vt:variant>
      <vt:variant>
        <vt:lpwstr>http://www.project-syndicate.org/commentary/blejer9/Spanish</vt:lpwstr>
      </vt:variant>
      <vt:variant>
        <vt:lpwstr/>
      </vt:variant>
      <vt:variant>
        <vt:i4>262166</vt:i4>
      </vt:variant>
      <vt:variant>
        <vt:i4>479</vt:i4>
      </vt:variant>
      <vt:variant>
        <vt:i4>0</vt:i4>
      </vt:variant>
      <vt:variant>
        <vt:i4>5</vt:i4>
      </vt:variant>
      <vt:variant>
        <vt:lpwstr>http://www.elmundo.es/elmundo/2012/02/07/economia/1328585667.html</vt:lpwstr>
      </vt:variant>
      <vt:variant>
        <vt:lpwstr/>
      </vt:variant>
      <vt:variant>
        <vt:i4>7667812</vt:i4>
      </vt:variant>
      <vt:variant>
        <vt:i4>476</vt:i4>
      </vt:variant>
      <vt:variant>
        <vt:i4>0</vt:i4>
      </vt:variant>
      <vt:variant>
        <vt:i4>5</vt:i4>
      </vt:variant>
      <vt:variant>
        <vt:lpwstr>http://web.worldbank.org/WBSITE/EXTERNAL/NEWS/0,,contentMDK:23095597~pagePK:64257043~piPK:437376~theSitePK:4607,00.html</vt:lpwstr>
      </vt:variant>
      <vt:variant>
        <vt:lpwstr/>
      </vt:variant>
      <vt:variant>
        <vt:i4>3473512</vt:i4>
      </vt:variant>
      <vt:variant>
        <vt:i4>473</vt:i4>
      </vt:variant>
      <vt:variant>
        <vt:i4>0</vt:i4>
      </vt:variant>
      <vt:variant>
        <vt:i4>5</vt:i4>
      </vt:variant>
      <vt:variant>
        <vt:lpwstr>http://web.worldbank.org/WBSITE/EXTERNAL/BANCOMUNDIAL/NEWSSPANISH/0,,menuPK:1074627~pagePK:64001221~piPK:51189762~theSitePK:1074568,00.html</vt:lpwstr>
      </vt:variant>
      <vt:variant>
        <vt:lpwstr/>
      </vt:variant>
      <vt:variant>
        <vt:i4>2162695</vt:i4>
      </vt:variant>
      <vt:variant>
        <vt:i4>470</vt:i4>
      </vt:variant>
      <vt:variant>
        <vt:i4>0</vt:i4>
      </vt:variant>
      <vt:variant>
        <vt:i4>5</vt:i4>
      </vt:variant>
      <vt:variant>
        <vt:lpwstr>http://web.worldbank.org/WBSITE/EXTERNAL/BANCOMUNDIAL/NEWSSPANISH/0,,contentMDK:23095807~pagePK:64257043~piPK:437376~theSitePK:1074568,00.html?cid=EXT_BoletinES_W_EXT</vt:lpwstr>
      </vt:variant>
      <vt:variant>
        <vt:lpwstr/>
      </vt:variant>
      <vt:variant>
        <vt:i4>131098</vt:i4>
      </vt:variant>
      <vt:variant>
        <vt:i4>467</vt:i4>
      </vt:variant>
      <vt:variant>
        <vt:i4>0</vt:i4>
      </vt:variant>
      <vt:variant>
        <vt:i4>5</vt:i4>
      </vt:variant>
      <vt:variant>
        <vt:lpwstr>http://web.worldbank.org/WBSITE/EXTERNAL/BANCOMUNDIAL/NEWSSPANISH/0,,contentMDK:23096564~menuPK:1074627~pagePK:34370~piPK:34424~theSitePK:1074568,00.html</vt:lpwstr>
      </vt:variant>
      <vt:variant>
        <vt:lpwstr/>
      </vt:variant>
      <vt:variant>
        <vt:i4>65628</vt:i4>
      </vt:variant>
      <vt:variant>
        <vt:i4>464</vt:i4>
      </vt:variant>
      <vt:variant>
        <vt:i4>0</vt:i4>
      </vt:variant>
      <vt:variant>
        <vt:i4>5</vt:i4>
      </vt:variant>
      <vt:variant>
        <vt:lpwstr>http://blog-dialogoafondo.org/?p=1606</vt:lpwstr>
      </vt:variant>
      <vt:variant>
        <vt:lpwstr/>
      </vt:variant>
      <vt:variant>
        <vt:i4>5832752</vt:i4>
      </vt:variant>
      <vt:variant>
        <vt:i4>461</vt:i4>
      </vt:variant>
      <vt:variant>
        <vt:i4>0</vt:i4>
      </vt:variant>
      <vt:variant>
        <vt:i4>5</vt:i4>
      </vt:variant>
      <vt:variant>
        <vt:lpwstr>http://blog-dialogoafondo.org/?page_id=376</vt:lpwstr>
      </vt:variant>
      <vt:variant>
        <vt:lpwstr/>
      </vt:variant>
      <vt:variant>
        <vt:i4>1703943</vt:i4>
      </vt:variant>
      <vt:variant>
        <vt:i4>458</vt:i4>
      </vt:variant>
      <vt:variant>
        <vt:i4>0</vt:i4>
      </vt:variant>
      <vt:variant>
        <vt:i4>5</vt:i4>
      </vt:variant>
      <vt:variant>
        <vt:lpwstr>http://www.imf.org/external/spanish/pubs/ft/fmu/2012/01/0112s.pdf</vt:lpwstr>
      </vt:variant>
      <vt:variant>
        <vt:lpwstr/>
      </vt:variant>
      <vt:variant>
        <vt:i4>4915275</vt:i4>
      </vt:variant>
      <vt:variant>
        <vt:i4>455</vt:i4>
      </vt:variant>
      <vt:variant>
        <vt:i4>0</vt:i4>
      </vt:variant>
      <vt:variant>
        <vt:i4>5</vt:i4>
      </vt:variant>
      <vt:variant>
        <vt:lpwstr>http://www.imf.org/external/spanish/np/speeches/2012/012312s.htm</vt:lpwstr>
      </vt:variant>
      <vt:variant>
        <vt:lpwstr/>
      </vt:variant>
      <vt:variant>
        <vt:i4>1114132</vt:i4>
      </vt:variant>
      <vt:variant>
        <vt:i4>452</vt:i4>
      </vt:variant>
      <vt:variant>
        <vt:i4>0</vt:i4>
      </vt:variant>
      <vt:variant>
        <vt:i4>5</vt:i4>
      </vt:variant>
      <vt:variant>
        <vt:lpwstr>http://www.opec.org/opec_web/en/data_graphs/40.htm?selectedTab=daily</vt:lpwstr>
      </vt:variant>
      <vt:variant>
        <vt:lpwstr/>
      </vt:variant>
      <vt:variant>
        <vt:i4>4849680</vt:i4>
      </vt:variant>
      <vt:variant>
        <vt:i4>449</vt:i4>
      </vt:variant>
      <vt:variant>
        <vt:i4>0</vt:i4>
      </vt:variant>
      <vt:variant>
        <vt:i4>5</vt:i4>
      </vt:variant>
      <vt:variant>
        <vt:lpwstr>http://www.shcp.gob.mx/SALAPRENSA/doc_informe_petroleo/2012/02-08-12.pdf</vt:lpwstr>
      </vt:variant>
      <vt:variant>
        <vt:lpwstr/>
      </vt:variant>
      <vt:variant>
        <vt:i4>6684778</vt:i4>
      </vt:variant>
      <vt:variant>
        <vt:i4>446</vt:i4>
      </vt:variant>
      <vt:variant>
        <vt:i4>0</vt:i4>
      </vt:variant>
      <vt:variant>
        <vt:i4>5</vt:i4>
      </vt:variant>
      <vt:variant>
        <vt:lpwstr>http://www.pemex.com/index.cfm?action=news&amp;sectionid=8&amp;catid=40&amp;contentid=26014</vt:lpwstr>
      </vt:variant>
      <vt:variant>
        <vt:lpwstr/>
      </vt:variant>
      <vt:variant>
        <vt:i4>7077987</vt:i4>
      </vt:variant>
      <vt:variant>
        <vt:i4>443</vt:i4>
      </vt:variant>
      <vt:variant>
        <vt:i4>0</vt:i4>
      </vt:variant>
      <vt:variant>
        <vt:i4>5</vt:i4>
      </vt:variant>
      <vt:variant>
        <vt:lpwstr>http://www.pemex.com/index.cfm?action=news&amp;sectionid=8&amp;catid=40&amp;contentid=25986</vt:lpwstr>
      </vt:variant>
      <vt:variant>
        <vt:lpwstr/>
      </vt:variant>
      <vt:variant>
        <vt:i4>5767223</vt:i4>
      </vt:variant>
      <vt:variant>
        <vt:i4>440</vt:i4>
      </vt:variant>
      <vt:variant>
        <vt:i4>0</vt:i4>
      </vt:variant>
      <vt:variant>
        <vt:i4>5</vt:i4>
      </vt:variant>
      <vt:variant>
        <vt:lpwstr>http://www.ri.pemex.com/files/dcpe/petro/evolexporta_esp.pdf</vt:lpwstr>
      </vt:variant>
      <vt:variant>
        <vt:lpwstr/>
      </vt:variant>
      <vt:variant>
        <vt:i4>4587561</vt:i4>
      </vt:variant>
      <vt:variant>
        <vt:i4>437</vt:i4>
      </vt:variant>
      <vt:variant>
        <vt:i4>0</vt:i4>
      </vt:variant>
      <vt:variant>
        <vt:i4>5</vt:i4>
      </vt:variant>
      <vt:variant>
        <vt:lpwstr>http://www.ri.pemex.com/files/dcpe/petro/epreciopromedio_esp.xls</vt:lpwstr>
      </vt:variant>
      <vt:variant>
        <vt:lpwstr/>
      </vt:variant>
      <vt:variant>
        <vt:i4>5308483</vt:i4>
      </vt:variant>
      <vt:variant>
        <vt:i4>434</vt:i4>
      </vt:variant>
      <vt:variant>
        <vt:i4>0</vt:i4>
      </vt:variant>
      <vt:variant>
        <vt:i4>5</vt:i4>
      </vt:variant>
      <vt:variant>
        <vt:lpwstr>http://www.sener.gob.mx/webSener/portal/Default.aspx?id=1518</vt:lpwstr>
      </vt:variant>
      <vt:variant>
        <vt:lpwstr/>
      </vt:variant>
      <vt:variant>
        <vt:i4>6488163</vt:i4>
      </vt:variant>
      <vt:variant>
        <vt:i4>431</vt:i4>
      </vt:variant>
      <vt:variant>
        <vt:i4>0</vt:i4>
      </vt:variant>
      <vt:variant>
        <vt:i4>5</vt:i4>
      </vt:variant>
      <vt:variant>
        <vt:lpwstr>http://www.pemex.com/index.cfm?action=news&amp;sectionid=8&amp;catid=40&amp;contentid=25977</vt:lpwstr>
      </vt:variant>
      <vt:variant>
        <vt:lpwstr/>
      </vt:variant>
      <vt:variant>
        <vt:i4>4587561</vt:i4>
      </vt:variant>
      <vt:variant>
        <vt:i4>428</vt:i4>
      </vt:variant>
      <vt:variant>
        <vt:i4>0</vt:i4>
      </vt:variant>
      <vt:variant>
        <vt:i4>5</vt:i4>
      </vt:variant>
      <vt:variant>
        <vt:lpwstr>http://www.ri.pemex.com/files/dcpe/petro/epreciopromedio_esp.xls</vt:lpwstr>
      </vt:variant>
      <vt:variant>
        <vt:lpwstr/>
      </vt:variant>
      <vt:variant>
        <vt:i4>2359373</vt:i4>
      </vt:variant>
      <vt:variant>
        <vt:i4>425</vt:i4>
      </vt:variant>
      <vt:variant>
        <vt:i4>0</vt:i4>
      </vt:variant>
      <vt:variant>
        <vt:i4>5</vt:i4>
      </vt:variant>
      <vt:variant>
        <vt:lpwstr>http://www.ri.pemex.com/files/dcpe/petro/evalorexporta_esp.xls</vt:lpwstr>
      </vt:variant>
      <vt:variant>
        <vt:lpwstr/>
      </vt:variant>
      <vt:variant>
        <vt:i4>3735672</vt:i4>
      </vt:variant>
      <vt:variant>
        <vt:i4>422</vt:i4>
      </vt:variant>
      <vt:variant>
        <vt:i4>0</vt:i4>
      </vt:variant>
      <vt:variant>
        <vt:i4>5</vt:i4>
      </vt:variant>
      <vt:variant>
        <vt:lpwstr>http://web.worldbank.org/WBSITE/EXTERNAL/BANCOMUNDIAL/NEWSSPANISH/0,,contentMDK:23103981~menuPK:51191012~pagePK:34370~piPK:34424~theSitePK:1074568,00.html</vt:lpwstr>
      </vt:variant>
      <vt:variant>
        <vt:lpwstr/>
      </vt:variant>
      <vt:variant>
        <vt:i4>5242975</vt:i4>
      </vt:variant>
      <vt:variant>
        <vt:i4>419</vt:i4>
      </vt:variant>
      <vt:variant>
        <vt:i4>0</vt:i4>
      </vt:variant>
      <vt:variant>
        <vt:i4>5</vt:i4>
      </vt:variant>
      <vt:variant>
        <vt:lpwstr>http://web.worldbank.org/WBSITE/EXTERNAL/BANCOMUNDIAL/NEWSSPANISH/www.enviacentroamerica.org</vt:lpwstr>
      </vt:variant>
      <vt:variant>
        <vt:lpwstr/>
      </vt:variant>
      <vt:variant>
        <vt:i4>7471137</vt:i4>
      </vt:variant>
      <vt:variant>
        <vt:i4>416</vt:i4>
      </vt:variant>
      <vt:variant>
        <vt:i4>0</vt:i4>
      </vt:variant>
      <vt:variant>
        <vt:i4>5</vt:i4>
      </vt:variant>
      <vt:variant>
        <vt:lpwstr>http://www.cemla.org/pdf/DT-ComportamientRemesasMexico.pdf</vt:lpwstr>
      </vt:variant>
      <vt:variant>
        <vt:lpwstr/>
      </vt:variant>
      <vt:variant>
        <vt:i4>8061036</vt:i4>
      </vt:variant>
      <vt:variant>
        <vt:i4>413</vt:i4>
      </vt:variant>
      <vt:variant>
        <vt:i4>0</vt:i4>
      </vt:variant>
      <vt:variant>
        <vt:i4>5</vt:i4>
      </vt:variant>
      <vt:variant>
        <vt:lpwstr>http://www.banxico.org.mx/SieInternet/consultarDirectorioInternetAction.do?accion=consultarCuadro&amp;idCuadro=CE81&amp;sector=1&amp;locale=es</vt:lpwstr>
      </vt:variant>
      <vt:variant>
        <vt:lpwstr/>
      </vt:variant>
      <vt:variant>
        <vt:i4>3407911</vt:i4>
      </vt:variant>
      <vt:variant>
        <vt:i4>410</vt:i4>
      </vt:variant>
      <vt:variant>
        <vt:i4>0</vt:i4>
      </vt:variant>
      <vt:variant>
        <vt:i4>5</vt:i4>
      </vt:variant>
      <vt:variant>
        <vt:lpwstr>http://www.banxico.org.mx/SieInternet/consultarDirectorioInternetAction.do?accion=consultarCuadroAnalitico&amp;idCuadro=CA11&amp;sector=1&amp;locale=es</vt:lpwstr>
      </vt:variant>
      <vt:variant>
        <vt:lpwstr/>
      </vt:variant>
      <vt:variant>
        <vt:i4>655428</vt:i4>
      </vt:variant>
      <vt:variant>
        <vt:i4>407</vt:i4>
      </vt:variant>
      <vt:variant>
        <vt:i4>0</vt:i4>
      </vt:variant>
      <vt:variant>
        <vt:i4>5</vt:i4>
      </vt:variant>
      <vt:variant>
        <vt:lpwstr>http://www.sectur.gob.mx/es/sectur/Boletin_15_</vt:lpwstr>
      </vt:variant>
      <vt:variant>
        <vt:lpwstr/>
      </vt:variant>
      <vt:variant>
        <vt:i4>655429</vt:i4>
      </vt:variant>
      <vt:variant>
        <vt:i4>404</vt:i4>
      </vt:variant>
      <vt:variant>
        <vt:i4>0</vt:i4>
      </vt:variant>
      <vt:variant>
        <vt:i4>5</vt:i4>
      </vt:variant>
      <vt:variant>
        <vt:lpwstr>http://www.sectur.gob.mx/es/sectur/Boletin_14_</vt:lpwstr>
      </vt:variant>
      <vt:variant>
        <vt:lpwstr/>
      </vt:variant>
      <vt:variant>
        <vt:i4>3473447</vt:i4>
      </vt:variant>
      <vt:variant>
        <vt:i4>401</vt:i4>
      </vt:variant>
      <vt:variant>
        <vt:i4>0</vt:i4>
      </vt:variant>
      <vt:variant>
        <vt:i4>5</vt:i4>
      </vt:variant>
      <vt:variant>
        <vt:lpwstr>http://www.banxico.org.mx/SieInternet/consultarDirectorioInternetAction.do?accion=consultarCuadroAnalitico&amp;idCuadro=CA10&amp;sector=1&amp;locale=es</vt:lpwstr>
      </vt:variant>
      <vt:variant>
        <vt:lpwstr/>
      </vt:variant>
      <vt:variant>
        <vt:i4>3539055</vt:i4>
      </vt:variant>
      <vt:variant>
        <vt:i4>398</vt:i4>
      </vt:variant>
      <vt:variant>
        <vt:i4>0</vt:i4>
      </vt:variant>
      <vt:variant>
        <vt:i4>5</vt:i4>
      </vt:variant>
      <vt:variant>
        <vt:lpwstr>http://www.banxico.org.mx/SieInternet/consultarDirectorioInternetAction.do?accion=consultarCuadroAnalitico&amp;idCuadro=CA9&amp;sector=1&amp;locale=es</vt:lpwstr>
      </vt:variant>
      <vt:variant>
        <vt:lpwstr/>
      </vt:variant>
      <vt:variant>
        <vt:i4>4325467</vt:i4>
      </vt:variant>
      <vt:variant>
        <vt:i4>395</vt:i4>
      </vt:variant>
      <vt:variant>
        <vt:i4>0</vt:i4>
      </vt:variant>
      <vt:variant>
        <vt:i4>5</vt:i4>
      </vt:variant>
      <vt:variant>
        <vt:lpwstr>http://dgcnesyp.inegi.org.mx/cgi-win/bdieintsi.exe/NIVR550330</vt:lpwstr>
      </vt:variant>
      <vt:variant>
        <vt:lpwstr>ARBOL</vt:lpwstr>
      </vt:variant>
      <vt:variant>
        <vt:i4>6750256</vt:i4>
      </vt:variant>
      <vt:variant>
        <vt:i4>392</vt:i4>
      </vt:variant>
      <vt:variant>
        <vt:i4>0</vt:i4>
      </vt:variant>
      <vt:variant>
        <vt:i4>5</vt:i4>
      </vt:variant>
      <vt:variant>
        <vt:lpwstr>http://www.sagarpa.gob.mx/saladeprensa/boletines2/paginas/2012B079.aspx</vt:lpwstr>
      </vt:variant>
      <vt:variant>
        <vt:lpwstr/>
      </vt:variant>
      <vt:variant>
        <vt:i4>4653147</vt:i4>
      </vt:variant>
      <vt:variant>
        <vt:i4>389</vt:i4>
      </vt:variant>
      <vt:variant>
        <vt:i4>0</vt:i4>
      </vt:variant>
      <vt:variant>
        <vt:i4>5</vt:i4>
      </vt:variant>
      <vt:variant>
        <vt:lpwstr>http://dgcnesyp.inegi.org.mx/cgi-win/bdieintsi.exe/NIVR5503300050</vt:lpwstr>
      </vt:variant>
      <vt:variant>
        <vt:lpwstr>ARBOL</vt:lpwstr>
      </vt:variant>
      <vt:variant>
        <vt:i4>3538995</vt:i4>
      </vt:variant>
      <vt:variant>
        <vt:i4>386</vt:i4>
      </vt:variant>
      <vt:variant>
        <vt:i4>0</vt:i4>
      </vt:variant>
      <vt:variant>
        <vt:i4>5</vt:i4>
      </vt:variant>
      <vt:variant>
        <vt:lpwstr>http://www.economia.gob.mx/eventos-noticias/sala-de-prensa/informacion-relevante/7303-boletin032-12</vt:lpwstr>
      </vt:variant>
      <vt:variant>
        <vt:lpwstr/>
      </vt:variant>
      <vt:variant>
        <vt:i4>8060953</vt:i4>
      </vt:variant>
      <vt:variant>
        <vt:i4>383</vt:i4>
      </vt:variant>
      <vt:variant>
        <vt:i4>0</vt:i4>
      </vt:variant>
      <vt:variant>
        <vt:i4>5</vt:i4>
      </vt:variant>
      <vt:variant>
        <vt:lpwstr>http://www.wto.org/spanish/news_s/news12_s/394_395_398abr_s.htm</vt:lpwstr>
      </vt:variant>
      <vt:variant>
        <vt:lpwstr/>
      </vt:variant>
      <vt:variant>
        <vt:i4>4325467</vt:i4>
      </vt:variant>
      <vt:variant>
        <vt:i4>380</vt:i4>
      </vt:variant>
      <vt:variant>
        <vt:i4>0</vt:i4>
      </vt:variant>
      <vt:variant>
        <vt:i4>5</vt:i4>
      </vt:variant>
      <vt:variant>
        <vt:lpwstr>http://dgcnesyp.inegi.org.mx/cgi-win/bdieintsi.exe/NIVR550330</vt:lpwstr>
      </vt:variant>
      <vt:variant>
        <vt:lpwstr>ARBOL</vt:lpwstr>
      </vt:variant>
      <vt:variant>
        <vt:i4>3473460</vt:i4>
      </vt:variant>
      <vt:variant>
        <vt:i4>377</vt:i4>
      </vt:variant>
      <vt:variant>
        <vt:i4>0</vt:i4>
      </vt:variant>
      <vt:variant>
        <vt:i4>5</vt:i4>
      </vt:variant>
      <vt:variant>
        <vt:lpwstr>http://www.economia.gob.mx/eventos-noticias/sala-de-prensa/informacion-relevante/7284-boletin029-12</vt:lpwstr>
      </vt:variant>
      <vt:variant>
        <vt:lpwstr/>
      </vt:variant>
      <vt:variant>
        <vt:i4>8323134</vt:i4>
      </vt:variant>
      <vt:variant>
        <vt:i4>374</vt:i4>
      </vt:variant>
      <vt:variant>
        <vt:i4>0</vt:i4>
      </vt:variant>
      <vt:variant>
        <vt:i4>5</vt:i4>
      </vt:variant>
      <vt:variant>
        <vt:lpwstr>http://portal.salud.gob.mx/redirector?tipo=0&amp;n_seccion=Boletines&amp;seccion=2012-01-24_5570.html</vt:lpwstr>
      </vt:variant>
      <vt:variant>
        <vt:lpwstr/>
      </vt:variant>
      <vt:variant>
        <vt:i4>8257598</vt:i4>
      </vt:variant>
      <vt:variant>
        <vt:i4>371</vt:i4>
      </vt:variant>
      <vt:variant>
        <vt:i4>0</vt:i4>
      </vt:variant>
      <vt:variant>
        <vt:i4>5</vt:i4>
      </vt:variant>
      <vt:variant>
        <vt:lpwstr>http://portal.salud.gob.mx/redirector?tipo=0&amp;n_seccion=Boletines&amp;seccion=2012-01-24_5571.html</vt:lpwstr>
      </vt:variant>
      <vt:variant>
        <vt:lpwstr/>
      </vt:variant>
      <vt:variant>
        <vt:i4>8192062</vt:i4>
      </vt:variant>
      <vt:variant>
        <vt:i4>368</vt:i4>
      </vt:variant>
      <vt:variant>
        <vt:i4>0</vt:i4>
      </vt:variant>
      <vt:variant>
        <vt:i4>5</vt:i4>
      </vt:variant>
      <vt:variant>
        <vt:lpwstr>http://portal.salud.gob.mx/redirector?tipo=0&amp;n_seccion=Boletines&amp;seccion=2012-01-24_5572.html</vt:lpwstr>
      </vt:variant>
      <vt:variant>
        <vt:lpwstr/>
      </vt:variant>
      <vt:variant>
        <vt:i4>7798847</vt:i4>
      </vt:variant>
      <vt:variant>
        <vt:i4>365</vt:i4>
      </vt:variant>
      <vt:variant>
        <vt:i4>0</vt:i4>
      </vt:variant>
      <vt:variant>
        <vt:i4>5</vt:i4>
      </vt:variant>
      <vt:variant>
        <vt:lpwstr>http://portal.salud.gob.mx/redirector?tipo=0&amp;n_seccion=Boletines&amp;seccion=2012-01-24_5568.html</vt:lpwstr>
      </vt:variant>
      <vt:variant>
        <vt:lpwstr/>
      </vt:variant>
      <vt:variant>
        <vt:i4>4653147</vt:i4>
      </vt:variant>
      <vt:variant>
        <vt:i4>362</vt:i4>
      </vt:variant>
      <vt:variant>
        <vt:i4>0</vt:i4>
      </vt:variant>
      <vt:variant>
        <vt:i4>5</vt:i4>
      </vt:variant>
      <vt:variant>
        <vt:lpwstr>http://dgcnesyp.inegi.org.mx/cgi-win/bdieintsi.exe/NIVR5503300050</vt:lpwstr>
      </vt:variant>
      <vt:variant>
        <vt:lpwstr>ARBOL</vt:lpwstr>
      </vt:variant>
      <vt:variant>
        <vt:i4>3473456</vt:i4>
      </vt:variant>
      <vt:variant>
        <vt:i4>359</vt:i4>
      </vt:variant>
      <vt:variant>
        <vt:i4>0</vt:i4>
      </vt:variant>
      <vt:variant>
        <vt:i4>5</vt:i4>
      </vt:variant>
      <vt:variant>
        <vt:lpwstr>http://www.economia.gob.mx/eventos-noticias/sala-de-prensa/informacion-relevante/7260-boletin027-12</vt:lpwstr>
      </vt:variant>
      <vt:variant>
        <vt:lpwstr/>
      </vt:variant>
      <vt:variant>
        <vt:i4>7012414</vt:i4>
      </vt:variant>
      <vt:variant>
        <vt:i4>356</vt:i4>
      </vt:variant>
      <vt:variant>
        <vt:i4>0</vt:i4>
      </vt:variant>
      <vt:variant>
        <vt:i4>5</vt:i4>
      </vt:variant>
      <vt:variant>
        <vt:lpwstr>http://www.economia.gob.mx/eventos-noticias/sala-de-prensa/comunicados/7331-boletin-035-12</vt:lpwstr>
      </vt:variant>
      <vt:variant>
        <vt:lpwstr/>
      </vt:variant>
      <vt:variant>
        <vt:i4>983124</vt:i4>
      </vt:variant>
      <vt:variant>
        <vt:i4>353</vt:i4>
      </vt:variant>
      <vt:variant>
        <vt:i4>0</vt:i4>
      </vt:variant>
      <vt:variant>
        <vt:i4>5</vt:i4>
      </vt:variant>
      <vt:variant>
        <vt:lpwstr>http://www.wto.org/spanish/news_s/news12_s/ds381xapl_25jan12_s.htm</vt:lpwstr>
      </vt:variant>
      <vt:variant>
        <vt:lpwstr/>
      </vt:variant>
      <vt:variant>
        <vt:i4>1441794</vt:i4>
      </vt:variant>
      <vt:variant>
        <vt:i4>350</vt:i4>
      </vt:variant>
      <vt:variant>
        <vt:i4>0</vt:i4>
      </vt:variant>
      <vt:variant>
        <vt:i4>5</vt:i4>
      </vt:variant>
      <vt:variant>
        <vt:lpwstr>http://dof.gob.mx/index.php?year=2012&amp;month=01&amp;day=23</vt:lpwstr>
      </vt:variant>
      <vt:variant>
        <vt:lpwstr/>
      </vt:variant>
      <vt:variant>
        <vt:i4>2883586</vt:i4>
      </vt:variant>
      <vt:variant>
        <vt:i4>347</vt:i4>
      </vt:variant>
      <vt:variant>
        <vt:i4>0</vt:i4>
      </vt:variant>
      <vt:variant>
        <vt:i4>5</vt:i4>
      </vt:variant>
      <vt:variant>
        <vt:lpwstr>http://dof.gob.mx/nota_detalle.php?codigo=5230625&amp;fecha=23/01/2012</vt:lpwstr>
      </vt:variant>
      <vt:variant>
        <vt:lpwstr/>
      </vt:variant>
      <vt:variant>
        <vt:i4>5898263</vt:i4>
      </vt:variant>
      <vt:variant>
        <vt:i4>344</vt:i4>
      </vt:variant>
      <vt:variant>
        <vt:i4>0</vt:i4>
      </vt:variant>
      <vt:variant>
        <vt:i4>5</vt:i4>
      </vt:variant>
      <vt:variant>
        <vt:lpwstr>http://www.inegi.org.mx/inegi/contenidos/espanol/prensa/comunicados/balopbol.pdf</vt:lpwstr>
      </vt:variant>
      <vt:variant>
        <vt:lpwstr/>
      </vt:variant>
      <vt:variant>
        <vt:i4>589951</vt:i4>
      </vt:variant>
      <vt:variant>
        <vt:i4>323</vt:i4>
      </vt:variant>
      <vt:variant>
        <vt:i4>0</vt:i4>
      </vt:variant>
      <vt:variant>
        <vt:i4>5</vt:i4>
      </vt:variant>
      <vt:variant>
        <vt:lpwstr>http://www.banamex.com.mx/estudios_finanzas/finanzas/economia_internacional/riesgo_pais.htm</vt:lpwstr>
      </vt:variant>
      <vt:variant>
        <vt:lpwstr/>
      </vt:variant>
      <vt:variant>
        <vt:i4>1572936</vt:i4>
      </vt:variant>
      <vt:variant>
        <vt:i4>320</vt:i4>
      </vt:variant>
      <vt:variant>
        <vt:i4>0</vt:i4>
      </vt:variant>
      <vt:variant>
        <vt:i4>5</vt:i4>
      </vt:variant>
      <vt:variant>
        <vt:lpwstr>http://www.reforma.com/edicionimpresa/paginas/20120208/pdfs/rPRI20120208-012.pdf</vt:lpwstr>
      </vt:variant>
      <vt:variant>
        <vt:lpwstr/>
      </vt:variant>
      <vt:variant>
        <vt:i4>6225947</vt:i4>
      </vt:variant>
      <vt:variant>
        <vt:i4>317</vt:i4>
      </vt:variant>
      <vt:variant>
        <vt:i4>0</vt:i4>
      </vt:variant>
      <vt:variant>
        <vt:i4>5</vt:i4>
      </vt:variant>
      <vt:variant>
        <vt:lpwstr>http://www.banxico.org.mx/tipcamb/intInfHistAction.do</vt:lpwstr>
      </vt:variant>
      <vt:variant>
        <vt:lpwstr/>
      </vt:variant>
      <vt:variant>
        <vt:i4>458836</vt:i4>
      </vt:variant>
      <vt:variant>
        <vt:i4>314</vt:i4>
      </vt:variant>
      <vt:variant>
        <vt:i4>0</vt:i4>
      </vt:variant>
      <vt:variant>
        <vt:i4>5</vt:i4>
      </vt:variant>
      <vt:variant>
        <vt:lpwstr>http://www.banxico.org.mx/portal-mercado-cambiario/index.html</vt:lpwstr>
      </vt:variant>
      <vt:variant>
        <vt:lpwstr/>
      </vt:variant>
      <vt:variant>
        <vt:i4>8192035</vt:i4>
      </vt:variant>
      <vt:variant>
        <vt:i4>311</vt:i4>
      </vt:variant>
      <vt:variant>
        <vt:i4>0</vt:i4>
      </vt:variant>
      <vt:variant>
        <vt:i4>5</vt:i4>
      </vt:variant>
      <vt:variant>
        <vt:lpwstr>http://www.cnbv.gob.mx/Bursatil/BoletinesdePrensa/Prensa  Casas de Bolsa/02 de febrero de 2012.pdf</vt:lpwstr>
      </vt:variant>
      <vt:variant>
        <vt:lpwstr/>
      </vt:variant>
      <vt:variant>
        <vt:i4>7536682</vt:i4>
      </vt:variant>
      <vt:variant>
        <vt:i4>308</vt:i4>
      </vt:variant>
      <vt:variant>
        <vt:i4>0</vt:i4>
      </vt:variant>
      <vt:variant>
        <vt:i4>5</vt:i4>
      </vt:variant>
      <vt:variant>
        <vt:lpwstr>http://www.bmv.com.mx/</vt:lpwstr>
      </vt:variant>
      <vt:variant>
        <vt:lpwstr/>
      </vt:variant>
      <vt:variant>
        <vt:i4>5111897</vt:i4>
      </vt:variant>
      <vt:variant>
        <vt:i4>305</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302</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299</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296</vt:i4>
      </vt:variant>
      <vt:variant>
        <vt:i4>0</vt:i4>
      </vt:variant>
      <vt:variant>
        <vt:i4>5</vt:i4>
      </vt:variant>
      <vt:variant>
        <vt:lpwstr>http://www.banxico.org.mx/SieInternet/consultarDirectorioInternetAction.do?accion=consultarCuadro&amp;idCuadro=CF112&amp;sector=18&amp;locale=es</vt:lpwstr>
      </vt:variant>
      <vt:variant>
        <vt:lpwstr/>
      </vt:variant>
      <vt:variant>
        <vt:i4>8323108</vt:i4>
      </vt:variant>
      <vt:variant>
        <vt:i4>293</vt:i4>
      </vt:variant>
      <vt:variant>
        <vt:i4>0</vt:i4>
      </vt:variant>
      <vt:variant>
        <vt:i4>5</vt:i4>
      </vt:variant>
      <vt:variant>
        <vt:lpwstr>http://www.banxico.org.mx/polmoneinflacion/estadisticas/tasasInteres/tasasInteres.html</vt:lpwstr>
      </vt:variant>
      <vt:variant>
        <vt:lpwstr/>
      </vt:variant>
      <vt:variant>
        <vt:i4>4259931</vt:i4>
      </vt:variant>
      <vt:variant>
        <vt:i4>290</vt:i4>
      </vt:variant>
      <vt:variant>
        <vt:i4>0</vt:i4>
      </vt:variant>
      <vt:variant>
        <vt:i4>5</vt:i4>
      </vt:variant>
      <vt:variant>
        <vt:lpwstr>http://www.banxico.org.mx/SieInternet/consultarDirectorioInternetAction.do?accion=consultarCuadro&amp;idCuadro=CF107&amp;sector=22&amp;locale=es</vt:lpwstr>
      </vt:variant>
      <vt:variant>
        <vt:lpwstr/>
      </vt:variant>
      <vt:variant>
        <vt:i4>2424936</vt:i4>
      </vt:variant>
      <vt:variant>
        <vt:i4>287</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2424936</vt:i4>
      </vt:variant>
      <vt:variant>
        <vt:i4>284</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6553710</vt:i4>
      </vt:variant>
      <vt:variant>
        <vt:i4>281</vt:i4>
      </vt:variant>
      <vt:variant>
        <vt:i4>0</vt:i4>
      </vt:variant>
      <vt:variant>
        <vt:i4>5</vt:i4>
      </vt:variant>
      <vt:variant>
        <vt:lpwstr>http://www.banxico.org.mx/informacion-para-la-prensa/comunicados/banco-de-mexico/edo-cuenta-semanal/%7B1672B404-3026-7602-F0C2-163EEEF28E2C%7D.pdf</vt:lpwstr>
      </vt:variant>
      <vt:variant>
        <vt:lpwstr/>
      </vt:variant>
      <vt:variant>
        <vt:i4>6553648</vt:i4>
      </vt:variant>
      <vt:variant>
        <vt:i4>278</vt:i4>
      </vt:variant>
      <vt:variant>
        <vt:i4>0</vt:i4>
      </vt:variant>
      <vt:variant>
        <vt:i4>5</vt:i4>
      </vt:variant>
      <vt:variant>
        <vt:lpwstr>http://www.banxico.org.mx/informacion-para-la-prensa/comunicados/banco-de-mexico/edo-cuenta-semanal/%7BD6577E4E-910C-95B1-FBF4-A85FD43B6ED9%7D.pdf</vt:lpwstr>
      </vt:variant>
      <vt:variant>
        <vt:lpwstr/>
      </vt:variant>
      <vt:variant>
        <vt:i4>6553710</vt:i4>
      </vt:variant>
      <vt:variant>
        <vt:i4>275</vt:i4>
      </vt:variant>
      <vt:variant>
        <vt:i4>0</vt:i4>
      </vt:variant>
      <vt:variant>
        <vt:i4>5</vt:i4>
      </vt:variant>
      <vt:variant>
        <vt:lpwstr>http://www.banxico.org.mx/informacion-para-la-prensa/comunicados/banco-de-mexico/edo-cuenta-semanal/%7B1672B404-3026-7602-F0C2-163EEEF28E2C%7D.pdf</vt:lpwstr>
      </vt:variant>
      <vt:variant>
        <vt:lpwstr/>
      </vt:variant>
      <vt:variant>
        <vt:i4>3276887</vt:i4>
      </vt:variant>
      <vt:variant>
        <vt:i4>272</vt:i4>
      </vt:variant>
      <vt:variant>
        <vt:i4>0</vt:i4>
      </vt:variant>
      <vt:variant>
        <vt:i4>5</vt:i4>
      </vt:variant>
      <vt:variant>
        <vt:lpwstr>http://www.ipab.org.mx/03_finanzas/IHistoricoSubastasDisplay.asp</vt:lpwstr>
      </vt:variant>
      <vt:variant>
        <vt:lpwstr/>
      </vt:variant>
      <vt:variant>
        <vt:i4>852095</vt:i4>
      </vt:variant>
      <vt:variant>
        <vt:i4>269</vt:i4>
      </vt:variant>
      <vt:variant>
        <vt:i4>0</vt:i4>
      </vt:variant>
      <vt:variant>
        <vt:i4>5</vt:i4>
      </vt:variant>
      <vt:variant>
        <vt:lpwstr>http://www.ipab.org.mx/03_finanzas/InformeHistoricoSubastas.asp</vt:lpwstr>
      </vt:variant>
      <vt:variant>
        <vt:lpwstr/>
      </vt:variant>
      <vt:variant>
        <vt:i4>6094931</vt:i4>
      </vt:variant>
      <vt:variant>
        <vt:i4>266</vt:i4>
      </vt:variant>
      <vt:variant>
        <vt:i4>0</vt:i4>
      </vt:variant>
      <vt:variant>
        <vt:i4>5</vt:i4>
      </vt:variant>
      <vt:variant>
        <vt:lpwstr>http://www.ipab.org.mx/01_acerca_ipab/preguntas frecuentes.html</vt:lpwstr>
      </vt:variant>
      <vt:variant>
        <vt:lpwstr/>
      </vt:variant>
      <vt:variant>
        <vt:i4>3276887</vt:i4>
      </vt:variant>
      <vt:variant>
        <vt:i4>263</vt:i4>
      </vt:variant>
      <vt:variant>
        <vt:i4>0</vt:i4>
      </vt:variant>
      <vt:variant>
        <vt:i4>5</vt:i4>
      </vt:variant>
      <vt:variant>
        <vt:lpwstr>http://www.ipab.org.mx/03_finanzas/IHistoricoSubastasDisplay.asp</vt:lpwstr>
      </vt:variant>
      <vt:variant>
        <vt:lpwstr/>
      </vt:variant>
      <vt:variant>
        <vt:i4>3276887</vt:i4>
      </vt:variant>
      <vt:variant>
        <vt:i4>260</vt:i4>
      </vt:variant>
      <vt:variant>
        <vt:i4>0</vt:i4>
      </vt:variant>
      <vt:variant>
        <vt:i4>5</vt:i4>
      </vt:variant>
      <vt:variant>
        <vt:lpwstr>http://www.ipab.org.mx/03_finanzas/IHistoricoSubastasDisplay.asp</vt:lpwstr>
      </vt:variant>
      <vt:variant>
        <vt:lpwstr/>
      </vt:variant>
      <vt:variant>
        <vt:i4>2097261</vt:i4>
      </vt:variant>
      <vt:variant>
        <vt:i4>257</vt:i4>
      </vt:variant>
      <vt:variant>
        <vt:i4>0</vt:i4>
      </vt:variant>
      <vt:variant>
        <vt:i4>5</vt:i4>
      </vt:variant>
      <vt:variant>
        <vt:lpwstr>http://www.banxico.org.mx/informacion-para-la-prensa/comunicados/politica-monetaria/minutas-de-las-decisiones-de-politica-monetaria/%7B2BBC4364-3403-0E7E-B9DC-75FA9FA8C505%7D.pdf</vt:lpwstr>
      </vt:variant>
      <vt:variant>
        <vt:lpwstr/>
      </vt:variant>
      <vt:variant>
        <vt:i4>7012384</vt:i4>
      </vt:variant>
      <vt:variant>
        <vt:i4>252</vt:i4>
      </vt:variant>
      <vt:variant>
        <vt:i4>0</vt:i4>
      </vt:variant>
      <vt:variant>
        <vt:i4>5</vt:i4>
      </vt:variant>
      <vt:variant>
        <vt:lpwstr>http://www.banxico.org.mx/</vt:lpwstr>
      </vt:variant>
      <vt:variant>
        <vt:lpwstr/>
      </vt:variant>
      <vt:variant>
        <vt:i4>3735668</vt:i4>
      </vt:variant>
      <vt:variant>
        <vt:i4>249</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3735668</vt:i4>
      </vt:variant>
      <vt:variant>
        <vt:i4>246</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2949219</vt:i4>
      </vt:variant>
      <vt:variant>
        <vt:i4>243</vt:i4>
      </vt:variant>
      <vt:variant>
        <vt:i4>0</vt:i4>
      </vt:variant>
      <vt:variant>
        <vt:i4>5</vt:i4>
      </vt:variant>
      <vt:variant>
        <vt:lpwstr>http://www.consar.gob.mx/SeriesTiempo/CuadroInicial.aspx?md=10</vt:lpwstr>
      </vt:variant>
      <vt:variant>
        <vt:lpwstr/>
      </vt:variant>
      <vt:variant>
        <vt:i4>1900626</vt:i4>
      </vt:variant>
      <vt:variant>
        <vt:i4>240</vt:i4>
      </vt:variant>
      <vt:variant>
        <vt:i4>0</vt:i4>
      </vt:variant>
      <vt:variant>
        <vt:i4>5</vt:i4>
      </vt:variant>
      <vt:variant>
        <vt:lpwstr>http://www.consar.gob.mx/SeriesTiempo/CuadroInicial.aspx?md=2</vt:lpwstr>
      </vt:variant>
      <vt:variant>
        <vt:lpwstr/>
      </vt:variant>
      <vt:variant>
        <vt:i4>1900626</vt:i4>
      </vt:variant>
      <vt:variant>
        <vt:i4>237</vt:i4>
      </vt:variant>
      <vt:variant>
        <vt:i4>0</vt:i4>
      </vt:variant>
      <vt:variant>
        <vt:i4>5</vt:i4>
      </vt:variant>
      <vt:variant>
        <vt:lpwstr>http://www.consar.gob.mx/SeriesTiempo/CuadroInicial.aspx?md=6</vt:lpwstr>
      </vt:variant>
      <vt:variant>
        <vt:lpwstr/>
      </vt:variant>
      <vt:variant>
        <vt:i4>1900626</vt:i4>
      </vt:variant>
      <vt:variant>
        <vt:i4>234</vt:i4>
      </vt:variant>
      <vt:variant>
        <vt:i4>0</vt:i4>
      </vt:variant>
      <vt:variant>
        <vt:i4>5</vt:i4>
      </vt:variant>
      <vt:variant>
        <vt:lpwstr>http://www.consar.gob.mx/SeriesTiempo/CuadroInicial.aspx?md=5</vt:lpwstr>
      </vt:variant>
      <vt:variant>
        <vt:lpwstr/>
      </vt:variant>
      <vt:variant>
        <vt:i4>4259845</vt:i4>
      </vt:variant>
      <vt:variant>
        <vt:i4>231</vt:i4>
      </vt:variant>
      <vt:variant>
        <vt:i4>0</vt:i4>
      </vt:variant>
      <vt:variant>
        <vt:i4>5</vt:i4>
      </vt:variant>
      <vt:variant>
        <vt:lpwstr>http://www.consar.gob.mx/rendimiento_neto/rendimiento_neto_promedio_36.shtml</vt:lpwstr>
      </vt:variant>
      <vt:variant>
        <vt:lpwstr/>
      </vt:variant>
      <vt:variant>
        <vt:i4>3866645</vt:i4>
      </vt:variant>
      <vt:variant>
        <vt:i4>228</vt:i4>
      </vt:variant>
      <vt:variant>
        <vt:i4>0</vt:i4>
      </vt:variant>
      <vt:variant>
        <vt:i4>5</vt:i4>
      </vt:variant>
      <vt:variant>
        <vt:lpwstr>http://www.consar.gob.mx/sala_prensa/pdf/boletines/2012/BP_01_2012.pdf</vt:lpwstr>
      </vt:variant>
      <vt:variant>
        <vt:lpwstr/>
      </vt:variant>
      <vt:variant>
        <vt:i4>4718617</vt:i4>
      </vt:variant>
      <vt:variant>
        <vt:i4>225</vt:i4>
      </vt:variant>
      <vt:variant>
        <vt:i4>0</vt:i4>
      </vt:variant>
      <vt:variant>
        <vt:i4>5</vt:i4>
      </vt:variant>
      <vt:variant>
        <vt:lpwstr>http://www.cnbv.gob.mx/Bursatil/BoletinesdePrensa/Prensa  Emisoras/01 de febrero de 2012.pdf</vt:lpwstr>
      </vt:variant>
      <vt:variant>
        <vt:lpwstr/>
      </vt:variant>
      <vt:variant>
        <vt:i4>4718680</vt:i4>
      </vt:variant>
      <vt:variant>
        <vt:i4>222</vt:i4>
      </vt:variant>
      <vt:variant>
        <vt:i4>0</vt:i4>
      </vt:variant>
      <vt:variant>
        <vt:i4>5</vt:i4>
      </vt:variant>
      <vt:variant>
        <vt:lpwstr>http://www.banxico.org.mx/informacion-para-la-prensa/comunicados/sector-financiero/financiamiento-empresas/%7BF96331BA-586C-3FDC-0C80-FD897D6180DB%7D.pdf</vt:lpwstr>
      </vt:variant>
      <vt:variant>
        <vt:lpwstr/>
      </vt:variant>
      <vt:variant>
        <vt:i4>2424936</vt:i4>
      </vt:variant>
      <vt:variant>
        <vt:i4>219</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1572874</vt:i4>
      </vt:variant>
      <vt:variant>
        <vt:i4>216</vt:i4>
      </vt:variant>
      <vt:variant>
        <vt:i4>0</vt:i4>
      </vt:variant>
      <vt:variant>
        <vt:i4>5</vt:i4>
      </vt:variant>
      <vt:variant>
        <vt:lpwstr>http://mexico.gfintegrity.org/es/</vt:lpwstr>
      </vt:variant>
      <vt:variant>
        <vt:lpwstr/>
      </vt:variant>
      <vt:variant>
        <vt:i4>3014759</vt:i4>
      </vt:variant>
      <vt:variant>
        <vt:i4>213</vt:i4>
      </vt:variant>
      <vt:variant>
        <vt:i4>0</vt:i4>
      </vt:variant>
      <vt:variant>
        <vt:i4>5</vt:i4>
      </vt:variant>
      <vt:variant>
        <vt:lpwstr>http://www.gfintegrity.org/</vt:lpwstr>
      </vt:variant>
      <vt:variant>
        <vt:lpwstr/>
      </vt:variant>
      <vt:variant>
        <vt:i4>4980805</vt:i4>
      </vt:variant>
      <vt:variant>
        <vt:i4>210</vt:i4>
      </vt:variant>
      <vt:variant>
        <vt:i4>0</vt:i4>
      </vt:variant>
      <vt:variant>
        <vt:i4>5</vt:i4>
      </vt:variant>
      <vt:variant>
        <vt:lpwstr>http://www.gfintegrity.org/storage/gfip/documents/reports/mexico/gfi_mexico_report_espanol_web.pdf</vt:lpwstr>
      </vt:variant>
      <vt:variant>
        <vt:lpwstr/>
      </vt:variant>
      <vt:variant>
        <vt:i4>6094876</vt:i4>
      </vt:variant>
      <vt:variant>
        <vt:i4>207</vt:i4>
      </vt:variant>
      <vt:variant>
        <vt:i4>0</vt:i4>
      </vt:variant>
      <vt:variant>
        <vt:i4>5</vt:i4>
      </vt:variant>
      <vt:variant>
        <vt:lpwstr>http://www.gfintegrity.org/storage/gfip/documents/reports/mexico/gfi mexico report spanish executive summary.pdf</vt:lpwstr>
      </vt:variant>
      <vt:variant>
        <vt:lpwstr/>
      </vt:variant>
      <vt:variant>
        <vt:i4>2097210</vt:i4>
      </vt:variant>
      <vt:variant>
        <vt:i4>204</vt:i4>
      </vt:variant>
      <vt:variant>
        <vt:i4>0</vt:i4>
      </vt:variant>
      <vt:variant>
        <vt:i4>5</vt:i4>
      </vt:variant>
      <vt:variant>
        <vt:lpwstr>http://www.gfintegrity.org/storage/gfip/documents/reports/mexico/gfi mexico report spanish resumen.pdf</vt:lpwstr>
      </vt:variant>
      <vt:variant>
        <vt:lpwstr/>
      </vt:variant>
      <vt:variant>
        <vt:i4>4128882</vt:i4>
      </vt:variant>
      <vt:variant>
        <vt:i4>201</vt:i4>
      </vt:variant>
      <vt:variant>
        <vt:i4>0</vt:i4>
      </vt:variant>
      <vt:variant>
        <vt:i4>5</vt:i4>
      </vt:variant>
      <vt:variant>
        <vt:lpwstr>http://www.project-syndicate.org/commentary/gros32/Spanish</vt:lpwstr>
      </vt:variant>
      <vt:variant>
        <vt:lpwstr/>
      </vt:variant>
      <vt:variant>
        <vt:i4>92</vt:i4>
      </vt:variant>
      <vt:variant>
        <vt:i4>198</vt:i4>
      </vt:variant>
      <vt:variant>
        <vt:i4>0</vt:i4>
      </vt:variant>
      <vt:variant>
        <vt:i4>5</vt:i4>
      </vt:variant>
      <vt:variant>
        <vt:lpwstr>http://blog-dialogoafondo.org/?p=1616</vt:lpwstr>
      </vt:variant>
      <vt:variant>
        <vt:lpwstr/>
      </vt:variant>
      <vt:variant>
        <vt:i4>7274553</vt:i4>
      </vt:variant>
      <vt:variant>
        <vt:i4>192</vt:i4>
      </vt:variant>
      <vt:variant>
        <vt:i4>0</vt:i4>
      </vt:variant>
      <vt:variant>
        <vt:i4>5</vt:i4>
      </vt:variant>
      <vt:variant>
        <vt:lpwstr>http://www.imf.org/external/spanish/pubs/ft/fm/2012/update/01/0112s.pdf</vt:lpwstr>
      </vt:variant>
      <vt:variant>
        <vt:lpwstr/>
      </vt:variant>
      <vt:variant>
        <vt:i4>2359394</vt:i4>
      </vt:variant>
      <vt:variant>
        <vt:i4>189</vt:i4>
      </vt:variant>
      <vt:variant>
        <vt:i4>0</vt:i4>
      </vt:variant>
      <vt:variant>
        <vt:i4>5</vt:i4>
      </vt:variant>
      <vt:variant>
        <vt:lpwstr>http://www.imf.org/external/np/speeches/2011/111811.htm</vt:lpwstr>
      </vt:variant>
      <vt:variant>
        <vt:lpwstr/>
      </vt:variant>
      <vt:variant>
        <vt:i4>2949165</vt:i4>
      </vt:variant>
      <vt:variant>
        <vt:i4>186</vt:i4>
      </vt:variant>
      <vt:variant>
        <vt:i4>0</vt:i4>
      </vt:variant>
      <vt:variant>
        <vt:i4>5</vt:i4>
      </vt:variant>
      <vt:variant>
        <vt:lpwstr>http://www.shcp.gob.mx/documentos_recientes_bliblioteca/comunicado_006_2012.pdf</vt:lpwstr>
      </vt:variant>
      <vt:variant>
        <vt:lpwstr/>
      </vt:variant>
      <vt:variant>
        <vt:i4>3735648</vt:i4>
      </vt:variant>
      <vt:variant>
        <vt:i4>183</vt:i4>
      </vt:variant>
      <vt:variant>
        <vt:i4>0</vt:i4>
      </vt:variant>
      <vt:variant>
        <vt:i4>5</vt:i4>
      </vt:variant>
      <vt:variant>
        <vt:lpwstr>http://www.shcp.gob.mx/SALAPRENSA/doc_comunicados_prensa/2012/enero/comunicado_007_2012.pdf</vt:lpwstr>
      </vt:variant>
      <vt:variant>
        <vt:lpwstr/>
      </vt:variant>
      <vt:variant>
        <vt:i4>2293805</vt:i4>
      </vt:variant>
      <vt:variant>
        <vt:i4>180</vt:i4>
      </vt:variant>
      <vt:variant>
        <vt:i4>0</vt:i4>
      </vt:variant>
      <vt:variant>
        <vt:i4>5</vt:i4>
      </vt:variant>
      <vt:variant>
        <vt:lpwstr>http://www.shcp.gob.mx/documentos_recientes_bliblioteca/comunicado_008_2012.pdf</vt:lpwstr>
      </vt:variant>
      <vt:variant>
        <vt:lpwstr/>
      </vt:variant>
      <vt:variant>
        <vt:i4>2359378</vt:i4>
      </vt:variant>
      <vt:variant>
        <vt:i4>177</vt:i4>
      </vt:variant>
      <vt:variant>
        <vt:i4>0</vt:i4>
      </vt:variant>
      <vt:variant>
        <vt:i4>5</vt:i4>
      </vt:variant>
      <vt:variant>
        <vt:lpwstr>http://www.hacienda.gob.mx/sitios/ucsv/html/4totrime2011/informe_cuarto_trim_2011.pdf</vt:lpwstr>
      </vt:variant>
      <vt:variant>
        <vt:lpwstr/>
      </vt:variant>
      <vt:variant>
        <vt:i4>1376307</vt:i4>
      </vt:variant>
      <vt:variant>
        <vt:i4>174</vt:i4>
      </vt:variant>
      <vt:variant>
        <vt:i4>0</vt:i4>
      </vt:variant>
      <vt:variant>
        <vt:i4>5</vt:i4>
      </vt:variant>
      <vt:variant>
        <vt:lpwstr>http://www3.diputados.gob.mx/camara/005_comunicacion/a_boletines/2012_2012/002_febrero/03_03/4681_aumento_de_la_canasta_basica_nulifico_el_incremento_a_salarios_minimos_cefp</vt:lpwstr>
      </vt:variant>
      <vt:variant>
        <vt:lpwstr/>
      </vt:variant>
      <vt:variant>
        <vt:i4>4259871</vt:i4>
      </vt:variant>
      <vt:variant>
        <vt:i4>171</vt:i4>
      </vt:variant>
      <vt:variant>
        <vt:i4>0</vt:i4>
      </vt:variant>
      <vt:variant>
        <vt:i4>5</vt:i4>
      </vt:variant>
      <vt:variant>
        <vt:lpwstr>http://www.banxico.org.mx/informacion-para-la-prensa/comunicados/resultados-de-encuestas/expectativas-de-los-especialistas/%7BF5263D3A-379E-776D-0509-5D94FAA859CD%7D.pdf</vt:lpwstr>
      </vt:variant>
      <vt:variant>
        <vt:lpwstr/>
      </vt:variant>
      <vt:variant>
        <vt:i4>5111810</vt:i4>
      </vt:variant>
      <vt:variant>
        <vt:i4>168</vt:i4>
      </vt:variant>
      <vt:variant>
        <vt:i4>0</vt:i4>
      </vt:variant>
      <vt:variant>
        <vt:i4>5</vt:i4>
      </vt:variant>
      <vt:variant>
        <vt:lpwstr>http://gruporeforma.reforma.com/wsjamericas/nota/default.aspx?Folio=1149971&amp;Idcol=325&amp;pc=102&amp;impresion=0</vt:lpwstr>
      </vt:variant>
      <vt:variant>
        <vt:lpwstr/>
      </vt:variant>
      <vt:variant>
        <vt:i4>4849685</vt:i4>
      </vt:variant>
      <vt:variant>
        <vt:i4>165</vt:i4>
      </vt:variant>
      <vt:variant>
        <vt:i4>0</vt:i4>
      </vt:variant>
      <vt:variant>
        <vt:i4>5</vt:i4>
      </vt:variant>
      <vt:variant>
        <vt:lpwstr>http://www.presidencia.gob.mx/2012/01/palabras-del-presidente-de-nissan-motors-carlos-ghosn-con-motivo-del-anuncio-de-inversion-de-nissan-en-mexico/</vt:lpwstr>
      </vt:variant>
      <vt:variant>
        <vt:lpwstr/>
      </vt:variant>
      <vt:variant>
        <vt:i4>4915231</vt:i4>
      </vt:variant>
      <vt:variant>
        <vt:i4>162</vt:i4>
      </vt:variant>
      <vt:variant>
        <vt:i4>0</vt:i4>
      </vt:variant>
      <vt:variant>
        <vt:i4>5</vt:i4>
      </vt:variant>
      <vt:variant>
        <vt:lpwstr>http://www.presidencia.gob.mx/2012/01/mensaje-del-presidente-calderon-con-motivo-del-anuncio-de-inversion-de-nissan/</vt:lpwstr>
      </vt:variant>
      <vt:variant>
        <vt:lpwstr/>
      </vt:variant>
      <vt:variant>
        <vt:i4>6619177</vt:i4>
      </vt:variant>
      <vt:variant>
        <vt:i4>159</vt:i4>
      </vt:variant>
      <vt:variant>
        <vt:i4>0</vt:i4>
      </vt:variant>
      <vt:variant>
        <vt:i4>5</vt:i4>
      </vt:variant>
      <vt:variant>
        <vt:lpwstr>http://www.presidencia.gob.mx/2012/01/el-presidente-calderon-en-el-anuncio-de-inversion-de-nissan-en-mexico-en-davos-suiza/</vt:lpwstr>
      </vt:variant>
      <vt:variant>
        <vt:lpwstr/>
      </vt:variant>
      <vt:variant>
        <vt:i4>2752550</vt:i4>
      </vt:variant>
      <vt:variant>
        <vt:i4>156</vt:i4>
      </vt:variant>
      <vt:variant>
        <vt:i4>0</vt:i4>
      </vt:variant>
      <vt:variant>
        <vt:i4>5</vt:i4>
      </vt:variant>
      <vt:variant>
        <vt:lpwstr>http://web.nissan.com.mx/corporativo/prensa</vt:lpwstr>
      </vt:variant>
      <vt:variant>
        <vt:lpwstr/>
      </vt:variant>
      <vt:variant>
        <vt:i4>7012419</vt:i4>
      </vt:variant>
      <vt:variant>
        <vt:i4>153</vt:i4>
      </vt:variant>
      <vt:variant>
        <vt:i4>0</vt:i4>
      </vt:variant>
      <vt:variant>
        <vt:i4>5</vt:i4>
      </vt:variant>
      <vt:variant>
        <vt:lpwstr>http://www3.diputados.gob.mx/camara/005_comunicacion/a_boletines/2012_2012/001_enero/26_26/4645_importacion_de_autos_usados_podria_afectar_la_venta_interna_de_nuevos_cefp</vt:lpwstr>
      </vt:variant>
      <vt:variant>
        <vt:lpwstr/>
      </vt:variant>
      <vt:variant>
        <vt:i4>655415</vt:i4>
      </vt:variant>
      <vt:variant>
        <vt:i4>150</vt:i4>
      </vt:variant>
      <vt:variant>
        <vt:i4>0</vt:i4>
      </vt:variant>
      <vt:variant>
        <vt:i4>5</vt:i4>
      </vt:variant>
      <vt:variant>
        <vt:lpwstr>http://www.deloitte.com/view/es_MX/mx/perspectivas/temas-de-actualidad/fa81a302f93b4310VgnVCM3000001c56f00aRCRD.htm</vt:lpwstr>
      </vt:variant>
      <vt:variant>
        <vt:lpwstr/>
      </vt:variant>
      <vt:variant>
        <vt:i4>1179774</vt:i4>
      </vt:variant>
      <vt:variant>
        <vt:i4>147</vt:i4>
      </vt:variant>
      <vt:variant>
        <vt:i4>0</vt:i4>
      </vt:variant>
      <vt:variant>
        <vt:i4>5</vt:i4>
      </vt:variant>
      <vt:variant>
        <vt:lpwstr>http://www.canacintra-digital.com.mx/home/index.php?option=com_content&amp;view=article&amp;id=593:boletin-004-canacintra-espera-para-el-2012&amp;catid=94:boletines--comunicados&amp;Itemid=221</vt:lpwstr>
      </vt:variant>
      <vt:variant>
        <vt:lpwstr/>
      </vt:variant>
      <vt:variant>
        <vt:i4>6684777</vt:i4>
      </vt:variant>
      <vt:variant>
        <vt:i4>144</vt:i4>
      </vt:variant>
      <vt:variant>
        <vt:i4>0</vt:i4>
      </vt:variant>
      <vt:variant>
        <vt:i4>5</vt:i4>
      </vt:variant>
      <vt:variant>
        <vt:lpwstr>http://www.imef.org.mx/main.aspx?pid=bWnk1cotW41DhhsX94WgRw==&amp;idioma=1&amp;parent=BfgdjnGyzOK%2bZZiYmONBO%2bgX7GaW7w97</vt:lpwstr>
      </vt:variant>
      <vt:variant>
        <vt:lpwstr/>
      </vt:variant>
      <vt:variant>
        <vt:i4>6225990</vt:i4>
      </vt:variant>
      <vt:variant>
        <vt:i4>141</vt:i4>
      </vt:variant>
      <vt:variant>
        <vt:i4>0</vt:i4>
      </vt:variant>
      <vt:variant>
        <vt:i4>5</vt:i4>
      </vt:variant>
      <vt:variant>
        <vt:lpwstr>http://www.eclac.cl/cgi-bin/getProd.asp?xml=/prensa/noticias/comunicados/8/45758/P45758.xml&amp;xsl=/prensa/tpl/p6f.xsl&amp;base=/tpl/top-bottom.xsl</vt:lpwstr>
      </vt:variant>
      <vt:variant>
        <vt:lpwstr/>
      </vt:variant>
      <vt:variant>
        <vt:i4>4128817</vt:i4>
      </vt:variant>
      <vt:variant>
        <vt:i4>138</vt:i4>
      </vt:variant>
      <vt:variant>
        <vt:i4>0</vt:i4>
      </vt:variant>
      <vt:variant>
        <vt:i4>5</vt:i4>
      </vt:variant>
      <vt:variant>
        <vt:lpwstr>http://www.ofilac.org/</vt:lpwstr>
      </vt:variant>
      <vt:variant>
        <vt:lpwstr/>
      </vt:variant>
      <vt:variant>
        <vt:i4>3080228</vt:i4>
      </vt:variant>
      <vt:variant>
        <vt:i4>135</vt:i4>
      </vt:variant>
      <vt:variant>
        <vt:i4>0</vt:i4>
      </vt:variant>
      <vt:variant>
        <vt:i4>5</vt:i4>
      </vt:variant>
      <vt:variant>
        <vt:lpwstr>http://www.cepal.org/cgi-bin/getprod.asp?xml=/ilpes/noticias/paginas/5/45305/P45305.xml&amp;xsl=/ilpes/tpl/p18f.xsl&amp;base=/ilpes/tpl/top-bottom.xsl</vt:lpwstr>
      </vt:variant>
      <vt:variant>
        <vt:lpwstr/>
      </vt:variant>
      <vt:variant>
        <vt:i4>3670053</vt:i4>
      </vt:variant>
      <vt:variant>
        <vt:i4>132</vt:i4>
      </vt:variant>
      <vt:variant>
        <vt:i4>0</vt:i4>
      </vt:variant>
      <vt:variant>
        <vt:i4>5</vt:i4>
      </vt:variant>
      <vt:variant>
        <vt:lpwstr>http://www.presidencia.gob.mx/index.php?p=75259</vt:lpwstr>
      </vt:variant>
      <vt:variant>
        <vt:lpwstr/>
      </vt:variant>
      <vt:variant>
        <vt:i4>8192032</vt:i4>
      </vt:variant>
      <vt:variant>
        <vt:i4>129</vt:i4>
      </vt:variant>
      <vt:variant>
        <vt:i4>0</vt:i4>
      </vt:variant>
      <vt:variant>
        <vt:i4>5</vt:i4>
      </vt:variant>
      <vt:variant>
        <vt:lpwstr>http://www.presidencia.gob.mx/2012/01/coca-cola-invierte-en-mexico/</vt:lpwstr>
      </vt:variant>
      <vt:variant>
        <vt:lpwstr/>
      </vt:variant>
      <vt:variant>
        <vt:i4>852049</vt:i4>
      </vt:variant>
      <vt:variant>
        <vt:i4>126</vt:i4>
      </vt:variant>
      <vt:variant>
        <vt:i4>0</vt:i4>
      </vt:variant>
      <vt:variant>
        <vt:i4>5</vt:i4>
      </vt:variant>
      <vt:variant>
        <vt:lpwstr>http://www.inegi.org.mx/inegi/contenidos/espanol/prensa/comunicados/inver.pdf</vt:lpwstr>
      </vt:variant>
      <vt:variant>
        <vt:lpwstr/>
      </vt:variant>
      <vt:variant>
        <vt:i4>5505101</vt:i4>
      </vt:variant>
      <vt:variant>
        <vt:i4>123</vt:i4>
      </vt:variant>
      <vt:variant>
        <vt:i4>0</vt:i4>
      </vt:variant>
      <vt:variant>
        <vt:i4>5</vt:i4>
      </vt:variant>
      <vt:variant>
        <vt:lpwstr>http://www.kpmg.com/MX/es/IssuesAndInsights/ArticlesPublications/Paginas/CP-Acelerada-adopcion-comercio-electronico.aspx</vt:lpwstr>
      </vt:variant>
      <vt:variant>
        <vt:lpwstr/>
      </vt:variant>
      <vt:variant>
        <vt:i4>3735652</vt:i4>
      </vt:variant>
      <vt:variant>
        <vt:i4>120</vt:i4>
      </vt:variant>
      <vt:variant>
        <vt:i4>0</vt:i4>
      </vt:variant>
      <vt:variant>
        <vt:i4>5</vt:i4>
      </vt:variant>
      <vt:variant>
        <vt:lpwstr>http://www.inegi.org.mx/inegi/contenidos/espanol/prensa/comunicados/indcon.pdf</vt:lpwstr>
      </vt:variant>
      <vt:variant>
        <vt:lpwstr/>
      </vt:variant>
      <vt:variant>
        <vt:i4>1310807</vt:i4>
      </vt:variant>
      <vt:variant>
        <vt:i4>108</vt:i4>
      </vt:variant>
      <vt:variant>
        <vt:i4>0</vt:i4>
      </vt:variant>
      <vt:variant>
        <vt:i4>5</vt:i4>
      </vt:variant>
      <vt:variant>
        <vt:lpwstr>http://www.inegi.org.mx/inegi/contenidos/espanol/prensa/comunicados/confianza.pdf</vt:lpwstr>
      </vt:variant>
      <vt:variant>
        <vt:lpwstr/>
      </vt:variant>
      <vt:variant>
        <vt:i4>6619199</vt:i4>
      </vt:variant>
      <vt:variant>
        <vt:i4>96</vt:i4>
      </vt:variant>
      <vt:variant>
        <vt:i4>0</vt:i4>
      </vt:variant>
      <vt:variant>
        <vt:i4>5</vt:i4>
      </vt:variant>
      <vt:variant>
        <vt:lpwstr>http://www.inegi.org.mx/inegi/contenidos/espanol/prensa/comunicados/pedidos.pdf</vt:lpwstr>
      </vt:variant>
      <vt:variant>
        <vt:lpwstr/>
      </vt:variant>
      <vt:variant>
        <vt:i4>6357011</vt:i4>
      </vt:variant>
      <vt:variant>
        <vt:i4>84</vt:i4>
      </vt:variant>
      <vt:variant>
        <vt:i4>0</vt:i4>
      </vt:variant>
      <vt:variant>
        <vt:i4>5</vt:i4>
      </vt:variant>
      <vt:variant>
        <vt:lpwstr>http://www.inegi.org.mx/inegi/contenidos/notasinformativas/exp_empre/NI-EE.pdf</vt:lpwstr>
      </vt:variant>
      <vt:variant>
        <vt:lpwstr/>
      </vt:variant>
      <vt:variant>
        <vt:i4>1835025</vt:i4>
      </vt:variant>
      <vt:variant>
        <vt:i4>81</vt:i4>
      </vt:variant>
      <vt:variant>
        <vt:i4>0</vt:i4>
      </vt:variant>
      <vt:variant>
        <vt:i4>5</vt:i4>
      </vt:variant>
      <vt:variant>
        <vt:lpwstr>http://www.oecd.org/dataoecd/8/3/49528111.pdf</vt:lpwstr>
      </vt:variant>
      <vt:variant>
        <vt:lpwstr/>
      </vt:variant>
      <vt:variant>
        <vt:i4>7143431</vt:i4>
      </vt:variant>
      <vt:variant>
        <vt:i4>78</vt:i4>
      </vt:variant>
      <vt:variant>
        <vt:i4>0</vt:i4>
      </vt:variant>
      <vt:variant>
        <vt:i4>5</vt:i4>
      </vt:variant>
      <vt:variant>
        <vt:lpwstr>http://www.inegi.org.mx/inegi/contenidos/notasinformativas/ind_miner/2012/01/NI-IM.pdf</vt:lpwstr>
      </vt:variant>
      <vt:variant>
        <vt:lpwstr/>
      </vt:variant>
      <vt:variant>
        <vt:i4>6946914</vt:i4>
      </vt:variant>
      <vt:variant>
        <vt:i4>75</vt:i4>
      </vt:variant>
      <vt:variant>
        <vt:i4>0</vt:i4>
      </vt:variant>
      <vt:variant>
        <vt:i4>5</vt:i4>
      </vt:variant>
      <vt:variant>
        <vt:lpwstr>http://www.inegi.org.mx/sistemas/productos/</vt:lpwstr>
      </vt:variant>
      <vt:variant>
        <vt:lpwstr/>
      </vt:variant>
      <vt:variant>
        <vt:i4>4849716</vt:i4>
      </vt:variant>
      <vt:variant>
        <vt:i4>72</vt:i4>
      </vt:variant>
      <vt:variant>
        <vt:i4>0</vt:i4>
      </vt:variant>
      <vt:variant>
        <vt:i4>5</vt:i4>
      </vt:variant>
      <vt:variant>
        <vt:lpwstr>http://www.inegi.org.mx/prod_serv/contenidos/espanol/bvinegi/productos/integracion/sociodemografico/Energetico/2011/Ener2011.pdf</vt:lpwstr>
      </vt:variant>
      <vt:variant>
        <vt:lpwstr/>
      </vt:variant>
      <vt:variant>
        <vt:i4>2031619</vt:i4>
      </vt:variant>
      <vt:variant>
        <vt:i4>69</vt:i4>
      </vt:variant>
      <vt:variant>
        <vt:i4>0</vt:i4>
      </vt:variant>
      <vt:variant>
        <vt:i4>5</vt:i4>
      </vt:variant>
      <vt:variant>
        <vt:lpwstr>http://dgcnesyp/</vt:lpwstr>
      </vt:variant>
      <vt:variant>
        <vt:lpwstr/>
      </vt:variant>
      <vt:variant>
        <vt:i4>2031619</vt:i4>
      </vt:variant>
      <vt:variant>
        <vt:i4>66</vt:i4>
      </vt:variant>
      <vt:variant>
        <vt:i4>0</vt:i4>
      </vt:variant>
      <vt:variant>
        <vt:i4>5</vt:i4>
      </vt:variant>
      <vt:variant>
        <vt:lpwstr>http://dgcnesyp/</vt:lpwstr>
      </vt:variant>
      <vt:variant>
        <vt:lpwstr/>
      </vt:variant>
      <vt:variant>
        <vt:i4>589902</vt:i4>
      </vt:variant>
      <vt:variant>
        <vt:i4>63</vt:i4>
      </vt:variant>
      <vt:variant>
        <vt:i4>0</vt:i4>
      </vt:variant>
      <vt:variant>
        <vt:i4>5</vt:i4>
      </vt:variant>
      <vt:variant>
        <vt:lpwstr>http://www.inegi.gob.mx/</vt:lpwstr>
      </vt:variant>
      <vt:variant>
        <vt:lpwstr/>
      </vt:variant>
      <vt:variant>
        <vt:i4>5832759</vt:i4>
      </vt:variant>
      <vt:variant>
        <vt:i4>60</vt:i4>
      </vt:variant>
      <vt:variant>
        <vt:i4>0</vt:i4>
      </vt:variant>
      <vt:variant>
        <vt:i4>5</vt:i4>
      </vt:variant>
      <vt:variant>
        <vt:lpwstr>http://www.siap.sagarpa.gob.mx/index.php?option=com_wrapper&amp;view=wrapper&amp;Itemid=364</vt:lpwstr>
      </vt:variant>
      <vt:variant>
        <vt:lpwstr/>
      </vt:variant>
      <vt:variant>
        <vt:i4>3538995</vt:i4>
      </vt:variant>
      <vt:variant>
        <vt:i4>57</vt:i4>
      </vt:variant>
      <vt:variant>
        <vt:i4>0</vt:i4>
      </vt:variant>
      <vt:variant>
        <vt:i4>5</vt:i4>
      </vt:variant>
      <vt:variant>
        <vt:lpwstr>http://www.economia.gob.mx/eventos-noticias/sala-de-prensa/informacion-relevante/7303-boletin032-12</vt:lpwstr>
      </vt:variant>
      <vt:variant>
        <vt:lpwstr/>
      </vt:variant>
      <vt:variant>
        <vt:i4>2949128</vt:i4>
      </vt:variant>
      <vt:variant>
        <vt:i4>54</vt:i4>
      </vt:variant>
      <vt:variant>
        <vt:i4>0</vt:i4>
      </vt:variant>
      <vt:variant>
        <vt:i4>5</vt:i4>
      </vt:variant>
      <vt:variant>
        <vt:lpwstr>http://dof.gob.mx/nota_detalle.php?codigo=5231901&amp;fecha=01/02/2012</vt:lpwstr>
      </vt:variant>
      <vt:variant>
        <vt:lpwstr/>
      </vt:variant>
      <vt:variant>
        <vt:i4>2818048</vt:i4>
      </vt:variant>
      <vt:variant>
        <vt:i4>51</vt:i4>
      </vt:variant>
      <vt:variant>
        <vt:i4>0</vt:i4>
      </vt:variant>
      <vt:variant>
        <vt:i4>5</vt:i4>
      </vt:variant>
      <vt:variant>
        <vt:lpwstr>http://dof.gob.mx/nota_detalle.php?codigo=5231868&amp;fecha=01/02/2012</vt:lpwstr>
      </vt:variant>
      <vt:variant>
        <vt:lpwstr/>
      </vt:variant>
      <vt:variant>
        <vt:i4>7929944</vt:i4>
      </vt:variant>
      <vt:variant>
        <vt:i4>48</vt:i4>
      </vt:variant>
      <vt:variant>
        <vt:i4>0</vt:i4>
      </vt:variant>
      <vt:variant>
        <vt:i4>5</vt:i4>
      </vt:variant>
      <vt:variant>
        <vt:lpwstr>http://www.cofemer.gob.mx/rfts/formulario/tramite.asp?coNodes=1296451&amp;num_modalidad=0&amp;epe=0&amp;nv=0</vt:lpwstr>
      </vt:variant>
      <vt:variant>
        <vt:lpwstr/>
      </vt:variant>
      <vt:variant>
        <vt:i4>8192085</vt:i4>
      </vt:variant>
      <vt:variant>
        <vt:i4>45</vt:i4>
      </vt:variant>
      <vt:variant>
        <vt:i4>0</vt:i4>
      </vt:variant>
      <vt:variant>
        <vt:i4>5</vt:i4>
      </vt:variant>
      <vt:variant>
        <vt:lpwstr>http://www.cofemer.gob.mx/rfts/formulario/tramite.asp?coNodes=1566760&amp;num_modalidad=0&amp;epe=0&amp;nv=0</vt:lpwstr>
      </vt:variant>
      <vt:variant>
        <vt:lpwstr/>
      </vt:variant>
      <vt:variant>
        <vt:i4>7143473</vt:i4>
      </vt:variant>
      <vt:variant>
        <vt:i4>42</vt:i4>
      </vt:variant>
      <vt:variant>
        <vt:i4>0</vt:i4>
      </vt:variant>
      <vt:variant>
        <vt:i4>5</vt:i4>
      </vt:variant>
      <vt:variant>
        <vt:lpwstr>http://www.sagarpa.gob.mx/saladeprensa/boletines2/paginas/2012B063.aspx</vt:lpwstr>
      </vt:variant>
      <vt:variant>
        <vt:lpwstr/>
      </vt:variant>
      <vt:variant>
        <vt:i4>2228326</vt:i4>
      </vt:variant>
      <vt:variant>
        <vt:i4>39</vt:i4>
      </vt:variant>
      <vt:variant>
        <vt:i4>0</vt:i4>
      </vt:variant>
      <vt:variant>
        <vt:i4>5</vt:i4>
      </vt:variant>
      <vt:variant>
        <vt:lpwstr>http://www.economia.gob.mx/eventos-noticias/sala-de-prensa/informacion-relevante/7289-garantizado-el-abasto-de-maiz-y-frijol-en-mexico</vt:lpwstr>
      </vt:variant>
      <vt:variant>
        <vt:lpwstr/>
      </vt:variant>
      <vt:variant>
        <vt:i4>3670055</vt:i4>
      </vt:variant>
      <vt:variant>
        <vt:i4>36</vt:i4>
      </vt:variant>
      <vt:variant>
        <vt:i4>0</vt:i4>
      </vt:variant>
      <vt:variant>
        <vt:i4>5</vt:i4>
      </vt:variant>
      <vt:variant>
        <vt:lpwstr>http://www.presidencia.gob.mx/index.php?p=75052</vt:lpwstr>
      </vt:variant>
      <vt:variant>
        <vt:lpwstr/>
      </vt:variant>
      <vt:variant>
        <vt:i4>7209071</vt:i4>
      </vt:variant>
      <vt:variant>
        <vt:i4>33</vt:i4>
      </vt:variant>
      <vt:variant>
        <vt:i4>0</vt:i4>
      </vt:variant>
      <vt:variant>
        <vt:i4>5</vt:i4>
      </vt:variant>
      <vt:variant>
        <vt:lpwstr>http://www.presidencia.gob.mx/el-blog/10-acciones-para-enfrentar-la-sequia-en-el-pais/</vt:lpwstr>
      </vt:variant>
      <vt:variant>
        <vt:lpwstr/>
      </vt:variant>
      <vt:variant>
        <vt:i4>3866657</vt:i4>
      </vt:variant>
      <vt:variant>
        <vt:i4>30</vt:i4>
      </vt:variant>
      <vt:variant>
        <vt:i4>0</vt:i4>
      </vt:variant>
      <vt:variant>
        <vt:i4>5</vt:i4>
      </vt:variant>
      <vt:variant>
        <vt:lpwstr>http://www.presidencia.gob.mx/2012/01/acciones-para-mitigar-la-sequia/</vt:lpwstr>
      </vt:variant>
      <vt:variant>
        <vt:lpwstr/>
      </vt:variant>
      <vt:variant>
        <vt:i4>7209071</vt:i4>
      </vt:variant>
      <vt:variant>
        <vt:i4>27</vt:i4>
      </vt:variant>
      <vt:variant>
        <vt:i4>0</vt:i4>
      </vt:variant>
      <vt:variant>
        <vt:i4>5</vt:i4>
      </vt:variant>
      <vt:variant>
        <vt:lpwstr>http://www.presidencia.gob.mx/el-blog/10-acciones-para-enfrentar-la-sequia-en-el-pais/</vt:lpwstr>
      </vt:variant>
      <vt:variant>
        <vt:lpwstr/>
      </vt:variant>
      <vt:variant>
        <vt:i4>6553721</vt:i4>
      </vt:variant>
      <vt:variant>
        <vt:i4>24</vt:i4>
      </vt:variant>
      <vt:variant>
        <vt:i4>0</vt:i4>
      </vt:variant>
      <vt:variant>
        <vt:i4>5</vt:i4>
      </vt:variant>
      <vt:variant>
        <vt:lpwstr>http://www.rlc.fao.org/es/prensa/noticias/fao-gobiernos-de-alc-deben-mantenerse-alerta-ante-los-efectos-que-una-recesion-mundial-podria-tener-en-la-seguridad-alimentaria/</vt:lpwstr>
      </vt:variant>
      <vt:variant>
        <vt:lpwstr/>
      </vt:variant>
      <vt:variant>
        <vt:i4>6357050</vt:i4>
      </vt:variant>
      <vt:variant>
        <vt:i4>21</vt:i4>
      </vt:variant>
      <vt:variant>
        <vt:i4>0</vt:i4>
      </vt:variant>
      <vt:variant>
        <vt:i4>5</vt:i4>
      </vt:variant>
      <vt:variant>
        <vt:lpwstr>http://www.inegi.org.mx/inegi/contenidos/espanol/prensa/comunicados/actividadee.pdf</vt:lpwstr>
      </vt:variant>
      <vt:variant>
        <vt:lpwstr/>
      </vt:variant>
      <vt:variant>
        <vt:i4>5373974</vt:i4>
      </vt:variant>
      <vt:variant>
        <vt:i4>18</vt:i4>
      </vt:variant>
      <vt:variant>
        <vt:i4>0</vt:i4>
      </vt:variant>
      <vt:variant>
        <vt:i4>5</vt:i4>
      </vt:variant>
      <vt:variant>
        <vt:lpwstr>http://www.inegi.org.mx/inegi/contenidos/espanol/prensa/comunicados/sica.pdf</vt:lpwstr>
      </vt:variant>
      <vt:variant>
        <vt:lpwstr/>
      </vt:variant>
      <vt:variant>
        <vt:i4>4718593</vt:i4>
      </vt:variant>
      <vt:variant>
        <vt:i4>45</vt:i4>
      </vt:variant>
      <vt:variant>
        <vt:i4>0</vt:i4>
      </vt:variant>
      <vt:variant>
        <vt:i4>5</vt:i4>
      </vt:variant>
      <vt:variant>
        <vt:lpwstr>http://www.un.org/spanish/millenniumgoals/bkgd.shtml</vt:lpwstr>
      </vt:variant>
      <vt:variant>
        <vt:lpwstr/>
      </vt:variant>
      <vt:variant>
        <vt:i4>6291513</vt:i4>
      </vt:variant>
      <vt:variant>
        <vt:i4>42</vt:i4>
      </vt:variant>
      <vt:variant>
        <vt:i4>0</vt:i4>
      </vt:variant>
      <vt:variant>
        <vt:i4>5</vt:i4>
      </vt:variant>
      <vt:variant>
        <vt:lpwstr>http://www.oecd.org/dataoecd/1/58/49416686.pdf</vt:lpwstr>
      </vt:variant>
      <vt:variant>
        <vt:lpwstr/>
      </vt:variant>
      <vt:variant>
        <vt:i4>7536721</vt:i4>
      </vt:variant>
      <vt:variant>
        <vt:i4>39</vt:i4>
      </vt:variant>
      <vt:variant>
        <vt:i4>0</vt:i4>
      </vt:variant>
      <vt:variant>
        <vt:i4>5</vt:i4>
      </vt:variant>
      <vt:variant>
        <vt:lpwstr>http://www.oecd.org/document/47/0,3746,en_2649_34113_49331311_1_1_1_1,00.html</vt:lpwstr>
      </vt:variant>
      <vt:variant>
        <vt:lpwstr/>
      </vt:variant>
      <vt:variant>
        <vt:i4>3473446</vt:i4>
      </vt:variant>
      <vt:variant>
        <vt:i4>36</vt:i4>
      </vt:variant>
      <vt:variant>
        <vt:i4>0</vt:i4>
      </vt:variant>
      <vt:variant>
        <vt:i4>5</vt:i4>
      </vt:variant>
      <vt:variant>
        <vt:lpwstr>http://www.presidencia.gob.mx/index.php?p=75184</vt:lpwstr>
      </vt:variant>
      <vt:variant>
        <vt:lpwstr/>
      </vt:variant>
      <vt:variant>
        <vt:i4>1441803</vt:i4>
      </vt:variant>
      <vt:variant>
        <vt:i4>33</vt:i4>
      </vt:variant>
      <vt:variant>
        <vt:i4>0</vt:i4>
      </vt:variant>
      <vt:variant>
        <vt:i4>5</vt:i4>
      </vt:variant>
      <vt:variant>
        <vt:lpwstr>http://www.presidencia.gob.mx/2012/01/premio-al-estadista-global/</vt:lpwstr>
      </vt:variant>
      <vt:variant>
        <vt:lpwstr/>
      </vt:variant>
      <vt:variant>
        <vt:i4>3014758</vt:i4>
      </vt:variant>
      <vt:variant>
        <vt:i4>30</vt:i4>
      </vt:variant>
      <vt:variant>
        <vt:i4>0</vt:i4>
      </vt:variant>
      <vt:variant>
        <vt:i4>5</vt:i4>
      </vt:variant>
      <vt:variant>
        <vt:lpwstr>http://www.ecb.int/stats/money/surveys/lend/html/index.en.html</vt:lpwstr>
      </vt:variant>
      <vt:variant>
        <vt:lpwstr/>
      </vt:variant>
      <vt:variant>
        <vt:i4>7471228</vt:i4>
      </vt:variant>
      <vt:variant>
        <vt:i4>27</vt:i4>
      </vt:variant>
      <vt:variant>
        <vt:i4>0</vt:i4>
      </vt:variant>
      <vt:variant>
        <vt:i4>5</vt:i4>
      </vt:variant>
      <vt:variant>
        <vt:lpwstr>http://148.245.102.209/enviacentroamerica/</vt:lpwstr>
      </vt:variant>
      <vt:variant>
        <vt:lpwstr/>
      </vt:variant>
      <vt:variant>
        <vt:i4>8126535</vt:i4>
      </vt:variant>
      <vt:variant>
        <vt:i4>24</vt:i4>
      </vt:variant>
      <vt:variant>
        <vt:i4>0</vt:i4>
      </vt:variant>
      <vt:variant>
        <vt:i4>5</vt:i4>
      </vt:variant>
      <vt:variant>
        <vt:lpwstr>http://www.deloitte.com/view/es_MX/mx/sala-de-prensa/boletines-de-prensa/5e0942db</vt:lpwstr>
      </vt:variant>
      <vt:variant>
        <vt:lpwstr/>
      </vt:variant>
      <vt:variant>
        <vt:i4>8257639</vt:i4>
      </vt:variant>
      <vt:variant>
        <vt:i4>21</vt:i4>
      </vt:variant>
      <vt:variant>
        <vt:i4>0</vt:i4>
      </vt:variant>
      <vt:variant>
        <vt:i4>5</vt:i4>
      </vt:variant>
      <vt:variant>
        <vt:lpwstr>http://www.deloitte.com/assets/Dcom-Mexico/Local Assets/Documents/</vt:lpwstr>
      </vt:variant>
      <vt:variant>
        <vt:lpwstr/>
      </vt:variant>
      <vt:variant>
        <vt:i4>4259909</vt:i4>
      </vt:variant>
      <vt:variant>
        <vt:i4>18</vt:i4>
      </vt:variant>
      <vt:variant>
        <vt:i4>0</vt:i4>
      </vt:variant>
      <vt:variant>
        <vt:i4>5</vt:i4>
      </vt:variant>
      <vt:variant>
        <vt:lpwstr>http://www.deloitte.com.mx/multimedia/tips/security/</vt:lpwstr>
      </vt:variant>
      <vt:variant>
        <vt:lpwstr/>
      </vt:variant>
      <vt:variant>
        <vt:i4>458851</vt:i4>
      </vt:variant>
      <vt:variant>
        <vt:i4>15</vt:i4>
      </vt:variant>
      <vt:variant>
        <vt:i4>0</vt:i4>
      </vt:variant>
      <vt:variant>
        <vt:i4>5</vt:i4>
      </vt:variant>
      <vt:variant>
        <vt:lpwstr>http://www.deloitte.com/view/es_MX/mx/industrias/serviciosfinancieros/</vt:lpwstr>
      </vt:variant>
      <vt:variant>
        <vt:lpwstr/>
      </vt:variant>
      <vt:variant>
        <vt:i4>1048607</vt:i4>
      </vt:variant>
      <vt:variant>
        <vt:i4>12</vt:i4>
      </vt:variant>
      <vt:variant>
        <vt:i4>0</vt:i4>
      </vt:variant>
      <vt:variant>
        <vt:i4>5</vt:i4>
      </vt:variant>
      <vt:variant>
        <vt:lpwstr>http://www.deloitte.com/assets/Dcom-UnitedStates/Local Assets/Documents/</vt:lpwstr>
      </vt:variant>
      <vt:variant>
        <vt:lpwstr/>
      </vt:variant>
      <vt:variant>
        <vt:i4>3407976</vt:i4>
      </vt:variant>
      <vt:variant>
        <vt:i4>9</vt:i4>
      </vt:variant>
      <vt:variant>
        <vt:i4>0</vt:i4>
      </vt:variant>
      <vt:variant>
        <vt:i4>5</vt:i4>
      </vt:variant>
      <vt:variant>
        <vt:lpwstr>http://www.deloitte.com/assets/Dcom-UnitedStates/Local Assets/</vt:lpwstr>
      </vt:variant>
      <vt:variant>
        <vt:lpwstr/>
      </vt:variant>
      <vt:variant>
        <vt:i4>1310798</vt:i4>
      </vt:variant>
      <vt:variant>
        <vt:i4>6</vt:i4>
      </vt:variant>
      <vt:variant>
        <vt:i4>0</vt:i4>
      </vt:variant>
      <vt:variant>
        <vt:i4>5</vt:i4>
      </vt:variant>
      <vt:variant>
        <vt:lpwstr>http://www.cepal.org/ofilac/</vt:lpwstr>
      </vt:variant>
      <vt:variant>
        <vt:lpwstr/>
      </vt:variant>
      <vt:variant>
        <vt:i4>4784155</vt:i4>
      </vt:variant>
      <vt:variant>
        <vt:i4>3</vt:i4>
      </vt:variant>
      <vt:variant>
        <vt:i4>0</vt:i4>
      </vt:variant>
      <vt:variant>
        <vt:i4>5</vt:i4>
      </vt:variant>
      <vt:variant>
        <vt:lpwstr>http://www.cepal.org/cgi-bin/getProd.asp?xml=/ofilac/noticias/noticias/2/42262/P42262.xml&amp;xsl=/ofilac/tpl/p1f.xsl&amp;base=/ofilac/tpl/top-bottom.xsl</vt:lpwstr>
      </vt:variant>
      <vt:variant>
        <vt:lpwstr/>
      </vt:variant>
      <vt:variant>
        <vt:i4>7209071</vt:i4>
      </vt:variant>
      <vt:variant>
        <vt:i4>0</vt:i4>
      </vt:variant>
      <vt:variant>
        <vt:i4>0</vt:i4>
      </vt:variant>
      <vt:variant>
        <vt:i4>5</vt:i4>
      </vt:variant>
      <vt:variant>
        <vt:lpwstr>http://www.presidencia.gob.mx/el-blog/10-acciones-para-enfrentar-la-sequia-en-el-pais/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AGONZALEZ</dc:creator>
  <cp:keywords/>
  <dc:description/>
  <cp:lastModifiedBy>Guadalupe Patricia Cuca Villegas</cp:lastModifiedBy>
  <cp:revision>14</cp:revision>
  <cp:lastPrinted>2015-03-24T22:38:00Z</cp:lastPrinted>
  <dcterms:created xsi:type="dcterms:W3CDTF">2015-03-23T19:43:00Z</dcterms:created>
  <dcterms:modified xsi:type="dcterms:W3CDTF">2015-03-24T22:38:00Z</dcterms:modified>
</cp:coreProperties>
</file>