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43BF91D0" w:rsidR="00B01489" w:rsidRPr="00832DFD" w:rsidRDefault="00D8394F" w:rsidP="00832DFD">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bookmarkStart w:id="3" w:name="_GoBack"/>
      <w:bookmarkEnd w:id="3"/>
      <w:r w:rsidRPr="00832DFD">
        <w:rPr>
          <w:b/>
          <w:color w:val="002060"/>
          <w:sz w:val="32"/>
          <w:szCs w:val="32"/>
        </w:rPr>
        <w:t>I</w:t>
      </w:r>
      <w:r w:rsidR="00D432C9" w:rsidRPr="00832DFD">
        <w:rPr>
          <w:b/>
          <w:color w:val="002060"/>
          <w:sz w:val="32"/>
          <w:szCs w:val="32"/>
        </w:rPr>
        <w:t>I</w:t>
      </w:r>
      <w:r w:rsidR="008E74FA" w:rsidRPr="00832DFD">
        <w:rPr>
          <w:b/>
          <w:color w:val="002060"/>
          <w:sz w:val="32"/>
          <w:szCs w:val="32"/>
        </w:rPr>
        <w:t>I</w:t>
      </w:r>
      <w:r w:rsidR="00133A18" w:rsidRPr="00832DFD">
        <w:rPr>
          <w:b/>
          <w:color w:val="002060"/>
          <w:sz w:val="32"/>
          <w:szCs w:val="32"/>
        </w:rPr>
        <w:t xml:space="preserve">. </w:t>
      </w:r>
      <w:r w:rsidR="008E74FA" w:rsidRPr="00832DFD">
        <w:rPr>
          <w:b/>
          <w:color w:val="002060"/>
          <w:sz w:val="32"/>
          <w:szCs w:val="32"/>
        </w:rPr>
        <w:t>POLÍTICA ENERGÉTICA</w:t>
      </w:r>
    </w:p>
    <w:bookmarkEnd w:id="0"/>
    <w:bookmarkEnd w:id="1"/>
    <w:bookmarkEnd w:id="2"/>
    <w:p w14:paraId="01380515" w14:textId="7D09F306" w:rsidR="00E9162D" w:rsidRPr="00E9162D" w:rsidRDefault="00E9162D" w:rsidP="00E9162D">
      <w:pPr>
        <w:rPr>
          <w:rFonts w:eastAsia="Calibri"/>
          <w:b/>
          <w:sz w:val="26"/>
          <w:szCs w:val="26"/>
          <w:lang w:eastAsia="en-US"/>
        </w:rPr>
      </w:pPr>
      <w:r w:rsidRPr="00E9162D">
        <w:rPr>
          <w:rFonts w:eastAsia="Calibri"/>
          <w:b/>
          <w:sz w:val="26"/>
          <w:szCs w:val="26"/>
          <w:lang w:eastAsia="en-US"/>
        </w:rPr>
        <w:t>77</w:t>
      </w:r>
      <w:r w:rsidR="00E1255F">
        <w:rPr>
          <w:rFonts w:eastAsia="Calibri"/>
          <w:b/>
          <w:sz w:val="26"/>
          <w:szCs w:val="26"/>
          <w:lang w:eastAsia="en-US"/>
        </w:rPr>
        <w:t xml:space="preserve">º </w:t>
      </w:r>
      <w:r w:rsidRPr="00E9162D">
        <w:rPr>
          <w:rFonts w:eastAsia="Calibri"/>
          <w:b/>
          <w:sz w:val="26"/>
          <w:szCs w:val="26"/>
          <w:lang w:eastAsia="en-US"/>
        </w:rPr>
        <w:t>Aniversario de la Expropiación Petrolera</w:t>
      </w:r>
    </w:p>
    <w:p w14:paraId="5D27A562" w14:textId="77777777" w:rsidR="00E9162D" w:rsidRPr="00E9162D" w:rsidRDefault="00E9162D" w:rsidP="00E9162D">
      <w:pPr>
        <w:spacing w:after="360" w:line="360" w:lineRule="auto"/>
        <w:ind w:right="-159"/>
        <w:jc w:val="both"/>
        <w:rPr>
          <w:rFonts w:eastAsia="Calibri"/>
          <w:b/>
          <w:sz w:val="26"/>
          <w:szCs w:val="26"/>
          <w:lang w:eastAsia="en-US"/>
        </w:rPr>
      </w:pPr>
      <w:r w:rsidRPr="00E9162D">
        <w:rPr>
          <w:rFonts w:eastAsia="Calibri"/>
          <w:b/>
          <w:sz w:val="26"/>
          <w:szCs w:val="26"/>
          <w:lang w:eastAsia="en-US"/>
        </w:rPr>
        <w:t>(Presidencia de la República)</w:t>
      </w:r>
    </w:p>
    <w:p w14:paraId="550087A1" w14:textId="0C6F5E6B"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18 de marzo de 2015, durante la conmemoración del 77</w:t>
      </w:r>
      <w:r w:rsidR="00E1255F">
        <w:rPr>
          <w:rFonts w:eastAsia="Calibri"/>
          <w:sz w:val="26"/>
          <w:szCs w:val="26"/>
          <w:lang w:eastAsia="en-US"/>
        </w:rPr>
        <w:t xml:space="preserve">º </w:t>
      </w:r>
      <w:r w:rsidRPr="00E9162D">
        <w:rPr>
          <w:rFonts w:eastAsia="Calibri"/>
          <w:sz w:val="26"/>
          <w:szCs w:val="26"/>
          <w:lang w:eastAsia="en-US"/>
        </w:rPr>
        <w:t>Aniversario de la Expropiación petrolera, el Jefe del Ejecutivo Federal indicó que hoy “México cuenta con un modelo energético de vanguardia que permitirá acelerar el crecimiento de la industria petrolera y el desarrollo de la economía entera”. A continuación se presenta la información.</w:t>
      </w:r>
    </w:p>
    <w:p w14:paraId="1060076E"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Presidente de la República afirmó que con la Reforma Energética en acción “está surgiendo un nuevo Petróleos Mexicanos (Pemex) más fuerte, más moderno y más competitivo. Pemex se transformó en una empresa productiva del Estado, con la flexibilidad jurídica y gerencial para adaptarse a los nuevos tiempos y convertirse en una de las principales petroleras del mundo”.</w:t>
      </w:r>
    </w:p>
    <w:p w14:paraId="4F09B591"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Al resaltar que el Gobierno de la República impulsó en 2013 la Reforma Energética “con una nueva visión, pero con la misma convicción del Presidente Lázaro Cárdenas: la de fortalecer la soberanía nacional”, el Primer Mandatario aseguró, en la conmemoración del 77 aniversario de la Expropiación Petrolera, que hoy “México cuenta con un modelo energético de vanguardia que permitirá acelerar el crecimiento de la industria petrolera y el desarrollo de la economía entera”.</w:t>
      </w:r>
    </w:p>
    <w:p w14:paraId="428754C4" w14:textId="0C3E075A" w:rsidR="00E9162D" w:rsidRPr="00E9162D" w:rsidRDefault="005951F9" w:rsidP="00E9162D">
      <w:pPr>
        <w:spacing w:after="360" w:line="360" w:lineRule="auto"/>
        <w:ind w:right="-159"/>
        <w:jc w:val="both"/>
        <w:rPr>
          <w:rFonts w:eastAsia="Calibri"/>
          <w:sz w:val="26"/>
          <w:szCs w:val="26"/>
          <w:lang w:eastAsia="en-US"/>
        </w:rPr>
      </w:pPr>
      <w:r>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6F68604C" wp14:editId="7D3B5ED8">
                <wp:simplePos x="0" y="0"/>
                <wp:positionH relativeFrom="margin">
                  <wp:posOffset>3525520</wp:posOffset>
                </wp:positionH>
                <wp:positionV relativeFrom="page">
                  <wp:posOffset>9079753</wp:posOffset>
                </wp:positionV>
                <wp:extent cx="2242820" cy="266700"/>
                <wp:effectExtent l="0" t="0" r="2540" b="0"/>
                <wp:wrapSquare wrapText="bothSides"/>
                <wp:docPr id="1689" name="Cuadro de texto 1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9FA3B" w14:textId="77777777" w:rsidR="005951F9" w:rsidRDefault="005951F9" w:rsidP="005951F9">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6F68604C" id="_x0000_t202" coordsize="21600,21600" o:spt="202" path="m,l,21600r21600,l21600,xe">
                <v:stroke joinstyle="miter"/>
                <v:path gradientshapeok="t" o:connecttype="rect"/>
              </v:shapetype>
              <v:shape id="Cuadro de texto 1689" o:spid="_x0000_s1026" type="#_x0000_t202" style="position:absolute;left:0;text-align:left;margin-left:277.6pt;margin-top:714.95pt;width:176.6pt;height:21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" stroked="f">
                <v:textbox style="mso-fit-shape-to-text:t">
                  <w:txbxContent>
                    <w:p w14:paraId="1059FA3B" w14:textId="77777777" w:rsidR="005951F9" w:rsidRDefault="005951F9" w:rsidP="005951F9">
                      <w:pPr>
                        <w:jc w:val="right"/>
                      </w:pPr>
                      <w:r>
                        <w:t>F1 P-07-02 Rev.00</w:t>
                      </w:r>
                    </w:p>
                  </w:txbxContent>
                </v:textbox>
                <w10:wrap type="square" anchorx="margin" anchory="page"/>
              </v:shape>
            </w:pict>
          </mc:Fallback>
        </mc:AlternateContent>
      </w:r>
      <w:r w:rsidR="00E9162D" w:rsidRPr="00E9162D">
        <w:rPr>
          <w:rFonts w:eastAsia="Calibri"/>
          <w:sz w:val="26"/>
          <w:szCs w:val="26"/>
          <w:lang w:eastAsia="en-US"/>
        </w:rPr>
        <w:t>Tras subrayar que “Pemex es y seguirá siendo patrimonio de los mexicanos”, el Titular del Ejecutivo Federal dijo que “hoy Pemex es un gran orgullo nacional que se renueva y fortalece para convertirse en la empresa más competitiva de la industria petrolera mundial”.</w:t>
      </w:r>
      <w:r w:rsidRPr="005951F9">
        <w:rPr>
          <w:rFonts w:eastAsia="Calibri"/>
          <w:noProof/>
          <w:sz w:val="26"/>
          <w:szCs w:val="26"/>
          <w:lang w:eastAsia="es-MX"/>
        </w:rPr>
        <w:t xml:space="preserve"> </w:t>
      </w:r>
    </w:p>
    <w:p w14:paraId="5CCBBBEB"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“Con la Reforma Energética, Pemex va primero. Por eso en la Ronda Cero, en este primer proceso licitatorio previsto en la Reforma Energética, se le asignaron campos de exploración y producción exclusivos que le permitirán generar, al menos, 2.5 millones de barriles diarios durante los siguientes 20 años”, mencionó.</w:t>
      </w:r>
    </w:p>
    <w:p w14:paraId="0EF5029C"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La Reforma Energética, destacó, “es el cambio económico más importante en los últimos 50 años, que consolida al sector como una auténtica fuente de prosperidad para los mexicanos”. Con la Reforma Energética, dijo, “México podrá extraer petróleo en aguas profundas, aprovechar sus amplios yacimientos de recursos no convencionales, e incrementar la disponibilidad de gas, de productos refinados y petroquímicos”.</w:t>
      </w:r>
    </w:p>
    <w:p w14:paraId="6871E526"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Expuso que a tan sólo siete meses de promulgadas las leyes secundarias de la Reforma Energética ya hay avances importantes en su instrumentación: se expidieron todos los reglamentos correspondientes, se integraron, y ya operan, los organismos que regularán y potenciarán al sector como son la Comisión Nacional de Hidrocarburos, el Fondo Mexicano del Petróleo o el Centro Nacional de Control de Gas Natural, entre otros.</w:t>
      </w:r>
    </w:p>
    <w:p w14:paraId="7470D1C5"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Destacó que este proceso, que se ha dado en tan pocos meses, “en otros países que han hecho también reformas a su sector energético, les ha tomado años. Pero aquí en México estamos conscientes en la necesidad de acelerar este proceso de transformación para generar de manera acelerada bienestar para todas las familias mexicanas”.</w:t>
      </w:r>
    </w:p>
    <w:p w14:paraId="272C7325" w14:textId="77777777" w:rsidR="00E9162D" w:rsidRPr="00E9162D" w:rsidRDefault="00E9162D" w:rsidP="00E9162D">
      <w:pPr>
        <w:spacing w:after="360" w:line="360" w:lineRule="auto"/>
        <w:ind w:right="-159"/>
        <w:jc w:val="both"/>
        <w:rPr>
          <w:rFonts w:eastAsia="Calibri"/>
          <w:b/>
          <w:sz w:val="26"/>
          <w:szCs w:val="26"/>
          <w:lang w:eastAsia="en-US"/>
        </w:rPr>
      </w:pPr>
      <w:r w:rsidRPr="00E9162D">
        <w:rPr>
          <w:rFonts w:eastAsia="Calibri"/>
          <w:b/>
          <w:sz w:val="26"/>
          <w:szCs w:val="26"/>
          <w:lang w:eastAsia="en-US"/>
        </w:rPr>
        <w:t>El país confía en la creciente capacidad técnica de petróleos mexicanos</w:t>
      </w:r>
    </w:p>
    <w:p w14:paraId="6F4A2097"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En el evento, en el que también fue presentada la plataforma de perforación “Yunuén”, el Primer Mandatario precisó que dentro de la Ronda Cero se incluyen yacimientos en aguas profundas “porque el país confía en la creciente capacidad técnica de Petróleos Mexicanos”.</w:t>
      </w:r>
    </w:p>
    <w:p w14:paraId="09D12C02"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La plataforma “Yunuén”, añadió, tiene una capacidad de perforación de más de nueve kilómetros de profundidad y “es un ejemplo concreto del nuevo PEMEX que está surgiendo, en el que se conjunta la experiencia de sus trabajadores, con tecnología de punta para enfrentar los nuevos desafíos”.</w:t>
      </w:r>
    </w:p>
    <w:p w14:paraId="3891F29D"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Agregó que la Reforma Energética también facilita las alianzas estratégicas de Pemex con otras compañías, con el objetivo de potenciar su capacidad de ejecución y lograr sinergias tecnológicas. “Esta mayor capacidad de asociación le permitirá administrar de mejor manera sus riesgos y atraer inversiones aún más grandes que las que podría desplegar por sí sola”, explicó.</w:t>
      </w:r>
    </w:p>
    <w:p w14:paraId="5215391E"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Indicó que con la denominada Ronda Uno “se determinaron las áreas en las que podrán participar otros inversionistas, los cuales desarrollarán proyectos en forma independiente o en asociación con Pemex. De esta manera, Petróleos Mexicanos podrá concentrarse en las actividades y mercados más rentables sin limitar el desarrollo del resto de la cadena de valor de la industria energética de nuestro país”.</w:t>
      </w:r>
    </w:p>
    <w:p w14:paraId="133D03B3" w14:textId="77777777" w:rsidR="00E9162D" w:rsidRPr="00E9162D" w:rsidRDefault="00E9162D" w:rsidP="00E9162D">
      <w:pPr>
        <w:spacing w:after="360" w:line="360" w:lineRule="auto"/>
        <w:ind w:right="-159"/>
        <w:jc w:val="both"/>
        <w:rPr>
          <w:rFonts w:eastAsia="Calibri"/>
          <w:b/>
          <w:sz w:val="26"/>
          <w:szCs w:val="26"/>
          <w:lang w:eastAsia="en-US"/>
        </w:rPr>
      </w:pPr>
      <w:r w:rsidRPr="00E9162D">
        <w:rPr>
          <w:rFonts w:eastAsia="Calibri"/>
          <w:b/>
          <w:sz w:val="26"/>
          <w:szCs w:val="26"/>
          <w:lang w:eastAsia="en-US"/>
        </w:rPr>
        <w:t>Tenemos que blindar a Pemex de la delincuencia organizada</w:t>
      </w:r>
    </w:p>
    <w:p w14:paraId="26C3AEAA"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Presidente de México dijo que, como se puede apreciar, “la Reforma Energética transforma y fortalece integralmente a Pemex, pero también tenemos que respaldarla en otros ámbitos de la gestión pública. Uno de ellos, es blindar a la empresa de la delincuencia organizada”.</w:t>
      </w:r>
    </w:p>
    <w:p w14:paraId="3C1071EC"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Expresó su reconocimiento al Ejército Mexicano y a la Marina Armada “por proteger las instalaciones de Pemex y cuidar el patrimonio que es de todos los mexicanos”. En el evento, hizo entrega de reconocimientos por la Salvaguarda de los Petroleros y del Patrimonio Nacional al Secretario de la Defensa Nacional y al Secretario de Marina.</w:t>
      </w:r>
    </w:p>
    <w:p w14:paraId="5DEF2D1F"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“La gran labor que realizan nuestros soldados y marinos debe ir acompañada de un marco legal más estricto contra quienes le roban a la nación. Por ello será muy importante la discusión y eventual aprobación en el Congreso de la Ley General para Prevenir y Sancionar los Delitos Cometidos en contra del Patrimonio Nacional en Materia de Hidrocarburos”, subrayó.</w:t>
      </w:r>
    </w:p>
    <w:p w14:paraId="3BA2D58E"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Explicó que este nuevo ordenamiento legal será de gran utilidad para combatir el robo y venta de gasolina y diésel extraídos de forma ilegal de los ductos de Pemex, y con ello “reducir riesgos para la población y frenar el daño patrimonial que se genera al Estado”. Señaló que en ese esfuerzo “todos los Poderes y órdenes de Gobierno tenemos que sumar nuestro trabajo en favor de Pemex, porque Pemex todos los días está trabajando en favor de México”.</w:t>
      </w:r>
    </w:p>
    <w:p w14:paraId="70E77383"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Primer Mandatario dijo que Pemex y México, “al igual que todas las compañías y países petroleros del mundo, enfrentamos una coyuntura desafiante por los bajos precios internacionales del petróleo. Gracias a las reformas estructurales, México está mejor preparado como nación para hacer frente a este escenario”.</w:t>
      </w:r>
    </w:p>
    <w:p w14:paraId="7A475B01" w14:textId="3130649A"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Añadió que P</w:t>
      </w:r>
      <w:r w:rsidR="007929F6">
        <w:rPr>
          <w:rFonts w:eastAsia="Calibri"/>
          <w:sz w:val="26"/>
          <w:szCs w:val="26"/>
          <w:lang w:eastAsia="en-US"/>
        </w:rPr>
        <w:t>emex</w:t>
      </w:r>
      <w:r w:rsidRPr="00E9162D">
        <w:rPr>
          <w:rFonts w:eastAsia="Calibri"/>
          <w:sz w:val="26"/>
          <w:szCs w:val="26"/>
          <w:lang w:eastAsia="en-US"/>
        </w:rPr>
        <w:t xml:space="preserve"> también cuenta con mejores instrumentos para seguir adelante y superar estas demandantes condiciones.</w:t>
      </w:r>
    </w:p>
    <w:p w14:paraId="1E7B1D4B" w14:textId="77777777" w:rsidR="00E9162D" w:rsidRPr="00E9162D" w:rsidRDefault="00E9162D" w:rsidP="007929F6">
      <w:pPr>
        <w:spacing w:after="360"/>
        <w:ind w:right="-159"/>
        <w:jc w:val="both"/>
        <w:rPr>
          <w:rFonts w:eastAsia="Calibri"/>
          <w:b/>
          <w:sz w:val="26"/>
          <w:szCs w:val="26"/>
          <w:lang w:eastAsia="en-US"/>
        </w:rPr>
      </w:pPr>
      <w:r w:rsidRPr="00E9162D">
        <w:rPr>
          <w:rFonts w:eastAsia="Calibri"/>
          <w:b/>
          <w:sz w:val="26"/>
          <w:szCs w:val="26"/>
          <w:lang w:eastAsia="en-US"/>
        </w:rPr>
        <w:t>Ustedes tendrán el orgullo de ser los petroleros que transformaron a Pemex en el siglo XXI</w:t>
      </w:r>
    </w:p>
    <w:p w14:paraId="741F7752" w14:textId="7FCE1EE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Dijo a los trabajadores petroleros: “ustedes están haciendo la parte que les corresponde; están dando lo mejor de sí mismos para ser más eficientes, y estoy seguro de que seguirán por esa ruta. Su talento, compromiso y entrega decidida son el músculo y el corazón que mueven a Pe</w:t>
      </w:r>
      <w:r w:rsidR="002A1806">
        <w:rPr>
          <w:rFonts w:eastAsia="Calibri"/>
          <w:sz w:val="26"/>
          <w:szCs w:val="26"/>
          <w:lang w:eastAsia="en-US"/>
        </w:rPr>
        <w:t>mex</w:t>
      </w:r>
      <w:r w:rsidRPr="00E9162D">
        <w:rPr>
          <w:rFonts w:eastAsia="Calibri"/>
          <w:sz w:val="26"/>
          <w:szCs w:val="26"/>
          <w:lang w:eastAsia="en-US"/>
        </w:rPr>
        <w:t>, y serán fundamentales en la gran transformación que están realizando.</w:t>
      </w:r>
    </w:p>
    <w:p w14:paraId="76318404" w14:textId="63E94CCA"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“El Gobierno de la República reafirma su respaldo para seguir impulsando el desarrollo y el éxito de Pe</w:t>
      </w:r>
      <w:r w:rsidR="002A1806">
        <w:rPr>
          <w:rFonts w:eastAsia="Calibri"/>
          <w:sz w:val="26"/>
          <w:szCs w:val="26"/>
          <w:lang w:eastAsia="en-US"/>
        </w:rPr>
        <w:t>mex</w:t>
      </w:r>
      <w:r w:rsidRPr="00E9162D">
        <w:rPr>
          <w:rFonts w:eastAsia="Calibri"/>
          <w:sz w:val="26"/>
          <w:szCs w:val="26"/>
          <w:lang w:eastAsia="en-US"/>
        </w:rPr>
        <w:t>. Con la Reforma Energética, a ustedes, a ustedes trabajadoras y trabajadores de Pemex, les tocará hacer realidad el cambio más profundo en la historia de esta empresa, desde su nacimiento. Ustedes tendrán el orgullo, no sólo de ser petroleros, sino de ser los petroleros que transformaron a Pemex en el siglo XXI”.</w:t>
      </w:r>
    </w:p>
    <w:p w14:paraId="64A277C6"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Posteriormente, el Presidente de la República realizó un recorrido por la nueva plataforma de perforación “Yunuén”, en donde recibió explicaciones por parte del Superintendente de la plataforma. El Primer Mandatario recorrió el puente de mando, la cubierta principal, el piso de perforación, la cabina de perforación y el comedor de la plataforma.</w:t>
      </w:r>
    </w:p>
    <w:p w14:paraId="47D9DD8B" w14:textId="77777777" w:rsidR="00E9162D" w:rsidRPr="00E9162D" w:rsidRDefault="00E9162D" w:rsidP="00E9162D">
      <w:pPr>
        <w:spacing w:after="360" w:line="360" w:lineRule="auto"/>
        <w:ind w:right="-159"/>
        <w:jc w:val="both"/>
        <w:rPr>
          <w:rFonts w:eastAsia="Calibri"/>
          <w:b/>
          <w:sz w:val="26"/>
          <w:szCs w:val="26"/>
          <w:lang w:eastAsia="en-US"/>
        </w:rPr>
      </w:pPr>
      <w:r w:rsidRPr="00E9162D">
        <w:rPr>
          <w:rFonts w:eastAsia="Calibri"/>
          <w:b/>
          <w:sz w:val="26"/>
          <w:szCs w:val="26"/>
          <w:lang w:eastAsia="en-US"/>
        </w:rPr>
        <w:t>Diversa intervenciones:</w:t>
      </w:r>
    </w:p>
    <w:p w14:paraId="0C14E595" w14:textId="77777777" w:rsidR="00E9162D" w:rsidRPr="00E9162D" w:rsidRDefault="00E9162D" w:rsidP="007929F6">
      <w:pPr>
        <w:numPr>
          <w:ilvl w:val="0"/>
          <w:numId w:val="138"/>
        </w:numPr>
        <w:spacing w:after="360" w:line="360" w:lineRule="auto"/>
        <w:ind w:left="357" w:right="-159" w:hanging="357"/>
        <w:jc w:val="both"/>
        <w:rPr>
          <w:rFonts w:eastAsia="Calibri"/>
          <w:b/>
          <w:sz w:val="26"/>
          <w:szCs w:val="26"/>
          <w:lang w:eastAsia="en-US"/>
        </w:rPr>
      </w:pPr>
      <w:r w:rsidRPr="00E9162D">
        <w:rPr>
          <w:rFonts w:eastAsia="Calibri"/>
          <w:b/>
          <w:sz w:val="26"/>
          <w:szCs w:val="26"/>
          <w:lang w:eastAsia="en-US"/>
        </w:rPr>
        <w:t>La reforma energética del Presidente de México llegó a tiempo</w:t>
      </w:r>
    </w:p>
    <w:p w14:paraId="18B82E91" w14:textId="6D142775"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Secretario de Energía informó que tan sólo con las dos primeras convocatorias que se han publicado para la licitación de contratos de exploración en aguas someras, México atraerá inversiones por 21 mil millones de dólares y se generarán 212 mil empleos, 57 mil de ellos directos</w:t>
      </w:r>
      <w:r w:rsidRPr="00E9162D">
        <w:rPr>
          <w:rFonts w:eastAsia="Calibri"/>
          <w:sz w:val="26"/>
          <w:szCs w:val="26"/>
          <w:vertAlign w:val="superscript"/>
          <w:lang w:eastAsia="en-US"/>
        </w:rPr>
        <w:footnoteReference w:id="1"/>
      </w:r>
      <w:r w:rsidR="002A1806">
        <w:rPr>
          <w:rFonts w:eastAsia="Calibri"/>
          <w:sz w:val="26"/>
          <w:szCs w:val="26"/>
          <w:lang w:eastAsia="en-US"/>
        </w:rPr>
        <w:t>.</w:t>
      </w:r>
    </w:p>
    <w:p w14:paraId="6CDF354F"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Por eso, precisó, “hoy, en la coyuntura de bajos precios en el mercado internacional de crudo, podemos afirmar que la Reforma Energética del Presidente de la República llegó a tiempo”.</w:t>
      </w:r>
    </w:p>
    <w:p w14:paraId="4A0D0039"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Aseveró que “la Reforma Energética sigue adelante y sus beneficios llegan a diversas regiones del país. Tabasco, estado con gran tradición petrolera, será uno de los principales beneficiados con estas convocatorias de la Ronda Uno, que traerán nuevas oportunidades para el desarrollo regional, la instalación de empresas de servicios y </w:t>
      </w:r>
      <w:r w:rsidRPr="00E9162D">
        <w:rPr>
          <w:rFonts w:eastAsia="Calibri"/>
          <w:sz w:val="26"/>
          <w:szCs w:val="26"/>
          <w:lang w:eastAsia="en-US"/>
        </w:rPr>
        <w:lastRenderedPageBreak/>
        <w:t>proveedoras, y la creación de empleos. Pemex continuará realizando inversiones e impulsando el desarrollo nacional”.</w:t>
      </w:r>
    </w:p>
    <w:p w14:paraId="6FCE7387"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Explicó que las primeras dos de las cinco convocatorias que se realizarán como parte de la Ronda Uno, avanzan con enorme interés entre empresas nacionales e internacionales para la licitación de contratos de exploración en aguas someras. Informó que 48 empresas han declarado su interés de participar, 37 ya han pagado su acceso al cuarto de datos y 27 ya se inscribieron al proceso de precalificación.</w:t>
      </w:r>
    </w:p>
    <w:p w14:paraId="5E3306AA" w14:textId="77777777" w:rsidR="00E9162D" w:rsidRPr="00E9162D" w:rsidRDefault="00E9162D" w:rsidP="002A1806">
      <w:pPr>
        <w:numPr>
          <w:ilvl w:val="0"/>
          <w:numId w:val="138"/>
        </w:numPr>
        <w:spacing w:after="360" w:line="360" w:lineRule="auto"/>
        <w:ind w:left="357" w:right="-159" w:hanging="357"/>
        <w:jc w:val="both"/>
        <w:rPr>
          <w:rFonts w:eastAsia="Calibri"/>
          <w:b/>
          <w:sz w:val="26"/>
          <w:szCs w:val="26"/>
          <w:lang w:eastAsia="en-US"/>
        </w:rPr>
      </w:pPr>
      <w:r w:rsidRPr="00E9162D">
        <w:rPr>
          <w:rFonts w:eastAsia="Calibri"/>
          <w:b/>
          <w:sz w:val="26"/>
          <w:szCs w:val="26"/>
          <w:lang w:eastAsia="en-US"/>
        </w:rPr>
        <w:t>Avanzamos a paso firme en transformar a Pemex en una empresa competitiva</w:t>
      </w:r>
    </w:p>
    <w:p w14:paraId="66939513"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Director General de Pemex</w:t>
      </w:r>
      <w:r w:rsidRPr="00E9162D">
        <w:rPr>
          <w:rFonts w:eastAsia="Calibri"/>
          <w:sz w:val="26"/>
          <w:szCs w:val="26"/>
          <w:vertAlign w:val="superscript"/>
          <w:lang w:eastAsia="en-US"/>
        </w:rPr>
        <w:footnoteReference w:id="2"/>
      </w:r>
      <w:r w:rsidRPr="00E9162D">
        <w:rPr>
          <w:rFonts w:eastAsia="Calibri"/>
          <w:sz w:val="26"/>
          <w:szCs w:val="26"/>
          <w:lang w:eastAsia="en-US"/>
        </w:rPr>
        <w:t xml:space="preserve"> afirmó que la Reforma Energética, al igual que las demás reformas estructurales impulsadas por el Presidente de la República con visión de Estado, está en marcha y supone la transformación radical de la industria petrolera, por una parte, y la transformación de Pemex en una empresa capaz de competir y destacar en un entorno de mercado abierto.</w:t>
      </w:r>
    </w:p>
    <w:p w14:paraId="46CAFAA1"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Dijo que la transformación de la industria petrolera comienza a dar frutos, mientras que en la transformación de Pemex en una empresa competitiva “también avanzamos a paso firme”.</w:t>
      </w:r>
    </w:p>
    <w:p w14:paraId="73FDCE93"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Expuso que gracias al compromiso de los trabajadores, el nuevo régimen legal de Pemex ha permitido responder con más agilidad y eficacia a la caída de los precios en los mercados internacionales. “Estamos enfrentando con temple la difícil coyuntura que atravesamos. Es momento de elevar la mira; asumir que el gran reto que tenemos es interno, es un reto para Pemex y es un reto en lo individual para cada uno de los petroleros”, expresó.</w:t>
      </w:r>
    </w:p>
    <w:p w14:paraId="6AEAC04E"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Por ello, agrega, “trabajamos en cuatro ejes para hacer de Pemex la empresa más competitiva de la industria en nuestro país, y un referente internacional”.</w:t>
      </w:r>
    </w:p>
    <w:p w14:paraId="4AE0678C"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Explicó que a 77 años de la creación de Pemex, se enfrenta un reto igual o mayor al de la generación fundadora de la empresa, pero confió en que el organismo saldrá adelante y se consolidará en este proceso de transformación “para continuar siendo, en esta nueva etapa, un orgullo, como bien dijeron todos ustedes, para todos los mexicanos”.</w:t>
      </w:r>
    </w:p>
    <w:p w14:paraId="1DF13F67" w14:textId="77777777" w:rsidR="00E9162D" w:rsidRPr="00E9162D" w:rsidRDefault="00E9162D" w:rsidP="002A1806">
      <w:pPr>
        <w:numPr>
          <w:ilvl w:val="0"/>
          <w:numId w:val="138"/>
        </w:numPr>
        <w:spacing w:after="360"/>
        <w:ind w:left="357" w:right="-159" w:hanging="357"/>
        <w:jc w:val="both"/>
        <w:rPr>
          <w:rFonts w:eastAsia="Calibri"/>
          <w:b/>
          <w:sz w:val="26"/>
          <w:szCs w:val="26"/>
          <w:lang w:eastAsia="en-US"/>
        </w:rPr>
      </w:pPr>
      <w:r w:rsidRPr="00E9162D">
        <w:rPr>
          <w:rFonts w:eastAsia="Calibri"/>
          <w:b/>
          <w:sz w:val="26"/>
          <w:szCs w:val="26"/>
          <w:lang w:eastAsia="en-US"/>
        </w:rPr>
        <w:t>La reforma energética busca dar viabilidad a la industria petrolera nacional, mejorar la distribución de sus beneficios y propiciar mayor bienestar</w:t>
      </w:r>
    </w:p>
    <w:p w14:paraId="4B1A0837"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El Gobernador del Estado de Tabasco señaló que ante un nuevo contexto económico global y una nueva realidad nacional, las reformas y leyes secundarias promovidas por el Presidente de la República en materia energética “constituyen el derecho vigente que regula la industria petrolera nacional”.</w:t>
      </w:r>
    </w:p>
    <w:p w14:paraId="40BA0FDB"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Aseveró que México mantiene hoy finanzas equilibradas gracias a que el Gobierno de la República “ha adoptado responsablemente medidas oportunas para hacer más eficiente el gasto público”. Celebró la iniciativa de Desarrollo Integral de la Región Sur-Sureste impulsada por el Ejecutivo Federal, la cual calificó como un acto de justicia y “una decisión inteligente para aprovechar el potencial de la región, a la vez que se garantiza la seguridad nacional de todos los mexicanos”.</w:t>
      </w:r>
    </w:p>
    <w:p w14:paraId="3CFF1149"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Afirmó que como en 1938, los cambios emprendidos a través de la Reforma energética buscan “darle viabilidad a la industria petrolera nacional, mejorar la distribución de sus beneficios y propiciar mayor bienestar para todos los mexicanos”.</w:t>
      </w:r>
    </w:p>
    <w:p w14:paraId="2046F75C" w14:textId="77777777" w:rsidR="00E9162D" w:rsidRPr="00E9162D" w:rsidRDefault="00E9162D" w:rsidP="002A1806">
      <w:pPr>
        <w:numPr>
          <w:ilvl w:val="0"/>
          <w:numId w:val="138"/>
        </w:numPr>
        <w:spacing w:after="360"/>
        <w:ind w:left="357" w:right="-159" w:hanging="357"/>
        <w:jc w:val="both"/>
        <w:rPr>
          <w:rFonts w:eastAsia="Calibri"/>
          <w:b/>
          <w:sz w:val="26"/>
          <w:szCs w:val="26"/>
          <w:lang w:eastAsia="en-US"/>
        </w:rPr>
      </w:pPr>
      <w:r w:rsidRPr="00E9162D">
        <w:rPr>
          <w:rFonts w:eastAsia="Calibri"/>
          <w:b/>
          <w:sz w:val="26"/>
          <w:szCs w:val="26"/>
          <w:lang w:eastAsia="en-US"/>
        </w:rPr>
        <w:t>México necesita de todos, y los petroleros no seremos la excepción</w:t>
      </w:r>
    </w:p>
    <w:p w14:paraId="5D8C5618" w14:textId="7FDC643A"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El Secretario General del Comité Ejecutivo General del Sindicato de Trabajadores Petroleros de la República Mexicana (STPRM) indicó que entre el sindicato y Pemex </w:t>
      </w:r>
      <w:r w:rsidRPr="00E9162D">
        <w:rPr>
          <w:rFonts w:eastAsia="Calibri"/>
          <w:sz w:val="26"/>
          <w:szCs w:val="26"/>
          <w:lang w:eastAsia="en-US"/>
        </w:rPr>
        <w:lastRenderedPageBreak/>
        <w:t>la relación es de “trabajo coordinado, profesional y sensato para implementar medidas de racionalidad presupuesta</w:t>
      </w:r>
      <w:r w:rsidR="003B1F37">
        <w:rPr>
          <w:rFonts w:eastAsia="Calibri"/>
          <w:sz w:val="26"/>
          <w:szCs w:val="26"/>
          <w:lang w:eastAsia="en-US"/>
        </w:rPr>
        <w:t>ria</w:t>
      </w:r>
      <w:r w:rsidRPr="00E9162D">
        <w:rPr>
          <w:rFonts w:eastAsia="Calibri"/>
          <w:sz w:val="26"/>
          <w:szCs w:val="26"/>
          <w:lang w:eastAsia="en-US"/>
        </w:rPr>
        <w:t xml:space="preserve"> que permitan mejorar la eficiencia en la operación, y al mismo tiempo, hacer un óptimo aprovechamiento de los recursos humanos”. Descartó que existan convenios para liquidar a miles de trabajadores petroleros.</w:t>
      </w:r>
    </w:p>
    <w:p w14:paraId="6BCFB01B"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Aseguró que desde el inicio de su Administración, el Presidente de la República demostró “el gran esfuerzo de conciliación puesto en marcha para que con el concurso de diversas fuerzas políticas, el país pusiera a discusión y decidiera acerca de temas prioritarios para el avance de la nación”.</w:t>
      </w:r>
    </w:p>
    <w:p w14:paraId="19A3F066" w14:textId="77777777"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Indicó que ante los cambios, los petroleros esperan que pronto la dinámica de este sector “impulse una mejoría sensible en nuestro crecimiento, que permita atender mejor todos esos rezagos cuya solución postergada ha sido motivo de confrontación de diversos sectores de nuestra sociedad a lo largo del tiempo”. Refrendó el apoyo de su gremio para estar a la altura de las exigencias porque “México necesita de todos, y los petroleros no seremos la excepción”.</w:t>
      </w:r>
    </w:p>
    <w:p w14:paraId="414A44CF" w14:textId="77777777" w:rsidR="00E9162D" w:rsidRPr="00E9162D" w:rsidRDefault="00E9162D" w:rsidP="00E9162D">
      <w:pPr>
        <w:ind w:right="-159"/>
        <w:jc w:val="both"/>
        <w:rPr>
          <w:rFonts w:eastAsia="Calibri"/>
          <w:b/>
          <w:sz w:val="20"/>
          <w:szCs w:val="20"/>
          <w:lang w:eastAsia="en-US"/>
        </w:rPr>
      </w:pPr>
      <w:r w:rsidRPr="00E9162D">
        <w:rPr>
          <w:rFonts w:eastAsia="Calibri"/>
          <w:b/>
          <w:sz w:val="20"/>
          <w:szCs w:val="20"/>
          <w:lang w:eastAsia="en-US"/>
        </w:rPr>
        <w:t>Fuente de información:</w:t>
      </w:r>
    </w:p>
    <w:p w14:paraId="593E852D" w14:textId="77777777" w:rsidR="00E9162D" w:rsidRPr="003B1F37" w:rsidRDefault="00872B0E" w:rsidP="00E9162D">
      <w:pPr>
        <w:ind w:right="-159"/>
        <w:jc w:val="both"/>
        <w:rPr>
          <w:rFonts w:eastAsia="Calibri"/>
          <w:color w:val="0000FF"/>
          <w:sz w:val="20"/>
          <w:szCs w:val="20"/>
          <w:lang w:eastAsia="en-US"/>
        </w:rPr>
      </w:pPr>
      <w:hyperlink r:id="rId8" w:history="1">
        <w:r w:rsidR="00E9162D" w:rsidRPr="003B1F37">
          <w:rPr>
            <w:rFonts w:eastAsia="Calibri"/>
            <w:color w:val="0000FF"/>
            <w:sz w:val="20"/>
            <w:szCs w:val="20"/>
            <w:u w:val="single"/>
            <w:lang w:eastAsia="en-US"/>
          </w:rPr>
          <w:t>http://www.presidencia.gob.mx/articulos-prensa/con-la-reforma-energetica-en-accion-esta-surgiendo-un-nuevo-pemex-mas-fuerte-mas-moderno-y-mas-competitivo-enrique-pena-nieto/</w:t>
        </w:r>
      </w:hyperlink>
    </w:p>
    <w:p w14:paraId="4E87F03B" w14:textId="77777777" w:rsidR="00E9162D" w:rsidRPr="003B1F37" w:rsidRDefault="00E9162D" w:rsidP="00E9162D">
      <w:pPr>
        <w:ind w:right="-159"/>
        <w:jc w:val="both"/>
        <w:rPr>
          <w:rFonts w:eastAsia="Calibri"/>
          <w:sz w:val="20"/>
          <w:szCs w:val="20"/>
          <w:lang w:eastAsia="en-US"/>
        </w:rPr>
      </w:pPr>
      <w:r w:rsidRPr="003B1F37">
        <w:rPr>
          <w:rFonts w:eastAsia="Calibri"/>
          <w:sz w:val="20"/>
          <w:szCs w:val="20"/>
          <w:lang w:eastAsia="en-US"/>
        </w:rPr>
        <w:t>Para tener acceso a información relacionada, visitar:</w:t>
      </w:r>
    </w:p>
    <w:p w14:paraId="5017DBF4" w14:textId="77777777" w:rsidR="00E9162D" w:rsidRPr="003B1F37" w:rsidRDefault="00872B0E" w:rsidP="00E9162D">
      <w:pPr>
        <w:ind w:right="-159"/>
        <w:jc w:val="both"/>
        <w:rPr>
          <w:rFonts w:eastAsia="Calibri"/>
          <w:color w:val="0000FF"/>
          <w:sz w:val="20"/>
          <w:szCs w:val="20"/>
          <w:u w:val="single"/>
          <w:lang w:eastAsia="en-US"/>
        </w:rPr>
      </w:pPr>
      <w:hyperlink r:id="rId9" w:anchor=".VQrgx46G9ps" w:history="1">
        <w:r w:rsidR="00E9162D" w:rsidRPr="003B1F37">
          <w:rPr>
            <w:rFonts w:eastAsia="Calibri"/>
            <w:color w:val="0000FF"/>
            <w:sz w:val="20"/>
            <w:szCs w:val="20"/>
            <w:u w:val="single"/>
            <w:lang w:eastAsia="en-US"/>
          </w:rPr>
          <w:t>http://www.pemex.com/prensa/boletines_nacionales/Paginas/2015-023-nacional.aspx#.VQrgx46G9ps</w:t>
        </w:r>
      </w:hyperlink>
    </w:p>
    <w:p w14:paraId="3E5DF549" w14:textId="77777777" w:rsidR="00E9162D" w:rsidRPr="003B1F37" w:rsidRDefault="00872B0E" w:rsidP="003B1F37">
      <w:pPr>
        <w:spacing w:after="720"/>
        <w:ind w:right="-159"/>
        <w:jc w:val="both"/>
        <w:rPr>
          <w:rFonts w:eastAsia="Calibri"/>
          <w:color w:val="0000FF"/>
          <w:sz w:val="20"/>
          <w:szCs w:val="20"/>
          <w:lang w:eastAsia="en-US"/>
        </w:rPr>
      </w:pPr>
      <w:hyperlink r:id="rId10" w:history="1">
        <w:r w:rsidR="00E9162D" w:rsidRPr="003B1F37">
          <w:rPr>
            <w:rFonts w:eastAsia="Calibri"/>
            <w:color w:val="0000FF"/>
            <w:sz w:val="20"/>
            <w:szCs w:val="20"/>
            <w:u w:val="single"/>
            <w:lang w:eastAsia="en-US"/>
          </w:rPr>
          <w:t>https://www.youtube.com/embed/4yO9XgsSkZI</w:t>
        </w:r>
      </w:hyperlink>
      <w:r w:rsidR="00E9162D" w:rsidRPr="003B1F37">
        <w:rPr>
          <w:rFonts w:eastAsia="Calibri"/>
          <w:color w:val="0000FF"/>
          <w:sz w:val="20"/>
          <w:szCs w:val="20"/>
          <w:lang w:eastAsia="en-US"/>
        </w:rPr>
        <w:t xml:space="preserve"> </w:t>
      </w:r>
    </w:p>
    <w:p w14:paraId="09001368" w14:textId="77777777" w:rsidR="00E1255F" w:rsidRPr="00E1255F" w:rsidRDefault="00E1255F" w:rsidP="00E1255F">
      <w:pPr>
        <w:ind w:right="-159"/>
        <w:jc w:val="both"/>
        <w:rPr>
          <w:rFonts w:eastAsia="Calibri"/>
          <w:b/>
          <w:sz w:val="26"/>
          <w:szCs w:val="26"/>
          <w:lang w:eastAsia="en-US"/>
        </w:rPr>
      </w:pPr>
      <w:r w:rsidRPr="00E1255F">
        <w:rPr>
          <w:rFonts w:eastAsia="Calibri"/>
          <w:b/>
          <w:sz w:val="26"/>
          <w:szCs w:val="26"/>
          <w:lang w:eastAsia="en-US"/>
        </w:rPr>
        <w:t>Discurso  del  Director  General  de</w:t>
      </w:r>
    </w:p>
    <w:p w14:paraId="62F52730" w14:textId="77777777" w:rsidR="00E1255F" w:rsidRPr="00E1255F" w:rsidRDefault="00E1255F" w:rsidP="00E1255F">
      <w:pPr>
        <w:ind w:right="-159"/>
        <w:jc w:val="both"/>
        <w:rPr>
          <w:rFonts w:eastAsia="Calibri"/>
          <w:b/>
          <w:sz w:val="26"/>
          <w:szCs w:val="26"/>
          <w:lang w:eastAsia="en-US"/>
        </w:rPr>
      </w:pPr>
      <w:r w:rsidRPr="00E1255F">
        <w:rPr>
          <w:rFonts w:eastAsia="Calibri"/>
          <w:b/>
          <w:sz w:val="26"/>
          <w:szCs w:val="26"/>
          <w:lang w:eastAsia="en-US"/>
        </w:rPr>
        <w:t>Petróleos   Mexicanos,   durante   la</w:t>
      </w:r>
    </w:p>
    <w:p w14:paraId="71ED554B" w14:textId="77777777" w:rsidR="00E1255F" w:rsidRPr="00E1255F" w:rsidRDefault="00E1255F" w:rsidP="00E1255F">
      <w:pPr>
        <w:ind w:right="-159"/>
        <w:jc w:val="both"/>
        <w:rPr>
          <w:rFonts w:eastAsia="Calibri"/>
          <w:b/>
          <w:sz w:val="26"/>
          <w:szCs w:val="26"/>
          <w:lang w:eastAsia="en-US"/>
        </w:rPr>
      </w:pPr>
      <w:r w:rsidRPr="00E1255F">
        <w:rPr>
          <w:rFonts w:eastAsia="Calibri"/>
          <w:b/>
          <w:sz w:val="26"/>
          <w:szCs w:val="26"/>
          <w:lang w:eastAsia="en-US"/>
        </w:rPr>
        <w:t>Ceremonia    Conmemorativa    del</w:t>
      </w:r>
    </w:p>
    <w:p w14:paraId="38EE1DED" w14:textId="77777777" w:rsidR="00E1255F" w:rsidRPr="00E1255F" w:rsidRDefault="00E1255F" w:rsidP="00E1255F">
      <w:pPr>
        <w:ind w:right="-159"/>
        <w:jc w:val="both"/>
        <w:rPr>
          <w:rFonts w:eastAsia="Calibri"/>
          <w:b/>
          <w:sz w:val="26"/>
          <w:szCs w:val="26"/>
          <w:lang w:eastAsia="en-US"/>
        </w:rPr>
      </w:pPr>
      <w:r w:rsidRPr="00E1255F">
        <w:rPr>
          <w:rFonts w:eastAsia="Calibri"/>
          <w:b/>
          <w:sz w:val="26"/>
          <w:szCs w:val="26"/>
          <w:lang w:eastAsia="en-US"/>
        </w:rPr>
        <w:t>77° Aniversario de la Expropiación</w:t>
      </w:r>
    </w:p>
    <w:p w14:paraId="21FED45B" w14:textId="77777777" w:rsidR="00E1255F" w:rsidRPr="00E1255F" w:rsidRDefault="00E1255F" w:rsidP="00E1255F">
      <w:pPr>
        <w:ind w:right="-159"/>
        <w:jc w:val="both"/>
        <w:rPr>
          <w:rFonts w:eastAsia="Calibri"/>
          <w:b/>
          <w:sz w:val="26"/>
          <w:szCs w:val="26"/>
          <w:lang w:eastAsia="en-US"/>
        </w:rPr>
      </w:pPr>
      <w:r w:rsidRPr="00E1255F">
        <w:rPr>
          <w:rFonts w:eastAsia="Calibri"/>
          <w:b/>
          <w:sz w:val="26"/>
          <w:szCs w:val="26"/>
          <w:lang w:eastAsia="en-US"/>
        </w:rPr>
        <w:t>Petrolera  en  Dos  Bocas,  Tabasco</w:t>
      </w:r>
    </w:p>
    <w:p w14:paraId="482576EF" w14:textId="77777777" w:rsidR="00E1255F" w:rsidRPr="00E1255F" w:rsidRDefault="00E1255F" w:rsidP="00E1255F">
      <w:pPr>
        <w:spacing w:after="360" w:line="360" w:lineRule="auto"/>
        <w:ind w:right="-159"/>
        <w:jc w:val="both"/>
        <w:rPr>
          <w:rFonts w:eastAsia="Calibri"/>
          <w:b/>
          <w:sz w:val="26"/>
          <w:szCs w:val="26"/>
          <w:lang w:eastAsia="en-US"/>
        </w:rPr>
      </w:pPr>
      <w:r w:rsidRPr="00E1255F">
        <w:rPr>
          <w:rFonts w:eastAsia="Calibri"/>
          <w:b/>
          <w:sz w:val="26"/>
          <w:szCs w:val="26"/>
          <w:lang w:eastAsia="en-US"/>
        </w:rPr>
        <w:t xml:space="preserve">(Pemex) </w:t>
      </w:r>
    </w:p>
    <w:p w14:paraId="60507A6D"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El 18 de marzo de 2015, Petróleos Mexicanos (Pemex) dio a conocer el discurso del Director General de Petróleos Mexicanos, durante la Ceremonia Conmemorativa del </w:t>
      </w:r>
      <w:r w:rsidRPr="00E1255F">
        <w:rPr>
          <w:rFonts w:eastAsia="Calibri"/>
          <w:sz w:val="26"/>
          <w:szCs w:val="26"/>
          <w:lang w:eastAsia="en-US"/>
        </w:rPr>
        <w:lastRenderedPageBreak/>
        <w:t xml:space="preserve">77° Aniversario de la Expropiación Petrolera en Dos Bocas, Tabasco. A continuación se presenta la información. </w:t>
      </w:r>
    </w:p>
    <w:p w14:paraId="0A758C01"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“Presidente Constitucional de los Estados Unidos Mexicanos; </w:t>
      </w:r>
    </w:p>
    <w:p w14:paraId="5A88C520"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Sea usted bienvenido a este aniversario de la Expropiación Petrolera. Este año comenzó muy bien con su presencia durante la inauguración de uno de nuestros proyectos.  </w:t>
      </w:r>
    </w:p>
    <w:p w14:paraId="4BFF3065"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A pesar de ser un año complejo para Pemex, hoy su presencia nos incita y nos anhela a este cambio que tenemos por delante. </w:t>
      </w:r>
    </w:p>
    <w:p w14:paraId="17F06F61"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Apreciamos mucho, no sólo su presencia, pero sobre todo el compromiso que día con día demuestra con Pemex y agradecemos estas muestras de apoyo, señor Presidente.  </w:t>
      </w:r>
    </w:p>
    <w:p w14:paraId="7DEDAA2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Saludo con especial afecto al Secretario de Energía y Presidente del Consejo de Administración de Pemex; </w:t>
      </w:r>
    </w:p>
    <w:p w14:paraId="66292F7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Distinguidos miembros del Presídium; </w:t>
      </w:r>
    </w:p>
    <w:p w14:paraId="550F2C3E"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Compañeros petroleros:</w:t>
      </w:r>
    </w:p>
    <w:p w14:paraId="422126F5"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La reforma energética, al igual que las demás reformas estructurales que ha impulsado el Presidente de la República con visión de Estado, está en marcha.</w:t>
      </w:r>
    </w:p>
    <w:p w14:paraId="0CE05614"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En nuestro sector, la reforma energética supone la transformación radical de la industria petrolera, por una parte, y la transformación de Pemex, el brazo productivo del Estado y de los mexicanos en la industria, en una empresa capaz de competir y destacar en un entorno de mercado abierto.</w:t>
      </w:r>
    </w:p>
    <w:p w14:paraId="15530546"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lastRenderedPageBreak/>
        <w:t xml:space="preserve">En el primer aspecto, la transformación de la industria petrolera, el trabajo conjunto de la Secretaría de Energía y los órganos reguladores, comienza a dar frutos como lo muestra el amplio interés despertado por la Ronda Uno. </w:t>
      </w:r>
    </w:p>
    <w:p w14:paraId="2CFE1743"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En el segundo frente, la transformación de Pemex en una empresa competitiva, también avanzamos a paso firme.</w:t>
      </w:r>
    </w:p>
    <w:p w14:paraId="2ACF2E1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Antes de entrar en materia, sin embargo, quiero abrir un paréntesis para hacer un reconocimiento al trabajo en equipo que ha venido realizado la administración del Presidente de la República Mexicana para implementar diversos aspectos de la transformación estructural implícita en la Reforma Energética.</w:t>
      </w:r>
    </w:p>
    <w:p w14:paraId="692836DE"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En primer lugar, quiero hacer, a través de los titulares de la Secretaría de la Defensa Nacional y de la Secretaría de Marina, que nos honran con su presencia, un reconocimiento muy especial a las fuerza armadas mexicanas por su entrega cotidiana en la tarea de proteger la vida y la seguridad de nuestros compañeros petroleros y también salvaguardar el patrimonio de todos los mexicanos.</w:t>
      </w:r>
    </w:p>
    <w:p w14:paraId="46CDCEEB"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Sin ese apoyo cotidiano la tarea de Pemex sería simplemente imposible.</w:t>
      </w:r>
    </w:p>
    <w:p w14:paraId="6087F944"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A nombre de todos los petroleros, muchas gracias Secretario de la Defensa Nacional; muchas gracias Secretario de Marina.</w:t>
      </w:r>
    </w:p>
    <w:p w14:paraId="5B72951F"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Igualmente quiero poner de relieve la invaluable colaboración que hemos recibido de parte de la Comisión Federal de Electricidad, en particular en la atención al tema de las alertas críticas en el abastecimiento de gas natural en nuestro país.</w:t>
      </w:r>
    </w:p>
    <w:p w14:paraId="55CFA3EC"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Gracias a esta colaboración podemos decir que a la fecha llevamos veinte meses sin que se presenten estas alertas críticas que en su momento llegaron a erigirse como un posible bloque al crecimiento económico en ciertas partes de nuestro país.</w:t>
      </w:r>
    </w:p>
    <w:p w14:paraId="19D07086"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lastRenderedPageBreak/>
        <w:t>Muchas gracias al Director General de la CFE y a todo su equipo por el esfuerzo y el talento que pusieron en la solución de este problema.</w:t>
      </w:r>
    </w:p>
    <w:p w14:paraId="6C798BB6"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En tercer lugar, pero no por ello menos importante, destaco la colaboración, estrecha y permanente, con la Secretaria de Medio Ambiente y Recursos Naturales, tanto en temas correctivos, cuando se ha presentado alguna afectación al medio ambiente, como en temas preventivos y de cumplimiento de nuestro compromiso con el desarrollo sustentable. En particular en desarrollo de la fase de gasolinas y diesel limpio en nuestras refinerías y en nuestros proyectos de cogeneración, que sin duda tendrán una reducción en los gases de efecto invernadero en nuestro país.</w:t>
      </w:r>
    </w:p>
    <w:p w14:paraId="0DF1A674"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Muchas gracias Señor Secretario.</w:t>
      </w:r>
    </w:p>
    <w:p w14:paraId="0A8B61D2"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Asimismo, al Secretario de Educación, que con visión, a través del</w:t>
      </w:r>
      <w:r w:rsidRPr="00E1255F">
        <w:rPr>
          <w:rFonts w:ascii="Calibri" w:eastAsia="Calibri" w:hAnsi="Calibri"/>
          <w:sz w:val="22"/>
          <w:szCs w:val="22"/>
          <w:lang w:eastAsia="en-US"/>
        </w:rPr>
        <w:t xml:space="preserve"> </w:t>
      </w:r>
      <w:r w:rsidRPr="00E1255F">
        <w:rPr>
          <w:rFonts w:eastAsia="Calibri"/>
          <w:sz w:val="26"/>
          <w:szCs w:val="26"/>
          <w:lang w:eastAsia="en-US"/>
        </w:rPr>
        <w:t xml:space="preserve">Consejo Nacional de Ciencia y Tecnología (Conacyt), junto con la Secretaría de Energía, ha anunciado la financiación de hasta 60 mil becas para la industria energética en nuestro país, un hito, sin duda, en inversión en materia educativa que sin duda en Pemex tendrá beneficios concretos.   </w:t>
      </w:r>
    </w:p>
    <w:p w14:paraId="2034792D"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Vuelvo ahora al tema de la transformación de Pemex.</w:t>
      </w:r>
    </w:p>
    <w:p w14:paraId="18197C8E"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Se ha instalado ya el nuevo régimen de gobierno corporativo; contamos ya con autonomía de gestión y nuevos regímenes de procura, de remuneraciones y de control interno, así como con una nueva estructura que elimina duplicidades y agiliza la toma de decisiones.  </w:t>
      </w:r>
    </w:p>
    <w:p w14:paraId="24CC18D2"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Hemos puesto en marcha, además, un proceso de transformación integral de la empresa, al que me referiré más adelante, para garantizar que Pemex mantenga el liderazgo en la industria en el largo plazo.</w:t>
      </w:r>
    </w:p>
    <w:p w14:paraId="44E103D6"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lastRenderedPageBreak/>
        <w:t xml:space="preserve">Quiero señalar antes, sin embargo, que al igual que en 1938, cuando Pemex nació en medio de condiciones sumamente adversas, hoy, 77 años después, emprendemos una nueva etapa en la historia de la empresa en condiciones también muy difíciles. </w:t>
      </w:r>
    </w:p>
    <w:p w14:paraId="075CF087"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Hace casi ocho décadas, Pemex salió adelante, se consolidó y se expandió para convertirse en uno de los pilares fundamentales del desarrollo económico de México.</w:t>
      </w:r>
    </w:p>
    <w:p w14:paraId="13841EF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Esto fue posible gracias a la capacidad y el talento de sus técnicos, de sus ingenieros y de sus trabajadores y, sin duda, a la visión de su organización sindical que siempre tuvo claro que el bienestar de los trabajadores y la prosperidad de la empresa no se pueden entender el uno sin el otro. </w:t>
      </w:r>
    </w:p>
    <w:p w14:paraId="4EA4E536"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En la coyuntura actual se repite la historia. </w:t>
      </w:r>
    </w:p>
    <w:p w14:paraId="26FA2FA5"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El compromiso mostrado por la organización sindical que encabeza el Secretario General del Sindicato de Trabajadores Petroleros de la República Mexicana con la búsqueda de soluciones a los retos que plantea la evolución de los mercados petroleros y la entrega cotidiana de los trabajadores de Pemex, son la mejor garantía de que Pemex, una vez más saldrá adelante.</w:t>
      </w:r>
    </w:p>
    <w:p w14:paraId="67029D6A"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Como año tras año lo hago, quiero aprovechar esta fecha para refrendar mi reconocimiento a todos y cada uno de los petroleros y a su organización, y para expresar mi agradecimiento por estar sumando con entusiasmo su voluntad y su empeño al proyecto de transformación en que está envuelta nuestra empresa.</w:t>
      </w:r>
    </w:p>
    <w:p w14:paraId="6A5DC87E"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Muchas gracias y muchas felicidades.</w:t>
      </w:r>
    </w:p>
    <w:p w14:paraId="2AE17393"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Gracias a este compromiso de los trabajadores, el nuevo régimen legal de Pemex que definió la Reforma Energética nos ha permitido responder con mucha más agilidad y </w:t>
      </w:r>
      <w:r w:rsidRPr="00E1255F">
        <w:rPr>
          <w:rFonts w:eastAsia="Calibri"/>
          <w:sz w:val="26"/>
          <w:szCs w:val="26"/>
          <w:lang w:eastAsia="en-US"/>
        </w:rPr>
        <w:lastRenderedPageBreak/>
        <w:t>eficacia a la caída de los precios en los mercados internacionales en comparación con como lo hacíamos en el pasado.</w:t>
      </w:r>
    </w:p>
    <w:p w14:paraId="261B942A"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Al igual que todas las empresas, en nuestra industria nos hemos visto obligados a ajustar nuestro presupuesto de gastos.</w:t>
      </w:r>
    </w:p>
    <w:p w14:paraId="0B0FC6DC"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Dado que la mayor parte de este presupuesto corresponde a inversión, la reducción de ingresos esperados implica que buena parte impactará algunos proyectos de inversión en particular se diferirán, al igual que lo han hecho otras petroleras de todo el mundo.</w:t>
      </w:r>
    </w:p>
    <w:p w14:paraId="774C90DA" w14:textId="5ECFAF2D"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Sin embargo, y </w:t>
      </w:r>
      <w:r w:rsidR="003B1F37">
        <w:rPr>
          <w:rFonts w:eastAsia="Calibri"/>
          <w:sz w:val="26"/>
          <w:szCs w:val="26"/>
          <w:lang w:eastAsia="en-US"/>
        </w:rPr>
        <w:t>é</w:t>
      </w:r>
      <w:r w:rsidRPr="00E1255F">
        <w:rPr>
          <w:rFonts w:eastAsia="Calibri"/>
          <w:sz w:val="26"/>
          <w:szCs w:val="26"/>
          <w:lang w:eastAsia="en-US"/>
        </w:rPr>
        <w:t xml:space="preserve">ste es un beneficio directo de la Reforma Energética, el nuevo régimen legal nos abre la puerta para compensar esta reducción mediante asociaciones y alianzas que, estoy seguro, permitirán mitigar la mayor parte del impacto de la reducción sobre los proyectos de inversión de Pemex. </w:t>
      </w:r>
    </w:p>
    <w:p w14:paraId="4F5DFE78"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Por otro lado, las condiciones de mercado adversas, representan también una oportunidad para revisar prácticas, afinar procesos y optimizar recursos.</w:t>
      </w:r>
    </w:p>
    <w:p w14:paraId="63F8246C"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Es por ello que también estamos inmersos en un programa de racionalización de recursos, como ya bien se mencionó aquí, y de reducción del gasto corriente en todos los rubros, desde el pago de servicios en exploración y producción hasta los gastos en administración y servicios personales, en donde haya oportunidades de generar eficiencias. </w:t>
      </w:r>
    </w:p>
    <w:p w14:paraId="419A337A"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Señor Presidente de la República; </w:t>
      </w:r>
    </w:p>
    <w:p w14:paraId="53B5ACE8"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Compañeros petroleros: </w:t>
      </w:r>
    </w:p>
    <w:p w14:paraId="7BB7151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 xml:space="preserve">Si bien con los nuevos instrumentos que nos otorgó la Reforma, y con el compromiso de siempre de los trabajadores, estamos enfrentando con temple la difícil coyuntura que </w:t>
      </w:r>
      <w:r w:rsidRPr="00E1255F">
        <w:rPr>
          <w:rFonts w:eastAsia="Calibri"/>
          <w:sz w:val="26"/>
          <w:szCs w:val="26"/>
          <w:lang w:eastAsia="en-US"/>
        </w:rPr>
        <w:lastRenderedPageBreak/>
        <w:t>atravesamos, es momento de elevar la mira y asumir que el gran reto que tenemos es interno, es un reto para Pemex y es un reto en lo individual para cada uno de los petroleros.</w:t>
      </w:r>
    </w:p>
    <w:p w14:paraId="39B15199"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Es por ello que estamos trabajando en cuatro ejes para hacer de Pemex, como aquí se dijo, la empresa más competitiva de la industria en nuestro país y un referente internacional.</w:t>
      </w:r>
    </w:p>
    <w:p w14:paraId="62943B9D"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El primero, que responde al mandato constitucional de maximización del valor para los mexicanos, consiste en centrar nuestros proyectos en aquellos de mayor rentabilidad, pero también estar presente en otros proyectos que por el valor estratégico para la empresa, le ofrezcan oportunidades de tener, inclusive, participaciones minoritarias pero que sean desarrolladas con capital de terceros.</w:t>
      </w:r>
    </w:p>
    <w:p w14:paraId="6BBFD87D"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El segundo se refiere a la adopción de un modelo de gestión por procesos para garantizar que todas las actividades de soporte se alineen a las necesidades de las actividades sustantivas de Pemex.</w:t>
      </w:r>
    </w:p>
    <w:p w14:paraId="39E1272D"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En tercer lugar, estamos emprendiendo un conjunto de acciones para alcanzar la excelencia operativa. En cada proceso y en cada aspecto de nuestras cadenas de producción debemos alcanzar los estándares de las mejores petroleras del mundo.</w:t>
      </w:r>
    </w:p>
    <w:p w14:paraId="0DA8B541"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Y por último, y esto es probablemente lo más importante, hemos puesto en marcha un ambicioso programa de transformación de nuestras actitudes, nuestros hábitos de trabajo y nuestras conductas con el objetivo de crear una cultura de alto desempeño en Pemex, que es el pilar fundamental sobre el cual se debe soportar la transformación de Pemex.</w:t>
      </w:r>
    </w:p>
    <w:p w14:paraId="1C3E322B"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Hoy, a 77 años de la creación de Pemex, los petroleros enfrentamos un reto igual o mayor al de la generación fundadora de nuestra empresa.</w:t>
      </w:r>
    </w:p>
    <w:p w14:paraId="19174DE7"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lastRenderedPageBreak/>
        <w:t>Estoy seguro, porque conozco a los petroleros, que de nueva cuenta Pemex saldrá adelante y consolidará su proceso transformación  para continuar siendo, en esta nueva etapa, un orgullo para todos los mexicanos.</w:t>
      </w:r>
    </w:p>
    <w:p w14:paraId="2E1445D3" w14:textId="77777777" w:rsidR="00E1255F" w:rsidRPr="00E1255F" w:rsidRDefault="00E1255F" w:rsidP="00E1255F">
      <w:pPr>
        <w:spacing w:after="360" w:line="360" w:lineRule="auto"/>
        <w:ind w:right="-159"/>
        <w:jc w:val="both"/>
        <w:rPr>
          <w:rFonts w:eastAsia="Calibri"/>
          <w:sz w:val="26"/>
          <w:szCs w:val="26"/>
          <w:lang w:eastAsia="en-US"/>
        </w:rPr>
      </w:pPr>
      <w:r w:rsidRPr="00E1255F">
        <w:rPr>
          <w:rFonts w:eastAsia="Calibri"/>
          <w:sz w:val="26"/>
          <w:szCs w:val="26"/>
          <w:lang w:eastAsia="en-US"/>
        </w:rPr>
        <w:t>Muchas gracias.”</w:t>
      </w:r>
    </w:p>
    <w:p w14:paraId="5AC77E40" w14:textId="77777777" w:rsidR="00E1255F" w:rsidRPr="00E1255F" w:rsidRDefault="00E1255F" w:rsidP="00E1255F">
      <w:pPr>
        <w:ind w:right="-159"/>
        <w:jc w:val="both"/>
        <w:rPr>
          <w:rFonts w:eastAsia="Calibri"/>
          <w:b/>
          <w:sz w:val="20"/>
          <w:szCs w:val="26"/>
          <w:lang w:eastAsia="en-US"/>
        </w:rPr>
      </w:pPr>
      <w:r w:rsidRPr="00E1255F">
        <w:rPr>
          <w:rFonts w:eastAsia="Calibri"/>
          <w:b/>
          <w:sz w:val="20"/>
          <w:szCs w:val="26"/>
          <w:lang w:eastAsia="en-US"/>
        </w:rPr>
        <w:t>Fuente de información:</w:t>
      </w:r>
    </w:p>
    <w:p w14:paraId="32434BD8" w14:textId="77777777" w:rsidR="00E1255F" w:rsidRPr="003B1F37" w:rsidRDefault="00872B0E" w:rsidP="003B1F37">
      <w:pPr>
        <w:spacing w:after="720"/>
        <w:ind w:right="-159"/>
        <w:jc w:val="both"/>
        <w:rPr>
          <w:rFonts w:eastAsia="Calibri"/>
          <w:color w:val="0000FF"/>
          <w:sz w:val="20"/>
          <w:szCs w:val="20"/>
          <w:lang w:eastAsia="en-US"/>
        </w:rPr>
      </w:pPr>
      <w:hyperlink r:id="rId11" w:history="1">
        <w:r w:rsidR="00E1255F" w:rsidRPr="003B1F37">
          <w:rPr>
            <w:rFonts w:eastAsia="Calibri"/>
            <w:color w:val="0000FF"/>
            <w:sz w:val="20"/>
            <w:szCs w:val="20"/>
            <w:u w:val="single"/>
            <w:lang w:eastAsia="en-US"/>
          </w:rPr>
          <w:t>http://www.pemex.com/prensa/discursos/Paginas/2015-discurso180315.aspx</w:t>
        </w:r>
      </w:hyperlink>
      <w:r w:rsidR="00E1255F" w:rsidRPr="003B1F37">
        <w:rPr>
          <w:rFonts w:eastAsia="Calibri"/>
          <w:color w:val="0000FF"/>
          <w:sz w:val="20"/>
          <w:szCs w:val="20"/>
          <w:lang w:eastAsia="en-US"/>
        </w:rPr>
        <w:t xml:space="preserve"> </w:t>
      </w:r>
    </w:p>
    <w:p w14:paraId="327A92A9" w14:textId="77777777" w:rsidR="003B1F37" w:rsidRDefault="001E7645" w:rsidP="003B1F37">
      <w:pPr>
        <w:ind w:right="-159"/>
        <w:jc w:val="both"/>
        <w:rPr>
          <w:rFonts w:eastAsia="Calibri"/>
          <w:b/>
          <w:sz w:val="26"/>
          <w:szCs w:val="26"/>
          <w:lang w:eastAsia="en-US"/>
        </w:rPr>
      </w:pPr>
      <w:r w:rsidRPr="00E9162D">
        <w:rPr>
          <w:rFonts w:eastAsia="Calibri"/>
          <w:sz w:val="26"/>
          <w:szCs w:val="26"/>
          <w:lang w:eastAsia="en-US"/>
        </w:rPr>
        <w:t>P</w:t>
      </w:r>
      <w:r w:rsidRPr="001E7645">
        <w:rPr>
          <w:rFonts w:eastAsia="Calibri"/>
          <w:b/>
          <w:sz w:val="26"/>
          <w:szCs w:val="26"/>
          <w:lang w:eastAsia="en-US"/>
        </w:rPr>
        <w:t>alabras  del  Presidente  de  los Estados Unidos</w:t>
      </w:r>
    </w:p>
    <w:p w14:paraId="233D4E2F" w14:textId="23592A20" w:rsidR="001E7645" w:rsidRPr="001E7645" w:rsidRDefault="001E7645" w:rsidP="003B1F37">
      <w:pPr>
        <w:ind w:right="-159"/>
        <w:jc w:val="both"/>
        <w:rPr>
          <w:rFonts w:eastAsia="Calibri"/>
          <w:b/>
          <w:sz w:val="26"/>
          <w:szCs w:val="26"/>
          <w:lang w:eastAsia="en-US"/>
        </w:rPr>
      </w:pPr>
      <w:r w:rsidRPr="001E7645">
        <w:rPr>
          <w:rFonts w:eastAsia="Calibri"/>
          <w:b/>
          <w:sz w:val="26"/>
          <w:szCs w:val="26"/>
          <w:lang w:eastAsia="en-US"/>
        </w:rPr>
        <w:t>Mexicanos,  durante  la  Firma  de instrumentos</w:t>
      </w:r>
    </w:p>
    <w:p w14:paraId="01ED1694" w14:textId="77777777" w:rsidR="001E7645" w:rsidRPr="001E7645" w:rsidRDefault="001E7645" w:rsidP="003B1F37">
      <w:pPr>
        <w:ind w:right="-159"/>
        <w:jc w:val="both"/>
        <w:rPr>
          <w:rFonts w:eastAsia="Calibri"/>
          <w:b/>
          <w:sz w:val="26"/>
          <w:szCs w:val="26"/>
          <w:lang w:eastAsia="en-US"/>
        </w:rPr>
      </w:pPr>
      <w:r w:rsidRPr="001E7645">
        <w:rPr>
          <w:rFonts w:eastAsia="Calibri"/>
          <w:b/>
          <w:sz w:val="26"/>
          <w:szCs w:val="26"/>
          <w:lang w:eastAsia="en-US"/>
        </w:rPr>
        <w:t>en  materia  de  Energía, Cadenas Productivas y</w:t>
      </w:r>
    </w:p>
    <w:p w14:paraId="7F87D366" w14:textId="77777777" w:rsidR="001E7645" w:rsidRPr="001E7645" w:rsidRDefault="001E7645" w:rsidP="001E7645">
      <w:pPr>
        <w:spacing w:after="360" w:line="360" w:lineRule="auto"/>
        <w:ind w:right="-159"/>
        <w:jc w:val="both"/>
        <w:rPr>
          <w:rFonts w:eastAsia="Calibri"/>
          <w:b/>
          <w:sz w:val="26"/>
          <w:szCs w:val="26"/>
          <w:lang w:eastAsia="en-US"/>
        </w:rPr>
      </w:pPr>
      <w:r w:rsidRPr="001E7645">
        <w:rPr>
          <w:rFonts w:eastAsia="Calibri"/>
          <w:b/>
          <w:sz w:val="26"/>
          <w:szCs w:val="26"/>
          <w:lang w:eastAsia="en-US"/>
        </w:rPr>
        <w:t>Cambio Climático (Presidencia de la República)</w:t>
      </w:r>
    </w:p>
    <w:p w14:paraId="18C5F3A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El 5 de marzo de 2015, Presidencia de la República dio a conocer las palabras del Presidente de los Estados Unidos Mexicanos, durante la Firma de instrumentos en materia de Energía, Cadenas Productivas y Cambio Climático. A continuación se presenta la información.</w:t>
      </w:r>
    </w:p>
    <w:p w14:paraId="7D2056E7" w14:textId="2D4148E6"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“Los invito a todos a que se coloquen sus audífonos, hablaré en </w:t>
      </w:r>
      <w:r>
        <w:rPr>
          <w:rFonts w:eastAsia="Calibri"/>
          <w:sz w:val="26"/>
          <w:szCs w:val="26"/>
          <w:lang w:eastAsia="en-US"/>
        </w:rPr>
        <w:t>e</w:t>
      </w:r>
      <w:r w:rsidRPr="001E7645">
        <w:rPr>
          <w:rFonts w:eastAsia="Calibri"/>
          <w:sz w:val="26"/>
          <w:szCs w:val="26"/>
          <w:lang w:eastAsia="en-US"/>
        </w:rPr>
        <w:t>spañol, si no les molesta. Gracias.</w:t>
      </w:r>
    </w:p>
    <w:p w14:paraId="5CB2DFF1" w14:textId="72EA12CD"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Pero antes de pasar a hablar en </w:t>
      </w:r>
      <w:r>
        <w:rPr>
          <w:rFonts w:eastAsia="Calibri"/>
          <w:sz w:val="26"/>
          <w:szCs w:val="26"/>
          <w:lang w:eastAsia="en-US"/>
        </w:rPr>
        <w:t>e</w:t>
      </w:r>
      <w:r w:rsidRPr="001E7645">
        <w:rPr>
          <w:rFonts w:eastAsia="Calibri"/>
          <w:sz w:val="26"/>
          <w:szCs w:val="26"/>
          <w:lang w:eastAsia="en-US"/>
        </w:rPr>
        <w:t>spañol, les quiero agradecer a todos por estar aquí, por darme esta gran oportunidad de hablar ante ustedes y hacer algunos comentarios sobre qué sucede y qué ha estado sucediendo.</w:t>
      </w:r>
    </w:p>
    <w:p w14:paraId="5545FC7D"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Quisiera agradecerles por su gran hospitalidad y también por participar en esta reunión tan importante.</w:t>
      </w:r>
    </w:p>
    <w:p w14:paraId="78F41C60"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Quisiera agradecer a Lord-Provost de Aberdeen su hospitalidad y la oportunidad de estar en este histórico lugar y, particularmente, en esta Ciudad de Escocia que, sin duda, es capital energética de Reino Unido y, me atrevería a decir, de Europa.</w:t>
      </w:r>
    </w:p>
    <w:p w14:paraId="47F18E54"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lastRenderedPageBreak/>
        <w:t>Es, sin duda, motivo de gran satisfacción que en el marco de la Visita de Estado que realizamos a Reino Unido podamos concluir la misma, precisamente aquí, en este punto tan relevante e importante de la generación de energía de Reino Unido, de Europa y, sin duda, con gran disposición a colaborar con los países, como es el caso de México, que tiene una ruta trazada para el desarrollo de su industria energética.</w:t>
      </w:r>
    </w:p>
    <w:p w14:paraId="18EE054F"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Quiero agradecer también al Concejal George Adam, Lord-Provost de Aberdeen, y a Alistair Carmichael, quien representa al Gobierno de Reino Unido, por estar en este acto.</w:t>
      </w:r>
    </w:p>
    <w:p w14:paraId="7E4E648A"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a los muy distinguidos invitados a esta reunión.</w:t>
      </w:r>
    </w:p>
    <w:p w14:paraId="2073EEDB"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De igual manera, saludar a los representantes de las industrias o empresas globales que tienen asiento aquí, en Aberdeen.</w:t>
      </w:r>
    </w:p>
    <w:p w14:paraId="1A9F109E"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de igual manera, a académicos, particularmente, las universidades que están asentadas, precisamente, en esta ciudad.</w:t>
      </w:r>
    </w:p>
    <w:p w14:paraId="634D34B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Señoras y señores:</w:t>
      </w:r>
    </w:p>
    <w:p w14:paraId="23EB6C74"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Lo que se ha dicho hace un momento, sin duda, enmarca muy bien gran parte de la razón de encontrarnos el día de hoy aquí, en Aberdeen.</w:t>
      </w:r>
    </w:p>
    <w:p w14:paraId="19AC652D"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Estamos, en primer lugar, porque concluye aquí una Visita de Estado que México ha realizado a Reino Unido para reafirmar los lazos de hermandad, de relación y, sobre todo, comprometer que el esfuerzo de dos gobiernos permitan impulsar desarrollo y prosperidad para las sociedades de ambas naciones.</w:t>
      </w:r>
    </w:p>
    <w:p w14:paraId="05B22A5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Sin duda, como hace un momento expresara el señor Carmichael, 2015 será un año muy importante en esta relación. Es el Año Dual que permitirá la realización de distintos </w:t>
      </w:r>
      <w:r w:rsidRPr="001E7645">
        <w:rPr>
          <w:rFonts w:eastAsia="Calibri"/>
          <w:sz w:val="26"/>
          <w:szCs w:val="26"/>
          <w:lang w:eastAsia="en-US"/>
        </w:rPr>
        <w:lastRenderedPageBreak/>
        <w:t>eventos en ambas naciones, que habrán de acercarnos más en distintos campos de colaboración, de intercambio de experiencias y de encontrar beneficios recíprocos, a partir de esta buena voluntad y de esta buena relación que hay entre nuestros países.</w:t>
      </w:r>
    </w:p>
    <w:p w14:paraId="1F0E3D65"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Un segundo propósito, sin duda es que en el marco de esta visita, un tema a revisar en esta colaboración, es el tema energético.</w:t>
      </w:r>
    </w:p>
    <w:p w14:paraId="0056089D"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por qué.</w:t>
      </w:r>
    </w:p>
    <w:p w14:paraId="7F9515FF"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Porque México, a partir del inicio de esta Administración, decidimos emprender cambios profundos en las bases y en los pilares que sustentan a nuestra Nación para acelerar el ritmo de crecimiento económico y, sobre todo, de bienestar para la sociedad mexicana.</w:t>
      </w:r>
    </w:p>
    <w:p w14:paraId="1579C2DD"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lo hemos hecho a partir de reconocer que somos un país democrático, un país plural, en el que todas las voces merecen y deben ser escuchadas.</w:t>
      </w:r>
    </w:p>
    <w:p w14:paraId="7B35577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fue, precisamente, a partir de un esfuerzo inédito en nuestro país y en democracia, que logramos firmar lo que denominamos el Pacto por México.</w:t>
      </w:r>
    </w:p>
    <w:p w14:paraId="4868B55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Este acuerdo político, en el que participaron las principales fuerzas políticas de mi país, dio lugar al impulso a una importante agenda de reformas transformadoras.</w:t>
      </w:r>
    </w:p>
    <w:p w14:paraId="7401871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Quiero compartirles que, como miembro de esta delegación oficial de México, está presente el Presidente del Senado de la República, quien pertenece a un partido político distinto al que yo represento, pero que su partido ha sido parte, precisamente, de este acuerdo logrado, y que ha hecho posibles las reformas que se han materializado.</w:t>
      </w:r>
    </w:p>
    <w:p w14:paraId="79A7ADC7"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Dentro de las reformas estructurales alcanzadas, una que me parece tiene especial relevancia, es la Reforma Energética, porque viene a significar para México un cambio </w:t>
      </w:r>
      <w:r w:rsidRPr="001E7645">
        <w:rPr>
          <w:rFonts w:eastAsia="Calibri"/>
          <w:sz w:val="26"/>
          <w:szCs w:val="26"/>
          <w:lang w:eastAsia="en-US"/>
        </w:rPr>
        <w:lastRenderedPageBreak/>
        <w:t>de modelo en la generación de energía para el país; un cambio que rompe con el modelo que se tenía anteriormente, y que ahora a partir de reconocer que el Estado mexicano preserva la propiedad de los hidrocarburos en el subsuelo, de la riqueza energética, al mismo tiempo, genera condiciones para la participación del sector privado.</w:t>
      </w:r>
    </w:p>
    <w:p w14:paraId="30C2AF65"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haber logrado esta reforma, sin duda, tiene especial relevancia y más cuando podemos dar cuenta que a dos años tres meses de distancia de haber postulado la necesidad de hacer esta reforma, el proceso de implementación de la reforma ha sido acelerado.</w:t>
      </w:r>
    </w:p>
    <w:p w14:paraId="37CF7229"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Desde haber hecho un cambio constitucional, de haber aprobado en el Congreso la legislación secundaria y de haber hecho la reglamentación o emitir la reglamentación que deriva, precisamente, las leyes, se ha alcanzado en un tiempo récord, de manera muy acelerada.</w:t>
      </w:r>
    </w:p>
    <w:p w14:paraId="2C5B58C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una razón fundamental: queremos hacer de esta reforma, una que realmente permita detonar de manera acelerada el desarrollo y crecimiento económico de nuestro país, que nos permita generar más empleos en nuestro país y empleos cada vez mejor remunerados y que la industria energética de nuestro país en los próximos años en México sea, sin duda, de mayor valor y de alta significación para el desarrollo de nuestra nación.</w:t>
      </w:r>
    </w:p>
    <w:p w14:paraId="47698184"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eso hemos acelerado el proceso de implementación, el tiempo que nos ha llevado llegar al punto en el que nos encontramos, sin duda, ha sido mucho más acelerado del que tomara a otros países que, habiendo hecho estas reformas, les tomó este tránsito mucho mayor tiempo.</w:t>
      </w:r>
    </w:p>
    <w:p w14:paraId="359A79C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Hoy estamos ya en la etapa de lo que deriva precisamente de toda esta nueva reglamentación, de todo este marco jurídico y normativo, nuevo y reformador de </w:t>
      </w:r>
      <w:r w:rsidRPr="001E7645">
        <w:rPr>
          <w:rFonts w:eastAsia="Calibri"/>
          <w:sz w:val="26"/>
          <w:szCs w:val="26"/>
          <w:lang w:eastAsia="en-US"/>
        </w:rPr>
        <w:lastRenderedPageBreak/>
        <w:t>nuestro país, en la etapa de licitación de los campos en los que podrá participar el sector privado.</w:t>
      </w:r>
    </w:p>
    <w:p w14:paraId="023E6C1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La Ronda Cero, emitida el año pasado, fue precisamente para definir cuáles serán los campos que Petróleos Mexicanos (Pemex), industria productiva hoy del Estado mexicano, habrá de explotar en las siguientes décadas y que garantizarán que la producción de Pemex alcance los niveles óptimos en los que venía trabajando.</w:t>
      </w:r>
    </w:p>
    <w:p w14:paraId="2FC5429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por otro lado, hemos iniciado la licitación de la Ronda Uno, que considera varios paquetes a licitar para tener la participación del sector privado.</w:t>
      </w:r>
    </w:p>
    <w:p w14:paraId="3D984FFC"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En todo este proceso, hay que decirlo, debo reconocer la participación que ha habido de empresas globales en seguimiento a este proceso, que han tenido o han mostrado interés por invertir en México, que ven en México a un destino confiable y en donde invertir dentro de este sector.</w:t>
      </w:r>
    </w:p>
    <w:p w14:paraId="174138B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Pero también nos han compartido sus experiencias globales, y más cuando hay que reconocer que México, en este paso tan importante que ha dado en materia energética, también está en ruta de lograr aprendizaje, a partir de las mejores prácticas que en esta industria se tienen hoy, en el mundo.</w:t>
      </w:r>
    </w:p>
    <w:p w14:paraId="3C296081"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Hemos escuchado distintos planteamientos, hemos reformulado los mecanismos para asegurar, a final de cuentas, para asegurar que a partir de la confianza que México despierta hoy entre el sector industrial energético del mundo por invertir en nuestro país, realmente sea un espacio de oportunidad para México, para detonar crecimiento energético, para generar mayor producción.</w:t>
      </w:r>
    </w:p>
    <w:p w14:paraId="1A680C28"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Pero, al mismo tiempo, asegure a los inversionistas oportunidad de tener una presencia rentable y de crecimiento en nuestro país, sea éste un modelo en el que todos ganemos, </w:t>
      </w:r>
      <w:r w:rsidRPr="001E7645">
        <w:rPr>
          <w:rFonts w:eastAsia="Calibri"/>
          <w:sz w:val="26"/>
          <w:szCs w:val="26"/>
          <w:lang w:eastAsia="en-US"/>
        </w:rPr>
        <w:lastRenderedPageBreak/>
        <w:t>que gane México, que gane nuestra sociedad, pero las empresas que confíen y que inviertan en México, también tengan la oportunidad de ganar en México.</w:t>
      </w:r>
    </w:p>
    <w:p w14:paraId="24A7257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Esto es justamente lo que estamos impulsando, un modelo ganador para la sociedad.</w:t>
      </w:r>
    </w:p>
    <w:p w14:paraId="3B54EBEC"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el Gobierno tiene esa responsabilidad, de asegurar que los beneficios de las reformas que hemos impulsado y, especialmente ésta, la energética, la más emblemática, se traduzca en beneficios tangibles para la sociedad mexicana.</w:t>
      </w:r>
    </w:p>
    <w:p w14:paraId="43EB7E39"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Cuáles serán estos beneficios.</w:t>
      </w:r>
    </w:p>
    <w:p w14:paraId="3C56211B"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Lo primero, es asegurarnos que tengamos mayor autosuficiencia energética, que dejemos de importar aquellos insumos que hoy, a un precio más alto, pudiéramos estar explotando en nuestro país como, por ejemplo, tratándose de gas.</w:t>
      </w:r>
    </w:p>
    <w:p w14:paraId="4F40DED3"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Hoy teniendo suficientes reservas de gas natural, no hemos sido capaces de explotarlas en abundancia.</w:t>
      </w:r>
    </w:p>
    <w:p w14:paraId="06B13293"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eso, queremos tener mayor capacidad productiva, queremos asegurar que la sociedad mexicana, el comercio y la industria de nuestro país, tenga acceso a insumos energéticos mucho más abundantes y a mejores precios.</w:t>
      </w:r>
    </w:p>
    <w:p w14:paraId="56EDF6C9"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otro lado, está un claro compromiso que aquí fue debatido en el Seminario que ustedes tuvieron hoy por la mañana, el compromiso global que México asume o que México tiene como actor con responsabilidad global para combatir el cambio climático.</w:t>
      </w:r>
    </w:p>
    <w:p w14:paraId="02215E81"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la mejor manera de hacer esto, va más allá de tener leyes de vanguardia o leyes que realmente estén orientadas a incentivar la reducción de emisiones de carbono, sino es la implementación de la Reforma Energética, la que favorecerá de manera mucho más significativa a este objetivo, la de cuidar nuestro medio ambiente.</w:t>
      </w:r>
    </w:p>
    <w:p w14:paraId="55333A67"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lastRenderedPageBreak/>
        <w:t>Porque es, precisamente, con la Reforma Energética, que se incentiva la generación de energía limpia, la generación de energía eléctrica, por ejemplo, a través de fuentes limpias, como puede ser la energía solar, eólica, geotérmica, que se promueve y se incentiva en la Reforma Energética.</w:t>
      </w:r>
    </w:p>
    <w:p w14:paraId="29545C7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Sea también la producción de energía eléctrica a través de gas, cuando tuviéramos o tengamos mayor producción del mismo.</w:t>
      </w:r>
    </w:p>
    <w:p w14:paraId="246BD99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Ese será el efecto que tenga y nuestro compromiso con el medio ambiente, a partir de generar energías limpias. Y esto lo habremos de lograr en la debida instrumentación de la Reforma Energética.</w:t>
      </w:r>
    </w:p>
    <w:p w14:paraId="5887043E"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eso, celebro estar aquí, en Aberdeen, en donde no sólo tengo la oportunidad de encontrarme con representantes de empresas globales, que conocen ampliamente este sector, que dedican esfuerzos, que invierten en distintas partes del mundo; pero que, además, están hoy introduciendo, dentro de sus procesos de generación de energía, precisamente la generación de energía limpia.</w:t>
      </w:r>
    </w:p>
    <w:p w14:paraId="4EBA9391"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Quiero reconocer su participación, el interés que han mostrado por México, el aporte que han hecho de ideas y de experiencias de lo que ha sido su experiencia en otras partes del mundo; y que todo ello nos permita concluir en un modelo de éxito en la implementación de nuestra Reforma Energética.</w:t>
      </w:r>
    </w:p>
    <w:p w14:paraId="66BC01BB"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Es una Reforma Energética que tiene, insisto, como principal objetivo: generar mayor autosuficiencia energética para nuestro país, generar empleo, detonar esta industria y dar espacio a la participación del sector privado, y que ello venga a enriquecer nuestro modelo de generación de energía para todos los mexicanos.</w:t>
      </w:r>
    </w:p>
    <w:p w14:paraId="559B5DE4"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lastRenderedPageBreak/>
        <w:t>Y, al mismo tiempo, como ya lo señalaba, cumplir con ello, con nuestro gran compromiso como Nación en un esfuerzo global por cuidar del medio ambiente, y emitir menos gases de efecto invernadero, gases de carbono.</w:t>
      </w:r>
    </w:p>
    <w:p w14:paraId="446DD071"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Por ello, me congratulo de estar aquí, y no puede ser tampoco menor el que haga referencia a la experiencia que nos será compartida, la colaboración que ha sido dispuesta, a través de los Memorándum de Entendimiento, uno de ellos que tiene que ver con la formación de capital humano.</w:t>
      </w:r>
    </w:p>
    <w:p w14:paraId="43E24602"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Siendo éste el principal centro energético de Reino Unido, de Europa, también lo es para la formación de capital humano, con las universidades que tienen asiento aquí, en Aberdeen.</w:t>
      </w:r>
    </w:p>
    <w:p w14:paraId="5AA49517"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Tendré la oportunidad de visitar la Universidad Gordon, en un momento más, pero celebro que ya hoy mexicanos, a quienes he saludado hace un momento, estén aquí, preparándose, formándose, porque serán actores relevantes y protagónicos, precisamente, de la industria energética de nuestra Nación.</w:t>
      </w:r>
    </w:p>
    <w:p w14:paraId="76F86F70"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en ello, reconozco la colaboración que en este modelo y en este proceso de formación, Reino Unido está acompañando a nuestro país.</w:t>
      </w:r>
    </w:p>
    <w:p w14:paraId="33D824F5"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Concluyo, felicitándoles, agradeciendo su participación y sobre todo invitándoles para que su interés, el interés que han mostrado por este cambio paradigmático en materia energética en nuestro país, les invite a invertir en México, les invite a tener presencia en México.</w:t>
      </w:r>
    </w:p>
    <w:p w14:paraId="060E9BDB"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 xml:space="preserve">Varias de las empresas aquí representadas están ya hoy en México, quizá, bajo otras formas de participación, pero lo deseable es que su presencia se extienda; su presencia acompañe este proceso transformador dentro del sector energético de nuestro país y podamos también mucho aprender de su experiencia global y de la experiencia que </w:t>
      </w:r>
      <w:r w:rsidRPr="001E7645">
        <w:rPr>
          <w:rFonts w:eastAsia="Calibri"/>
          <w:sz w:val="26"/>
          <w:szCs w:val="26"/>
          <w:lang w:eastAsia="en-US"/>
        </w:rPr>
        <w:lastRenderedPageBreak/>
        <w:t>ustedes han alcanzado durante varias décadas y que les hace ser empresas globales de gran prestigio.</w:t>
      </w:r>
    </w:p>
    <w:p w14:paraId="797DD3A8"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Y en todo ello, reconocer y agradecer la disposición reiterada que ha habido en esta Visita de Estado del Gobierno de Reino Unido para acompañar el esfuerzo de México en este tema particularmente y, en otros más, pero aquí destaco éste que, sin duda, resulta de la mayor relevancia para lo que nos hemos propuesto: Impulsar crecimiento económico, desarrollo y bienestar social para nuestra nación, generación de empleo, a través de lo que es una gran riqueza de nuestro país, la energía que México tiene y que tenemos que aprovechar de manera óptima.</w:t>
      </w:r>
    </w:p>
    <w:p w14:paraId="6B2DCF96" w14:textId="77777777" w:rsidR="001E7645" w:rsidRPr="001E7645" w:rsidRDefault="001E7645" w:rsidP="001E7645">
      <w:pPr>
        <w:spacing w:after="360" w:line="360" w:lineRule="auto"/>
        <w:ind w:right="-159"/>
        <w:jc w:val="both"/>
        <w:rPr>
          <w:rFonts w:eastAsia="Calibri"/>
          <w:sz w:val="26"/>
          <w:szCs w:val="26"/>
          <w:lang w:eastAsia="en-US"/>
        </w:rPr>
      </w:pPr>
      <w:r w:rsidRPr="001E7645">
        <w:rPr>
          <w:rFonts w:eastAsia="Calibri"/>
          <w:sz w:val="26"/>
          <w:szCs w:val="26"/>
          <w:lang w:eastAsia="en-US"/>
        </w:rPr>
        <w:t>Muchísimas gracias y muchas felicidades.”</w:t>
      </w:r>
    </w:p>
    <w:p w14:paraId="57819B90" w14:textId="77777777" w:rsidR="001E7645" w:rsidRPr="001E7645" w:rsidRDefault="001E7645" w:rsidP="001E7645">
      <w:pPr>
        <w:ind w:right="-159"/>
        <w:jc w:val="both"/>
        <w:rPr>
          <w:rFonts w:eastAsia="Calibri"/>
          <w:b/>
          <w:sz w:val="20"/>
          <w:szCs w:val="20"/>
          <w:lang w:eastAsia="en-US"/>
        </w:rPr>
      </w:pPr>
      <w:r w:rsidRPr="001E7645">
        <w:rPr>
          <w:rFonts w:eastAsia="Calibri"/>
          <w:b/>
          <w:sz w:val="20"/>
          <w:szCs w:val="20"/>
          <w:lang w:eastAsia="en-US"/>
        </w:rPr>
        <w:t>Fuente de información:</w:t>
      </w:r>
    </w:p>
    <w:p w14:paraId="2239B6B6" w14:textId="77777777" w:rsidR="001E7645" w:rsidRPr="004C101E" w:rsidRDefault="00872B0E" w:rsidP="004C101E">
      <w:pPr>
        <w:spacing w:after="720"/>
        <w:ind w:right="-159"/>
        <w:jc w:val="both"/>
        <w:rPr>
          <w:rFonts w:eastAsia="Calibri"/>
          <w:color w:val="0000FF"/>
          <w:sz w:val="20"/>
          <w:szCs w:val="20"/>
          <w:lang w:eastAsia="en-US"/>
        </w:rPr>
      </w:pPr>
      <w:hyperlink r:id="rId12" w:history="1">
        <w:r w:rsidR="001E7645" w:rsidRPr="004C101E">
          <w:rPr>
            <w:rFonts w:eastAsia="Calibri"/>
            <w:color w:val="0000FF"/>
            <w:sz w:val="20"/>
            <w:szCs w:val="20"/>
            <w:u w:val="single"/>
            <w:lang w:eastAsia="en-US"/>
          </w:rPr>
          <w:t>http://www.presidencia.gob.mx/articulos-prensa/palabras-del-presidente-de-los-estados-unidos-mexicanos-licenciado-enrique-pena-nieto-durante-la-firma-de-instrumentos-en-materia-de-energia-cadenas-productivas-y-cambio-climatico/</w:t>
        </w:r>
      </w:hyperlink>
      <w:r w:rsidR="001E7645" w:rsidRPr="004C101E">
        <w:rPr>
          <w:rFonts w:eastAsia="Calibri"/>
          <w:color w:val="0000FF"/>
          <w:sz w:val="20"/>
          <w:szCs w:val="20"/>
          <w:lang w:eastAsia="en-US"/>
        </w:rPr>
        <w:t xml:space="preserve"> </w:t>
      </w:r>
    </w:p>
    <w:p w14:paraId="55EEBB46" w14:textId="77777777" w:rsidR="0051641C" w:rsidRPr="0051641C" w:rsidRDefault="0051641C" w:rsidP="0051641C">
      <w:pPr>
        <w:ind w:right="-159"/>
        <w:jc w:val="both"/>
        <w:rPr>
          <w:rFonts w:eastAsia="Calibri"/>
          <w:b/>
          <w:sz w:val="26"/>
          <w:szCs w:val="26"/>
          <w:lang w:eastAsia="en-US"/>
        </w:rPr>
      </w:pPr>
      <w:r w:rsidRPr="0051641C">
        <w:rPr>
          <w:rFonts w:eastAsia="Calibri"/>
          <w:b/>
          <w:sz w:val="26"/>
          <w:szCs w:val="26"/>
          <w:lang w:eastAsia="en-US"/>
        </w:rPr>
        <w:t>Modificaciones a las bases de licitación y</w:t>
      </w:r>
    </w:p>
    <w:p w14:paraId="42934897" w14:textId="41B8C287" w:rsidR="0051641C" w:rsidRPr="0051641C" w:rsidRDefault="0051641C" w:rsidP="0051641C">
      <w:pPr>
        <w:ind w:right="-159"/>
        <w:jc w:val="both"/>
        <w:rPr>
          <w:rFonts w:eastAsia="Calibri"/>
          <w:b/>
          <w:sz w:val="26"/>
          <w:szCs w:val="26"/>
          <w:lang w:eastAsia="en-US"/>
        </w:rPr>
      </w:pPr>
      <w:r w:rsidRPr="0051641C">
        <w:rPr>
          <w:rFonts w:eastAsia="Calibri"/>
          <w:b/>
          <w:sz w:val="26"/>
          <w:szCs w:val="26"/>
          <w:lang w:eastAsia="en-US"/>
        </w:rPr>
        <w:t>el  modelo  de contrato  de la Ronda 1 de</w:t>
      </w:r>
    </w:p>
    <w:p w14:paraId="2754B2BB" w14:textId="77777777" w:rsidR="0051641C" w:rsidRPr="0051641C" w:rsidRDefault="0051641C" w:rsidP="0051641C">
      <w:pPr>
        <w:ind w:right="-159"/>
        <w:jc w:val="both"/>
        <w:rPr>
          <w:rFonts w:eastAsia="Calibri"/>
          <w:b/>
          <w:sz w:val="26"/>
          <w:szCs w:val="26"/>
          <w:lang w:eastAsia="en-US"/>
        </w:rPr>
      </w:pPr>
      <w:r w:rsidRPr="0051641C">
        <w:rPr>
          <w:rFonts w:eastAsia="Calibri"/>
          <w:b/>
          <w:sz w:val="26"/>
          <w:szCs w:val="26"/>
          <w:lang w:eastAsia="en-US"/>
        </w:rPr>
        <w:t>contratos de exploración y extracción de</w:t>
      </w:r>
    </w:p>
    <w:p w14:paraId="77597CA8" w14:textId="77777777" w:rsidR="0051641C" w:rsidRPr="0051641C" w:rsidRDefault="0051641C" w:rsidP="0051641C">
      <w:pPr>
        <w:spacing w:after="360" w:line="360" w:lineRule="auto"/>
        <w:ind w:right="-159"/>
        <w:jc w:val="both"/>
        <w:rPr>
          <w:rFonts w:eastAsia="Calibri"/>
          <w:b/>
          <w:sz w:val="26"/>
          <w:szCs w:val="26"/>
          <w:lang w:eastAsia="en-US"/>
        </w:rPr>
      </w:pPr>
      <w:r w:rsidRPr="0051641C">
        <w:rPr>
          <w:rFonts w:eastAsia="Calibri"/>
          <w:b/>
          <w:sz w:val="26"/>
          <w:szCs w:val="26"/>
          <w:lang w:eastAsia="en-US"/>
        </w:rPr>
        <w:t>hidrocarburos (SHCP)</w:t>
      </w:r>
    </w:p>
    <w:p w14:paraId="3F10393C"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El 6 de marzo de 2015, la Secretaría de Hacienda y Crédito Público (SHCP) informó sobre las modificaciones a las bases de licitación y el modelo de contrato de la Ronda 1 de contratos de exploración y extracción de hidrocarburos. A continuación se presenta la información.</w:t>
      </w:r>
    </w:p>
    <w:p w14:paraId="6C70848B"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 xml:space="preserve">Con respecto al modelo de contrato que se dio a conocer el pasado mes de diciembre como parte de la primera convocatoria para la adjudicación de contratos de producción compartida para la exploración y extracción de hidrocarburos en aguas someras, las Secretarías de Energía y de Hacienda y Crédito Público, así como la Comisión Nacional </w:t>
      </w:r>
      <w:r w:rsidRPr="0051641C">
        <w:rPr>
          <w:rFonts w:eastAsia="Calibri"/>
          <w:sz w:val="26"/>
          <w:szCs w:val="26"/>
          <w:lang w:eastAsia="en-US"/>
        </w:rPr>
        <w:lastRenderedPageBreak/>
        <w:t xml:space="preserve">de Hidrocarburos informan que el modelo de contrato presentado el pasado mes de febrero en la segunda convocatoria de la Ronda 1 incorpora los siguientes ajustes, que serán considerados para el contrato de la primera convocatoria a través del procedimiento formal establecido en las bases:  </w:t>
      </w:r>
    </w:p>
    <w:p w14:paraId="3399A8DB"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Precio Contractual. Se aclara que el precio contractual será determinado, en primera instancia, por el precio de mercado reportado por el contratista o el comercializador del Estado. Las fórmulas para determinar los precios de los hidrocarburos que se incluyen en el contrato sólo se utilizarán en aquellos casos en los que no se haya observado un precio de mercado. Adicionalmente, se establecen reglas claras para que el precio contractual reconozca los costos necesarios para llevar los hidrocarburos desde el punto de medición hasta el punto de venta. </w:t>
      </w:r>
    </w:p>
    <w:p w14:paraId="28EFA3D0"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Recuperación de costos. En el nuevo modelo de contrato se aclara que si los costos a recuperar son mayores al 60% del valor de los hidrocarburos, el monto de la contraprestación correspondiente a la recuperación de costos no podrá ser superior a dicho límite. Adicionalmente, se estableció la prelación para la recuperación de los costos y se definió de forma clara la distinción entre los costos elegibles —aquellos necesarios para las actividades petroleras conforme lo establecido en el presupuesto aprobado por la Comisión Nacional de Hidrocarburos— y los costos recuperables —aquellos que, siendo elegibles, serán considerados para el proceso de recuperación de costos conforme los procedimientos contables y los lineamientos aplicables—. </w:t>
      </w:r>
    </w:p>
    <w:p w14:paraId="0C6C3CA1"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Mecanismo de Ajuste. Los parámetros del mecanismo de ajuste se modificaron para alinear de mejor manera los incentivos del contrato. Para ello, se aumenta en cinco puntos base el nivel de la rentabilidad antes de impuestos —de 15 a 20%— que el contrato ofrece antes de que el mecanismo de ajuste comience a </w:t>
      </w:r>
      <w:r w:rsidRPr="0051641C">
        <w:rPr>
          <w:rFonts w:eastAsia="Calibri"/>
          <w:sz w:val="26"/>
          <w:szCs w:val="26"/>
          <w:lang w:eastAsia="en-US"/>
        </w:rPr>
        <w:lastRenderedPageBreak/>
        <w:t>funcionar. Conforme el contrato sea más rentable, el mecanismo de ajuste reducirá el porcentaje de la producción compartida que corresponde al contratista hasta un nivel mínimo —cuando la rentabilidad antes de impuestos sea superior a 35%—. Dicho nivel mínimo será equivalente a 25% del porcentaje de la producción compartida para el contratista, establecido como parte del proceso de licitación.</w:t>
      </w:r>
    </w:p>
    <w:p w14:paraId="2F5EACB4"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Pago de Contraprestaciones. Dentro del modelo de contrato se incluye un procedimiento detallado para realizar el pago de contraprestaciones de suerte que los hidrocarburos se distribuyan de forma continua en el punto de medición. Para garantizar la certeza en los pagos, se establece que al final de cada mes se realizará una conciliación entre los volúmenes distribuidos y la contraprestación aplicable para determinar las compensaciones que correspondan. </w:t>
      </w:r>
    </w:p>
    <w:p w14:paraId="5E14426A" w14:textId="1F1EDE25"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Procedimientos contables. Para dar mayor certidumbre al registro contable, se incluye un listado de actividades y cuentas contables de acuerdo con las prácticas internacionales y se establece la mecánica de asignación de costos por centro de costo de acuerdo </w:t>
      </w:r>
      <w:r w:rsidR="00F723CA">
        <w:rPr>
          <w:rFonts w:eastAsia="Calibri"/>
          <w:sz w:val="26"/>
          <w:szCs w:val="26"/>
          <w:lang w:eastAsia="en-US"/>
        </w:rPr>
        <w:t>con</w:t>
      </w:r>
      <w:r w:rsidRPr="0051641C">
        <w:rPr>
          <w:rFonts w:eastAsia="Calibri"/>
          <w:sz w:val="26"/>
          <w:szCs w:val="26"/>
          <w:lang w:eastAsia="en-US"/>
        </w:rPr>
        <w:t xml:space="preserve"> las Normas de Información Financiera. Adicionalmente, el plazo para que el contratista registre la información requerida se amplía a diez días hábiles. Por otro lado, se detalla el procedimiento aplicable a transacciones con partes relacionadas, así como el tratamiento que se dará a la enajenación de activos que hayan sido total o parcialmente recuperados por los mecanismos del contrato. Finalmente, al contrato prevé el procedimiento que la Secretaría de Hacienda seguirá al realizar la verificación de aspectos contables y financieros. </w:t>
      </w:r>
    </w:p>
    <w:p w14:paraId="4A44D238"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Reglas de Procura. Entre otros cambios, se define de forma clara y sencilla la convivencia entre las reglas de procura y las de contenido nacional, de forma que se incentive la contratación de bienes y servicios locales. Adicionalmente, se da mayor flexibilidad a las acciones de procura en la adjudicación de </w:t>
      </w:r>
      <w:r w:rsidRPr="0051641C">
        <w:rPr>
          <w:rFonts w:eastAsia="Calibri"/>
          <w:sz w:val="26"/>
          <w:szCs w:val="26"/>
          <w:lang w:eastAsia="en-US"/>
        </w:rPr>
        <w:lastRenderedPageBreak/>
        <w:t xml:space="preserve">contratos, de forma que los contratistas puedan aprovechar contrataciones con carácter integral o global de bienes y servicios siempre que estas opciones ofrezcan las mejores condiciones de precio y calidad. </w:t>
      </w:r>
    </w:p>
    <w:p w14:paraId="4D4195E5" w14:textId="04E411FB"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Compromiso Mínimo de Trabajo. Como parte del contrato y las bases de licitación se incluye un nuevo sistema reconocido por la práctica internacional basado en unidades de trabajo, a través de las cuales es posible convertir un monto de inversión comprometido en actividades o trabajos específicos a ejecutar de acuerdo </w:t>
      </w:r>
      <w:r w:rsidR="00F723CA">
        <w:rPr>
          <w:rFonts w:eastAsia="Calibri"/>
          <w:sz w:val="26"/>
          <w:szCs w:val="26"/>
          <w:lang w:eastAsia="en-US"/>
        </w:rPr>
        <w:t>con el</w:t>
      </w:r>
      <w:r w:rsidRPr="0051641C">
        <w:rPr>
          <w:rFonts w:eastAsia="Calibri"/>
          <w:sz w:val="26"/>
          <w:szCs w:val="26"/>
          <w:lang w:eastAsia="en-US"/>
        </w:rPr>
        <w:t xml:space="preserve"> esquema predefinido. Este mecanismo permitirá medir la inversión con base en actividades sustantivas, por lo que  incentivará la realización de trabajos útiles para la producción y brindará mayor flexibilidad operativa al contratista. </w:t>
      </w:r>
    </w:p>
    <w:p w14:paraId="68204D14"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Garantías y seguros. El contratista se podrá asegurar mediante una filial con calificación crediticia de grado de inversión. Por su parte, se flexibilizan los requerimientos sobre la Garantía Corporativa, que podrá provenir de la empresa matriz del contratista o por la empresa que ejerza control sobre el mismo. </w:t>
      </w:r>
    </w:p>
    <w:p w14:paraId="3A39DEC5"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Rescisión del contrato. Se precisa que las causales administrativas estarán ligadas a causas graves establecidas en la Ley de Hidrocarburos, mientras que las causales de rescisión contractual responderán a causas no justificadas. Adicionalmente se establece un procedimiento claro y sencillo para la resolución de estos procedimientos.</w:t>
      </w:r>
    </w:p>
    <w:p w14:paraId="5923F1A0"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Plazos y aprobaciones por parte de la autoridad. Para una operación más eficiente, se reduce el número de autorizaciones necesarias y se establecen plazos y criterios claros para dar respuesta.  </w:t>
      </w:r>
    </w:p>
    <w:p w14:paraId="52F95A98" w14:textId="77777777" w:rsidR="0051641C" w:rsidRPr="0051641C" w:rsidRDefault="0051641C" w:rsidP="00276F3E">
      <w:pPr>
        <w:numPr>
          <w:ilvl w:val="0"/>
          <w:numId w:val="77"/>
        </w:numPr>
        <w:spacing w:after="360" w:line="360" w:lineRule="auto"/>
        <w:ind w:left="714" w:right="-159" w:hanging="357"/>
        <w:jc w:val="both"/>
        <w:rPr>
          <w:rFonts w:eastAsia="Calibri"/>
          <w:sz w:val="26"/>
          <w:szCs w:val="26"/>
          <w:lang w:eastAsia="en-US"/>
        </w:rPr>
      </w:pPr>
      <w:r w:rsidRPr="0051641C">
        <w:rPr>
          <w:rFonts w:eastAsia="Calibri"/>
          <w:sz w:val="26"/>
          <w:szCs w:val="26"/>
          <w:lang w:eastAsia="en-US"/>
        </w:rPr>
        <w:t xml:space="preserve">Bases de Licitación Ahora los licitantes podrán modificar su estructura hasta     15 días antes de la declaración de ganadores. Adicionalmente, se prevé </w:t>
      </w:r>
      <w:r w:rsidRPr="0051641C">
        <w:rPr>
          <w:rFonts w:eastAsia="Calibri"/>
          <w:sz w:val="26"/>
          <w:szCs w:val="26"/>
          <w:lang w:eastAsia="en-US"/>
        </w:rPr>
        <w:lastRenderedPageBreak/>
        <w:t xml:space="preserve">incrementar los plazos para el acceso al cuarto de datos. Para agilizar el proceso de precalificación se permitirá demostrar la experiencia del operador mediante proyectos de aguas profundas o aguas someras. </w:t>
      </w:r>
    </w:p>
    <w:p w14:paraId="43156065" w14:textId="77777777" w:rsidR="0051641C" w:rsidRPr="0051641C" w:rsidRDefault="0051641C" w:rsidP="0051641C">
      <w:pPr>
        <w:spacing w:after="360" w:line="360" w:lineRule="auto"/>
        <w:ind w:right="-159"/>
        <w:jc w:val="both"/>
        <w:rPr>
          <w:rFonts w:eastAsia="Calibri"/>
          <w:sz w:val="26"/>
          <w:szCs w:val="26"/>
          <w:lang w:eastAsia="en-US"/>
        </w:rPr>
      </w:pPr>
      <w:r w:rsidRPr="0051641C">
        <w:rPr>
          <w:rFonts w:eastAsia="Calibri"/>
          <w:sz w:val="26"/>
          <w:szCs w:val="26"/>
          <w:lang w:eastAsia="en-US"/>
        </w:rPr>
        <w:t>Las adecuaciones y mejoras realizadas tienen como base la práctica internacional y responden al interés del Estado mexicano de garantizar mayores inversiones, incrementar la generación de empleos y aumentar la producción de petróleo y gas natural del país. Dichas modificaciones se encuentran incluidas en las bases de licitación y el modelo de contrato correspondientes a la segunda convocatoria, y se reflejarán en las bases de licitación y el modelo de contrato correspondientes a la primera convocatoria siguiendo los procedimientos y plazos establecidos.</w:t>
      </w:r>
    </w:p>
    <w:p w14:paraId="261FE11A" w14:textId="77777777" w:rsidR="0051641C" w:rsidRPr="0051641C" w:rsidRDefault="0051641C" w:rsidP="0051641C">
      <w:pPr>
        <w:ind w:right="-159"/>
        <w:jc w:val="both"/>
        <w:rPr>
          <w:rFonts w:eastAsia="Calibri"/>
          <w:b/>
          <w:sz w:val="20"/>
          <w:szCs w:val="20"/>
          <w:lang w:eastAsia="en-US"/>
        </w:rPr>
      </w:pPr>
      <w:r w:rsidRPr="0051641C">
        <w:rPr>
          <w:rFonts w:eastAsia="Calibri"/>
          <w:b/>
          <w:sz w:val="20"/>
          <w:szCs w:val="20"/>
          <w:lang w:eastAsia="en-US"/>
        </w:rPr>
        <w:t>Fuente de información:</w:t>
      </w:r>
    </w:p>
    <w:p w14:paraId="300B7731" w14:textId="77777777" w:rsidR="0051641C" w:rsidRPr="004C101E" w:rsidRDefault="00872B0E" w:rsidP="004C101E">
      <w:pPr>
        <w:spacing w:after="720"/>
        <w:ind w:right="-159"/>
        <w:jc w:val="both"/>
        <w:rPr>
          <w:rFonts w:eastAsia="Calibri"/>
          <w:color w:val="0000FF"/>
          <w:sz w:val="20"/>
          <w:szCs w:val="20"/>
          <w:lang w:eastAsia="en-US"/>
        </w:rPr>
      </w:pPr>
      <w:hyperlink r:id="rId13" w:history="1">
        <w:r w:rsidR="0051641C" w:rsidRPr="004C101E">
          <w:rPr>
            <w:rFonts w:eastAsia="Calibri"/>
            <w:color w:val="0000FF"/>
            <w:sz w:val="20"/>
            <w:szCs w:val="20"/>
            <w:u w:val="single"/>
            <w:lang w:eastAsia="en-US"/>
          </w:rPr>
          <w:t>http://www.shcp.gob.mx/Biblioteca_noticias_home/comunicado_017_2015.pdf</w:t>
        </w:r>
      </w:hyperlink>
      <w:r w:rsidR="0051641C" w:rsidRPr="004C101E">
        <w:rPr>
          <w:rFonts w:eastAsia="Calibri"/>
          <w:color w:val="0000FF"/>
          <w:sz w:val="20"/>
          <w:szCs w:val="20"/>
          <w:lang w:eastAsia="en-US"/>
        </w:rPr>
        <w:t xml:space="preserve"> </w:t>
      </w:r>
    </w:p>
    <w:p w14:paraId="26793FE7" w14:textId="77777777" w:rsidR="00F176B3" w:rsidRPr="00F176B3" w:rsidRDefault="00F176B3" w:rsidP="00F176B3">
      <w:pPr>
        <w:rPr>
          <w:rFonts w:eastAsia="Calibri"/>
          <w:b/>
          <w:sz w:val="26"/>
          <w:szCs w:val="26"/>
          <w:lang w:eastAsia="en-US"/>
        </w:rPr>
      </w:pPr>
      <w:r w:rsidRPr="00F176B3">
        <w:rPr>
          <w:rFonts w:eastAsia="Calibri"/>
          <w:b/>
          <w:sz w:val="26"/>
          <w:szCs w:val="26"/>
          <w:lang w:eastAsia="en-US"/>
        </w:rPr>
        <w:t>Hecho en México: Reforma energética y</w:t>
      </w:r>
    </w:p>
    <w:p w14:paraId="14954388" w14:textId="77777777" w:rsidR="00F176B3" w:rsidRPr="00F176B3" w:rsidRDefault="00F176B3" w:rsidP="00F176B3">
      <w:pPr>
        <w:spacing w:after="360" w:line="360" w:lineRule="auto"/>
        <w:ind w:right="-159"/>
        <w:jc w:val="both"/>
        <w:rPr>
          <w:rFonts w:eastAsia="Calibri"/>
          <w:b/>
          <w:sz w:val="26"/>
          <w:szCs w:val="26"/>
          <w:lang w:eastAsia="en-US"/>
        </w:rPr>
      </w:pPr>
      <w:r w:rsidRPr="00F176B3">
        <w:rPr>
          <w:rFonts w:eastAsia="Calibri"/>
          <w:b/>
          <w:sz w:val="26"/>
          <w:szCs w:val="26"/>
          <w:lang w:eastAsia="en-US"/>
        </w:rPr>
        <w:t>crecimiento de la manufactura (FMI)</w:t>
      </w:r>
    </w:p>
    <w:p w14:paraId="3D4C7E3D" w14:textId="5C2D7F95" w:rsid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 xml:space="preserve">El 27 de febrero de 2015, el Fondo Monetario Internacional (FMI) presentó el Documento de Trabajo titulado </w:t>
      </w:r>
      <w:r w:rsidRPr="00F176B3">
        <w:rPr>
          <w:rFonts w:eastAsia="Calibri"/>
          <w:i/>
          <w:sz w:val="26"/>
          <w:szCs w:val="26"/>
          <w:lang w:eastAsia="en-US"/>
        </w:rPr>
        <w:t>Made in Mexico: Energy Reform and Manufacturing Growth</w:t>
      </w:r>
      <w:r w:rsidRPr="00F176B3">
        <w:rPr>
          <w:rFonts w:eastAsia="Calibri"/>
          <w:sz w:val="26"/>
          <w:szCs w:val="26"/>
          <w:lang w:eastAsia="en-US"/>
        </w:rPr>
        <w:t xml:space="preserve"> (“</w:t>
      </w:r>
      <w:r w:rsidRPr="00F723CA">
        <w:rPr>
          <w:rFonts w:eastAsia="Calibri"/>
          <w:sz w:val="26"/>
          <w:szCs w:val="26"/>
          <w:lang w:eastAsia="en-US"/>
        </w:rPr>
        <w:t>Hecho en México: Reforma energética y crecimiento de la manufactura</w:t>
      </w:r>
      <w:r w:rsidRPr="00F176B3">
        <w:rPr>
          <w:rFonts w:eastAsia="Calibri"/>
          <w:sz w:val="26"/>
          <w:szCs w:val="26"/>
          <w:lang w:eastAsia="en-US"/>
        </w:rPr>
        <w:t>”)</w:t>
      </w:r>
      <w:r w:rsidRPr="00F176B3">
        <w:rPr>
          <w:rFonts w:eastAsia="Calibri"/>
          <w:sz w:val="26"/>
          <w:szCs w:val="26"/>
          <w:vertAlign w:val="superscript"/>
          <w:lang w:eastAsia="en-US"/>
        </w:rPr>
        <w:footnoteReference w:id="3"/>
      </w:r>
      <w:r w:rsidR="00F723CA">
        <w:rPr>
          <w:rFonts w:eastAsia="Calibri"/>
          <w:sz w:val="26"/>
          <w:szCs w:val="26"/>
          <w:lang w:eastAsia="en-US"/>
        </w:rPr>
        <w:t>.</w:t>
      </w:r>
      <w:r w:rsidRPr="00F176B3">
        <w:rPr>
          <w:rFonts w:eastAsia="Calibri"/>
          <w:sz w:val="26"/>
          <w:szCs w:val="26"/>
          <w:lang w:eastAsia="en-US"/>
        </w:rPr>
        <w:t xml:space="preserve"> A continuación se presenta el Resumen Ejecutivo, algunos cuadros y gráficos, así como las conclusiones.</w:t>
      </w:r>
    </w:p>
    <w:p w14:paraId="4EDFD07D" w14:textId="77777777" w:rsidR="004C101E" w:rsidRDefault="004C101E" w:rsidP="00F176B3">
      <w:pPr>
        <w:spacing w:after="360" w:line="360" w:lineRule="auto"/>
        <w:ind w:right="-159"/>
        <w:jc w:val="both"/>
        <w:rPr>
          <w:rFonts w:eastAsia="Calibri"/>
          <w:sz w:val="26"/>
          <w:szCs w:val="26"/>
          <w:lang w:eastAsia="en-US"/>
        </w:rPr>
      </w:pPr>
    </w:p>
    <w:p w14:paraId="7B4E2266" w14:textId="77777777" w:rsidR="004C101E" w:rsidRPr="00F176B3" w:rsidRDefault="004C101E" w:rsidP="00F176B3">
      <w:pPr>
        <w:spacing w:after="360" w:line="360" w:lineRule="auto"/>
        <w:ind w:right="-159"/>
        <w:jc w:val="both"/>
        <w:rPr>
          <w:rFonts w:eastAsia="Calibri"/>
          <w:sz w:val="26"/>
          <w:szCs w:val="26"/>
          <w:lang w:eastAsia="en-US"/>
        </w:rPr>
      </w:pPr>
    </w:p>
    <w:p w14:paraId="3A93CF17" w14:textId="77777777" w:rsidR="00F176B3" w:rsidRPr="00F176B3" w:rsidRDefault="00F176B3" w:rsidP="00F176B3">
      <w:pPr>
        <w:spacing w:after="360" w:line="360" w:lineRule="auto"/>
        <w:ind w:right="-159"/>
        <w:jc w:val="both"/>
        <w:rPr>
          <w:rFonts w:eastAsia="Calibri"/>
          <w:b/>
          <w:sz w:val="26"/>
          <w:szCs w:val="26"/>
          <w:lang w:eastAsia="en-US"/>
        </w:rPr>
      </w:pPr>
      <w:r w:rsidRPr="00F176B3">
        <w:rPr>
          <w:rFonts w:eastAsia="Calibri"/>
          <w:b/>
          <w:sz w:val="26"/>
          <w:szCs w:val="26"/>
          <w:lang w:eastAsia="en-US"/>
        </w:rPr>
        <w:lastRenderedPageBreak/>
        <w:t>Hecho en México: Reforma energética y crecimiento de la manufactura</w:t>
      </w:r>
    </w:p>
    <w:p w14:paraId="537C7288" w14:textId="77777777" w:rsidR="00F176B3" w:rsidRPr="00F176B3" w:rsidRDefault="00F176B3" w:rsidP="00F176B3">
      <w:pPr>
        <w:spacing w:after="360" w:line="360" w:lineRule="auto"/>
        <w:ind w:right="-159"/>
        <w:jc w:val="both"/>
        <w:rPr>
          <w:rFonts w:eastAsia="Calibri"/>
          <w:b/>
          <w:sz w:val="26"/>
          <w:szCs w:val="26"/>
          <w:lang w:eastAsia="en-US"/>
        </w:rPr>
      </w:pPr>
      <w:r w:rsidRPr="00F176B3">
        <w:rPr>
          <w:rFonts w:eastAsia="Calibri"/>
          <w:b/>
          <w:sz w:val="26"/>
          <w:szCs w:val="26"/>
          <w:lang w:eastAsia="en-US"/>
        </w:rPr>
        <w:t>Resumen</w:t>
      </w:r>
    </w:p>
    <w:p w14:paraId="6842A8B1" w14:textId="77777777" w:rsidR="00F176B3" w:rsidRP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 xml:space="preserve">Este documento evalúa los efectos reales de la reforma energética en México al examinar su impacto en la producción manufacturera a través de cambios en los precios de la energía. Usando datos de los subsectores y de la producción manufacturera a nivel estatal, junto con la variación pasada de los precios de la energía, se encuentra que los precios de la electricidad —con relación al petróleo y el gas— son más importantes en el proceso de fabricación, con una reducción de la desviación estándar en los precios de la electricidad que derivan en un aumento de 2.8% en la producción manufacturera. Las elasticidades estimadas junto con las reducciones plausibles en las tarifas eléctricas derivadas de la reforma energética, podrían aumentar la producción manufacturera en hasta 3.6% y al PIB total real en 0.6%. Reducciones más grandes serán posibles a largo plazo si el aumento de la eficiencia del sector conduce a los precios de la electricidad a converger con niveles de Estados Unidos de Norteamérica. Por otra parte, incluir el impacto de tarifas eléctricas más bajas en el sector servicios, podría dar lugar a efectos significativamente más grandes en el PIB. Considerar el carácter endógeno de los costos </w:t>
      </w:r>
      <w:r w:rsidRPr="00F723CA">
        <w:rPr>
          <w:rFonts w:eastAsia="Calibri"/>
          <w:sz w:val="26"/>
          <w:szCs w:val="26"/>
          <w:lang w:eastAsia="en-US"/>
        </w:rPr>
        <w:t xml:space="preserve">laborales unitarios en el panel del Vector de Auto Regresión (VAR) conduce a un canal </w:t>
      </w:r>
      <w:r w:rsidRPr="00F176B3">
        <w:rPr>
          <w:rFonts w:eastAsia="Calibri"/>
          <w:sz w:val="26"/>
          <w:szCs w:val="26"/>
          <w:lang w:eastAsia="en-US"/>
        </w:rPr>
        <w:t>indirecto adicional que amplifica el impacto de los precios de la electricidad en la producción.</w:t>
      </w:r>
    </w:p>
    <w:p w14:paraId="3BCFD54F" w14:textId="77777777" w:rsidR="00F176B3" w:rsidRPr="00F176B3" w:rsidRDefault="00F176B3" w:rsidP="00F176B3">
      <w:pPr>
        <w:spacing w:after="360" w:line="360" w:lineRule="auto"/>
        <w:ind w:right="-159"/>
        <w:jc w:val="center"/>
        <w:rPr>
          <w:rFonts w:eastAsia="Calibri"/>
          <w:sz w:val="26"/>
          <w:szCs w:val="26"/>
          <w:lang w:eastAsia="en-US"/>
        </w:rPr>
      </w:pPr>
      <w:r w:rsidRPr="00F176B3">
        <w:rPr>
          <w:rFonts w:ascii="Calibri" w:eastAsia="Calibri" w:hAnsi="Calibri"/>
          <w:noProof/>
          <w:sz w:val="22"/>
          <w:szCs w:val="22"/>
          <w:lang w:eastAsia="es-MX"/>
        </w:rPr>
        <w:lastRenderedPageBreak/>
        <w:drawing>
          <wp:inline distT="0" distB="0" distL="0" distR="0" wp14:anchorId="23F38E9D" wp14:editId="51B2E424">
            <wp:extent cx="4559300" cy="2701062"/>
            <wp:effectExtent l="0" t="0" r="0" b="4445"/>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1258"/>
                    <a:stretch/>
                  </pic:blipFill>
                  <pic:spPr bwMode="auto">
                    <a:xfrm>
                      <a:off x="0" y="0"/>
                      <a:ext cx="4559300" cy="2701062"/>
                    </a:xfrm>
                    <a:prstGeom prst="rect">
                      <a:avLst/>
                    </a:prstGeom>
                    <a:noFill/>
                    <a:ln>
                      <a:noFill/>
                    </a:ln>
                    <a:extLst>
                      <a:ext uri="{53640926-AAD7-44D8-BBD7-CCE9431645EC}">
                        <a14:shadowObscured xmlns:a14="http://schemas.microsoft.com/office/drawing/2010/main"/>
                      </a:ext>
                    </a:extLst>
                  </pic:spPr>
                </pic:pic>
              </a:graphicData>
            </a:graphic>
          </wp:inline>
        </w:drawing>
      </w:r>
    </w:p>
    <w:p w14:paraId="2F371729" w14:textId="77777777" w:rsidR="00F176B3" w:rsidRPr="00F176B3" w:rsidRDefault="00F176B3" w:rsidP="00F176B3">
      <w:pPr>
        <w:spacing w:after="360" w:line="360" w:lineRule="auto"/>
        <w:ind w:right="-159"/>
        <w:jc w:val="center"/>
        <w:rPr>
          <w:rFonts w:eastAsia="Calibri"/>
          <w:sz w:val="26"/>
          <w:szCs w:val="26"/>
          <w:lang w:eastAsia="en-US"/>
        </w:rPr>
      </w:pPr>
      <w:r w:rsidRPr="00F176B3">
        <w:rPr>
          <w:rFonts w:ascii="Calibri" w:eastAsia="Calibri" w:hAnsi="Calibri"/>
          <w:noProof/>
          <w:sz w:val="22"/>
          <w:szCs w:val="22"/>
          <w:lang w:eastAsia="es-MX"/>
        </w:rPr>
        <w:drawing>
          <wp:inline distT="0" distB="0" distL="0" distR="0" wp14:anchorId="56E72161" wp14:editId="7BF85A14">
            <wp:extent cx="4559300" cy="2785339"/>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8801"/>
                    <a:stretch/>
                  </pic:blipFill>
                  <pic:spPr bwMode="auto">
                    <a:xfrm>
                      <a:off x="0" y="0"/>
                      <a:ext cx="4559300" cy="2785339"/>
                    </a:xfrm>
                    <a:prstGeom prst="rect">
                      <a:avLst/>
                    </a:prstGeom>
                    <a:noFill/>
                    <a:ln>
                      <a:noFill/>
                    </a:ln>
                    <a:extLst>
                      <a:ext uri="{53640926-AAD7-44D8-BBD7-CCE9431645EC}">
                        <a14:shadowObscured xmlns:a14="http://schemas.microsoft.com/office/drawing/2010/main"/>
                      </a:ext>
                    </a:extLst>
                  </pic:spPr>
                </pic:pic>
              </a:graphicData>
            </a:graphic>
          </wp:inline>
        </w:drawing>
      </w:r>
    </w:p>
    <w:p w14:paraId="269B3A07" w14:textId="77777777" w:rsidR="00F176B3" w:rsidRDefault="00F176B3" w:rsidP="00F176B3">
      <w:pPr>
        <w:spacing w:after="360" w:line="360" w:lineRule="auto"/>
        <w:ind w:right="-159"/>
        <w:jc w:val="center"/>
        <w:rPr>
          <w:rFonts w:eastAsia="Calibri"/>
          <w:sz w:val="26"/>
          <w:szCs w:val="26"/>
          <w:lang w:eastAsia="en-US"/>
        </w:rPr>
      </w:pPr>
    </w:p>
    <w:p w14:paraId="1E19D1EE" w14:textId="77777777" w:rsidR="000B6ABA" w:rsidRDefault="000B6ABA" w:rsidP="00F176B3">
      <w:pPr>
        <w:spacing w:after="360" w:line="360" w:lineRule="auto"/>
        <w:ind w:right="-159"/>
        <w:jc w:val="center"/>
        <w:rPr>
          <w:rFonts w:eastAsia="Calibri"/>
          <w:sz w:val="26"/>
          <w:szCs w:val="26"/>
          <w:lang w:eastAsia="en-US"/>
        </w:rPr>
      </w:pPr>
    </w:p>
    <w:p w14:paraId="5F976AEE" w14:textId="77777777" w:rsidR="000B6ABA" w:rsidRDefault="000B6ABA" w:rsidP="00F176B3">
      <w:pPr>
        <w:spacing w:after="360" w:line="360" w:lineRule="auto"/>
        <w:ind w:right="-159"/>
        <w:jc w:val="center"/>
        <w:rPr>
          <w:rFonts w:eastAsia="Calibri"/>
          <w:sz w:val="26"/>
          <w:szCs w:val="26"/>
          <w:lang w:eastAsia="en-US"/>
        </w:rPr>
      </w:pPr>
    </w:p>
    <w:p w14:paraId="4EEE13A3" w14:textId="77777777" w:rsidR="000B6ABA" w:rsidRPr="00F176B3" w:rsidRDefault="000B6ABA" w:rsidP="00F176B3">
      <w:pPr>
        <w:spacing w:after="360" w:line="360" w:lineRule="auto"/>
        <w:ind w:right="-159"/>
        <w:jc w:val="center"/>
        <w:rPr>
          <w:rFonts w:eastAsia="Calibri"/>
          <w:sz w:val="26"/>
          <w:szCs w:val="26"/>
          <w:lang w:eastAsia="en-US"/>
        </w:rPr>
      </w:pPr>
    </w:p>
    <w:tbl>
      <w:tblPr>
        <w:tblW w:w="6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954"/>
        <w:gridCol w:w="708"/>
        <w:gridCol w:w="1276"/>
      </w:tblGrid>
      <w:tr w:rsidR="00F176B3" w:rsidRPr="00F176B3" w14:paraId="2FFA23BF" w14:textId="77777777" w:rsidTr="00F176B3">
        <w:trPr>
          <w:trHeight w:val="106"/>
          <w:jc w:val="center"/>
        </w:trPr>
        <w:tc>
          <w:tcPr>
            <w:tcW w:w="6938" w:type="dxa"/>
            <w:gridSpan w:val="3"/>
            <w:tcBorders>
              <w:top w:val="nil"/>
              <w:left w:val="nil"/>
              <w:bottom w:val="single" w:sz="2" w:space="0" w:color="auto"/>
              <w:right w:val="nil"/>
            </w:tcBorders>
            <w:shd w:val="clear" w:color="auto" w:fill="auto"/>
            <w:vAlign w:val="center"/>
          </w:tcPr>
          <w:p w14:paraId="2C0DE281" w14:textId="77777777" w:rsidR="00F176B3" w:rsidRPr="00F723CA" w:rsidRDefault="00F176B3" w:rsidP="00F176B3">
            <w:pPr>
              <w:autoSpaceDE w:val="0"/>
              <w:autoSpaceDN w:val="0"/>
              <w:adjustRightInd w:val="0"/>
              <w:jc w:val="center"/>
              <w:rPr>
                <w:rFonts w:eastAsia="Calibri"/>
                <w:b/>
                <w:bCs/>
                <w:sz w:val="22"/>
                <w:szCs w:val="22"/>
                <w:lang w:eastAsia="en-US"/>
              </w:rPr>
            </w:pPr>
            <w:r w:rsidRPr="00F723CA">
              <w:rPr>
                <w:rFonts w:eastAsia="Calibri"/>
                <w:b/>
                <w:bCs/>
                <w:sz w:val="22"/>
                <w:szCs w:val="22"/>
                <w:lang w:eastAsia="en-US"/>
              </w:rPr>
              <w:lastRenderedPageBreak/>
              <w:t>IMPACTO ECONÓMICO DE UNA REDUCCIÓN EN LOS PRECIOS DE LA ELECTRICIDAD</w:t>
            </w:r>
          </w:p>
          <w:p w14:paraId="2BB73F0A" w14:textId="77777777" w:rsidR="00F176B3" w:rsidRPr="00F723CA" w:rsidRDefault="00F176B3" w:rsidP="00F176B3">
            <w:pPr>
              <w:spacing w:after="160" w:line="259" w:lineRule="auto"/>
              <w:jc w:val="center"/>
              <w:rPr>
                <w:rFonts w:eastAsia="Calibri"/>
                <w:b/>
                <w:sz w:val="22"/>
                <w:szCs w:val="22"/>
                <w:lang w:eastAsia="en-US"/>
              </w:rPr>
            </w:pPr>
            <w:r w:rsidRPr="00F723CA">
              <w:rPr>
                <w:rFonts w:eastAsia="Calibri"/>
                <w:b/>
                <w:sz w:val="22"/>
                <w:szCs w:val="22"/>
                <w:lang w:eastAsia="en-US"/>
              </w:rPr>
              <w:t>-Porcentaje-</w:t>
            </w:r>
          </w:p>
        </w:tc>
      </w:tr>
      <w:tr w:rsidR="00F176B3" w:rsidRPr="00F176B3" w14:paraId="123EBCB8"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2A3A2A4F" w14:textId="77777777" w:rsidR="00F176B3" w:rsidRPr="00F723CA" w:rsidRDefault="00F176B3" w:rsidP="00F176B3">
            <w:pPr>
              <w:autoSpaceDE w:val="0"/>
              <w:autoSpaceDN w:val="0"/>
              <w:adjustRightInd w:val="0"/>
              <w:jc w:val="center"/>
              <w:rPr>
                <w:rFonts w:eastAsia="Calibri"/>
                <w:bCs/>
                <w:sz w:val="22"/>
                <w:szCs w:val="22"/>
                <w:lang w:eastAsia="en-US"/>
              </w:rPr>
            </w:pP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1475DCF6" w14:textId="77777777" w:rsidR="00F176B3" w:rsidRPr="00F723CA" w:rsidRDefault="00F176B3" w:rsidP="00F723CA">
            <w:pPr>
              <w:autoSpaceDE w:val="0"/>
              <w:autoSpaceDN w:val="0"/>
              <w:adjustRightInd w:val="0"/>
              <w:ind w:left="-57" w:right="-57"/>
              <w:jc w:val="center"/>
              <w:rPr>
                <w:rFonts w:eastAsia="Calibri"/>
                <w:b/>
                <w:sz w:val="18"/>
                <w:szCs w:val="18"/>
                <w:lang w:eastAsia="en-US"/>
              </w:rPr>
            </w:pPr>
            <w:r w:rsidRPr="00F723CA">
              <w:rPr>
                <w:rFonts w:eastAsia="Calibri"/>
                <w:b/>
                <w:sz w:val="18"/>
                <w:szCs w:val="18"/>
                <w:lang w:eastAsia="en-US"/>
              </w:rPr>
              <w:t>Menor</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08AA8F0E" w14:textId="77777777" w:rsidR="00F176B3" w:rsidRPr="00F723CA" w:rsidRDefault="00F176B3" w:rsidP="00F176B3">
            <w:pPr>
              <w:autoSpaceDE w:val="0"/>
              <w:autoSpaceDN w:val="0"/>
              <w:adjustRightInd w:val="0"/>
              <w:jc w:val="center"/>
              <w:rPr>
                <w:rFonts w:eastAsia="Calibri"/>
                <w:b/>
                <w:sz w:val="18"/>
                <w:szCs w:val="18"/>
                <w:lang w:eastAsia="en-US"/>
              </w:rPr>
            </w:pPr>
            <w:r w:rsidRPr="00F723CA">
              <w:rPr>
                <w:rFonts w:eastAsia="Calibri"/>
                <w:b/>
                <w:sz w:val="18"/>
                <w:szCs w:val="18"/>
                <w:lang w:eastAsia="en-US"/>
              </w:rPr>
              <w:t>Mayor</w:t>
            </w:r>
          </w:p>
        </w:tc>
      </w:tr>
      <w:tr w:rsidR="00F176B3" w:rsidRPr="00F176B3" w14:paraId="02C1AB3E"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0BDA8DE7" w14:textId="77777777" w:rsidR="00F176B3" w:rsidRPr="00F723CA" w:rsidRDefault="00F176B3" w:rsidP="00F176B3">
            <w:pPr>
              <w:autoSpaceDE w:val="0"/>
              <w:autoSpaceDN w:val="0"/>
              <w:adjustRightInd w:val="0"/>
              <w:rPr>
                <w:rFonts w:eastAsia="Calibri"/>
                <w:bCs/>
                <w:sz w:val="22"/>
                <w:szCs w:val="22"/>
                <w:lang w:eastAsia="en-US"/>
              </w:rPr>
            </w:pPr>
            <w:r w:rsidRPr="00F723CA">
              <w:rPr>
                <w:rFonts w:eastAsia="Calibri"/>
                <w:bCs/>
                <w:sz w:val="22"/>
                <w:szCs w:val="22"/>
                <w:lang w:eastAsia="en-US"/>
              </w:rPr>
              <w:t>Elasticidades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5A828D17" w14:textId="77777777" w:rsidR="00F176B3" w:rsidRPr="00F723CA" w:rsidRDefault="00F176B3" w:rsidP="00F176B3">
            <w:pPr>
              <w:autoSpaceDE w:val="0"/>
              <w:autoSpaceDN w:val="0"/>
              <w:adjustRightInd w:val="0"/>
              <w:jc w:val="center"/>
              <w:rPr>
                <w:rFonts w:eastAsia="Calibri"/>
                <w:b/>
                <w:sz w:val="18"/>
                <w:szCs w:val="18"/>
                <w:lang w:eastAsia="en-US"/>
              </w:rPr>
            </w:pPr>
            <w:r w:rsidRPr="00F723CA">
              <w:rPr>
                <w:rFonts w:eastAsia="Calibri"/>
                <w:b/>
                <w:sz w:val="18"/>
                <w:szCs w:val="18"/>
                <w:lang w:eastAsia="en-US"/>
              </w:rPr>
              <w:t>-0.11</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5D6B91B5" w14:textId="77777777" w:rsidR="00F176B3" w:rsidRPr="00F723CA" w:rsidRDefault="00F176B3" w:rsidP="00F176B3">
            <w:pPr>
              <w:autoSpaceDE w:val="0"/>
              <w:autoSpaceDN w:val="0"/>
              <w:adjustRightInd w:val="0"/>
              <w:jc w:val="center"/>
              <w:rPr>
                <w:rFonts w:eastAsia="Calibri"/>
                <w:b/>
                <w:sz w:val="18"/>
                <w:szCs w:val="18"/>
                <w:lang w:eastAsia="en-US"/>
              </w:rPr>
            </w:pPr>
            <w:r w:rsidRPr="00F723CA">
              <w:rPr>
                <w:rFonts w:eastAsia="Calibri"/>
                <w:b/>
                <w:sz w:val="18"/>
                <w:szCs w:val="18"/>
                <w:lang w:eastAsia="en-US"/>
              </w:rPr>
              <w:t>-0.28</w:t>
            </w:r>
          </w:p>
        </w:tc>
      </w:tr>
      <w:tr w:rsidR="00F176B3" w:rsidRPr="00F176B3" w14:paraId="70543770" w14:textId="77777777" w:rsidTr="00F723CA">
        <w:trPr>
          <w:trHeight w:val="106"/>
          <w:jc w:val="center"/>
        </w:trPr>
        <w:tc>
          <w:tcPr>
            <w:tcW w:w="6938"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5AD31EDF" w14:textId="77777777" w:rsidR="00F176B3" w:rsidRPr="00F723CA" w:rsidRDefault="00F176B3" w:rsidP="00F176B3">
            <w:pPr>
              <w:autoSpaceDE w:val="0"/>
              <w:autoSpaceDN w:val="0"/>
              <w:adjustRightInd w:val="0"/>
              <w:rPr>
                <w:rFonts w:eastAsia="Calibri"/>
                <w:b/>
                <w:sz w:val="22"/>
                <w:szCs w:val="22"/>
                <w:lang w:eastAsia="en-US"/>
              </w:rPr>
            </w:pPr>
            <w:r w:rsidRPr="00F723CA">
              <w:rPr>
                <w:rFonts w:eastAsia="Calibri"/>
                <w:b/>
                <w:bCs/>
                <w:sz w:val="22"/>
                <w:szCs w:val="22"/>
                <w:lang w:eastAsia="en-US"/>
              </w:rPr>
              <w:t>Escenario 1*: Sustitución de combustible (petróleo) por gas natural</w:t>
            </w:r>
          </w:p>
        </w:tc>
      </w:tr>
      <w:tr w:rsidR="00F176B3" w:rsidRPr="00F176B3" w14:paraId="26E0EECF"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69DFC024" w14:textId="77777777" w:rsidR="00F176B3" w:rsidRPr="00F723CA" w:rsidRDefault="00F176B3" w:rsidP="00F176B3">
            <w:pPr>
              <w:autoSpaceDE w:val="0"/>
              <w:autoSpaceDN w:val="0"/>
              <w:adjustRightInd w:val="0"/>
              <w:rPr>
                <w:rFonts w:eastAsia="Calibri"/>
                <w:bCs/>
                <w:sz w:val="22"/>
                <w:szCs w:val="22"/>
                <w:lang w:eastAsia="en-US"/>
              </w:rPr>
            </w:pPr>
            <w:r w:rsidRPr="00F723CA">
              <w:rPr>
                <w:rFonts w:eastAsia="Calibri"/>
                <w:bCs/>
                <w:sz w:val="22"/>
                <w:szCs w:val="22"/>
                <w:lang w:eastAsia="en-US"/>
              </w:rPr>
              <w:t>Aumento de la producción manufacturera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47DB1A0B"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1.4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3B82E03A"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3.6</w:t>
            </w:r>
          </w:p>
        </w:tc>
      </w:tr>
      <w:tr w:rsidR="00F176B3" w:rsidRPr="00F176B3" w14:paraId="5EC3951B"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1E363798" w14:textId="77777777" w:rsidR="00F176B3" w:rsidRPr="00F723CA" w:rsidRDefault="00F176B3" w:rsidP="00F176B3">
            <w:pPr>
              <w:autoSpaceDE w:val="0"/>
              <w:autoSpaceDN w:val="0"/>
              <w:adjustRightInd w:val="0"/>
              <w:rPr>
                <w:rFonts w:eastAsia="Calibri"/>
                <w:bCs/>
                <w:sz w:val="22"/>
                <w:szCs w:val="22"/>
                <w:lang w:eastAsia="en-US"/>
              </w:rPr>
            </w:pPr>
            <w:r w:rsidRPr="00F723CA">
              <w:rPr>
                <w:rFonts w:eastAsia="Calibri"/>
                <w:bCs/>
                <w:sz w:val="22"/>
                <w:szCs w:val="22"/>
                <w:lang w:eastAsia="en-US"/>
              </w:rPr>
              <w:t>Aumento del PIB general</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20FF8522"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0.2</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05A324B3"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0.6</w:t>
            </w:r>
          </w:p>
        </w:tc>
      </w:tr>
      <w:tr w:rsidR="00F176B3" w:rsidRPr="00F176B3" w14:paraId="6DEB5107" w14:textId="77777777" w:rsidTr="00F723CA">
        <w:trPr>
          <w:trHeight w:val="106"/>
          <w:jc w:val="center"/>
        </w:trPr>
        <w:tc>
          <w:tcPr>
            <w:tcW w:w="6938"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103C21DA" w14:textId="77777777" w:rsidR="00F176B3" w:rsidRPr="00F723CA" w:rsidRDefault="00F176B3" w:rsidP="00F176B3">
            <w:pPr>
              <w:autoSpaceDE w:val="0"/>
              <w:autoSpaceDN w:val="0"/>
              <w:adjustRightInd w:val="0"/>
              <w:rPr>
                <w:rFonts w:eastAsia="Calibri"/>
                <w:b/>
                <w:sz w:val="22"/>
                <w:szCs w:val="22"/>
                <w:lang w:eastAsia="en-US"/>
              </w:rPr>
            </w:pPr>
            <w:r w:rsidRPr="00F723CA">
              <w:rPr>
                <w:rFonts w:eastAsia="Calibri"/>
                <w:b/>
                <w:bCs/>
                <w:sz w:val="22"/>
                <w:szCs w:val="22"/>
                <w:lang w:eastAsia="en-US"/>
              </w:rPr>
              <w:t>Escenario 2*: Convergencia a los niveles estadounidenses</w:t>
            </w:r>
          </w:p>
        </w:tc>
      </w:tr>
      <w:tr w:rsidR="00F176B3" w:rsidRPr="00F176B3" w14:paraId="4DA7C3AB"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77907984" w14:textId="77777777" w:rsidR="00F176B3" w:rsidRPr="00F723CA" w:rsidRDefault="00F176B3" w:rsidP="00F176B3">
            <w:pPr>
              <w:autoSpaceDE w:val="0"/>
              <w:autoSpaceDN w:val="0"/>
              <w:adjustRightInd w:val="0"/>
              <w:rPr>
                <w:rFonts w:eastAsia="Calibri"/>
                <w:bCs/>
                <w:sz w:val="22"/>
                <w:szCs w:val="22"/>
                <w:lang w:eastAsia="en-US"/>
              </w:rPr>
            </w:pPr>
            <w:r w:rsidRPr="00F723CA">
              <w:rPr>
                <w:rFonts w:eastAsia="Calibri"/>
                <w:bCs/>
                <w:sz w:val="22"/>
                <w:szCs w:val="22"/>
                <w:lang w:eastAsia="en-US"/>
              </w:rPr>
              <w:t>Aumento de la producción manufacturera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7C92C671"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5.5</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25D3E93E"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14.0</w:t>
            </w:r>
          </w:p>
        </w:tc>
      </w:tr>
      <w:tr w:rsidR="00F176B3" w:rsidRPr="00F176B3" w14:paraId="22B42E95" w14:textId="77777777" w:rsidTr="00F723CA">
        <w:trPr>
          <w:trHeight w:val="106"/>
          <w:jc w:val="center"/>
        </w:trPr>
        <w:tc>
          <w:tcPr>
            <w:tcW w:w="4954" w:type="dxa"/>
            <w:tcBorders>
              <w:top w:val="single" w:sz="2" w:space="0" w:color="auto"/>
              <w:left w:val="single" w:sz="2" w:space="0" w:color="auto"/>
              <w:bottom w:val="single" w:sz="2" w:space="0" w:color="auto"/>
              <w:right w:val="single" w:sz="2" w:space="0" w:color="auto"/>
            </w:tcBorders>
            <w:shd w:val="clear" w:color="auto" w:fill="auto"/>
            <w:vAlign w:val="center"/>
          </w:tcPr>
          <w:p w14:paraId="380A5049" w14:textId="77777777" w:rsidR="00F176B3" w:rsidRPr="00F723CA" w:rsidRDefault="00F176B3" w:rsidP="00F176B3">
            <w:pPr>
              <w:autoSpaceDE w:val="0"/>
              <w:autoSpaceDN w:val="0"/>
              <w:adjustRightInd w:val="0"/>
              <w:rPr>
                <w:rFonts w:eastAsia="Calibri"/>
                <w:bCs/>
                <w:sz w:val="22"/>
                <w:szCs w:val="22"/>
                <w:lang w:eastAsia="en-US"/>
              </w:rPr>
            </w:pPr>
            <w:r w:rsidRPr="00F723CA">
              <w:rPr>
                <w:rFonts w:eastAsia="Calibri"/>
                <w:bCs/>
                <w:sz w:val="22"/>
                <w:szCs w:val="22"/>
                <w:lang w:eastAsia="en-US"/>
              </w:rPr>
              <w:t>Aumento del PIB general</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7EB6E033"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0.9</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48C40302" w14:textId="77777777" w:rsidR="00F176B3" w:rsidRPr="00F723CA" w:rsidRDefault="00F176B3" w:rsidP="00F176B3">
            <w:pPr>
              <w:autoSpaceDE w:val="0"/>
              <w:autoSpaceDN w:val="0"/>
              <w:adjustRightInd w:val="0"/>
              <w:jc w:val="center"/>
              <w:rPr>
                <w:rFonts w:eastAsia="Calibri"/>
                <w:sz w:val="18"/>
                <w:szCs w:val="18"/>
                <w:lang w:eastAsia="en-US"/>
              </w:rPr>
            </w:pPr>
            <w:r w:rsidRPr="00F723CA">
              <w:rPr>
                <w:rFonts w:eastAsia="Calibri"/>
                <w:sz w:val="18"/>
                <w:szCs w:val="18"/>
                <w:lang w:eastAsia="en-US"/>
              </w:rPr>
              <w:t>2.2</w:t>
            </w:r>
          </w:p>
        </w:tc>
      </w:tr>
      <w:tr w:rsidR="00F176B3" w:rsidRPr="00F176B3" w14:paraId="4AB00EF4" w14:textId="77777777" w:rsidTr="00F723CA">
        <w:trPr>
          <w:trHeight w:val="106"/>
          <w:jc w:val="center"/>
        </w:trPr>
        <w:tc>
          <w:tcPr>
            <w:tcW w:w="6938" w:type="dxa"/>
            <w:gridSpan w:val="3"/>
            <w:tcBorders>
              <w:top w:val="single" w:sz="2" w:space="0" w:color="auto"/>
              <w:left w:val="nil"/>
              <w:bottom w:val="nil"/>
              <w:right w:val="nil"/>
            </w:tcBorders>
            <w:shd w:val="clear" w:color="auto" w:fill="auto"/>
            <w:vAlign w:val="center"/>
          </w:tcPr>
          <w:p w14:paraId="756BCF36" w14:textId="77777777" w:rsidR="00F176B3" w:rsidRPr="00F723CA" w:rsidRDefault="00F176B3" w:rsidP="00276F3E">
            <w:pPr>
              <w:numPr>
                <w:ilvl w:val="0"/>
                <w:numId w:val="79"/>
              </w:numPr>
              <w:autoSpaceDE w:val="0"/>
              <w:autoSpaceDN w:val="0"/>
              <w:adjustRightInd w:val="0"/>
              <w:ind w:left="357" w:hanging="357"/>
              <w:jc w:val="both"/>
              <w:rPr>
                <w:rFonts w:eastAsia="Calibri"/>
                <w:sz w:val="22"/>
                <w:szCs w:val="22"/>
                <w:lang w:eastAsia="en-US"/>
              </w:rPr>
            </w:pPr>
            <w:r w:rsidRPr="00F723CA">
              <w:rPr>
                <w:rFonts w:eastAsia="Calibri"/>
                <w:sz w:val="22"/>
                <w:szCs w:val="22"/>
                <w:lang w:eastAsia="en-US"/>
              </w:rPr>
              <w:t>El escenario 1 supone una reducción de los precios de la electricidad de 13%, de conformidad con la sustitución de petróleo por gas natural. El escenario 2 supone la convergencia de los precios de la electricidad para los usuarios industriales y comerciales a niveles de Estados Unidos de Norteamérica.</w:t>
            </w:r>
          </w:p>
          <w:p w14:paraId="43F93697" w14:textId="77777777" w:rsidR="00F176B3" w:rsidRPr="00F723CA" w:rsidRDefault="00F176B3" w:rsidP="00F723CA">
            <w:pPr>
              <w:autoSpaceDE w:val="0"/>
              <w:autoSpaceDN w:val="0"/>
              <w:adjustRightInd w:val="0"/>
              <w:jc w:val="both"/>
              <w:rPr>
                <w:rFonts w:eastAsia="Calibri"/>
                <w:sz w:val="18"/>
                <w:szCs w:val="18"/>
                <w:lang w:eastAsia="en-US"/>
              </w:rPr>
            </w:pPr>
            <w:r w:rsidRPr="00F723CA">
              <w:rPr>
                <w:rFonts w:eastAsia="Calibri"/>
                <w:sz w:val="22"/>
                <w:szCs w:val="22"/>
                <w:lang w:eastAsia="en-US"/>
              </w:rPr>
              <w:t>FUENTE: FMI, con datos de las autoridades nacionales.</w:t>
            </w:r>
          </w:p>
        </w:tc>
      </w:tr>
    </w:tbl>
    <w:p w14:paraId="6DD84594" w14:textId="77777777" w:rsidR="00F723CA" w:rsidRPr="00F176B3" w:rsidRDefault="00F723CA" w:rsidP="00F176B3">
      <w:pPr>
        <w:spacing w:after="360" w:line="360" w:lineRule="auto"/>
        <w:ind w:right="-159"/>
        <w:jc w:val="both"/>
        <w:rPr>
          <w:rFonts w:eastAsia="Calibri"/>
          <w:sz w:val="26"/>
          <w:szCs w:val="26"/>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316"/>
        <w:gridCol w:w="816"/>
        <w:gridCol w:w="816"/>
        <w:gridCol w:w="816"/>
      </w:tblGrid>
      <w:tr w:rsidR="00F176B3" w:rsidRPr="00F723CA" w14:paraId="359AB80D" w14:textId="77777777" w:rsidTr="00F723CA">
        <w:trPr>
          <w:jc w:val="center"/>
        </w:trPr>
        <w:tc>
          <w:tcPr>
            <w:tcW w:w="0" w:type="auto"/>
            <w:gridSpan w:val="4"/>
            <w:tcBorders>
              <w:top w:val="nil"/>
              <w:left w:val="nil"/>
              <w:bottom w:val="single" w:sz="2" w:space="0" w:color="auto"/>
              <w:right w:val="nil"/>
            </w:tcBorders>
          </w:tcPr>
          <w:p w14:paraId="635F94D8" w14:textId="77777777" w:rsidR="00F176B3" w:rsidRPr="00F723CA" w:rsidRDefault="00F176B3" w:rsidP="00F723CA">
            <w:pPr>
              <w:jc w:val="center"/>
              <w:rPr>
                <w:rFonts w:eastAsia="Calibri"/>
                <w:b/>
                <w:sz w:val="22"/>
                <w:szCs w:val="22"/>
                <w:lang w:eastAsia="en-US"/>
              </w:rPr>
            </w:pPr>
            <w:r w:rsidRPr="00F723CA">
              <w:rPr>
                <w:rFonts w:eastAsia="Calibri"/>
                <w:b/>
                <w:sz w:val="22"/>
                <w:szCs w:val="22"/>
                <w:lang w:eastAsia="en-US"/>
              </w:rPr>
              <w:t>CONSUMO DE ENERGÍA DEL SECTOR INDUSTRIAL</w:t>
            </w:r>
          </w:p>
          <w:p w14:paraId="64DE0CB7" w14:textId="77777777" w:rsidR="00F176B3" w:rsidRPr="00F723CA" w:rsidRDefault="00F176B3" w:rsidP="00F723CA">
            <w:pPr>
              <w:jc w:val="center"/>
              <w:rPr>
                <w:rFonts w:eastAsia="Calibri"/>
                <w:b/>
                <w:sz w:val="22"/>
                <w:szCs w:val="22"/>
                <w:lang w:eastAsia="en-US"/>
              </w:rPr>
            </w:pPr>
            <w:r w:rsidRPr="00F723CA">
              <w:rPr>
                <w:rFonts w:eastAsia="Calibri"/>
                <w:b/>
                <w:sz w:val="22"/>
                <w:szCs w:val="22"/>
                <w:lang w:eastAsia="en-US"/>
              </w:rPr>
              <w:t>-En petajoul* y en porcentajes-</w:t>
            </w:r>
          </w:p>
        </w:tc>
      </w:tr>
      <w:tr w:rsidR="00F176B3" w:rsidRPr="00F723CA" w14:paraId="364C3DCA" w14:textId="77777777" w:rsidTr="00F723CA">
        <w:trPr>
          <w:jc w:val="center"/>
        </w:trPr>
        <w:tc>
          <w:tcPr>
            <w:tcW w:w="0" w:type="auto"/>
            <w:tcBorders>
              <w:bottom w:val="single" w:sz="2" w:space="0" w:color="auto"/>
            </w:tcBorders>
          </w:tcPr>
          <w:p w14:paraId="0B938FF6" w14:textId="77777777" w:rsidR="00F176B3" w:rsidRPr="00F723CA" w:rsidRDefault="00F176B3" w:rsidP="00F723CA">
            <w:pPr>
              <w:rPr>
                <w:rFonts w:eastAsia="Calibri"/>
                <w:b/>
                <w:sz w:val="20"/>
                <w:szCs w:val="20"/>
                <w:lang w:eastAsia="en-US"/>
              </w:rPr>
            </w:pPr>
          </w:p>
        </w:tc>
        <w:tc>
          <w:tcPr>
            <w:tcW w:w="0" w:type="auto"/>
            <w:tcBorders>
              <w:bottom w:val="single" w:sz="2" w:space="0" w:color="auto"/>
            </w:tcBorders>
          </w:tcPr>
          <w:p w14:paraId="37067D8D" w14:textId="77777777" w:rsidR="00F176B3" w:rsidRPr="00F723CA" w:rsidRDefault="00F176B3" w:rsidP="00F723CA">
            <w:pPr>
              <w:jc w:val="center"/>
              <w:rPr>
                <w:rFonts w:eastAsia="Calibri"/>
                <w:b/>
                <w:sz w:val="20"/>
                <w:szCs w:val="20"/>
                <w:lang w:eastAsia="en-US"/>
              </w:rPr>
            </w:pPr>
            <w:r w:rsidRPr="00F723CA">
              <w:rPr>
                <w:rFonts w:eastAsia="Calibri"/>
                <w:b/>
                <w:sz w:val="20"/>
                <w:szCs w:val="20"/>
                <w:lang w:eastAsia="en-US"/>
              </w:rPr>
              <w:t>2010</w:t>
            </w:r>
          </w:p>
        </w:tc>
        <w:tc>
          <w:tcPr>
            <w:tcW w:w="0" w:type="auto"/>
            <w:tcBorders>
              <w:bottom w:val="single" w:sz="2" w:space="0" w:color="auto"/>
            </w:tcBorders>
          </w:tcPr>
          <w:p w14:paraId="0F0B5202" w14:textId="77777777" w:rsidR="00F176B3" w:rsidRPr="00F723CA" w:rsidRDefault="00F176B3" w:rsidP="00F723CA">
            <w:pPr>
              <w:jc w:val="center"/>
              <w:rPr>
                <w:rFonts w:eastAsia="Calibri"/>
                <w:b/>
                <w:sz w:val="20"/>
                <w:szCs w:val="20"/>
                <w:lang w:eastAsia="en-US"/>
              </w:rPr>
            </w:pPr>
            <w:r w:rsidRPr="00F723CA">
              <w:rPr>
                <w:rFonts w:eastAsia="Calibri"/>
                <w:b/>
                <w:sz w:val="20"/>
                <w:szCs w:val="20"/>
                <w:lang w:eastAsia="en-US"/>
              </w:rPr>
              <w:t>2011</w:t>
            </w:r>
          </w:p>
        </w:tc>
        <w:tc>
          <w:tcPr>
            <w:tcW w:w="0" w:type="auto"/>
            <w:tcBorders>
              <w:bottom w:val="single" w:sz="2" w:space="0" w:color="auto"/>
            </w:tcBorders>
          </w:tcPr>
          <w:p w14:paraId="4055CAA7" w14:textId="77777777" w:rsidR="00F176B3" w:rsidRPr="00F723CA" w:rsidRDefault="00F176B3" w:rsidP="00F723CA">
            <w:pPr>
              <w:jc w:val="center"/>
              <w:rPr>
                <w:rFonts w:eastAsia="Calibri"/>
                <w:b/>
                <w:sz w:val="20"/>
                <w:szCs w:val="20"/>
                <w:lang w:eastAsia="en-US"/>
              </w:rPr>
            </w:pPr>
            <w:r w:rsidRPr="00F723CA">
              <w:rPr>
                <w:rFonts w:eastAsia="Calibri"/>
                <w:b/>
                <w:sz w:val="20"/>
                <w:szCs w:val="20"/>
                <w:lang w:eastAsia="en-US"/>
              </w:rPr>
              <w:t>2012</w:t>
            </w:r>
          </w:p>
        </w:tc>
      </w:tr>
      <w:tr w:rsidR="00F176B3" w:rsidRPr="00F723CA" w14:paraId="07FE8841" w14:textId="77777777" w:rsidTr="00F723CA">
        <w:trPr>
          <w:jc w:val="center"/>
        </w:trPr>
        <w:tc>
          <w:tcPr>
            <w:tcW w:w="0" w:type="auto"/>
            <w:tcBorders>
              <w:top w:val="single" w:sz="2" w:space="0" w:color="auto"/>
              <w:bottom w:val="nil"/>
            </w:tcBorders>
          </w:tcPr>
          <w:p w14:paraId="25EB2F0C" w14:textId="77777777" w:rsidR="00F176B3" w:rsidRPr="00F723CA" w:rsidRDefault="00F176B3" w:rsidP="00F723CA">
            <w:pPr>
              <w:rPr>
                <w:rFonts w:eastAsia="Calibri"/>
                <w:b/>
                <w:sz w:val="20"/>
                <w:szCs w:val="20"/>
                <w:lang w:eastAsia="en-US"/>
              </w:rPr>
            </w:pPr>
            <w:r w:rsidRPr="00F723CA">
              <w:rPr>
                <w:rFonts w:eastAsia="Calibri"/>
                <w:b/>
                <w:sz w:val="20"/>
                <w:szCs w:val="20"/>
                <w:lang w:eastAsia="en-US"/>
              </w:rPr>
              <w:t>Sector industrial total (en petajoul*)</w:t>
            </w:r>
          </w:p>
        </w:tc>
        <w:tc>
          <w:tcPr>
            <w:tcW w:w="0" w:type="auto"/>
            <w:tcBorders>
              <w:top w:val="single" w:sz="2" w:space="0" w:color="auto"/>
              <w:bottom w:val="nil"/>
            </w:tcBorders>
          </w:tcPr>
          <w:p w14:paraId="4A78AFD5"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1 381.1</w:t>
            </w:r>
          </w:p>
        </w:tc>
        <w:tc>
          <w:tcPr>
            <w:tcW w:w="0" w:type="auto"/>
            <w:tcBorders>
              <w:top w:val="single" w:sz="2" w:space="0" w:color="auto"/>
              <w:bottom w:val="nil"/>
            </w:tcBorders>
          </w:tcPr>
          <w:p w14:paraId="12FE5B5E"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1 492.3</w:t>
            </w:r>
          </w:p>
        </w:tc>
        <w:tc>
          <w:tcPr>
            <w:tcW w:w="0" w:type="auto"/>
            <w:tcBorders>
              <w:top w:val="single" w:sz="2" w:space="0" w:color="auto"/>
              <w:bottom w:val="nil"/>
            </w:tcBorders>
          </w:tcPr>
          <w:p w14:paraId="4303E896"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1 530.6</w:t>
            </w:r>
          </w:p>
        </w:tc>
      </w:tr>
      <w:tr w:rsidR="00F176B3" w:rsidRPr="00F723CA" w14:paraId="4A9910C5" w14:textId="77777777" w:rsidTr="00F723CA">
        <w:trPr>
          <w:jc w:val="center"/>
        </w:trPr>
        <w:tc>
          <w:tcPr>
            <w:tcW w:w="0" w:type="auto"/>
            <w:tcBorders>
              <w:top w:val="nil"/>
              <w:bottom w:val="nil"/>
            </w:tcBorders>
          </w:tcPr>
          <w:p w14:paraId="4ABDDD36" w14:textId="77777777" w:rsidR="00F176B3" w:rsidRPr="00F723CA" w:rsidRDefault="00F176B3" w:rsidP="00F723CA">
            <w:pPr>
              <w:rPr>
                <w:rFonts w:eastAsia="Calibri"/>
                <w:sz w:val="20"/>
                <w:szCs w:val="20"/>
                <w:lang w:eastAsia="en-US"/>
              </w:rPr>
            </w:pPr>
            <w:r w:rsidRPr="00F723CA">
              <w:rPr>
                <w:rFonts w:eastAsia="Calibri"/>
                <w:sz w:val="20"/>
                <w:szCs w:val="20"/>
                <w:lang w:eastAsia="en-US"/>
              </w:rPr>
              <w:t>Electricidad</w:t>
            </w:r>
          </w:p>
        </w:tc>
        <w:tc>
          <w:tcPr>
            <w:tcW w:w="0" w:type="auto"/>
            <w:tcBorders>
              <w:top w:val="nil"/>
              <w:bottom w:val="nil"/>
            </w:tcBorders>
          </w:tcPr>
          <w:p w14:paraId="70DC31E9"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34.2</w:t>
            </w:r>
          </w:p>
        </w:tc>
        <w:tc>
          <w:tcPr>
            <w:tcW w:w="0" w:type="auto"/>
            <w:tcBorders>
              <w:top w:val="nil"/>
              <w:bottom w:val="nil"/>
            </w:tcBorders>
          </w:tcPr>
          <w:p w14:paraId="4A73BAEB"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33.6</w:t>
            </w:r>
          </w:p>
        </w:tc>
        <w:tc>
          <w:tcPr>
            <w:tcW w:w="0" w:type="auto"/>
            <w:tcBorders>
              <w:top w:val="nil"/>
              <w:bottom w:val="nil"/>
            </w:tcBorders>
          </w:tcPr>
          <w:p w14:paraId="54D6AC33"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34.5</w:t>
            </w:r>
          </w:p>
        </w:tc>
      </w:tr>
      <w:tr w:rsidR="00F176B3" w:rsidRPr="00F723CA" w14:paraId="5E2CEB34" w14:textId="77777777" w:rsidTr="00F723CA">
        <w:trPr>
          <w:jc w:val="center"/>
        </w:trPr>
        <w:tc>
          <w:tcPr>
            <w:tcW w:w="0" w:type="auto"/>
            <w:tcBorders>
              <w:top w:val="nil"/>
              <w:bottom w:val="nil"/>
            </w:tcBorders>
          </w:tcPr>
          <w:p w14:paraId="6D253326" w14:textId="77777777" w:rsidR="00F176B3" w:rsidRPr="00F723CA" w:rsidRDefault="00F176B3" w:rsidP="00F723CA">
            <w:pPr>
              <w:rPr>
                <w:rFonts w:eastAsia="Calibri"/>
                <w:sz w:val="20"/>
                <w:szCs w:val="20"/>
                <w:lang w:eastAsia="en-US"/>
              </w:rPr>
            </w:pPr>
            <w:r w:rsidRPr="00F723CA">
              <w:rPr>
                <w:rFonts w:eastAsia="Calibri"/>
                <w:sz w:val="20"/>
                <w:szCs w:val="20"/>
                <w:lang w:eastAsia="en-US"/>
              </w:rPr>
              <w:t>Gas natural</w:t>
            </w:r>
          </w:p>
        </w:tc>
        <w:tc>
          <w:tcPr>
            <w:tcW w:w="0" w:type="auto"/>
            <w:tcBorders>
              <w:top w:val="nil"/>
              <w:bottom w:val="nil"/>
            </w:tcBorders>
          </w:tcPr>
          <w:p w14:paraId="472833FD"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35.3</w:t>
            </w:r>
          </w:p>
        </w:tc>
        <w:tc>
          <w:tcPr>
            <w:tcW w:w="0" w:type="auto"/>
            <w:tcBorders>
              <w:top w:val="nil"/>
              <w:bottom w:val="nil"/>
            </w:tcBorders>
          </w:tcPr>
          <w:p w14:paraId="6C5F3C10"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35.2</w:t>
            </w:r>
          </w:p>
        </w:tc>
        <w:tc>
          <w:tcPr>
            <w:tcW w:w="0" w:type="auto"/>
            <w:tcBorders>
              <w:top w:val="nil"/>
              <w:bottom w:val="nil"/>
            </w:tcBorders>
          </w:tcPr>
          <w:p w14:paraId="1C9012C6"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35.8</w:t>
            </w:r>
          </w:p>
        </w:tc>
      </w:tr>
      <w:tr w:rsidR="00F176B3" w:rsidRPr="00F723CA" w14:paraId="4CE7F9CD" w14:textId="77777777" w:rsidTr="00F723CA">
        <w:trPr>
          <w:jc w:val="center"/>
        </w:trPr>
        <w:tc>
          <w:tcPr>
            <w:tcW w:w="0" w:type="auto"/>
            <w:tcBorders>
              <w:top w:val="nil"/>
              <w:bottom w:val="nil"/>
            </w:tcBorders>
          </w:tcPr>
          <w:p w14:paraId="7C480959" w14:textId="77777777" w:rsidR="00F176B3" w:rsidRPr="00F723CA" w:rsidRDefault="00F176B3" w:rsidP="00F723CA">
            <w:pPr>
              <w:rPr>
                <w:rFonts w:eastAsia="Calibri"/>
                <w:sz w:val="20"/>
                <w:szCs w:val="20"/>
                <w:lang w:eastAsia="en-US"/>
              </w:rPr>
            </w:pPr>
            <w:r w:rsidRPr="00F723CA">
              <w:rPr>
                <w:rFonts w:eastAsia="Calibri"/>
                <w:sz w:val="20"/>
                <w:szCs w:val="20"/>
                <w:lang w:eastAsia="en-US"/>
              </w:rPr>
              <w:t>Derivados del petróleo</w:t>
            </w:r>
          </w:p>
        </w:tc>
        <w:tc>
          <w:tcPr>
            <w:tcW w:w="0" w:type="auto"/>
            <w:tcBorders>
              <w:top w:val="nil"/>
              <w:bottom w:val="nil"/>
            </w:tcBorders>
          </w:tcPr>
          <w:p w14:paraId="729B84E7"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17.0</w:t>
            </w:r>
          </w:p>
        </w:tc>
        <w:tc>
          <w:tcPr>
            <w:tcW w:w="0" w:type="auto"/>
            <w:tcBorders>
              <w:top w:val="nil"/>
              <w:bottom w:val="nil"/>
            </w:tcBorders>
          </w:tcPr>
          <w:p w14:paraId="53468F92"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15.5</w:t>
            </w:r>
          </w:p>
        </w:tc>
        <w:tc>
          <w:tcPr>
            <w:tcW w:w="0" w:type="auto"/>
            <w:tcBorders>
              <w:top w:val="nil"/>
              <w:bottom w:val="nil"/>
            </w:tcBorders>
          </w:tcPr>
          <w:p w14:paraId="54FEC568"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15.6</w:t>
            </w:r>
          </w:p>
        </w:tc>
      </w:tr>
      <w:tr w:rsidR="00F176B3" w:rsidRPr="00F723CA" w14:paraId="5BDE577F" w14:textId="77777777" w:rsidTr="00F723CA">
        <w:trPr>
          <w:jc w:val="center"/>
        </w:trPr>
        <w:tc>
          <w:tcPr>
            <w:tcW w:w="0" w:type="auto"/>
            <w:tcBorders>
              <w:top w:val="nil"/>
              <w:bottom w:val="nil"/>
            </w:tcBorders>
          </w:tcPr>
          <w:p w14:paraId="7A671133" w14:textId="77777777" w:rsidR="00F176B3" w:rsidRPr="00F723CA" w:rsidRDefault="00F176B3" w:rsidP="00F723CA">
            <w:pPr>
              <w:rPr>
                <w:rFonts w:eastAsia="Calibri"/>
                <w:sz w:val="20"/>
                <w:szCs w:val="20"/>
                <w:lang w:eastAsia="en-US"/>
              </w:rPr>
            </w:pPr>
            <w:r w:rsidRPr="00F723CA">
              <w:rPr>
                <w:rFonts w:eastAsia="Calibri"/>
                <w:sz w:val="20"/>
                <w:szCs w:val="20"/>
                <w:lang w:eastAsia="en-US"/>
              </w:rPr>
              <w:t>Otros</w:t>
            </w:r>
          </w:p>
        </w:tc>
        <w:tc>
          <w:tcPr>
            <w:tcW w:w="0" w:type="auto"/>
            <w:tcBorders>
              <w:top w:val="nil"/>
              <w:bottom w:val="nil"/>
            </w:tcBorders>
          </w:tcPr>
          <w:p w14:paraId="5F0BC8A9"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13.5</w:t>
            </w:r>
          </w:p>
        </w:tc>
        <w:tc>
          <w:tcPr>
            <w:tcW w:w="0" w:type="auto"/>
            <w:tcBorders>
              <w:top w:val="nil"/>
              <w:bottom w:val="nil"/>
            </w:tcBorders>
          </w:tcPr>
          <w:p w14:paraId="621DF467"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15.8</w:t>
            </w:r>
          </w:p>
        </w:tc>
        <w:tc>
          <w:tcPr>
            <w:tcW w:w="0" w:type="auto"/>
            <w:tcBorders>
              <w:top w:val="nil"/>
              <w:bottom w:val="nil"/>
            </w:tcBorders>
          </w:tcPr>
          <w:p w14:paraId="3235FAAC"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14.0</w:t>
            </w:r>
          </w:p>
        </w:tc>
      </w:tr>
      <w:tr w:rsidR="00F176B3" w:rsidRPr="00F723CA" w14:paraId="3CEF9961" w14:textId="77777777" w:rsidTr="00F723CA">
        <w:trPr>
          <w:jc w:val="center"/>
        </w:trPr>
        <w:tc>
          <w:tcPr>
            <w:tcW w:w="0" w:type="auto"/>
            <w:tcBorders>
              <w:top w:val="nil"/>
              <w:bottom w:val="nil"/>
            </w:tcBorders>
          </w:tcPr>
          <w:p w14:paraId="7BCF9A1F" w14:textId="77777777" w:rsidR="00F176B3" w:rsidRPr="00F723CA" w:rsidRDefault="00F176B3" w:rsidP="00F723CA">
            <w:pPr>
              <w:rPr>
                <w:rFonts w:eastAsia="Calibri"/>
                <w:b/>
                <w:sz w:val="20"/>
                <w:szCs w:val="20"/>
                <w:lang w:eastAsia="en-US"/>
              </w:rPr>
            </w:pPr>
            <w:r w:rsidRPr="00F723CA">
              <w:rPr>
                <w:rFonts w:eastAsia="Calibri"/>
                <w:b/>
                <w:sz w:val="20"/>
                <w:szCs w:val="20"/>
                <w:lang w:eastAsia="en-US"/>
              </w:rPr>
              <w:t>Industria automotriz (en petajoul*)</w:t>
            </w:r>
          </w:p>
        </w:tc>
        <w:tc>
          <w:tcPr>
            <w:tcW w:w="0" w:type="auto"/>
            <w:tcBorders>
              <w:top w:val="nil"/>
              <w:bottom w:val="nil"/>
            </w:tcBorders>
          </w:tcPr>
          <w:p w14:paraId="6658822F"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10.5</w:t>
            </w:r>
          </w:p>
        </w:tc>
        <w:tc>
          <w:tcPr>
            <w:tcW w:w="0" w:type="auto"/>
            <w:tcBorders>
              <w:top w:val="nil"/>
              <w:bottom w:val="nil"/>
            </w:tcBorders>
          </w:tcPr>
          <w:p w14:paraId="6C8726B4"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12.7</w:t>
            </w:r>
          </w:p>
        </w:tc>
        <w:tc>
          <w:tcPr>
            <w:tcW w:w="0" w:type="auto"/>
            <w:tcBorders>
              <w:top w:val="nil"/>
              <w:bottom w:val="nil"/>
            </w:tcBorders>
          </w:tcPr>
          <w:p w14:paraId="17E4BB3C" w14:textId="77777777" w:rsidR="00F176B3" w:rsidRPr="00F723CA" w:rsidRDefault="00F176B3" w:rsidP="00F723CA">
            <w:pPr>
              <w:jc w:val="right"/>
              <w:rPr>
                <w:rFonts w:eastAsia="Calibri"/>
                <w:b/>
                <w:sz w:val="20"/>
                <w:szCs w:val="20"/>
                <w:lang w:eastAsia="en-US"/>
              </w:rPr>
            </w:pPr>
            <w:r w:rsidRPr="00F723CA">
              <w:rPr>
                <w:rFonts w:eastAsia="Calibri"/>
                <w:b/>
                <w:sz w:val="20"/>
                <w:szCs w:val="20"/>
                <w:lang w:eastAsia="en-US"/>
              </w:rPr>
              <w:t>14.4</w:t>
            </w:r>
          </w:p>
        </w:tc>
      </w:tr>
      <w:tr w:rsidR="00F176B3" w:rsidRPr="00F723CA" w14:paraId="71BAB27D" w14:textId="77777777" w:rsidTr="00F723CA">
        <w:trPr>
          <w:jc w:val="center"/>
        </w:trPr>
        <w:tc>
          <w:tcPr>
            <w:tcW w:w="0" w:type="auto"/>
            <w:tcBorders>
              <w:top w:val="nil"/>
              <w:bottom w:val="nil"/>
            </w:tcBorders>
          </w:tcPr>
          <w:p w14:paraId="4EDBFB00" w14:textId="77777777" w:rsidR="00F176B3" w:rsidRPr="00F723CA" w:rsidRDefault="00F176B3" w:rsidP="00F723CA">
            <w:pPr>
              <w:rPr>
                <w:rFonts w:eastAsia="Calibri"/>
                <w:sz w:val="20"/>
                <w:szCs w:val="20"/>
                <w:lang w:eastAsia="en-US"/>
              </w:rPr>
            </w:pPr>
            <w:r w:rsidRPr="00F723CA">
              <w:rPr>
                <w:rFonts w:eastAsia="Calibri"/>
                <w:sz w:val="20"/>
                <w:szCs w:val="20"/>
                <w:lang w:eastAsia="en-US"/>
              </w:rPr>
              <w:t>Electricidad</w:t>
            </w:r>
          </w:p>
        </w:tc>
        <w:tc>
          <w:tcPr>
            <w:tcW w:w="0" w:type="auto"/>
            <w:tcBorders>
              <w:top w:val="nil"/>
              <w:bottom w:val="nil"/>
            </w:tcBorders>
          </w:tcPr>
          <w:p w14:paraId="683903E4"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68.3</w:t>
            </w:r>
          </w:p>
        </w:tc>
        <w:tc>
          <w:tcPr>
            <w:tcW w:w="0" w:type="auto"/>
            <w:tcBorders>
              <w:top w:val="nil"/>
              <w:bottom w:val="nil"/>
            </w:tcBorders>
          </w:tcPr>
          <w:p w14:paraId="6E573A4F"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60.0</w:t>
            </w:r>
          </w:p>
        </w:tc>
        <w:tc>
          <w:tcPr>
            <w:tcW w:w="0" w:type="auto"/>
            <w:tcBorders>
              <w:top w:val="nil"/>
              <w:bottom w:val="nil"/>
            </w:tcBorders>
          </w:tcPr>
          <w:p w14:paraId="2364EBE7"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60.4</w:t>
            </w:r>
          </w:p>
        </w:tc>
      </w:tr>
      <w:tr w:rsidR="00F176B3" w:rsidRPr="00F723CA" w14:paraId="3C29604C" w14:textId="77777777" w:rsidTr="00F723CA">
        <w:trPr>
          <w:jc w:val="center"/>
        </w:trPr>
        <w:tc>
          <w:tcPr>
            <w:tcW w:w="0" w:type="auto"/>
            <w:tcBorders>
              <w:top w:val="nil"/>
              <w:bottom w:val="nil"/>
            </w:tcBorders>
          </w:tcPr>
          <w:p w14:paraId="225E60BF" w14:textId="77777777" w:rsidR="00F176B3" w:rsidRPr="00F723CA" w:rsidRDefault="00F176B3" w:rsidP="00F723CA">
            <w:pPr>
              <w:rPr>
                <w:rFonts w:eastAsia="Calibri"/>
                <w:sz w:val="20"/>
                <w:szCs w:val="20"/>
                <w:lang w:eastAsia="en-US"/>
              </w:rPr>
            </w:pPr>
            <w:r w:rsidRPr="00F723CA">
              <w:rPr>
                <w:rFonts w:eastAsia="Calibri"/>
                <w:sz w:val="20"/>
                <w:szCs w:val="20"/>
                <w:lang w:eastAsia="en-US"/>
              </w:rPr>
              <w:t>Gas natural</w:t>
            </w:r>
          </w:p>
        </w:tc>
        <w:tc>
          <w:tcPr>
            <w:tcW w:w="0" w:type="auto"/>
            <w:tcBorders>
              <w:top w:val="nil"/>
              <w:bottom w:val="nil"/>
            </w:tcBorders>
          </w:tcPr>
          <w:p w14:paraId="19B23244"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19.9</w:t>
            </w:r>
          </w:p>
        </w:tc>
        <w:tc>
          <w:tcPr>
            <w:tcW w:w="0" w:type="auto"/>
            <w:tcBorders>
              <w:top w:val="nil"/>
              <w:bottom w:val="nil"/>
            </w:tcBorders>
          </w:tcPr>
          <w:p w14:paraId="643F1AFD"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28.1</w:t>
            </w:r>
          </w:p>
        </w:tc>
        <w:tc>
          <w:tcPr>
            <w:tcW w:w="0" w:type="auto"/>
            <w:tcBorders>
              <w:top w:val="nil"/>
              <w:bottom w:val="nil"/>
            </w:tcBorders>
          </w:tcPr>
          <w:p w14:paraId="63FB5644"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28.7</w:t>
            </w:r>
          </w:p>
        </w:tc>
      </w:tr>
      <w:tr w:rsidR="00F176B3" w:rsidRPr="00F723CA" w14:paraId="20F7EAE7" w14:textId="77777777" w:rsidTr="00F723CA">
        <w:trPr>
          <w:jc w:val="center"/>
        </w:trPr>
        <w:tc>
          <w:tcPr>
            <w:tcW w:w="0" w:type="auto"/>
            <w:tcBorders>
              <w:top w:val="nil"/>
              <w:bottom w:val="nil"/>
            </w:tcBorders>
          </w:tcPr>
          <w:p w14:paraId="1A60052D" w14:textId="77777777" w:rsidR="00F176B3" w:rsidRPr="00F723CA" w:rsidRDefault="00F176B3" w:rsidP="00F723CA">
            <w:pPr>
              <w:rPr>
                <w:rFonts w:eastAsia="Calibri"/>
                <w:sz w:val="20"/>
                <w:szCs w:val="20"/>
                <w:lang w:eastAsia="en-US"/>
              </w:rPr>
            </w:pPr>
            <w:r w:rsidRPr="00F723CA">
              <w:rPr>
                <w:rFonts w:eastAsia="Calibri"/>
                <w:sz w:val="20"/>
                <w:szCs w:val="20"/>
                <w:lang w:eastAsia="en-US"/>
              </w:rPr>
              <w:t>Derivados del petróleo</w:t>
            </w:r>
          </w:p>
        </w:tc>
        <w:tc>
          <w:tcPr>
            <w:tcW w:w="0" w:type="auto"/>
            <w:tcBorders>
              <w:top w:val="nil"/>
              <w:bottom w:val="nil"/>
            </w:tcBorders>
          </w:tcPr>
          <w:p w14:paraId="70B34059"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11.8</w:t>
            </w:r>
          </w:p>
        </w:tc>
        <w:tc>
          <w:tcPr>
            <w:tcW w:w="0" w:type="auto"/>
            <w:tcBorders>
              <w:top w:val="nil"/>
              <w:bottom w:val="nil"/>
            </w:tcBorders>
          </w:tcPr>
          <w:p w14:paraId="27B88E98"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11.9</w:t>
            </w:r>
          </w:p>
        </w:tc>
        <w:tc>
          <w:tcPr>
            <w:tcW w:w="0" w:type="auto"/>
            <w:tcBorders>
              <w:top w:val="nil"/>
              <w:bottom w:val="nil"/>
            </w:tcBorders>
          </w:tcPr>
          <w:p w14:paraId="6E432539"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10.9</w:t>
            </w:r>
          </w:p>
        </w:tc>
      </w:tr>
      <w:tr w:rsidR="00F176B3" w:rsidRPr="00F723CA" w14:paraId="2E9FF3F3" w14:textId="77777777" w:rsidTr="00F723CA">
        <w:trPr>
          <w:jc w:val="center"/>
        </w:trPr>
        <w:tc>
          <w:tcPr>
            <w:tcW w:w="0" w:type="auto"/>
            <w:tcBorders>
              <w:top w:val="nil"/>
              <w:bottom w:val="single" w:sz="2" w:space="0" w:color="auto"/>
            </w:tcBorders>
          </w:tcPr>
          <w:p w14:paraId="61FB68AC" w14:textId="77777777" w:rsidR="00F176B3" w:rsidRPr="00F723CA" w:rsidRDefault="00F176B3" w:rsidP="00F723CA">
            <w:pPr>
              <w:rPr>
                <w:rFonts w:eastAsia="Calibri"/>
                <w:sz w:val="20"/>
                <w:szCs w:val="20"/>
                <w:lang w:eastAsia="en-US"/>
              </w:rPr>
            </w:pPr>
            <w:r w:rsidRPr="00F723CA">
              <w:rPr>
                <w:rFonts w:eastAsia="Calibri"/>
                <w:sz w:val="20"/>
                <w:szCs w:val="20"/>
                <w:lang w:eastAsia="en-US"/>
              </w:rPr>
              <w:t>Otros</w:t>
            </w:r>
          </w:p>
        </w:tc>
        <w:tc>
          <w:tcPr>
            <w:tcW w:w="0" w:type="auto"/>
            <w:tcBorders>
              <w:top w:val="nil"/>
              <w:bottom w:val="single" w:sz="2" w:space="0" w:color="auto"/>
            </w:tcBorders>
          </w:tcPr>
          <w:p w14:paraId="04EB76A3"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0.0</w:t>
            </w:r>
          </w:p>
        </w:tc>
        <w:tc>
          <w:tcPr>
            <w:tcW w:w="0" w:type="auto"/>
            <w:tcBorders>
              <w:top w:val="nil"/>
              <w:bottom w:val="single" w:sz="2" w:space="0" w:color="auto"/>
            </w:tcBorders>
          </w:tcPr>
          <w:p w14:paraId="5833111F"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0.0</w:t>
            </w:r>
          </w:p>
        </w:tc>
        <w:tc>
          <w:tcPr>
            <w:tcW w:w="0" w:type="auto"/>
            <w:tcBorders>
              <w:top w:val="nil"/>
              <w:bottom w:val="single" w:sz="2" w:space="0" w:color="auto"/>
            </w:tcBorders>
          </w:tcPr>
          <w:p w14:paraId="3A24BE29" w14:textId="77777777" w:rsidR="00F176B3" w:rsidRPr="00F723CA" w:rsidRDefault="00F176B3" w:rsidP="00F723CA">
            <w:pPr>
              <w:jc w:val="right"/>
              <w:rPr>
                <w:rFonts w:eastAsia="Calibri"/>
                <w:sz w:val="20"/>
                <w:szCs w:val="20"/>
                <w:lang w:eastAsia="en-US"/>
              </w:rPr>
            </w:pPr>
            <w:r w:rsidRPr="00F723CA">
              <w:rPr>
                <w:rFonts w:eastAsia="Calibri"/>
                <w:sz w:val="20"/>
                <w:szCs w:val="20"/>
                <w:lang w:eastAsia="en-US"/>
              </w:rPr>
              <w:t>0.0</w:t>
            </w:r>
          </w:p>
        </w:tc>
      </w:tr>
      <w:tr w:rsidR="00F723CA" w:rsidRPr="00F723CA" w14:paraId="172E05DB" w14:textId="77777777" w:rsidTr="00F443FB">
        <w:trPr>
          <w:jc w:val="center"/>
        </w:trPr>
        <w:tc>
          <w:tcPr>
            <w:tcW w:w="0" w:type="auto"/>
            <w:gridSpan w:val="4"/>
            <w:tcBorders>
              <w:left w:val="nil"/>
              <w:bottom w:val="nil"/>
              <w:right w:val="nil"/>
            </w:tcBorders>
          </w:tcPr>
          <w:p w14:paraId="495E8EF0" w14:textId="77777777" w:rsidR="00F176B3" w:rsidRPr="00F723CA" w:rsidRDefault="00F176B3" w:rsidP="00F723CA">
            <w:pPr>
              <w:rPr>
                <w:rFonts w:eastAsia="Calibri"/>
                <w:sz w:val="20"/>
                <w:szCs w:val="20"/>
                <w:lang w:eastAsia="en-US"/>
              </w:rPr>
            </w:pPr>
            <w:r w:rsidRPr="00F723CA">
              <w:rPr>
                <w:rFonts w:eastAsia="Calibri"/>
                <w:sz w:val="20"/>
                <w:szCs w:val="20"/>
                <w:lang w:eastAsia="en-US"/>
              </w:rPr>
              <w:t xml:space="preserve">* </w:t>
            </w:r>
            <w:hyperlink r:id="rId16" w:history="1">
              <w:r w:rsidRPr="00F723CA">
                <w:rPr>
                  <w:rFonts w:eastAsia="Calibri"/>
                  <w:sz w:val="20"/>
                  <w:szCs w:val="20"/>
                  <w:u w:val="single"/>
                  <w:lang w:eastAsia="en-US"/>
                </w:rPr>
                <w:t>http://en.wikipedia.org/wiki/Joule</w:t>
              </w:r>
            </w:hyperlink>
          </w:p>
          <w:p w14:paraId="4B9E68F9" w14:textId="77777777" w:rsidR="00F176B3" w:rsidRPr="00F723CA" w:rsidRDefault="00F176B3" w:rsidP="00F723CA">
            <w:pPr>
              <w:rPr>
                <w:rFonts w:eastAsia="Calibri"/>
                <w:sz w:val="20"/>
                <w:szCs w:val="20"/>
                <w:lang w:eastAsia="en-US"/>
              </w:rPr>
            </w:pPr>
            <w:r w:rsidRPr="00F723CA">
              <w:rPr>
                <w:rFonts w:eastAsia="Calibri"/>
                <w:sz w:val="20"/>
                <w:szCs w:val="20"/>
                <w:lang w:eastAsia="en-US"/>
              </w:rPr>
              <w:t>FUENTE: SENER, Balance Nacional de Energía.</w:t>
            </w:r>
          </w:p>
        </w:tc>
      </w:tr>
    </w:tbl>
    <w:p w14:paraId="5BA35D87" w14:textId="77777777" w:rsidR="00F176B3" w:rsidRPr="00F176B3" w:rsidRDefault="00F176B3" w:rsidP="00F176B3">
      <w:pPr>
        <w:spacing w:after="360" w:line="360" w:lineRule="auto"/>
        <w:ind w:right="-159"/>
        <w:jc w:val="both"/>
        <w:rPr>
          <w:rFonts w:eastAsia="Calibri"/>
          <w:sz w:val="26"/>
          <w:szCs w:val="26"/>
          <w:lang w:eastAsia="en-US"/>
        </w:rPr>
      </w:pPr>
    </w:p>
    <w:p w14:paraId="2547DC03" w14:textId="77777777" w:rsidR="00F176B3" w:rsidRPr="00F176B3" w:rsidRDefault="00F176B3" w:rsidP="00F176B3">
      <w:pPr>
        <w:spacing w:after="360" w:line="360" w:lineRule="auto"/>
        <w:ind w:right="-159"/>
        <w:jc w:val="both"/>
        <w:rPr>
          <w:rFonts w:eastAsia="Calibri"/>
          <w:b/>
          <w:sz w:val="26"/>
          <w:szCs w:val="26"/>
          <w:lang w:eastAsia="en-US"/>
        </w:rPr>
      </w:pPr>
      <w:r w:rsidRPr="00F176B3">
        <w:rPr>
          <w:rFonts w:eastAsia="Calibri"/>
          <w:b/>
          <w:sz w:val="26"/>
          <w:szCs w:val="26"/>
          <w:lang w:eastAsia="en-US"/>
        </w:rPr>
        <w:t>Conclusión</w:t>
      </w:r>
    </w:p>
    <w:p w14:paraId="50D01C01" w14:textId="77777777" w:rsidR="00F176B3" w:rsidRP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 xml:space="preserve">De entre todas las reformas estructurales aprobadas en México en los últimos 2 años, la reforma energética es probablemente la más transformadora. Evaluar el impacto del crecimiento de esta reforma es muy complejo, ya que implica diversos cambios estructurales en el sector y una incertidumbre sustancial acerca de cómo cada uno de </w:t>
      </w:r>
      <w:r w:rsidRPr="00F176B3">
        <w:rPr>
          <w:rFonts w:eastAsia="Calibri"/>
          <w:sz w:val="26"/>
          <w:szCs w:val="26"/>
          <w:lang w:eastAsia="en-US"/>
        </w:rPr>
        <w:lastRenderedPageBreak/>
        <w:t>estos cambios tendrán lugar. En este trabajo, nos centramos en un canal en particular, a través del impacto de precios más bajos de la energía en la producción manufacturera.</w:t>
      </w:r>
    </w:p>
    <w:p w14:paraId="5ACF460D" w14:textId="77777777" w:rsidR="00F176B3" w:rsidRP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Para llevar a cabo el análisis, se utilizó la variación pasada de los precios de la energía en México en un análisis de panel a fin de estimar la respuesta de la producción manufacturera a los cambios en los precios de la energía. Se constata que los precios de la electricidad tienen el mayor efecto sobre la producción manufacturera entre diversos precios de la energía. Esta elasticidad, junto con las reducciones probables en los precios de la electricidad debido a la sustitución de petróleo por gas natural en la generación de electricidad, de alrededor de 13%, implica un aumento de 1.4 a 3.6% en la producción manufacturera, y de 0.2 a 0.6% de aumento del PIB real. Los mayores incrementos son factibles si los precios de la electricidad convergen a los observados en Estados Unidos de Norteamérica. Por otra parte, el impacto general de precios más bajos de la electricidad en la economía puede ir más allá de su impacto en la manufactura, como sugiere la respuesta estadísticamente significativa de los servicios a los cambios en los precios de la electricidad. Dado el tamaño del sector servicios, aproximadamente tres veces más grande que el de la manufactura, el impacto global sobre el PIB que combina la respuesta de la industria manufacturera y de los servicios puede ser de hasta cuatro veces que el impacto de solo la manufactura.</w:t>
      </w:r>
    </w:p>
    <w:p w14:paraId="5CBF4BF2" w14:textId="77777777" w:rsidR="00F176B3" w:rsidRP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A continuación se examinaron los efectos dinámicos y de retroalimentación al ampliar el análisis para incluir un marco VAR. Se llegó a la conclusión de que un canal indirecto adicional podría operar a través de los costos laborales unitarios, los cuales podrían amplificar aún más el impacto directo de los precios de la electricidad en la manufactura.</w:t>
      </w:r>
    </w:p>
    <w:p w14:paraId="31D159FB" w14:textId="77777777" w:rsidR="00F176B3" w:rsidRPr="00F176B3" w:rsidRDefault="00F176B3" w:rsidP="00F176B3">
      <w:pPr>
        <w:spacing w:after="360" w:line="360" w:lineRule="auto"/>
        <w:ind w:right="-159"/>
        <w:jc w:val="both"/>
        <w:rPr>
          <w:rFonts w:eastAsia="Calibri"/>
          <w:sz w:val="26"/>
          <w:szCs w:val="26"/>
          <w:lang w:eastAsia="en-US"/>
        </w:rPr>
      </w:pPr>
      <w:r w:rsidRPr="00F176B3">
        <w:rPr>
          <w:rFonts w:eastAsia="Calibri"/>
          <w:sz w:val="26"/>
          <w:szCs w:val="26"/>
          <w:lang w:eastAsia="en-US"/>
        </w:rPr>
        <w:t xml:space="preserve">Es importante destacar que puede haber otros canales a través de los cuales la reforma pueda afectar la producción. Por ejemplo, si la reforma tiene éxito en la modernización de las industrias del petróleo y del gas, atrayendo inversiones y aumentando la </w:t>
      </w:r>
      <w:r w:rsidRPr="00F176B3">
        <w:rPr>
          <w:rFonts w:eastAsia="Calibri"/>
          <w:sz w:val="26"/>
          <w:szCs w:val="26"/>
          <w:lang w:eastAsia="en-US"/>
        </w:rPr>
        <w:lastRenderedPageBreak/>
        <w:t>producción, esto podría llevar beneficios a otros sectores, como la difusión tecnológica y el crecimiento de la inversión extranjera directa atraída por las condiciones generales más favorables para los inversionistas. Sin embargo, para que cualquiera de estas ventajas se materialice, su aplicación adecuada es fundamental. En particular, los organismos reguladores de nueva creación deben ser eficaces y suficientemente transparentes para garantizar una apertura eficiente del sector energético.</w:t>
      </w:r>
    </w:p>
    <w:p w14:paraId="4775CE92" w14:textId="77777777" w:rsidR="00F176B3" w:rsidRPr="00F176B3" w:rsidRDefault="00F176B3" w:rsidP="00F176B3">
      <w:pPr>
        <w:rPr>
          <w:rFonts w:eastAsia="Calibri"/>
          <w:sz w:val="20"/>
          <w:szCs w:val="20"/>
          <w:lang w:eastAsia="en-US"/>
        </w:rPr>
      </w:pPr>
      <w:r w:rsidRPr="00F176B3">
        <w:rPr>
          <w:rFonts w:eastAsia="Calibri"/>
          <w:b/>
          <w:sz w:val="20"/>
          <w:szCs w:val="20"/>
          <w:lang w:eastAsia="en-US"/>
        </w:rPr>
        <w:t>Fuente de información:</w:t>
      </w:r>
    </w:p>
    <w:p w14:paraId="0D828F75" w14:textId="77777777" w:rsidR="00F176B3" w:rsidRPr="004C101E" w:rsidRDefault="00872B0E" w:rsidP="004C101E">
      <w:pPr>
        <w:spacing w:after="720"/>
        <w:rPr>
          <w:rFonts w:eastAsia="Calibri"/>
          <w:color w:val="0000FF"/>
          <w:sz w:val="20"/>
          <w:szCs w:val="20"/>
          <w:lang w:eastAsia="en-US"/>
        </w:rPr>
      </w:pPr>
      <w:hyperlink r:id="rId17" w:history="1">
        <w:r w:rsidR="00F176B3" w:rsidRPr="004C101E">
          <w:rPr>
            <w:rFonts w:eastAsia="Calibri"/>
            <w:color w:val="0000FF"/>
            <w:sz w:val="20"/>
            <w:szCs w:val="20"/>
            <w:u w:val="single"/>
            <w:lang w:eastAsia="en-US"/>
          </w:rPr>
          <w:t>http://www.imf.org/external/pubs/ft/wp/2015/wp1545.pdf</w:t>
        </w:r>
      </w:hyperlink>
    </w:p>
    <w:p w14:paraId="4D03CD7D" w14:textId="77777777" w:rsidR="00695D7E" w:rsidRPr="00695D7E" w:rsidRDefault="00695D7E" w:rsidP="00695D7E">
      <w:pPr>
        <w:rPr>
          <w:rFonts w:eastAsia="Calibri"/>
          <w:b/>
          <w:sz w:val="26"/>
          <w:szCs w:val="26"/>
          <w:lang w:eastAsia="en-US"/>
        </w:rPr>
      </w:pPr>
      <w:r w:rsidRPr="00695D7E">
        <w:rPr>
          <w:rFonts w:eastAsia="Calibri"/>
          <w:b/>
          <w:sz w:val="26"/>
          <w:szCs w:val="26"/>
          <w:lang w:eastAsia="en-US"/>
        </w:rPr>
        <w:t>La Reforma Energética traerá inversiones</w:t>
      </w:r>
    </w:p>
    <w:p w14:paraId="25EF0988" w14:textId="77777777" w:rsidR="00695D7E" w:rsidRPr="00695D7E" w:rsidRDefault="00695D7E" w:rsidP="00695D7E">
      <w:pPr>
        <w:rPr>
          <w:rFonts w:eastAsia="Calibri"/>
          <w:b/>
          <w:sz w:val="26"/>
          <w:szCs w:val="26"/>
          <w:lang w:eastAsia="en-US"/>
        </w:rPr>
      </w:pPr>
      <w:r w:rsidRPr="00695D7E">
        <w:rPr>
          <w:rFonts w:eastAsia="Calibri"/>
          <w:b/>
          <w:sz w:val="26"/>
          <w:szCs w:val="26"/>
          <w:lang w:eastAsia="en-US"/>
        </w:rPr>
        <w:t>por  alrededor  de 62  mil 530  millones de</w:t>
      </w:r>
    </w:p>
    <w:p w14:paraId="5E4D6711" w14:textId="77777777" w:rsidR="00695D7E" w:rsidRPr="00695D7E" w:rsidRDefault="00695D7E" w:rsidP="00695D7E">
      <w:pPr>
        <w:spacing w:after="360" w:line="360" w:lineRule="auto"/>
        <w:ind w:right="-159"/>
        <w:jc w:val="both"/>
        <w:rPr>
          <w:rFonts w:eastAsia="Calibri"/>
          <w:b/>
          <w:sz w:val="26"/>
          <w:szCs w:val="26"/>
          <w:lang w:eastAsia="en-US"/>
        </w:rPr>
      </w:pPr>
      <w:r w:rsidRPr="00695D7E">
        <w:rPr>
          <w:rFonts w:eastAsia="Calibri"/>
          <w:b/>
          <w:sz w:val="26"/>
          <w:szCs w:val="26"/>
          <w:lang w:eastAsia="en-US"/>
        </w:rPr>
        <w:t>dólares (SENER)</w:t>
      </w:r>
    </w:p>
    <w:p w14:paraId="5A77EE03"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El 9 de marzo de 2015, la Secretaría de Energía (SENER) informó que el Titular de la entidad y los Directores Generales de Petróleos Mexicanos (Pemex) y de la Comisión Federal de Electricidad (CFE) presentaron un balance del primer semestre de implementación de la Reforma Energética. A continuación se presentan los detalles</w:t>
      </w:r>
    </w:p>
    <w:p w14:paraId="45F2C613"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Durante su intervención, el Secretario de Energía indicó que con los primeros avances de la Reforma, se espera una inversión de alrededor de 62 mil 530 millones de dólares en los rubros de gasoductos, Primera y Segunda Convocatoria de la Ronda Uno y en generación y transmisión de electricidad del 2015 al 2018; asimismo la creación de más de 212 mil empleos totales entre directos e indirectos con las primeras licitaciones de la Ronda Uno.</w:t>
      </w:r>
    </w:p>
    <w:p w14:paraId="0DA5B0B4"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Destacó que entre los beneficios a la población más vulnerable se encuentra la constitución del Fondo del Servicio Universal Eléctrico, que a través de excedentes del Mercado Eléctrico Mayorista, invertirá para llevar electricidad al 2% de los mexicanos de comunidades remotas del medio rural que carecen de ella.</w:t>
      </w:r>
    </w:p>
    <w:p w14:paraId="2878AF27"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lastRenderedPageBreak/>
        <w:t>Además, manifestó que acorde a las medidas de transparencia de esta Reforma, la adjudicación de los contratos de la primera convocatoria de la Ronda Uno se llevará a cabo en subasta pública transmitida en tiempo real por internet.</w:t>
      </w:r>
    </w:p>
    <w:p w14:paraId="38E422C4"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En su oportunidad, el Director General de Pemex aseveró que la Reforma Energética es la respuesta mexicana a los retos del siglo XXI. Resaltó que este gran cambio constitucional ha puesto en marcha la transformación de Pemex en una empresa altamente competitiva, que ya goza de autonomía de gestión, nuevo régimen fiscal, un nuevo gobierno y estructura corporativa, además de un nuevo régimen de control interno.</w:t>
      </w:r>
    </w:p>
    <w:p w14:paraId="23168A81"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Puntualizó que con la posibilidad de establecer alianzas estratégicas, que le abrió la Reforma, Pemex incrementará la inversión en exploración y producción, así como su capacidad de ejecución, para alcanzar un monto estimado de 76 mil millones de dólares en el lapso de desarrollo de dichos proyectos. Asimismo, indicó que se buscarán alianzas en materia de transformación industrial así como para construir infraestructura como gasoductos, reconfiguración de refinerías, terminales marítimas y plataformas.</w:t>
      </w:r>
    </w:p>
    <w:p w14:paraId="32CC2D6A"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México es un destino óptimo de oportunidades de inversión para el sector energético, enfatizó.</w:t>
      </w:r>
    </w:p>
    <w:p w14:paraId="5DF6F7F9" w14:textId="109757AA"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En tanto, el Director General de la CFE informó que, en comparación con las tarifas eléctricas de marzo de 2014, en marzo de 2015 se registra la siguiente reducción: En el sector industrial disminuyeron entre 18 y 26%, para el sector comercial la disminución es entre 7.5 y 16%, para el sector doméstico de alto consumo han disminuido en 7.5% mientras que el sector doméstico de bajo consumo, que cada año subía 4%, en 2015 la tarifa no subirá y de hecho ya bajó 2 por ciento.</w:t>
      </w:r>
    </w:p>
    <w:p w14:paraId="6693FBB3"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 xml:space="preserve">Informó que en el marco del Programa Nacional de infraestructura se impulsan proyectos que incrementarán el Sistema Nacional de Gasoductos en 75%. En este </w:t>
      </w:r>
      <w:r w:rsidRPr="00695D7E">
        <w:rPr>
          <w:rFonts w:eastAsia="Calibri"/>
          <w:sz w:val="26"/>
          <w:szCs w:val="26"/>
          <w:lang w:eastAsia="en-US"/>
        </w:rPr>
        <w:lastRenderedPageBreak/>
        <w:t>sentido, actualmente la CFE y Pemex, junto con el sector privado, impulsan la construcción de 13 gasoductos en el marco de la Estrategia Integral para el Suministro de Gas Natural 2013.</w:t>
      </w:r>
    </w:p>
    <w:p w14:paraId="562BDF9D"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Agregó que adicionalmente, la Comisión Federal de Electricidad anunció, entre 2014 y 2015, las licitaciones  de 11 proyectos de transporte de gas natural que contarán con una inversión de alrededor de 5 mil 200 millones de dólares.</w:t>
      </w:r>
    </w:p>
    <w:p w14:paraId="6C2E5EDA"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En total, los proyectos en construcción de la Estrategia Integral junto con los proyectos en licitación anunciados por la CFE representan un incremento de 54% del Sistema Nacional de Gasoductos.</w:t>
      </w:r>
    </w:p>
    <w:p w14:paraId="49F9C2B6"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Recalcó que la CFE convierte 7 centrales de generación que utilizan combustóleo para que también puedan utilizar gas natural. Estos proyectos representan cerca de 4 mil 600 Megawatts de capacidad instalada y una inversión aproximada de 200 millones de dólares.</w:t>
      </w:r>
    </w:p>
    <w:p w14:paraId="0DAFA127"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Destacó que la CFE y el sector privado promueven la construcción de 6 plantas generadoras a partir de gas natural, con una inversión total aproximada de 5 mil 750 millones de dólares y representarán alrededor de 4 mil 600 Megawatts de capacidad instalada. Recalcó que Transparencia Mexicana acompaña los procesos de licitación de los proyectos estratégicos de la CFE para garantizar su confiabilidad.</w:t>
      </w:r>
    </w:p>
    <w:p w14:paraId="25C61143"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Aseguró que la CFE tiene un firme compromiso con la energía renovable y por ello impulsa la ejecución de 15 proyectos renovables con una capacidad instalada de más de 2 mil 700 Megawatts y una inversión aproximada de 4 mil 800 millones de dólares.</w:t>
      </w:r>
    </w:p>
    <w:p w14:paraId="3A9104BE" w14:textId="65745C3D"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 xml:space="preserve">El Director General de la CFE agregó también que con el fin de reducir las pérdidas técnicas y no técnicas en el país, la CFE anunció, entre 2014 y 2015, las licitaciones de </w:t>
      </w:r>
      <w:r w:rsidR="00A51FDD">
        <w:rPr>
          <w:rFonts w:eastAsia="Calibri"/>
          <w:sz w:val="26"/>
          <w:szCs w:val="26"/>
          <w:lang w:eastAsia="en-US"/>
        </w:rPr>
        <w:lastRenderedPageBreak/>
        <w:t>siete</w:t>
      </w:r>
      <w:r w:rsidRPr="00695D7E">
        <w:rPr>
          <w:rFonts w:eastAsia="Calibri"/>
          <w:sz w:val="26"/>
          <w:szCs w:val="26"/>
          <w:lang w:eastAsia="en-US"/>
        </w:rPr>
        <w:t xml:space="preserve"> líneas de transmisión y </w:t>
      </w:r>
      <w:r w:rsidR="00A51FDD">
        <w:rPr>
          <w:rFonts w:eastAsia="Calibri"/>
          <w:sz w:val="26"/>
          <w:szCs w:val="26"/>
          <w:lang w:eastAsia="en-US"/>
        </w:rPr>
        <w:t>nueve</w:t>
      </w:r>
      <w:r w:rsidRPr="00695D7E">
        <w:rPr>
          <w:rFonts w:eastAsia="Calibri"/>
          <w:sz w:val="26"/>
          <w:szCs w:val="26"/>
          <w:lang w:eastAsia="en-US"/>
        </w:rPr>
        <w:t xml:space="preserve"> proyectos de distribución, con inversiones de alrededor de </w:t>
      </w:r>
      <w:r w:rsidR="00A51FDD">
        <w:rPr>
          <w:rFonts w:eastAsia="Calibri"/>
          <w:sz w:val="26"/>
          <w:szCs w:val="26"/>
          <w:lang w:eastAsia="en-US"/>
        </w:rPr>
        <w:t>un</w:t>
      </w:r>
      <w:r w:rsidRPr="00695D7E">
        <w:rPr>
          <w:rFonts w:eastAsia="Calibri"/>
          <w:sz w:val="26"/>
          <w:szCs w:val="26"/>
          <w:lang w:eastAsia="en-US"/>
        </w:rPr>
        <w:t xml:space="preserve"> mil millones de dólares.</w:t>
      </w:r>
    </w:p>
    <w:p w14:paraId="686FB8D9" w14:textId="77777777" w:rsidR="00695D7E" w:rsidRPr="00695D7E" w:rsidRDefault="00695D7E" w:rsidP="00695D7E">
      <w:pPr>
        <w:spacing w:after="360" w:line="360" w:lineRule="auto"/>
        <w:ind w:right="-159"/>
        <w:jc w:val="both"/>
        <w:rPr>
          <w:rFonts w:eastAsia="Calibri"/>
          <w:sz w:val="26"/>
          <w:szCs w:val="26"/>
          <w:lang w:eastAsia="en-US"/>
        </w:rPr>
      </w:pPr>
      <w:r w:rsidRPr="00695D7E">
        <w:rPr>
          <w:rFonts w:eastAsia="Calibri"/>
          <w:sz w:val="26"/>
          <w:szCs w:val="26"/>
          <w:lang w:eastAsia="en-US"/>
        </w:rPr>
        <w:t>En el evento estuvieron presentes los Subsecretarios de Electricidad y de Planeación y Transición Energética, ambos de la SENER; el Presidente de la empresa Potencia Industrial, el Director de Operaciones de Grupo IUSA, el Presidente de Grupo Fermaca y el Director General de ILIOSS.</w:t>
      </w:r>
    </w:p>
    <w:p w14:paraId="21135625" w14:textId="77777777" w:rsidR="00695D7E" w:rsidRPr="00695D7E" w:rsidRDefault="00695D7E" w:rsidP="00695D7E">
      <w:pPr>
        <w:ind w:right="-159"/>
        <w:jc w:val="both"/>
        <w:rPr>
          <w:rFonts w:eastAsia="Calibri"/>
          <w:sz w:val="20"/>
          <w:szCs w:val="20"/>
          <w:lang w:eastAsia="en-US"/>
        </w:rPr>
      </w:pPr>
      <w:r w:rsidRPr="00695D7E">
        <w:rPr>
          <w:rFonts w:eastAsia="Calibri"/>
          <w:b/>
          <w:sz w:val="20"/>
          <w:szCs w:val="20"/>
          <w:lang w:eastAsia="en-US"/>
        </w:rPr>
        <w:t>Fuente de información</w:t>
      </w:r>
      <w:r w:rsidRPr="00695D7E">
        <w:rPr>
          <w:rFonts w:eastAsia="Calibri"/>
          <w:sz w:val="20"/>
          <w:szCs w:val="20"/>
          <w:lang w:eastAsia="en-US"/>
        </w:rPr>
        <w:t>:</w:t>
      </w:r>
    </w:p>
    <w:p w14:paraId="7DDC7FD6" w14:textId="77777777" w:rsidR="00695D7E" w:rsidRPr="004C101E" w:rsidRDefault="00872B0E" w:rsidP="004C101E">
      <w:pPr>
        <w:spacing w:after="720"/>
        <w:ind w:right="-159"/>
        <w:jc w:val="both"/>
        <w:rPr>
          <w:rFonts w:eastAsia="Calibri"/>
          <w:color w:val="0000FF"/>
          <w:sz w:val="20"/>
          <w:szCs w:val="20"/>
          <w:lang w:eastAsia="en-US"/>
        </w:rPr>
      </w:pPr>
      <w:hyperlink r:id="rId18" w:history="1">
        <w:r w:rsidR="00695D7E" w:rsidRPr="004C101E">
          <w:rPr>
            <w:rFonts w:eastAsia="Calibri"/>
            <w:color w:val="0000FF"/>
            <w:sz w:val="20"/>
            <w:szCs w:val="20"/>
            <w:u w:val="single"/>
            <w:lang w:eastAsia="en-US"/>
          </w:rPr>
          <w:t>http://sener.gob.mx/portal/Default_blt.aspx?id=3134</w:t>
        </w:r>
      </w:hyperlink>
    </w:p>
    <w:p w14:paraId="32FAB15B" w14:textId="77777777" w:rsidR="0012454B" w:rsidRPr="0012454B" w:rsidRDefault="0012454B" w:rsidP="0012454B">
      <w:pPr>
        <w:spacing w:after="360" w:line="360" w:lineRule="auto"/>
        <w:ind w:right="-159"/>
        <w:jc w:val="both"/>
        <w:rPr>
          <w:rFonts w:eastAsia="Calibri"/>
          <w:b/>
          <w:sz w:val="26"/>
          <w:szCs w:val="26"/>
          <w:lang w:eastAsia="en-US"/>
        </w:rPr>
      </w:pPr>
      <w:r w:rsidRPr="0012454B">
        <w:rPr>
          <w:rFonts w:eastAsia="Calibri"/>
          <w:b/>
          <w:sz w:val="26"/>
          <w:szCs w:val="26"/>
          <w:lang w:eastAsia="en-US"/>
        </w:rPr>
        <w:t>Petróleo crudo de exportación (Pemex)</w:t>
      </w:r>
    </w:p>
    <w:p w14:paraId="5672B584" w14:textId="77777777" w:rsidR="0012454B" w:rsidRPr="0012454B" w:rsidRDefault="0012454B" w:rsidP="0012454B">
      <w:pPr>
        <w:spacing w:after="360" w:line="360" w:lineRule="auto"/>
        <w:ind w:right="-159"/>
        <w:jc w:val="both"/>
        <w:rPr>
          <w:sz w:val="26"/>
          <w:szCs w:val="26"/>
        </w:rPr>
      </w:pPr>
      <w:r w:rsidRPr="0012454B">
        <w:rPr>
          <w:rFonts w:eastAsia="Calibri"/>
          <w:sz w:val="26"/>
          <w:szCs w:val="26"/>
          <w:lang w:eastAsia="en-US"/>
        </w:rPr>
        <w:t xml:space="preserve">El 27 de febrero de 2015, Petróleos Mexicanos (Pemex) informó que durante enero del año 2015, el precio promedio de la mezcla de petróleo crudo de exportación fue de 40.15 dólares por barril (d/b), lo que significó una reducción de 23.32%, </w:t>
      </w:r>
      <w:r w:rsidRPr="0012454B">
        <w:rPr>
          <w:sz w:val="26"/>
          <w:szCs w:val="26"/>
        </w:rPr>
        <w:t>con relación a diciembre pasado (52.36 d/b) y 55.71% menor con relación a enero de 2014 (90.65 d/b).</w:t>
      </w:r>
    </w:p>
    <w:p w14:paraId="09AA7168" w14:textId="77777777" w:rsidR="0012454B" w:rsidRDefault="0012454B" w:rsidP="0012454B">
      <w:pPr>
        <w:spacing w:after="360" w:line="360" w:lineRule="auto"/>
        <w:ind w:right="-159"/>
        <w:jc w:val="both"/>
        <w:rPr>
          <w:rFonts w:eastAsia="Calibri"/>
          <w:sz w:val="26"/>
          <w:szCs w:val="26"/>
          <w:lang w:eastAsia="en-US"/>
        </w:rPr>
      </w:pPr>
      <w:r w:rsidRPr="0012454B">
        <w:rPr>
          <w:rFonts w:eastAsia="Calibri"/>
          <w:sz w:val="26"/>
          <w:szCs w:val="26"/>
          <w:lang w:eastAsia="en-US"/>
        </w:rPr>
        <w:t>Durante enero de 2015, se obtuvieron ingresos por 1 mil 570 millones de dólares por concepto de exportación de petróleo crudo mexicano en sus tres tipos, cantidad que representó una disminución de 52.31% respecto a enero de 2014 (3 mil 292 millones de dólares). Del tipo Maya se reportaron ingresos por 1 mil 162 millones de dólares (74.01%), del tipo Olmeca se obtuvieron 150 millones de dólares (9.55%) y del tipo Istmo se percibió un ingreso de 258 millones de dólares (16.43%).</w:t>
      </w:r>
    </w:p>
    <w:p w14:paraId="0F55C809" w14:textId="77777777" w:rsidR="00E4484F" w:rsidRDefault="00E4484F" w:rsidP="0012454B">
      <w:pPr>
        <w:spacing w:after="360" w:line="360" w:lineRule="auto"/>
        <w:ind w:right="-159"/>
        <w:jc w:val="both"/>
        <w:rPr>
          <w:rFonts w:eastAsia="Calibri"/>
          <w:sz w:val="26"/>
          <w:szCs w:val="26"/>
          <w:lang w:eastAsia="en-US"/>
        </w:rPr>
      </w:pPr>
    </w:p>
    <w:p w14:paraId="4206FD53" w14:textId="77777777" w:rsidR="00E4484F" w:rsidRDefault="00E4484F" w:rsidP="0012454B">
      <w:pPr>
        <w:spacing w:after="360" w:line="360" w:lineRule="auto"/>
        <w:ind w:right="-159"/>
        <w:jc w:val="both"/>
        <w:rPr>
          <w:rFonts w:eastAsia="Calibri"/>
          <w:sz w:val="26"/>
          <w:szCs w:val="26"/>
          <w:lang w:eastAsia="en-US"/>
        </w:rPr>
      </w:pPr>
    </w:p>
    <w:p w14:paraId="7B2582C2" w14:textId="77777777" w:rsidR="005879EF" w:rsidRDefault="005879EF" w:rsidP="0012454B">
      <w:pPr>
        <w:spacing w:after="360" w:line="360" w:lineRule="auto"/>
        <w:ind w:right="-159"/>
        <w:jc w:val="both"/>
        <w:rPr>
          <w:rFonts w:eastAsia="Calibri"/>
          <w:sz w:val="26"/>
          <w:szCs w:val="26"/>
          <w:lang w:eastAsia="en-US"/>
        </w:rPr>
      </w:pPr>
    </w:p>
    <w:p w14:paraId="6ACD5E32" w14:textId="77777777" w:rsidR="0012454B" w:rsidRPr="0012454B" w:rsidRDefault="0012454B" w:rsidP="0012454B">
      <w:pPr>
        <w:spacing w:after="120"/>
        <w:ind w:right="-159"/>
        <w:jc w:val="both"/>
        <w:rPr>
          <w:rFonts w:eastAsia="Calibri"/>
          <w:sz w:val="26"/>
          <w:szCs w:val="26"/>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5"/>
        <w:gridCol w:w="1026"/>
        <w:gridCol w:w="1026"/>
        <w:gridCol w:w="1032"/>
        <w:gridCol w:w="1057"/>
        <w:gridCol w:w="1070"/>
        <w:gridCol w:w="1051"/>
        <w:gridCol w:w="1069"/>
      </w:tblGrid>
      <w:tr w:rsidR="0012454B" w:rsidRPr="0012454B" w14:paraId="6592B061" w14:textId="77777777" w:rsidTr="00E4484F">
        <w:tc>
          <w:tcPr>
            <w:tcW w:w="8446" w:type="dxa"/>
            <w:gridSpan w:val="8"/>
            <w:tcBorders>
              <w:top w:val="nil"/>
              <w:left w:val="nil"/>
              <w:bottom w:val="single" w:sz="4" w:space="0" w:color="auto"/>
              <w:right w:val="nil"/>
            </w:tcBorders>
          </w:tcPr>
          <w:p w14:paraId="63A3A5F0" w14:textId="77777777" w:rsidR="0012454B" w:rsidRPr="0012454B" w:rsidRDefault="0012454B" w:rsidP="0012454B">
            <w:pPr>
              <w:ind w:right="170"/>
              <w:jc w:val="center"/>
              <w:rPr>
                <w:rFonts w:eastAsia="Calibri"/>
                <w:b/>
                <w:sz w:val="18"/>
                <w:szCs w:val="18"/>
                <w:lang w:eastAsia="en-US"/>
              </w:rPr>
            </w:pPr>
            <w:r w:rsidRPr="0012454B">
              <w:rPr>
                <w:rFonts w:eastAsia="Calibri"/>
                <w:b/>
                <w:sz w:val="18"/>
                <w:szCs w:val="18"/>
                <w:lang w:eastAsia="en-US"/>
              </w:rPr>
              <w:t>VALOR DE LAS EXPORTACIONES DE PETRÓLEO CRUDO</w:t>
            </w:r>
          </w:p>
          <w:p w14:paraId="1821D91B" w14:textId="77777777" w:rsidR="0012454B" w:rsidRPr="0012454B" w:rsidRDefault="0012454B" w:rsidP="0012454B">
            <w:pPr>
              <w:ind w:right="170"/>
              <w:jc w:val="center"/>
              <w:rPr>
                <w:rFonts w:eastAsia="Calibri"/>
                <w:b/>
                <w:sz w:val="18"/>
                <w:szCs w:val="18"/>
                <w:lang w:eastAsia="en-US"/>
              </w:rPr>
            </w:pPr>
            <w:r w:rsidRPr="0012454B">
              <w:rPr>
                <w:rFonts w:eastAsia="Calibri"/>
                <w:b/>
                <w:sz w:val="18"/>
                <w:szCs w:val="18"/>
                <w:lang w:eastAsia="en-US"/>
              </w:rPr>
              <w:t>-Millones de dólares-</w:t>
            </w:r>
          </w:p>
        </w:tc>
      </w:tr>
      <w:tr w:rsidR="0012454B" w:rsidRPr="0012454B" w14:paraId="342F2C8F" w14:textId="77777777" w:rsidTr="00E4484F">
        <w:tc>
          <w:tcPr>
            <w:tcW w:w="1115" w:type="dxa"/>
            <w:vMerge w:val="restart"/>
            <w:tcBorders>
              <w:top w:val="single" w:sz="4" w:space="0" w:color="auto"/>
              <w:left w:val="single" w:sz="4" w:space="0" w:color="auto"/>
              <w:bottom w:val="single" w:sz="4" w:space="0" w:color="auto"/>
              <w:right w:val="single" w:sz="4" w:space="0" w:color="auto"/>
            </w:tcBorders>
          </w:tcPr>
          <w:p w14:paraId="478575B2" w14:textId="77777777" w:rsidR="0012454B" w:rsidRPr="0012454B" w:rsidRDefault="0012454B" w:rsidP="0012454B">
            <w:pPr>
              <w:ind w:right="170"/>
              <w:jc w:val="right"/>
              <w:rPr>
                <w:rFonts w:eastAsia="Calibri"/>
                <w:sz w:val="16"/>
                <w:szCs w:val="16"/>
                <w:lang w:eastAsia="en-US"/>
              </w:rPr>
            </w:pPr>
          </w:p>
        </w:tc>
        <w:tc>
          <w:tcPr>
            <w:tcW w:w="1026" w:type="dxa"/>
            <w:vMerge w:val="restart"/>
            <w:tcBorders>
              <w:top w:val="single" w:sz="4" w:space="0" w:color="auto"/>
              <w:left w:val="single" w:sz="4" w:space="0" w:color="auto"/>
              <w:bottom w:val="single" w:sz="4" w:space="0" w:color="auto"/>
              <w:right w:val="single" w:sz="4" w:space="0" w:color="auto"/>
            </w:tcBorders>
            <w:vAlign w:val="center"/>
          </w:tcPr>
          <w:p w14:paraId="6600FC30"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Total</w:t>
            </w:r>
          </w:p>
        </w:tc>
        <w:tc>
          <w:tcPr>
            <w:tcW w:w="1026" w:type="dxa"/>
            <w:vMerge w:val="restart"/>
            <w:tcBorders>
              <w:top w:val="single" w:sz="4" w:space="0" w:color="auto"/>
              <w:left w:val="single" w:sz="4" w:space="0" w:color="auto"/>
              <w:bottom w:val="single" w:sz="4" w:space="0" w:color="auto"/>
              <w:right w:val="single" w:sz="4" w:space="0" w:color="auto"/>
            </w:tcBorders>
            <w:vAlign w:val="center"/>
          </w:tcPr>
          <w:p w14:paraId="4ED7A510"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Istmo</w:t>
            </w:r>
          </w:p>
        </w:tc>
        <w:tc>
          <w:tcPr>
            <w:tcW w:w="1032" w:type="dxa"/>
            <w:vMerge w:val="restart"/>
            <w:tcBorders>
              <w:top w:val="single" w:sz="4" w:space="0" w:color="auto"/>
              <w:left w:val="single" w:sz="4" w:space="0" w:color="auto"/>
              <w:bottom w:val="single" w:sz="4" w:space="0" w:color="auto"/>
              <w:right w:val="single" w:sz="4" w:space="0" w:color="auto"/>
            </w:tcBorders>
            <w:vAlign w:val="center"/>
          </w:tcPr>
          <w:p w14:paraId="41E438AB"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Maya</w:t>
            </w:r>
            <w:r w:rsidRPr="0012454B">
              <w:rPr>
                <w:rFonts w:eastAsia="Calibri"/>
                <w:b/>
                <w:sz w:val="16"/>
                <w:szCs w:val="16"/>
                <w:u w:val="single"/>
                <w:vertAlign w:val="superscript"/>
                <w:lang w:eastAsia="en-US"/>
              </w:rPr>
              <w:t>a</w:t>
            </w:r>
            <w:r w:rsidRPr="0012454B">
              <w:rPr>
                <w:rFonts w:eastAsia="Calibri"/>
                <w:b/>
                <w:sz w:val="16"/>
                <w:szCs w:val="16"/>
                <w:vertAlign w:val="superscript"/>
                <w:lang w:eastAsia="en-US"/>
              </w:rPr>
              <w:t>/</w:t>
            </w:r>
          </w:p>
        </w:tc>
        <w:tc>
          <w:tcPr>
            <w:tcW w:w="1057" w:type="dxa"/>
            <w:vMerge w:val="restart"/>
            <w:tcBorders>
              <w:top w:val="single" w:sz="4" w:space="0" w:color="auto"/>
              <w:left w:val="single" w:sz="4" w:space="0" w:color="auto"/>
              <w:bottom w:val="single" w:sz="4" w:space="0" w:color="auto"/>
              <w:right w:val="single" w:sz="4" w:space="0" w:color="auto"/>
            </w:tcBorders>
            <w:vAlign w:val="center"/>
          </w:tcPr>
          <w:p w14:paraId="6B5EDA80"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Olmeca</w:t>
            </w:r>
          </w:p>
        </w:tc>
        <w:tc>
          <w:tcPr>
            <w:tcW w:w="3190" w:type="dxa"/>
            <w:gridSpan w:val="3"/>
            <w:tcBorders>
              <w:top w:val="single" w:sz="4" w:space="0" w:color="auto"/>
              <w:left w:val="single" w:sz="4" w:space="0" w:color="auto"/>
              <w:bottom w:val="single" w:sz="4" w:space="0" w:color="auto"/>
              <w:right w:val="single" w:sz="4" w:space="0" w:color="auto"/>
            </w:tcBorders>
            <w:vAlign w:val="center"/>
          </w:tcPr>
          <w:p w14:paraId="30F14D4C"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Por región</w:t>
            </w:r>
          </w:p>
        </w:tc>
      </w:tr>
      <w:tr w:rsidR="0012454B" w:rsidRPr="0012454B" w14:paraId="677DE431" w14:textId="77777777" w:rsidTr="00E4484F">
        <w:tc>
          <w:tcPr>
            <w:tcW w:w="1115" w:type="dxa"/>
            <w:vMerge/>
            <w:tcBorders>
              <w:top w:val="single" w:sz="4" w:space="0" w:color="auto"/>
              <w:left w:val="single" w:sz="4" w:space="0" w:color="auto"/>
              <w:bottom w:val="single" w:sz="4" w:space="0" w:color="auto"/>
              <w:right w:val="single" w:sz="4" w:space="0" w:color="auto"/>
            </w:tcBorders>
          </w:tcPr>
          <w:p w14:paraId="10CD3C86" w14:textId="77777777" w:rsidR="0012454B" w:rsidRPr="0012454B" w:rsidRDefault="0012454B" w:rsidP="0012454B">
            <w:pPr>
              <w:ind w:right="170"/>
              <w:jc w:val="right"/>
              <w:rPr>
                <w:rFonts w:eastAsia="Calibri"/>
                <w:sz w:val="16"/>
                <w:szCs w:val="16"/>
                <w:lang w:eastAsia="en-US"/>
              </w:rPr>
            </w:pPr>
          </w:p>
        </w:tc>
        <w:tc>
          <w:tcPr>
            <w:tcW w:w="1026" w:type="dxa"/>
            <w:vMerge/>
            <w:tcBorders>
              <w:top w:val="single" w:sz="4" w:space="0" w:color="auto"/>
              <w:left w:val="single" w:sz="4" w:space="0" w:color="auto"/>
              <w:bottom w:val="single" w:sz="4" w:space="0" w:color="auto"/>
              <w:right w:val="single" w:sz="4" w:space="0" w:color="auto"/>
            </w:tcBorders>
            <w:vAlign w:val="center"/>
          </w:tcPr>
          <w:p w14:paraId="2C979A9A" w14:textId="77777777" w:rsidR="0012454B" w:rsidRPr="0012454B" w:rsidRDefault="0012454B" w:rsidP="0012454B">
            <w:pPr>
              <w:ind w:right="170"/>
              <w:jc w:val="center"/>
              <w:rPr>
                <w:rFonts w:eastAsia="Calibri"/>
                <w:b/>
                <w:sz w:val="16"/>
                <w:szCs w:val="16"/>
                <w:lang w:eastAsia="en-US"/>
              </w:rPr>
            </w:pPr>
          </w:p>
        </w:tc>
        <w:tc>
          <w:tcPr>
            <w:tcW w:w="1026" w:type="dxa"/>
            <w:vMerge/>
            <w:tcBorders>
              <w:top w:val="single" w:sz="4" w:space="0" w:color="auto"/>
              <w:left w:val="single" w:sz="4" w:space="0" w:color="auto"/>
              <w:bottom w:val="single" w:sz="4" w:space="0" w:color="auto"/>
              <w:right w:val="single" w:sz="4" w:space="0" w:color="auto"/>
            </w:tcBorders>
            <w:vAlign w:val="center"/>
          </w:tcPr>
          <w:p w14:paraId="4F12C915" w14:textId="77777777" w:rsidR="0012454B" w:rsidRPr="0012454B" w:rsidRDefault="0012454B" w:rsidP="0012454B">
            <w:pPr>
              <w:ind w:right="170"/>
              <w:jc w:val="center"/>
              <w:rPr>
                <w:rFonts w:eastAsia="Calibri"/>
                <w:b/>
                <w:sz w:val="16"/>
                <w:szCs w:val="16"/>
                <w:lang w:eastAsia="en-US"/>
              </w:rPr>
            </w:pPr>
          </w:p>
        </w:tc>
        <w:tc>
          <w:tcPr>
            <w:tcW w:w="1032" w:type="dxa"/>
            <w:vMerge/>
            <w:tcBorders>
              <w:top w:val="single" w:sz="4" w:space="0" w:color="auto"/>
              <w:left w:val="single" w:sz="4" w:space="0" w:color="auto"/>
              <w:bottom w:val="single" w:sz="4" w:space="0" w:color="auto"/>
              <w:right w:val="single" w:sz="4" w:space="0" w:color="auto"/>
            </w:tcBorders>
            <w:vAlign w:val="center"/>
          </w:tcPr>
          <w:p w14:paraId="1EB8FAE1" w14:textId="77777777" w:rsidR="0012454B" w:rsidRPr="0012454B" w:rsidRDefault="0012454B" w:rsidP="0012454B">
            <w:pPr>
              <w:ind w:right="170"/>
              <w:jc w:val="center"/>
              <w:rPr>
                <w:rFonts w:eastAsia="Calibri"/>
                <w:b/>
                <w:sz w:val="16"/>
                <w:szCs w:val="16"/>
                <w:lang w:eastAsia="en-US"/>
              </w:rPr>
            </w:pPr>
          </w:p>
        </w:tc>
        <w:tc>
          <w:tcPr>
            <w:tcW w:w="1057" w:type="dxa"/>
            <w:vMerge/>
            <w:tcBorders>
              <w:top w:val="single" w:sz="4" w:space="0" w:color="auto"/>
              <w:left w:val="single" w:sz="4" w:space="0" w:color="auto"/>
              <w:bottom w:val="single" w:sz="4" w:space="0" w:color="auto"/>
              <w:right w:val="single" w:sz="4" w:space="0" w:color="auto"/>
            </w:tcBorders>
            <w:vAlign w:val="center"/>
          </w:tcPr>
          <w:p w14:paraId="397D51D2" w14:textId="77777777" w:rsidR="0012454B" w:rsidRPr="0012454B" w:rsidRDefault="0012454B" w:rsidP="0012454B">
            <w:pPr>
              <w:ind w:right="170"/>
              <w:jc w:val="center"/>
              <w:rPr>
                <w:rFonts w:eastAsia="Calibri"/>
                <w:b/>
                <w:sz w:val="16"/>
                <w:szCs w:val="16"/>
                <w:lang w:eastAsia="en-US"/>
              </w:rPr>
            </w:pPr>
          </w:p>
        </w:tc>
        <w:tc>
          <w:tcPr>
            <w:tcW w:w="1070" w:type="dxa"/>
            <w:tcBorders>
              <w:top w:val="single" w:sz="4" w:space="0" w:color="auto"/>
              <w:left w:val="single" w:sz="4" w:space="0" w:color="auto"/>
              <w:bottom w:val="single" w:sz="4" w:space="0" w:color="auto"/>
              <w:right w:val="single" w:sz="4" w:space="0" w:color="auto"/>
            </w:tcBorders>
            <w:vAlign w:val="center"/>
          </w:tcPr>
          <w:p w14:paraId="17B8B517"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América</w:t>
            </w:r>
          </w:p>
        </w:tc>
        <w:tc>
          <w:tcPr>
            <w:tcW w:w="1051" w:type="dxa"/>
            <w:tcBorders>
              <w:top w:val="single" w:sz="4" w:space="0" w:color="auto"/>
              <w:left w:val="single" w:sz="4" w:space="0" w:color="auto"/>
              <w:bottom w:val="single" w:sz="4" w:space="0" w:color="auto"/>
              <w:right w:val="single" w:sz="4" w:space="0" w:color="auto"/>
            </w:tcBorders>
            <w:vAlign w:val="center"/>
          </w:tcPr>
          <w:p w14:paraId="2407F7FE"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Europa</w:t>
            </w:r>
          </w:p>
        </w:tc>
        <w:tc>
          <w:tcPr>
            <w:tcW w:w="1069" w:type="dxa"/>
            <w:tcBorders>
              <w:top w:val="single" w:sz="4" w:space="0" w:color="auto"/>
              <w:left w:val="single" w:sz="4" w:space="0" w:color="auto"/>
              <w:bottom w:val="single" w:sz="4" w:space="0" w:color="auto"/>
              <w:right w:val="single" w:sz="4" w:space="0" w:color="auto"/>
            </w:tcBorders>
          </w:tcPr>
          <w:p w14:paraId="60C18D6F"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Lejano</w:t>
            </w:r>
          </w:p>
          <w:p w14:paraId="7C5BC412" w14:textId="77777777" w:rsidR="0012454B" w:rsidRPr="0012454B" w:rsidRDefault="0012454B" w:rsidP="0012454B">
            <w:pPr>
              <w:ind w:right="170"/>
              <w:jc w:val="center"/>
              <w:rPr>
                <w:rFonts w:eastAsia="Calibri"/>
                <w:b/>
                <w:sz w:val="16"/>
                <w:szCs w:val="16"/>
                <w:lang w:eastAsia="en-US"/>
              </w:rPr>
            </w:pPr>
            <w:r w:rsidRPr="0012454B">
              <w:rPr>
                <w:rFonts w:eastAsia="Calibri"/>
                <w:b/>
                <w:sz w:val="16"/>
                <w:szCs w:val="16"/>
                <w:lang w:eastAsia="en-US"/>
              </w:rPr>
              <w:t>Oriente</w:t>
            </w:r>
            <w:r w:rsidRPr="0012454B">
              <w:rPr>
                <w:rFonts w:eastAsia="Calibri"/>
                <w:b/>
                <w:sz w:val="16"/>
                <w:szCs w:val="16"/>
                <w:u w:val="single"/>
                <w:vertAlign w:val="superscript"/>
                <w:lang w:eastAsia="en-US"/>
              </w:rPr>
              <w:t>b</w:t>
            </w:r>
            <w:r w:rsidRPr="0012454B">
              <w:rPr>
                <w:rFonts w:eastAsia="Calibri"/>
                <w:b/>
                <w:sz w:val="16"/>
                <w:szCs w:val="16"/>
                <w:vertAlign w:val="superscript"/>
                <w:lang w:eastAsia="en-US"/>
              </w:rPr>
              <w:t>/</w:t>
            </w:r>
          </w:p>
        </w:tc>
      </w:tr>
      <w:tr w:rsidR="0012454B" w:rsidRPr="0012454B" w14:paraId="16BADD4A" w14:textId="77777777" w:rsidTr="00E4484F">
        <w:tc>
          <w:tcPr>
            <w:tcW w:w="1115" w:type="dxa"/>
            <w:tcBorders>
              <w:top w:val="single" w:sz="4" w:space="0" w:color="auto"/>
              <w:left w:val="single" w:sz="4" w:space="0" w:color="auto"/>
              <w:bottom w:val="nil"/>
              <w:right w:val="single" w:sz="4" w:space="0" w:color="auto"/>
            </w:tcBorders>
          </w:tcPr>
          <w:p w14:paraId="63A81D2A"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2003</w:t>
            </w:r>
          </w:p>
        </w:tc>
        <w:tc>
          <w:tcPr>
            <w:tcW w:w="1026" w:type="dxa"/>
            <w:tcBorders>
              <w:top w:val="single" w:sz="4" w:space="0" w:color="auto"/>
              <w:left w:val="single" w:sz="4" w:space="0" w:color="auto"/>
              <w:bottom w:val="nil"/>
              <w:right w:val="single" w:sz="4" w:space="0" w:color="auto"/>
            </w:tcBorders>
          </w:tcPr>
          <w:p w14:paraId="4373CDA4"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16 676</w:t>
            </w:r>
          </w:p>
        </w:tc>
        <w:tc>
          <w:tcPr>
            <w:tcW w:w="1026" w:type="dxa"/>
            <w:tcBorders>
              <w:top w:val="single" w:sz="4" w:space="0" w:color="auto"/>
              <w:left w:val="single" w:sz="4" w:space="0" w:color="auto"/>
              <w:bottom w:val="nil"/>
              <w:right w:val="single" w:sz="4" w:space="0" w:color="auto"/>
            </w:tcBorders>
          </w:tcPr>
          <w:p w14:paraId="4CA4F04F"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255</w:t>
            </w:r>
          </w:p>
        </w:tc>
        <w:tc>
          <w:tcPr>
            <w:tcW w:w="1032" w:type="dxa"/>
            <w:tcBorders>
              <w:top w:val="single" w:sz="4" w:space="0" w:color="auto"/>
              <w:left w:val="single" w:sz="4" w:space="0" w:color="auto"/>
              <w:bottom w:val="nil"/>
              <w:right w:val="single" w:sz="4" w:space="0" w:color="auto"/>
            </w:tcBorders>
          </w:tcPr>
          <w:p w14:paraId="6EA3D778"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14 113</w:t>
            </w:r>
          </w:p>
        </w:tc>
        <w:tc>
          <w:tcPr>
            <w:tcW w:w="1057" w:type="dxa"/>
            <w:tcBorders>
              <w:top w:val="single" w:sz="4" w:space="0" w:color="auto"/>
              <w:left w:val="single" w:sz="4" w:space="0" w:color="auto"/>
              <w:bottom w:val="nil"/>
              <w:right w:val="single" w:sz="4" w:space="0" w:color="auto"/>
            </w:tcBorders>
          </w:tcPr>
          <w:p w14:paraId="1E8E0F75"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2 308</w:t>
            </w:r>
          </w:p>
        </w:tc>
        <w:tc>
          <w:tcPr>
            <w:tcW w:w="1070" w:type="dxa"/>
            <w:tcBorders>
              <w:top w:val="single" w:sz="4" w:space="0" w:color="auto"/>
              <w:left w:val="single" w:sz="4" w:space="0" w:color="auto"/>
              <w:bottom w:val="nil"/>
              <w:right w:val="single" w:sz="4" w:space="0" w:color="auto"/>
            </w:tcBorders>
          </w:tcPr>
          <w:p w14:paraId="4AF3AE88"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14 622</w:t>
            </w:r>
          </w:p>
        </w:tc>
        <w:tc>
          <w:tcPr>
            <w:tcW w:w="1051" w:type="dxa"/>
            <w:tcBorders>
              <w:top w:val="single" w:sz="4" w:space="0" w:color="auto"/>
              <w:left w:val="single" w:sz="4" w:space="0" w:color="auto"/>
              <w:bottom w:val="nil"/>
              <w:right w:val="single" w:sz="4" w:space="0" w:color="auto"/>
            </w:tcBorders>
          </w:tcPr>
          <w:p w14:paraId="017B65A3"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1 495</w:t>
            </w:r>
          </w:p>
        </w:tc>
        <w:tc>
          <w:tcPr>
            <w:tcW w:w="1069" w:type="dxa"/>
            <w:tcBorders>
              <w:top w:val="single" w:sz="4" w:space="0" w:color="auto"/>
              <w:left w:val="single" w:sz="4" w:space="0" w:color="auto"/>
              <w:bottom w:val="nil"/>
              <w:right w:val="single" w:sz="4" w:space="0" w:color="auto"/>
            </w:tcBorders>
          </w:tcPr>
          <w:p w14:paraId="75F6C39A"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560</w:t>
            </w:r>
          </w:p>
        </w:tc>
      </w:tr>
      <w:tr w:rsidR="0012454B" w:rsidRPr="0012454B" w14:paraId="6E2F2F25" w14:textId="77777777" w:rsidTr="00E4484F">
        <w:tc>
          <w:tcPr>
            <w:tcW w:w="1115" w:type="dxa"/>
            <w:tcBorders>
              <w:top w:val="nil"/>
              <w:left w:val="single" w:sz="4" w:space="0" w:color="auto"/>
              <w:bottom w:val="nil"/>
              <w:right w:val="single" w:sz="4" w:space="0" w:color="auto"/>
            </w:tcBorders>
          </w:tcPr>
          <w:p w14:paraId="19C825F2"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2004</w:t>
            </w:r>
          </w:p>
        </w:tc>
        <w:tc>
          <w:tcPr>
            <w:tcW w:w="1026" w:type="dxa"/>
            <w:tcBorders>
              <w:top w:val="nil"/>
              <w:left w:val="single" w:sz="4" w:space="0" w:color="auto"/>
              <w:bottom w:val="nil"/>
              <w:right w:val="single" w:sz="4" w:space="0" w:color="auto"/>
            </w:tcBorders>
          </w:tcPr>
          <w:p w14:paraId="2E646206"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21 258</w:t>
            </w:r>
          </w:p>
        </w:tc>
        <w:tc>
          <w:tcPr>
            <w:tcW w:w="1026" w:type="dxa"/>
            <w:tcBorders>
              <w:top w:val="nil"/>
              <w:left w:val="single" w:sz="4" w:space="0" w:color="auto"/>
              <w:bottom w:val="nil"/>
              <w:right w:val="single" w:sz="4" w:space="0" w:color="auto"/>
            </w:tcBorders>
          </w:tcPr>
          <w:p w14:paraId="5C1140FE"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381</w:t>
            </w:r>
          </w:p>
        </w:tc>
        <w:tc>
          <w:tcPr>
            <w:tcW w:w="1032" w:type="dxa"/>
            <w:tcBorders>
              <w:top w:val="nil"/>
              <w:left w:val="single" w:sz="4" w:space="0" w:color="auto"/>
              <w:bottom w:val="nil"/>
              <w:right w:val="single" w:sz="4" w:space="0" w:color="auto"/>
            </w:tcBorders>
          </w:tcPr>
          <w:p w14:paraId="1CF72EB0"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17 689</w:t>
            </w:r>
          </w:p>
        </w:tc>
        <w:tc>
          <w:tcPr>
            <w:tcW w:w="1057" w:type="dxa"/>
            <w:tcBorders>
              <w:top w:val="nil"/>
              <w:left w:val="single" w:sz="4" w:space="0" w:color="auto"/>
              <w:bottom w:val="nil"/>
              <w:right w:val="single" w:sz="4" w:space="0" w:color="auto"/>
            </w:tcBorders>
          </w:tcPr>
          <w:p w14:paraId="51C6C451"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3 188</w:t>
            </w:r>
          </w:p>
        </w:tc>
        <w:tc>
          <w:tcPr>
            <w:tcW w:w="1070" w:type="dxa"/>
            <w:tcBorders>
              <w:top w:val="nil"/>
              <w:left w:val="single" w:sz="4" w:space="0" w:color="auto"/>
              <w:bottom w:val="nil"/>
              <w:right w:val="single" w:sz="4" w:space="0" w:color="auto"/>
            </w:tcBorders>
          </w:tcPr>
          <w:p w14:paraId="516641F9"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19 003</w:t>
            </w:r>
          </w:p>
        </w:tc>
        <w:tc>
          <w:tcPr>
            <w:tcW w:w="1051" w:type="dxa"/>
            <w:tcBorders>
              <w:top w:val="nil"/>
              <w:left w:val="single" w:sz="4" w:space="0" w:color="auto"/>
              <w:bottom w:val="nil"/>
              <w:right w:val="single" w:sz="4" w:space="0" w:color="auto"/>
            </w:tcBorders>
          </w:tcPr>
          <w:p w14:paraId="5AFDD289"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1 886</w:t>
            </w:r>
          </w:p>
        </w:tc>
        <w:tc>
          <w:tcPr>
            <w:tcW w:w="1069" w:type="dxa"/>
            <w:tcBorders>
              <w:top w:val="nil"/>
              <w:left w:val="single" w:sz="4" w:space="0" w:color="auto"/>
              <w:bottom w:val="nil"/>
              <w:right w:val="single" w:sz="4" w:space="0" w:color="auto"/>
            </w:tcBorders>
          </w:tcPr>
          <w:p w14:paraId="5682ACE2"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369</w:t>
            </w:r>
          </w:p>
        </w:tc>
      </w:tr>
      <w:tr w:rsidR="0012454B" w:rsidRPr="0012454B" w14:paraId="688F6EA9" w14:textId="77777777" w:rsidTr="00E4484F">
        <w:tc>
          <w:tcPr>
            <w:tcW w:w="1115" w:type="dxa"/>
            <w:tcBorders>
              <w:top w:val="nil"/>
              <w:left w:val="single" w:sz="4" w:space="0" w:color="auto"/>
              <w:bottom w:val="nil"/>
              <w:right w:val="single" w:sz="4" w:space="0" w:color="auto"/>
            </w:tcBorders>
          </w:tcPr>
          <w:p w14:paraId="23307E80"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2005</w:t>
            </w:r>
          </w:p>
        </w:tc>
        <w:tc>
          <w:tcPr>
            <w:tcW w:w="1026" w:type="dxa"/>
            <w:tcBorders>
              <w:top w:val="nil"/>
              <w:left w:val="single" w:sz="4" w:space="0" w:color="auto"/>
              <w:bottom w:val="nil"/>
              <w:right w:val="single" w:sz="4" w:space="0" w:color="auto"/>
            </w:tcBorders>
          </w:tcPr>
          <w:p w14:paraId="1671C93F"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28 329</w:t>
            </w:r>
          </w:p>
        </w:tc>
        <w:tc>
          <w:tcPr>
            <w:tcW w:w="1026" w:type="dxa"/>
            <w:tcBorders>
              <w:top w:val="nil"/>
              <w:left w:val="single" w:sz="4" w:space="0" w:color="auto"/>
              <w:bottom w:val="nil"/>
              <w:right w:val="single" w:sz="4" w:space="0" w:color="auto"/>
            </w:tcBorders>
          </w:tcPr>
          <w:p w14:paraId="26423A13"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1 570</w:t>
            </w:r>
          </w:p>
        </w:tc>
        <w:tc>
          <w:tcPr>
            <w:tcW w:w="1032" w:type="dxa"/>
            <w:tcBorders>
              <w:top w:val="nil"/>
              <w:left w:val="single" w:sz="4" w:space="0" w:color="auto"/>
              <w:bottom w:val="nil"/>
              <w:right w:val="single" w:sz="4" w:space="0" w:color="auto"/>
            </w:tcBorders>
          </w:tcPr>
          <w:p w14:paraId="55BAA99E"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22 513</w:t>
            </w:r>
          </w:p>
        </w:tc>
        <w:tc>
          <w:tcPr>
            <w:tcW w:w="1057" w:type="dxa"/>
            <w:tcBorders>
              <w:top w:val="nil"/>
              <w:left w:val="single" w:sz="4" w:space="0" w:color="auto"/>
              <w:bottom w:val="nil"/>
              <w:right w:val="single" w:sz="4" w:space="0" w:color="auto"/>
            </w:tcBorders>
          </w:tcPr>
          <w:p w14:paraId="7509ED82"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4 246</w:t>
            </w:r>
          </w:p>
        </w:tc>
        <w:tc>
          <w:tcPr>
            <w:tcW w:w="1070" w:type="dxa"/>
            <w:tcBorders>
              <w:top w:val="nil"/>
              <w:left w:val="single" w:sz="4" w:space="0" w:color="auto"/>
              <w:bottom w:val="nil"/>
              <w:right w:val="single" w:sz="4" w:space="0" w:color="auto"/>
            </w:tcBorders>
          </w:tcPr>
          <w:p w14:paraId="18E98FA3"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24 856</w:t>
            </w:r>
          </w:p>
        </w:tc>
        <w:tc>
          <w:tcPr>
            <w:tcW w:w="1051" w:type="dxa"/>
            <w:tcBorders>
              <w:top w:val="nil"/>
              <w:left w:val="single" w:sz="4" w:space="0" w:color="auto"/>
              <w:bottom w:val="nil"/>
              <w:right w:val="single" w:sz="4" w:space="0" w:color="auto"/>
            </w:tcBorders>
          </w:tcPr>
          <w:p w14:paraId="533819FC"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2 969</w:t>
            </w:r>
          </w:p>
        </w:tc>
        <w:tc>
          <w:tcPr>
            <w:tcW w:w="1069" w:type="dxa"/>
            <w:tcBorders>
              <w:top w:val="nil"/>
              <w:left w:val="single" w:sz="4" w:space="0" w:color="auto"/>
              <w:bottom w:val="nil"/>
              <w:right w:val="single" w:sz="4" w:space="0" w:color="auto"/>
            </w:tcBorders>
          </w:tcPr>
          <w:p w14:paraId="2A49B41C"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504</w:t>
            </w:r>
          </w:p>
        </w:tc>
      </w:tr>
      <w:tr w:rsidR="0012454B" w:rsidRPr="0012454B" w14:paraId="5E966D95" w14:textId="77777777" w:rsidTr="00E4484F">
        <w:tc>
          <w:tcPr>
            <w:tcW w:w="1115" w:type="dxa"/>
            <w:tcBorders>
              <w:top w:val="nil"/>
              <w:left w:val="single" w:sz="4" w:space="0" w:color="auto"/>
              <w:bottom w:val="nil"/>
              <w:right w:val="single" w:sz="4" w:space="0" w:color="auto"/>
            </w:tcBorders>
          </w:tcPr>
          <w:p w14:paraId="61953716"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2006</w:t>
            </w:r>
          </w:p>
        </w:tc>
        <w:tc>
          <w:tcPr>
            <w:tcW w:w="1026" w:type="dxa"/>
            <w:tcBorders>
              <w:top w:val="nil"/>
              <w:left w:val="single" w:sz="4" w:space="0" w:color="auto"/>
              <w:bottom w:val="nil"/>
              <w:right w:val="single" w:sz="4" w:space="0" w:color="auto"/>
            </w:tcBorders>
          </w:tcPr>
          <w:p w14:paraId="346F4433"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34 707</w:t>
            </w:r>
          </w:p>
        </w:tc>
        <w:tc>
          <w:tcPr>
            <w:tcW w:w="1026" w:type="dxa"/>
            <w:tcBorders>
              <w:top w:val="nil"/>
              <w:left w:val="single" w:sz="4" w:space="0" w:color="auto"/>
              <w:bottom w:val="nil"/>
              <w:right w:val="single" w:sz="4" w:space="0" w:color="auto"/>
            </w:tcBorders>
          </w:tcPr>
          <w:p w14:paraId="2B982003"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1 428</w:t>
            </w:r>
          </w:p>
        </w:tc>
        <w:tc>
          <w:tcPr>
            <w:tcW w:w="1032" w:type="dxa"/>
            <w:tcBorders>
              <w:top w:val="nil"/>
              <w:left w:val="single" w:sz="4" w:space="0" w:color="auto"/>
              <w:bottom w:val="nil"/>
              <w:right w:val="single" w:sz="4" w:space="0" w:color="auto"/>
            </w:tcBorders>
          </w:tcPr>
          <w:p w14:paraId="0610D182"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27 835</w:t>
            </w:r>
          </w:p>
        </w:tc>
        <w:tc>
          <w:tcPr>
            <w:tcW w:w="1057" w:type="dxa"/>
            <w:tcBorders>
              <w:top w:val="nil"/>
              <w:left w:val="single" w:sz="4" w:space="0" w:color="auto"/>
              <w:bottom w:val="nil"/>
              <w:right w:val="single" w:sz="4" w:space="0" w:color="auto"/>
            </w:tcBorders>
          </w:tcPr>
          <w:p w14:paraId="4E422777"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5 443</w:t>
            </w:r>
          </w:p>
        </w:tc>
        <w:tc>
          <w:tcPr>
            <w:tcW w:w="1070" w:type="dxa"/>
            <w:tcBorders>
              <w:top w:val="nil"/>
              <w:left w:val="single" w:sz="4" w:space="0" w:color="auto"/>
              <w:bottom w:val="nil"/>
              <w:right w:val="single" w:sz="4" w:space="0" w:color="auto"/>
            </w:tcBorders>
          </w:tcPr>
          <w:p w14:paraId="5AF0E5C2"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30 959</w:t>
            </w:r>
          </w:p>
        </w:tc>
        <w:tc>
          <w:tcPr>
            <w:tcW w:w="1051" w:type="dxa"/>
            <w:tcBorders>
              <w:top w:val="nil"/>
              <w:left w:val="single" w:sz="4" w:space="0" w:color="auto"/>
              <w:bottom w:val="nil"/>
              <w:right w:val="single" w:sz="4" w:space="0" w:color="auto"/>
            </w:tcBorders>
          </w:tcPr>
          <w:p w14:paraId="66AB2209"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3 174</w:t>
            </w:r>
          </w:p>
        </w:tc>
        <w:tc>
          <w:tcPr>
            <w:tcW w:w="1069" w:type="dxa"/>
            <w:tcBorders>
              <w:top w:val="nil"/>
              <w:left w:val="single" w:sz="4" w:space="0" w:color="auto"/>
              <w:bottom w:val="nil"/>
              <w:right w:val="single" w:sz="4" w:space="0" w:color="auto"/>
            </w:tcBorders>
          </w:tcPr>
          <w:p w14:paraId="4E4595F3"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574</w:t>
            </w:r>
          </w:p>
        </w:tc>
      </w:tr>
      <w:tr w:rsidR="0012454B" w:rsidRPr="0012454B" w14:paraId="5A66C60B" w14:textId="77777777" w:rsidTr="00E4484F">
        <w:tc>
          <w:tcPr>
            <w:tcW w:w="1115" w:type="dxa"/>
            <w:tcBorders>
              <w:top w:val="nil"/>
              <w:left w:val="single" w:sz="4" w:space="0" w:color="auto"/>
              <w:bottom w:val="nil"/>
              <w:right w:val="single" w:sz="4" w:space="0" w:color="auto"/>
            </w:tcBorders>
          </w:tcPr>
          <w:p w14:paraId="4BF6D2F5"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2007</w:t>
            </w:r>
          </w:p>
        </w:tc>
        <w:tc>
          <w:tcPr>
            <w:tcW w:w="1026" w:type="dxa"/>
            <w:tcBorders>
              <w:top w:val="nil"/>
              <w:left w:val="single" w:sz="4" w:space="0" w:color="auto"/>
              <w:bottom w:val="nil"/>
              <w:right w:val="single" w:sz="4" w:space="0" w:color="auto"/>
            </w:tcBorders>
          </w:tcPr>
          <w:p w14:paraId="5707D513"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37 937</w:t>
            </w:r>
          </w:p>
        </w:tc>
        <w:tc>
          <w:tcPr>
            <w:tcW w:w="1026" w:type="dxa"/>
            <w:tcBorders>
              <w:top w:val="nil"/>
              <w:left w:val="single" w:sz="4" w:space="0" w:color="auto"/>
              <w:bottom w:val="nil"/>
              <w:right w:val="single" w:sz="4" w:space="0" w:color="auto"/>
            </w:tcBorders>
          </w:tcPr>
          <w:p w14:paraId="62860C19"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1 050</w:t>
            </w:r>
          </w:p>
        </w:tc>
        <w:tc>
          <w:tcPr>
            <w:tcW w:w="1032" w:type="dxa"/>
            <w:tcBorders>
              <w:top w:val="nil"/>
              <w:left w:val="single" w:sz="4" w:space="0" w:color="auto"/>
              <w:bottom w:val="nil"/>
              <w:right w:val="single" w:sz="4" w:space="0" w:color="auto"/>
            </w:tcBorders>
          </w:tcPr>
          <w:p w14:paraId="4B8AFEE3"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32 419</w:t>
            </w:r>
          </w:p>
        </w:tc>
        <w:tc>
          <w:tcPr>
            <w:tcW w:w="1057" w:type="dxa"/>
            <w:tcBorders>
              <w:top w:val="nil"/>
              <w:left w:val="single" w:sz="4" w:space="0" w:color="auto"/>
              <w:bottom w:val="nil"/>
              <w:right w:val="single" w:sz="4" w:space="0" w:color="auto"/>
            </w:tcBorders>
          </w:tcPr>
          <w:p w14:paraId="2E612235"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4 469</w:t>
            </w:r>
          </w:p>
        </w:tc>
        <w:tc>
          <w:tcPr>
            <w:tcW w:w="1070" w:type="dxa"/>
            <w:tcBorders>
              <w:top w:val="nil"/>
              <w:left w:val="single" w:sz="4" w:space="0" w:color="auto"/>
              <w:bottom w:val="nil"/>
              <w:right w:val="single" w:sz="4" w:space="0" w:color="auto"/>
            </w:tcBorders>
          </w:tcPr>
          <w:p w14:paraId="5F6A19A1"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33 236</w:t>
            </w:r>
          </w:p>
        </w:tc>
        <w:tc>
          <w:tcPr>
            <w:tcW w:w="1051" w:type="dxa"/>
            <w:tcBorders>
              <w:top w:val="nil"/>
              <w:left w:val="single" w:sz="4" w:space="0" w:color="auto"/>
              <w:bottom w:val="nil"/>
              <w:right w:val="single" w:sz="4" w:space="0" w:color="auto"/>
            </w:tcBorders>
          </w:tcPr>
          <w:p w14:paraId="04660F2E"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3 858</w:t>
            </w:r>
          </w:p>
        </w:tc>
        <w:tc>
          <w:tcPr>
            <w:tcW w:w="1069" w:type="dxa"/>
            <w:tcBorders>
              <w:top w:val="nil"/>
              <w:left w:val="single" w:sz="4" w:space="0" w:color="auto"/>
              <w:bottom w:val="nil"/>
              <w:right w:val="single" w:sz="4" w:space="0" w:color="auto"/>
            </w:tcBorders>
          </w:tcPr>
          <w:p w14:paraId="5A611B72"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843</w:t>
            </w:r>
          </w:p>
        </w:tc>
      </w:tr>
      <w:tr w:rsidR="0012454B" w:rsidRPr="0012454B" w14:paraId="41AE8444" w14:textId="77777777" w:rsidTr="00E4484F">
        <w:tc>
          <w:tcPr>
            <w:tcW w:w="1115" w:type="dxa"/>
            <w:tcBorders>
              <w:top w:val="nil"/>
              <w:left w:val="single" w:sz="4" w:space="0" w:color="auto"/>
              <w:bottom w:val="nil"/>
              <w:right w:val="single" w:sz="4" w:space="0" w:color="auto"/>
            </w:tcBorders>
            <w:vAlign w:val="center"/>
          </w:tcPr>
          <w:p w14:paraId="33C887D6" w14:textId="77777777" w:rsidR="0012454B" w:rsidRPr="0012454B" w:rsidRDefault="0012454B" w:rsidP="0012454B">
            <w:pPr>
              <w:ind w:right="170"/>
              <w:rPr>
                <w:rFonts w:eastAsia="Calibri"/>
                <w:b/>
                <w:sz w:val="16"/>
                <w:szCs w:val="16"/>
                <w:lang w:eastAsia="en-US"/>
              </w:rPr>
            </w:pPr>
            <w:r w:rsidRPr="0012454B">
              <w:rPr>
                <w:rFonts w:eastAsia="Calibri"/>
                <w:b/>
                <w:sz w:val="16"/>
                <w:szCs w:val="16"/>
                <w:lang w:eastAsia="en-US"/>
              </w:rPr>
              <w:t>2008</w:t>
            </w:r>
          </w:p>
        </w:tc>
        <w:tc>
          <w:tcPr>
            <w:tcW w:w="1026" w:type="dxa"/>
            <w:tcBorders>
              <w:top w:val="nil"/>
              <w:left w:val="single" w:sz="4" w:space="0" w:color="auto"/>
              <w:bottom w:val="nil"/>
              <w:right w:val="single" w:sz="4" w:space="0" w:color="auto"/>
            </w:tcBorders>
            <w:vAlign w:val="center"/>
          </w:tcPr>
          <w:p w14:paraId="2F0FEF8A" w14:textId="77777777" w:rsidR="0012454B" w:rsidRPr="0012454B" w:rsidRDefault="0012454B" w:rsidP="0012454B">
            <w:pPr>
              <w:ind w:right="170"/>
              <w:jc w:val="right"/>
              <w:rPr>
                <w:rFonts w:eastAsia="Calibri"/>
                <w:b/>
                <w:sz w:val="16"/>
                <w:szCs w:val="16"/>
                <w:lang w:eastAsia="en-US"/>
              </w:rPr>
            </w:pPr>
            <w:r w:rsidRPr="0012454B">
              <w:rPr>
                <w:rFonts w:eastAsia="Calibri"/>
                <w:b/>
                <w:sz w:val="16"/>
                <w:szCs w:val="16"/>
                <w:lang w:eastAsia="en-US"/>
              </w:rPr>
              <w:t>43 342</w:t>
            </w:r>
          </w:p>
        </w:tc>
        <w:tc>
          <w:tcPr>
            <w:tcW w:w="1026" w:type="dxa"/>
            <w:tcBorders>
              <w:top w:val="nil"/>
              <w:left w:val="single" w:sz="4" w:space="0" w:color="auto"/>
              <w:bottom w:val="nil"/>
              <w:right w:val="single" w:sz="4" w:space="0" w:color="auto"/>
            </w:tcBorders>
            <w:vAlign w:val="center"/>
          </w:tcPr>
          <w:p w14:paraId="11654FF6"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683</w:t>
            </w:r>
          </w:p>
        </w:tc>
        <w:tc>
          <w:tcPr>
            <w:tcW w:w="1032" w:type="dxa"/>
            <w:tcBorders>
              <w:top w:val="nil"/>
              <w:left w:val="single" w:sz="4" w:space="0" w:color="auto"/>
              <w:bottom w:val="nil"/>
              <w:right w:val="single" w:sz="4" w:space="0" w:color="auto"/>
            </w:tcBorders>
            <w:vAlign w:val="center"/>
          </w:tcPr>
          <w:p w14:paraId="76B94723"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37 946</w:t>
            </w:r>
          </w:p>
        </w:tc>
        <w:tc>
          <w:tcPr>
            <w:tcW w:w="1057" w:type="dxa"/>
            <w:tcBorders>
              <w:top w:val="nil"/>
              <w:left w:val="single" w:sz="4" w:space="0" w:color="auto"/>
              <w:bottom w:val="nil"/>
              <w:right w:val="single" w:sz="4" w:space="0" w:color="auto"/>
            </w:tcBorders>
            <w:vAlign w:val="center"/>
          </w:tcPr>
          <w:p w14:paraId="3CEB0173"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4 712</w:t>
            </w:r>
          </w:p>
        </w:tc>
        <w:tc>
          <w:tcPr>
            <w:tcW w:w="1070" w:type="dxa"/>
            <w:tcBorders>
              <w:top w:val="nil"/>
              <w:left w:val="single" w:sz="4" w:space="0" w:color="auto"/>
              <w:bottom w:val="nil"/>
              <w:right w:val="single" w:sz="4" w:space="0" w:color="auto"/>
            </w:tcBorders>
            <w:vAlign w:val="center"/>
          </w:tcPr>
          <w:p w14:paraId="1EA37CCF" w14:textId="77777777" w:rsidR="0012454B" w:rsidRPr="0012454B" w:rsidRDefault="0012454B" w:rsidP="0012454B">
            <w:pPr>
              <w:ind w:right="227"/>
              <w:jc w:val="right"/>
              <w:rPr>
                <w:rFonts w:eastAsia="Calibri"/>
                <w:b/>
                <w:sz w:val="16"/>
                <w:szCs w:val="16"/>
                <w:lang w:eastAsia="en-US"/>
              </w:rPr>
            </w:pPr>
            <w:r w:rsidRPr="0012454B">
              <w:rPr>
                <w:rFonts w:eastAsia="Calibri"/>
                <w:b/>
                <w:sz w:val="16"/>
                <w:szCs w:val="16"/>
                <w:lang w:eastAsia="en-US"/>
              </w:rPr>
              <w:t>38 187</w:t>
            </w:r>
          </w:p>
        </w:tc>
        <w:tc>
          <w:tcPr>
            <w:tcW w:w="1051" w:type="dxa"/>
            <w:tcBorders>
              <w:top w:val="nil"/>
              <w:left w:val="single" w:sz="4" w:space="0" w:color="auto"/>
              <w:bottom w:val="nil"/>
              <w:right w:val="single" w:sz="4" w:space="0" w:color="auto"/>
            </w:tcBorders>
            <w:vAlign w:val="center"/>
          </w:tcPr>
          <w:p w14:paraId="00F7D77C" w14:textId="77777777" w:rsidR="0012454B" w:rsidRPr="0012454B" w:rsidRDefault="0012454B" w:rsidP="0012454B">
            <w:pPr>
              <w:ind w:right="284"/>
              <w:jc w:val="right"/>
              <w:rPr>
                <w:rFonts w:eastAsia="Calibri"/>
                <w:b/>
                <w:sz w:val="16"/>
                <w:szCs w:val="16"/>
                <w:lang w:eastAsia="en-US"/>
              </w:rPr>
            </w:pPr>
            <w:r w:rsidRPr="0012454B">
              <w:rPr>
                <w:rFonts w:eastAsia="Calibri"/>
                <w:b/>
                <w:sz w:val="16"/>
                <w:szCs w:val="16"/>
                <w:lang w:eastAsia="en-US"/>
              </w:rPr>
              <w:t>4 319</w:t>
            </w:r>
          </w:p>
        </w:tc>
        <w:tc>
          <w:tcPr>
            <w:tcW w:w="1069" w:type="dxa"/>
            <w:tcBorders>
              <w:top w:val="nil"/>
              <w:left w:val="single" w:sz="4" w:space="0" w:color="auto"/>
              <w:bottom w:val="nil"/>
              <w:right w:val="single" w:sz="4" w:space="0" w:color="auto"/>
            </w:tcBorders>
            <w:vAlign w:val="center"/>
          </w:tcPr>
          <w:p w14:paraId="3F12720F" w14:textId="77777777" w:rsidR="0012454B" w:rsidRPr="0012454B" w:rsidRDefault="0012454B" w:rsidP="0012454B">
            <w:pPr>
              <w:ind w:right="340"/>
              <w:jc w:val="right"/>
              <w:rPr>
                <w:rFonts w:eastAsia="Calibri"/>
                <w:b/>
                <w:sz w:val="16"/>
                <w:szCs w:val="16"/>
                <w:lang w:eastAsia="en-US"/>
              </w:rPr>
            </w:pPr>
            <w:r w:rsidRPr="0012454B">
              <w:rPr>
                <w:rFonts w:eastAsia="Calibri"/>
                <w:b/>
                <w:sz w:val="16"/>
                <w:szCs w:val="16"/>
                <w:lang w:eastAsia="en-US"/>
              </w:rPr>
              <w:t>836</w:t>
            </w:r>
          </w:p>
        </w:tc>
      </w:tr>
      <w:tr w:rsidR="0012454B" w:rsidRPr="0012454B" w14:paraId="43EB8319" w14:textId="77777777" w:rsidTr="00E4484F">
        <w:tc>
          <w:tcPr>
            <w:tcW w:w="1115" w:type="dxa"/>
            <w:tcBorders>
              <w:top w:val="nil"/>
              <w:left w:val="single" w:sz="4" w:space="0" w:color="auto"/>
              <w:bottom w:val="nil"/>
              <w:right w:val="single" w:sz="4" w:space="0" w:color="auto"/>
            </w:tcBorders>
          </w:tcPr>
          <w:p w14:paraId="5F14E956"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 xml:space="preserve">2009 </w:t>
            </w:r>
          </w:p>
        </w:tc>
        <w:tc>
          <w:tcPr>
            <w:tcW w:w="1026" w:type="dxa"/>
            <w:tcBorders>
              <w:top w:val="nil"/>
              <w:left w:val="single" w:sz="4" w:space="0" w:color="auto"/>
              <w:bottom w:val="nil"/>
              <w:right w:val="single" w:sz="4" w:space="0" w:color="auto"/>
            </w:tcBorders>
          </w:tcPr>
          <w:p w14:paraId="404870C4"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25 605</w:t>
            </w:r>
          </w:p>
        </w:tc>
        <w:tc>
          <w:tcPr>
            <w:tcW w:w="1026" w:type="dxa"/>
            <w:tcBorders>
              <w:top w:val="nil"/>
              <w:left w:val="single" w:sz="4" w:space="0" w:color="auto"/>
              <w:bottom w:val="nil"/>
              <w:right w:val="single" w:sz="4" w:space="0" w:color="auto"/>
            </w:tcBorders>
          </w:tcPr>
          <w:p w14:paraId="361AF7F4"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327</w:t>
            </w:r>
          </w:p>
        </w:tc>
        <w:tc>
          <w:tcPr>
            <w:tcW w:w="1032" w:type="dxa"/>
            <w:tcBorders>
              <w:top w:val="nil"/>
              <w:left w:val="single" w:sz="4" w:space="0" w:color="auto"/>
              <w:bottom w:val="nil"/>
              <w:right w:val="single" w:sz="4" w:space="0" w:color="auto"/>
            </w:tcBorders>
          </w:tcPr>
          <w:p w14:paraId="43A722EF"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21 833</w:t>
            </w:r>
          </w:p>
        </w:tc>
        <w:tc>
          <w:tcPr>
            <w:tcW w:w="1057" w:type="dxa"/>
            <w:tcBorders>
              <w:top w:val="nil"/>
              <w:left w:val="single" w:sz="4" w:space="0" w:color="auto"/>
              <w:bottom w:val="nil"/>
              <w:right w:val="single" w:sz="4" w:space="0" w:color="auto"/>
            </w:tcBorders>
          </w:tcPr>
          <w:p w14:paraId="7DF3F5C0"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3 445</w:t>
            </w:r>
          </w:p>
        </w:tc>
        <w:tc>
          <w:tcPr>
            <w:tcW w:w="1070" w:type="dxa"/>
            <w:tcBorders>
              <w:top w:val="nil"/>
              <w:left w:val="single" w:sz="4" w:space="0" w:color="auto"/>
              <w:bottom w:val="nil"/>
              <w:right w:val="single" w:sz="4" w:space="0" w:color="auto"/>
            </w:tcBorders>
          </w:tcPr>
          <w:p w14:paraId="1327B92B"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22 436</w:t>
            </w:r>
          </w:p>
        </w:tc>
        <w:tc>
          <w:tcPr>
            <w:tcW w:w="1051" w:type="dxa"/>
            <w:tcBorders>
              <w:top w:val="nil"/>
              <w:left w:val="single" w:sz="4" w:space="0" w:color="auto"/>
              <w:bottom w:val="nil"/>
              <w:right w:val="single" w:sz="4" w:space="0" w:color="auto"/>
            </w:tcBorders>
          </w:tcPr>
          <w:p w14:paraId="75F7682E"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2 400</w:t>
            </w:r>
          </w:p>
        </w:tc>
        <w:tc>
          <w:tcPr>
            <w:tcW w:w="1069" w:type="dxa"/>
            <w:tcBorders>
              <w:top w:val="nil"/>
              <w:left w:val="single" w:sz="4" w:space="0" w:color="auto"/>
              <w:bottom w:val="nil"/>
              <w:right w:val="single" w:sz="4" w:space="0" w:color="auto"/>
            </w:tcBorders>
          </w:tcPr>
          <w:p w14:paraId="2F64AA71"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769</w:t>
            </w:r>
          </w:p>
        </w:tc>
      </w:tr>
      <w:tr w:rsidR="0012454B" w:rsidRPr="0012454B" w14:paraId="00B56397" w14:textId="77777777" w:rsidTr="00E4484F">
        <w:tc>
          <w:tcPr>
            <w:tcW w:w="1115" w:type="dxa"/>
            <w:tcBorders>
              <w:top w:val="nil"/>
              <w:left w:val="single" w:sz="4" w:space="0" w:color="auto"/>
              <w:bottom w:val="nil"/>
              <w:right w:val="single" w:sz="4" w:space="0" w:color="auto"/>
            </w:tcBorders>
          </w:tcPr>
          <w:p w14:paraId="3D112BF3"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2010</w:t>
            </w:r>
          </w:p>
        </w:tc>
        <w:tc>
          <w:tcPr>
            <w:tcW w:w="1026" w:type="dxa"/>
            <w:tcBorders>
              <w:top w:val="nil"/>
              <w:left w:val="single" w:sz="4" w:space="0" w:color="auto"/>
              <w:bottom w:val="nil"/>
              <w:right w:val="single" w:sz="4" w:space="0" w:color="auto"/>
            </w:tcBorders>
          </w:tcPr>
          <w:p w14:paraId="56CFE942"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35 985</w:t>
            </w:r>
          </w:p>
        </w:tc>
        <w:tc>
          <w:tcPr>
            <w:tcW w:w="1026" w:type="dxa"/>
            <w:tcBorders>
              <w:top w:val="nil"/>
              <w:left w:val="single" w:sz="4" w:space="0" w:color="auto"/>
              <w:bottom w:val="nil"/>
              <w:right w:val="single" w:sz="4" w:space="0" w:color="auto"/>
            </w:tcBorders>
          </w:tcPr>
          <w:p w14:paraId="01347CF8"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2 149</w:t>
            </w:r>
          </w:p>
        </w:tc>
        <w:tc>
          <w:tcPr>
            <w:tcW w:w="1032" w:type="dxa"/>
            <w:tcBorders>
              <w:top w:val="nil"/>
              <w:left w:val="single" w:sz="4" w:space="0" w:color="auto"/>
              <w:bottom w:val="nil"/>
              <w:right w:val="single" w:sz="4" w:space="0" w:color="auto"/>
            </w:tcBorders>
          </w:tcPr>
          <w:p w14:paraId="55AAF076"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27 687</w:t>
            </w:r>
          </w:p>
        </w:tc>
        <w:tc>
          <w:tcPr>
            <w:tcW w:w="1057" w:type="dxa"/>
            <w:tcBorders>
              <w:top w:val="nil"/>
              <w:left w:val="single" w:sz="4" w:space="0" w:color="auto"/>
              <w:bottom w:val="nil"/>
              <w:right w:val="single" w:sz="4" w:space="0" w:color="auto"/>
            </w:tcBorders>
          </w:tcPr>
          <w:p w14:paraId="19D7CBD1"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6 149</w:t>
            </w:r>
          </w:p>
        </w:tc>
        <w:tc>
          <w:tcPr>
            <w:tcW w:w="1070" w:type="dxa"/>
            <w:tcBorders>
              <w:top w:val="nil"/>
              <w:left w:val="single" w:sz="4" w:space="0" w:color="auto"/>
              <w:bottom w:val="nil"/>
              <w:right w:val="single" w:sz="4" w:space="0" w:color="auto"/>
            </w:tcBorders>
          </w:tcPr>
          <w:p w14:paraId="06B2D3EA"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31 101</w:t>
            </w:r>
          </w:p>
        </w:tc>
        <w:tc>
          <w:tcPr>
            <w:tcW w:w="1051" w:type="dxa"/>
            <w:tcBorders>
              <w:top w:val="nil"/>
              <w:left w:val="single" w:sz="4" w:space="0" w:color="auto"/>
              <w:bottom w:val="nil"/>
              <w:right w:val="single" w:sz="4" w:space="0" w:color="auto"/>
            </w:tcBorders>
          </w:tcPr>
          <w:p w14:paraId="15787A53"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3 409</w:t>
            </w:r>
          </w:p>
        </w:tc>
        <w:tc>
          <w:tcPr>
            <w:tcW w:w="1069" w:type="dxa"/>
            <w:tcBorders>
              <w:top w:val="nil"/>
              <w:left w:val="single" w:sz="4" w:space="0" w:color="auto"/>
              <w:bottom w:val="nil"/>
              <w:right w:val="single" w:sz="4" w:space="0" w:color="auto"/>
            </w:tcBorders>
          </w:tcPr>
          <w:p w14:paraId="49F96C1D"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1 476</w:t>
            </w:r>
          </w:p>
        </w:tc>
      </w:tr>
      <w:tr w:rsidR="0012454B" w:rsidRPr="0012454B" w14:paraId="0D6E5CEE" w14:textId="77777777" w:rsidTr="00E4484F">
        <w:tc>
          <w:tcPr>
            <w:tcW w:w="1115" w:type="dxa"/>
            <w:tcBorders>
              <w:top w:val="nil"/>
              <w:left w:val="single" w:sz="4" w:space="0" w:color="auto"/>
              <w:bottom w:val="nil"/>
              <w:right w:val="single" w:sz="4" w:space="0" w:color="auto"/>
            </w:tcBorders>
          </w:tcPr>
          <w:p w14:paraId="49BA3D2B"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2011</w:t>
            </w:r>
          </w:p>
        </w:tc>
        <w:tc>
          <w:tcPr>
            <w:tcW w:w="1026" w:type="dxa"/>
            <w:tcBorders>
              <w:top w:val="nil"/>
              <w:left w:val="single" w:sz="4" w:space="0" w:color="auto"/>
              <w:bottom w:val="nil"/>
              <w:right w:val="single" w:sz="4" w:space="0" w:color="auto"/>
            </w:tcBorders>
          </w:tcPr>
          <w:p w14:paraId="08C98600"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49 380</w:t>
            </w:r>
          </w:p>
        </w:tc>
        <w:tc>
          <w:tcPr>
            <w:tcW w:w="1026" w:type="dxa"/>
            <w:tcBorders>
              <w:top w:val="nil"/>
              <w:left w:val="single" w:sz="4" w:space="0" w:color="auto"/>
              <w:bottom w:val="nil"/>
              <w:right w:val="single" w:sz="4" w:space="0" w:color="auto"/>
            </w:tcBorders>
          </w:tcPr>
          <w:p w14:paraId="362651BE"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3 849</w:t>
            </w:r>
          </w:p>
        </w:tc>
        <w:tc>
          <w:tcPr>
            <w:tcW w:w="1032" w:type="dxa"/>
            <w:tcBorders>
              <w:top w:val="nil"/>
              <w:left w:val="single" w:sz="4" w:space="0" w:color="auto"/>
              <w:bottom w:val="nil"/>
              <w:right w:val="single" w:sz="4" w:space="0" w:color="auto"/>
            </w:tcBorders>
          </w:tcPr>
          <w:p w14:paraId="771AB226"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37 398</w:t>
            </w:r>
          </w:p>
        </w:tc>
        <w:tc>
          <w:tcPr>
            <w:tcW w:w="1057" w:type="dxa"/>
            <w:tcBorders>
              <w:top w:val="nil"/>
              <w:left w:val="single" w:sz="4" w:space="0" w:color="auto"/>
              <w:bottom w:val="nil"/>
              <w:right w:val="single" w:sz="4" w:space="0" w:color="auto"/>
            </w:tcBorders>
          </w:tcPr>
          <w:p w14:paraId="56314A9F"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8 133</w:t>
            </w:r>
          </w:p>
        </w:tc>
        <w:tc>
          <w:tcPr>
            <w:tcW w:w="1070" w:type="dxa"/>
            <w:tcBorders>
              <w:top w:val="nil"/>
              <w:left w:val="single" w:sz="4" w:space="0" w:color="auto"/>
              <w:bottom w:val="nil"/>
              <w:right w:val="single" w:sz="4" w:space="0" w:color="auto"/>
            </w:tcBorders>
          </w:tcPr>
          <w:p w14:paraId="3C08A87A"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41 745</w:t>
            </w:r>
          </w:p>
        </w:tc>
        <w:tc>
          <w:tcPr>
            <w:tcW w:w="1051" w:type="dxa"/>
            <w:tcBorders>
              <w:top w:val="nil"/>
              <w:left w:val="single" w:sz="4" w:space="0" w:color="auto"/>
              <w:bottom w:val="nil"/>
              <w:right w:val="single" w:sz="4" w:space="0" w:color="auto"/>
            </w:tcBorders>
          </w:tcPr>
          <w:p w14:paraId="33342DAF"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4 888</w:t>
            </w:r>
          </w:p>
        </w:tc>
        <w:tc>
          <w:tcPr>
            <w:tcW w:w="1069" w:type="dxa"/>
            <w:tcBorders>
              <w:top w:val="nil"/>
              <w:left w:val="single" w:sz="4" w:space="0" w:color="auto"/>
              <w:bottom w:val="nil"/>
              <w:right w:val="single" w:sz="4" w:space="0" w:color="auto"/>
            </w:tcBorders>
          </w:tcPr>
          <w:p w14:paraId="73C9527C"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2 747</w:t>
            </w:r>
          </w:p>
        </w:tc>
      </w:tr>
      <w:tr w:rsidR="0012454B" w:rsidRPr="0012454B" w14:paraId="35B31430" w14:textId="77777777" w:rsidTr="00E4484F">
        <w:tc>
          <w:tcPr>
            <w:tcW w:w="1115" w:type="dxa"/>
            <w:tcBorders>
              <w:top w:val="nil"/>
              <w:left w:val="single" w:sz="4" w:space="0" w:color="auto"/>
              <w:bottom w:val="nil"/>
              <w:right w:val="single" w:sz="4" w:space="0" w:color="auto"/>
            </w:tcBorders>
          </w:tcPr>
          <w:p w14:paraId="5DEFCFEE"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2012</w:t>
            </w:r>
          </w:p>
        </w:tc>
        <w:tc>
          <w:tcPr>
            <w:tcW w:w="1026" w:type="dxa"/>
            <w:tcBorders>
              <w:top w:val="nil"/>
              <w:left w:val="single" w:sz="4" w:space="0" w:color="auto"/>
              <w:bottom w:val="nil"/>
              <w:right w:val="single" w:sz="4" w:space="0" w:color="auto"/>
            </w:tcBorders>
          </w:tcPr>
          <w:p w14:paraId="5408C383"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46 852</w:t>
            </w:r>
          </w:p>
        </w:tc>
        <w:tc>
          <w:tcPr>
            <w:tcW w:w="1026" w:type="dxa"/>
            <w:tcBorders>
              <w:top w:val="nil"/>
              <w:left w:val="single" w:sz="4" w:space="0" w:color="auto"/>
              <w:bottom w:val="nil"/>
              <w:right w:val="single" w:sz="4" w:space="0" w:color="auto"/>
            </w:tcBorders>
          </w:tcPr>
          <w:p w14:paraId="6F416190"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3 904</w:t>
            </w:r>
          </w:p>
        </w:tc>
        <w:tc>
          <w:tcPr>
            <w:tcW w:w="1032" w:type="dxa"/>
            <w:tcBorders>
              <w:top w:val="nil"/>
              <w:left w:val="single" w:sz="4" w:space="0" w:color="auto"/>
              <w:bottom w:val="nil"/>
              <w:right w:val="single" w:sz="4" w:space="0" w:color="auto"/>
            </w:tcBorders>
          </w:tcPr>
          <w:p w14:paraId="3A48BD82"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35 194</w:t>
            </w:r>
          </w:p>
        </w:tc>
        <w:tc>
          <w:tcPr>
            <w:tcW w:w="1057" w:type="dxa"/>
            <w:tcBorders>
              <w:top w:val="nil"/>
              <w:left w:val="single" w:sz="4" w:space="0" w:color="auto"/>
              <w:bottom w:val="nil"/>
              <w:right w:val="single" w:sz="4" w:space="0" w:color="auto"/>
            </w:tcBorders>
          </w:tcPr>
          <w:p w14:paraId="139B0928"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7 754</w:t>
            </w:r>
          </w:p>
        </w:tc>
        <w:tc>
          <w:tcPr>
            <w:tcW w:w="1070" w:type="dxa"/>
            <w:tcBorders>
              <w:top w:val="nil"/>
              <w:left w:val="single" w:sz="4" w:space="0" w:color="auto"/>
              <w:bottom w:val="nil"/>
              <w:right w:val="single" w:sz="4" w:space="0" w:color="auto"/>
            </w:tcBorders>
          </w:tcPr>
          <w:p w14:paraId="3DBB10B5"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37 051</w:t>
            </w:r>
          </w:p>
        </w:tc>
        <w:tc>
          <w:tcPr>
            <w:tcW w:w="1051" w:type="dxa"/>
            <w:tcBorders>
              <w:top w:val="nil"/>
              <w:left w:val="single" w:sz="4" w:space="0" w:color="auto"/>
              <w:bottom w:val="nil"/>
              <w:right w:val="single" w:sz="4" w:space="0" w:color="auto"/>
            </w:tcBorders>
          </w:tcPr>
          <w:p w14:paraId="4C7CCD0A"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6 611</w:t>
            </w:r>
          </w:p>
        </w:tc>
        <w:tc>
          <w:tcPr>
            <w:tcW w:w="1069" w:type="dxa"/>
            <w:tcBorders>
              <w:top w:val="nil"/>
              <w:left w:val="single" w:sz="4" w:space="0" w:color="auto"/>
              <w:bottom w:val="nil"/>
              <w:right w:val="single" w:sz="4" w:space="0" w:color="auto"/>
            </w:tcBorders>
          </w:tcPr>
          <w:p w14:paraId="6AD2D7F0"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3 190</w:t>
            </w:r>
          </w:p>
        </w:tc>
      </w:tr>
      <w:tr w:rsidR="0012454B" w:rsidRPr="0012454B" w14:paraId="07C0A096" w14:textId="77777777" w:rsidTr="00E4484F">
        <w:tc>
          <w:tcPr>
            <w:tcW w:w="1115" w:type="dxa"/>
            <w:tcBorders>
              <w:top w:val="nil"/>
              <w:left w:val="single" w:sz="4" w:space="0" w:color="auto"/>
              <w:bottom w:val="nil"/>
              <w:right w:val="single" w:sz="4" w:space="0" w:color="auto"/>
            </w:tcBorders>
          </w:tcPr>
          <w:p w14:paraId="321A54F9"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2013</w:t>
            </w:r>
          </w:p>
        </w:tc>
        <w:tc>
          <w:tcPr>
            <w:tcW w:w="1026" w:type="dxa"/>
            <w:tcBorders>
              <w:top w:val="nil"/>
              <w:left w:val="single" w:sz="4" w:space="0" w:color="auto"/>
              <w:bottom w:val="nil"/>
              <w:right w:val="single" w:sz="4" w:space="0" w:color="auto"/>
            </w:tcBorders>
          </w:tcPr>
          <w:p w14:paraId="373A9EA3"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42 711</w:t>
            </w:r>
          </w:p>
        </w:tc>
        <w:tc>
          <w:tcPr>
            <w:tcW w:w="1026" w:type="dxa"/>
            <w:tcBorders>
              <w:top w:val="nil"/>
              <w:left w:val="single" w:sz="4" w:space="0" w:color="auto"/>
              <w:bottom w:val="nil"/>
              <w:right w:val="single" w:sz="4" w:space="0" w:color="auto"/>
            </w:tcBorders>
          </w:tcPr>
          <w:p w14:paraId="5EE4A64F"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3 926</w:t>
            </w:r>
          </w:p>
        </w:tc>
        <w:tc>
          <w:tcPr>
            <w:tcW w:w="1032" w:type="dxa"/>
            <w:tcBorders>
              <w:top w:val="nil"/>
              <w:left w:val="single" w:sz="4" w:space="0" w:color="auto"/>
              <w:bottom w:val="nil"/>
              <w:right w:val="single" w:sz="4" w:space="0" w:color="auto"/>
            </w:tcBorders>
          </w:tcPr>
          <w:p w14:paraId="04CD0F67"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34 902</w:t>
            </w:r>
          </w:p>
        </w:tc>
        <w:tc>
          <w:tcPr>
            <w:tcW w:w="1057" w:type="dxa"/>
            <w:tcBorders>
              <w:top w:val="nil"/>
              <w:left w:val="single" w:sz="4" w:space="0" w:color="auto"/>
              <w:bottom w:val="nil"/>
              <w:right w:val="single" w:sz="4" w:space="0" w:color="auto"/>
            </w:tcBorders>
          </w:tcPr>
          <w:p w14:paraId="49D488B5"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3 884</w:t>
            </w:r>
          </w:p>
        </w:tc>
        <w:tc>
          <w:tcPr>
            <w:tcW w:w="1070" w:type="dxa"/>
            <w:tcBorders>
              <w:top w:val="nil"/>
              <w:left w:val="single" w:sz="4" w:space="0" w:color="auto"/>
              <w:bottom w:val="nil"/>
              <w:right w:val="single" w:sz="4" w:space="0" w:color="auto"/>
            </w:tcBorders>
          </w:tcPr>
          <w:p w14:paraId="798D5A9F"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32 125</w:t>
            </w:r>
          </w:p>
        </w:tc>
        <w:tc>
          <w:tcPr>
            <w:tcW w:w="1051" w:type="dxa"/>
            <w:tcBorders>
              <w:top w:val="nil"/>
              <w:left w:val="single" w:sz="4" w:space="0" w:color="auto"/>
              <w:bottom w:val="nil"/>
              <w:right w:val="single" w:sz="4" w:space="0" w:color="auto"/>
            </w:tcBorders>
          </w:tcPr>
          <w:p w14:paraId="3EDA81EB"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6 472</w:t>
            </w:r>
          </w:p>
        </w:tc>
        <w:tc>
          <w:tcPr>
            <w:tcW w:w="1069" w:type="dxa"/>
            <w:tcBorders>
              <w:top w:val="nil"/>
              <w:left w:val="single" w:sz="4" w:space="0" w:color="auto"/>
              <w:bottom w:val="nil"/>
              <w:right w:val="single" w:sz="4" w:space="0" w:color="auto"/>
            </w:tcBorders>
          </w:tcPr>
          <w:p w14:paraId="5FB6ED76"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4 114</w:t>
            </w:r>
          </w:p>
        </w:tc>
      </w:tr>
      <w:tr w:rsidR="0012454B" w:rsidRPr="0012454B" w14:paraId="44D9A6CB" w14:textId="77777777" w:rsidTr="00E4484F">
        <w:tc>
          <w:tcPr>
            <w:tcW w:w="1115" w:type="dxa"/>
            <w:tcBorders>
              <w:top w:val="nil"/>
              <w:left w:val="single" w:sz="4" w:space="0" w:color="auto"/>
              <w:bottom w:val="nil"/>
              <w:right w:val="single" w:sz="4" w:space="0" w:color="auto"/>
            </w:tcBorders>
          </w:tcPr>
          <w:p w14:paraId="03DD505F"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2014</w:t>
            </w:r>
          </w:p>
        </w:tc>
        <w:tc>
          <w:tcPr>
            <w:tcW w:w="1026" w:type="dxa"/>
            <w:tcBorders>
              <w:top w:val="nil"/>
              <w:left w:val="single" w:sz="4" w:space="0" w:color="auto"/>
              <w:bottom w:val="nil"/>
              <w:right w:val="single" w:sz="4" w:space="0" w:color="auto"/>
            </w:tcBorders>
          </w:tcPr>
          <w:p w14:paraId="5C60F0A0"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35 856</w:t>
            </w:r>
          </w:p>
        </w:tc>
        <w:tc>
          <w:tcPr>
            <w:tcW w:w="1026" w:type="dxa"/>
            <w:tcBorders>
              <w:top w:val="nil"/>
              <w:left w:val="single" w:sz="4" w:space="0" w:color="auto"/>
              <w:bottom w:val="nil"/>
              <w:right w:val="single" w:sz="4" w:space="0" w:color="auto"/>
            </w:tcBorders>
          </w:tcPr>
          <w:p w14:paraId="0DFC1919"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4 564</w:t>
            </w:r>
          </w:p>
        </w:tc>
        <w:tc>
          <w:tcPr>
            <w:tcW w:w="1032" w:type="dxa"/>
            <w:tcBorders>
              <w:top w:val="nil"/>
              <w:left w:val="single" w:sz="4" w:space="0" w:color="auto"/>
              <w:bottom w:val="nil"/>
              <w:right w:val="single" w:sz="4" w:space="0" w:color="auto"/>
            </w:tcBorders>
          </w:tcPr>
          <w:p w14:paraId="1B5B87EF"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28 168</w:t>
            </w:r>
          </w:p>
        </w:tc>
        <w:tc>
          <w:tcPr>
            <w:tcW w:w="1057" w:type="dxa"/>
            <w:tcBorders>
              <w:top w:val="nil"/>
              <w:left w:val="single" w:sz="4" w:space="0" w:color="auto"/>
              <w:bottom w:val="nil"/>
              <w:right w:val="single" w:sz="4" w:space="0" w:color="auto"/>
            </w:tcBorders>
          </w:tcPr>
          <w:p w14:paraId="217AA9FA"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3 124</w:t>
            </w:r>
          </w:p>
        </w:tc>
        <w:tc>
          <w:tcPr>
            <w:tcW w:w="1070" w:type="dxa"/>
            <w:tcBorders>
              <w:top w:val="nil"/>
              <w:left w:val="single" w:sz="4" w:space="0" w:color="auto"/>
              <w:bottom w:val="nil"/>
              <w:right w:val="single" w:sz="4" w:space="0" w:color="auto"/>
            </w:tcBorders>
          </w:tcPr>
          <w:p w14:paraId="79D7A09A"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26 188</w:t>
            </w:r>
          </w:p>
        </w:tc>
        <w:tc>
          <w:tcPr>
            <w:tcW w:w="1051" w:type="dxa"/>
            <w:tcBorders>
              <w:top w:val="nil"/>
              <w:left w:val="single" w:sz="4" w:space="0" w:color="auto"/>
              <w:bottom w:val="nil"/>
              <w:right w:val="single" w:sz="4" w:space="0" w:color="auto"/>
            </w:tcBorders>
          </w:tcPr>
          <w:p w14:paraId="60392A68"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6 737</w:t>
            </w:r>
          </w:p>
        </w:tc>
        <w:tc>
          <w:tcPr>
            <w:tcW w:w="1069" w:type="dxa"/>
            <w:tcBorders>
              <w:top w:val="nil"/>
              <w:left w:val="single" w:sz="4" w:space="0" w:color="auto"/>
              <w:bottom w:val="nil"/>
              <w:right w:val="single" w:sz="4" w:space="0" w:color="auto"/>
            </w:tcBorders>
          </w:tcPr>
          <w:p w14:paraId="0C1CB85E" w14:textId="77777777" w:rsidR="0012454B" w:rsidRPr="0012454B" w:rsidRDefault="0012454B" w:rsidP="0012454B">
            <w:pPr>
              <w:spacing w:before="60"/>
              <w:ind w:right="340"/>
              <w:jc w:val="right"/>
              <w:rPr>
                <w:rFonts w:eastAsia="Calibri"/>
                <w:b/>
                <w:sz w:val="16"/>
                <w:szCs w:val="16"/>
                <w:lang w:eastAsia="en-US"/>
              </w:rPr>
            </w:pPr>
            <w:r w:rsidRPr="0012454B">
              <w:rPr>
                <w:rFonts w:eastAsia="Calibri"/>
                <w:b/>
                <w:sz w:val="16"/>
                <w:szCs w:val="16"/>
                <w:lang w:eastAsia="en-US"/>
              </w:rPr>
              <w:t>2 931</w:t>
            </w:r>
          </w:p>
        </w:tc>
      </w:tr>
      <w:tr w:rsidR="0012454B" w:rsidRPr="0012454B" w14:paraId="674263C2" w14:textId="77777777" w:rsidTr="00E4484F">
        <w:tc>
          <w:tcPr>
            <w:tcW w:w="1115" w:type="dxa"/>
            <w:tcBorders>
              <w:top w:val="nil"/>
              <w:left w:val="single" w:sz="4" w:space="0" w:color="auto"/>
              <w:bottom w:val="nil"/>
              <w:right w:val="single" w:sz="4" w:space="0" w:color="auto"/>
            </w:tcBorders>
          </w:tcPr>
          <w:p w14:paraId="6CE09FDF"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Enero</w:t>
            </w:r>
          </w:p>
        </w:tc>
        <w:tc>
          <w:tcPr>
            <w:tcW w:w="1026" w:type="dxa"/>
            <w:tcBorders>
              <w:top w:val="nil"/>
              <w:left w:val="single" w:sz="4" w:space="0" w:color="auto"/>
              <w:bottom w:val="nil"/>
              <w:right w:val="single" w:sz="4" w:space="0" w:color="auto"/>
            </w:tcBorders>
          </w:tcPr>
          <w:p w14:paraId="00621DF5"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3 292</w:t>
            </w:r>
          </w:p>
        </w:tc>
        <w:tc>
          <w:tcPr>
            <w:tcW w:w="1026" w:type="dxa"/>
            <w:tcBorders>
              <w:top w:val="nil"/>
              <w:left w:val="single" w:sz="4" w:space="0" w:color="auto"/>
              <w:bottom w:val="nil"/>
              <w:right w:val="single" w:sz="4" w:space="0" w:color="auto"/>
            </w:tcBorders>
          </w:tcPr>
          <w:p w14:paraId="4F2401DE"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542</w:t>
            </w:r>
          </w:p>
        </w:tc>
        <w:tc>
          <w:tcPr>
            <w:tcW w:w="1032" w:type="dxa"/>
            <w:tcBorders>
              <w:top w:val="nil"/>
              <w:left w:val="single" w:sz="4" w:space="0" w:color="auto"/>
              <w:bottom w:val="nil"/>
              <w:right w:val="single" w:sz="4" w:space="0" w:color="auto"/>
            </w:tcBorders>
          </w:tcPr>
          <w:p w14:paraId="33686E87"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2 442</w:t>
            </w:r>
          </w:p>
        </w:tc>
        <w:tc>
          <w:tcPr>
            <w:tcW w:w="1057" w:type="dxa"/>
            <w:tcBorders>
              <w:top w:val="nil"/>
              <w:left w:val="single" w:sz="4" w:space="0" w:color="auto"/>
              <w:bottom w:val="nil"/>
              <w:right w:val="single" w:sz="4" w:space="0" w:color="auto"/>
            </w:tcBorders>
          </w:tcPr>
          <w:p w14:paraId="486500D7"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308</w:t>
            </w:r>
          </w:p>
        </w:tc>
        <w:tc>
          <w:tcPr>
            <w:tcW w:w="1070" w:type="dxa"/>
            <w:tcBorders>
              <w:top w:val="nil"/>
              <w:left w:val="single" w:sz="4" w:space="0" w:color="auto"/>
              <w:bottom w:val="nil"/>
              <w:right w:val="single" w:sz="4" w:space="0" w:color="auto"/>
            </w:tcBorders>
          </w:tcPr>
          <w:p w14:paraId="65DE231A"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2 694</w:t>
            </w:r>
          </w:p>
        </w:tc>
        <w:tc>
          <w:tcPr>
            <w:tcW w:w="1051" w:type="dxa"/>
            <w:tcBorders>
              <w:top w:val="nil"/>
              <w:left w:val="single" w:sz="4" w:space="0" w:color="auto"/>
              <w:bottom w:val="nil"/>
              <w:right w:val="single" w:sz="4" w:space="0" w:color="auto"/>
            </w:tcBorders>
          </w:tcPr>
          <w:p w14:paraId="15F584F9"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554</w:t>
            </w:r>
          </w:p>
        </w:tc>
        <w:tc>
          <w:tcPr>
            <w:tcW w:w="1069" w:type="dxa"/>
            <w:tcBorders>
              <w:top w:val="nil"/>
              <w:left w:val="single" w:sz="4" w:space="0" w:color="auto"/>
              <w:bottom w:val="nil"/>
              <w:right w:val="single" w:sz="4" w:space="0" w:color="auto"/>
            </w:tcBorders>
          </w:tcPr>
          <w:p w14:paraId="06FB06D9"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43</w:t>
            </w:r>
          </w:p>
        </w:tc>
      </w:tr>
      <w:tr w:rsidR="0012454B" w:rsidRPr="0012454B" w14:paraId="75D4A91C" w14:textId="77777777" w:rsidTr="00E4484F">
        <w:tc>
          <w:tcPr>
            <w:tcW w:w="1115" w:type="dxa"/>
            <w:tcBorders>
              <w:top w:val="nil"/>
              <w:left w:val="single" w:sz="4" w:space="0" w:color="auto"/>
              <w:bottom w:val="nil"/>
              <w:right w:val="single" w:sz="4" w:space="0" w:color="auto"/>
            </w:tcBorders>
          </w:tcPr>
          <w:p w14:paraId="78F9FAC4"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Febrero</w:t>
            </w:r>
          </w:p>
        </w:tc>
        <w:tc>
          <w:tcPr>
            <w:tcW w:w="1026" w:type="dxa"/>
            <w:tcBorders>
              <w:top w:val="nil"/>
              <w:left w:val="single" w:sz="4" w:space="0" w:color="auto"/>
              <w:bottom w:val="nil"/>
              <w:right w:val="single" w:sz="4" w:space="0" w:color="auto"/>
            </w:tcBorders>
          </w:tcPr>
          <w:p w14:paraId="2916239F"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3 324</w:t>
            </w:r>
          </w:p>
        </w:tc>
        <w:tc>
          <w:tcPr>
            <w:tcW w:w="1026" w:type="dxa"/>
            <w:tcBorders>
              <w:top w:val="nil"/>
              <w:left w:val="single" w:sz="4" w:space="0" w:color="auto"/>
              <w:bottom w:val="nil"/>
              <w:right w:val="single" w:sz="4" w:space="0" w:color="auto"/>
            </w:tcBorders>
          </w:tcPr>
          <w:p w14:paraId="51614C53"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498</w:t>
            </w:r>
          </w:p>
        </w:tc>
        <w:tc>
          <w:tcPr>
            <w:tcW w:w="1032" w:type="dxa"/>
            <w:tcBorders>
              <w:top w:val="nil"/>
              <w:left w:val="single" w:sz="4" w:space="0" w:color="auto"/>
              <w:bottom w:val="nil"/>
              <w:right w:val="single" w:sz="4" w:space="0" w:color="auto"/>
            </w:tcBorders>
          </w:tcPr>
          <w:p w14:paraId="1CB9E385"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2 554</w:t>
            </w:r>
          </w:p>
        </w:tc>
        <w:tc>
          <w:tcPr>
            <w:tcW w:w="1057" w:type="dxa"/>
            <w:tcBorders>
              <w:top w:val="nil"/>
              <w:left w:val="single" w:sz="4" w:space="0" w:color="auto"/>
              <w:bottom w:val="nil"/>
              <w:right w:val="single" w:sz="4" w:space="0" w:color="auto"/>
            </w:tcBorders>
          </w:tcPr>
          <w:p w14:paraId="225A3737"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272</w:t>
            </w:r>
          </w:p>
        </w:tc>
        <w:tc>
          <w:tcPr>
            <w:tcW w:w="1070" w:type="dxa"/>
            <w:tcBorders>
              <w:top w:val="nil"/>
              <w:left w:val="single" w:sz="4" w:space="0" w:color="auto"/>
              <w:bottom w:val="nil"/>
              <w:right w:val="single" w:sz="4" w:space="0" w:color="auto"/>
            </w:tcBorders>
          </w:tcPr>
          <w:p w14:paraId="7A0500E9"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2 417</w:t>
            </w:r>
          </w:p>
        </w:tc>
        <w:tc>
          <w:tcPr>
            <w:tcW w:w="1051" w:type="dxa"/>
            <w:tcBorders>
              <w:top w:val="nil"/>
              <w:left w:val="single" w:sz="4" w:space="0" w:color="auto"/>
              <w:bottom w:val="nil"/>
              <w:right w:val="single" w:sz="4" w:space="0" w:color="auto"/>
            </w:tcBorders>
          </w:tcPr>
          <w:p w14:paraId="2D00D2DF"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529</w:t>
            </w:r>
          </w:p>
        </w:tc>
        <w:tc>
          <w:tcPr>
            <w:tcW w:w="1069" w:type="dxa"/>
            <w:tcBorders>
              <w:top w:val="nil"/>
              <w:left w:val="single" w:sz="4" w:space="0" w:color="auto"/>
              <w:bottom w:val="nil"/>
              <w:right w:val="single" w:sz="4" w:space="0" w:color="auto"/>
            </w:tcBorders>
          </w:tcPr>
          <w:p w14:paraId="13A681F7"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378</w:t>
            </w:r>
          </w:p>
        </w:tc>
      </w:tr>
      <w:tr w:rsidR="0012454B" w:rsidRPr="0012454B" w14:paraId="1CA17046" w14:textId="77777777" w:rsidTr="00E4484F">
        <w:tc>
          <w:tcPr>
            <w:tcW w:w="1115" w:type="dxa"/>
            <w:tcBorders>
              <w:top w:val="nil"/>
              <w:left w:val="single" w:sz="4" w:space="0" w:color="auto"/>
              <w:bottom w:val="nil"/>
              <w:right w:val="single" w:sz="4" w:space="0" w:color="auto"/>
            </w:tcBorders>
          </w:tcPr>
          <w:p w14:paraId="7A6882D7"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Marzo</w:t>
            </w:r>
          </w:p>
        </w:tc>
        <w:tc>
          <w:tcPr>
            <w:tcW w:w="1026" w:type="dxa"/>
            <w:tcBorders>
              <w:top w:val="nil"/>
              <w:left w:val="single" w:sz="4" w:space="0" w:color="auto"/>
              <w:bottom w:val="nil"/>
              <w:right w:val="single" w:sz="4" w:space="0" w:color="auto"/>
            </w:tcBorders>
          </w:tcPr>
          <w:p w14:paraId="1670730F"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3 283</w:t>
            </w:r>
          </w:p>
        </w:tc>
        <w:tc>
          <w:tcPr>
            <w:tcW w:w="1026" w:type="dxa"/>
            <w:tcBorders>
              <w:top w:val="nil"/>
              <w:left w:val="single" w:sz="4" w:space="0" w:color="auto"/>
              <w:bottom w:val="nil"/>
              <w:right w:val="single" w:sz="4" w:space="0" w:color="auto"/>
            </w:tcBorders>
          </w:tcPr>
          <w:p w14:paraId="72FAD126"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490</w:t>
            </w:r>
          </w:p>
        </w:tc>
        <w:tc>
          <w:tcPr>
            <w:tcW w:w="1032" w:type="dxa"/>
            <w:tcBorders>
              <w:top w:val="nil"/>
              <w:left w:val="single" w:sz="4" w:space="0" w:color="auto"/>
              <w:bottom w:val="nil"/>
              <w:right w:val="single" w:sz="4" w:space="0" w:color="auto"/>
            </w:tcBorders>
          </w:tcPr>
          <w:p w14:paraId="1B36A2AE"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2 520</w:t>
            </w:r>
          </w:p>
        </w:tc>
        <w:tc>
          <w:tcPr>
            <w:tcW w:w="1057" w:type="dxa"/>
            <w:tcBorders>
              <w:top w:val="nil"/>
              <w:left w:val="single" w:sz="4" w:space="0" w:color="auto"/>
              <w:bottom w:val="nil"/>
              <w:right w:val="single" w:sz="4" w:space="0" w:color="auto"/>
            </w:tcBorders>
          </w:tcPr>
          <w:p w14:paraId="1A0BBB10"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274</w:t>
            </w:r>
          </w:p>
        </w:tc>
        <w:tc>
          <w:tcPr>
            <w:tcW w:w="1070" w:type="dxa"/>
            <w:tcBorders>
              <w:top w:val="nil"/>
              <w:left w:val="single" w:sz="4" w:space="0" w:color="auto"/>
              <w:bottom w:val="nil"/>
              <w:right w:val="single" w:sz="4" w:space="0" w:color="auto"/>
            </w:tcBorders>
          </w:tcPr>
          <w:p w14:paraId="4F142416"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2 109</w:t>
            </w:r>
          </w:p>
        </w:tc>
        <w:tc>
          <w:tcPr>
            <w:tcW w:w="1051" w:type="dxa"/>
            <w:tcBorders>
              <w:top w:val="nil"/>
              <w:left w:val="single" w:sz="4" w:space="0" w:color="auto"/>
              <w:bottom w:val="nil"/>
              <w:right w:val="single" w:sz="4" w:space="0" w:color="auto"/>
            </w:tcBorders>
          </w:tcPr>
          <w:p w14:paraId="52B94093"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735</w:t>
            </w:r>
          </w:p>
        </w:tc>
        <w:tc>
          <w:tcPr>
            <w:tcW w:w="1069" w:type="dxa"/>
            <w:tcBorders>
              <w:top w:val="nil"/>
              <w:left w:val="single" w:sz="4" w:space="0" w:color="auto"/>
              <w:bottom w:val="nil"/>
              <w:right w:val="single" w:sz="4" w:space="0" w:color="auto"/>
            </w:tcBorders>
          </w:tcPr>
          <w:p w14:paraId="27EF266A"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439</w:t>
            </w:r>
          </w:p>
        </w:tc>
      </w:tr>
      <w:tr w:rsidR="0012454B" w:rsidRPr="0012454B" w14:paraId="550184D8" w14:textId="77777777" w:rsidTr="00E4484F">
        <w:tc>
          <w:tcPr>
            <w:tcW w:w="1115" w:type="dxa"/>
            <w:tcBorders>
              <w:top w:val="nil"/>
              <w:left w:val="single" w:sz="4" w:space="0" w:color="auto"/>
              <w:bottom w:val="nil"/>
              <w:right w:val="single" w:sz="4" w:space="0" w:color="auto"/>
            </w:tcBorders>
          </w:tcPr>
          <w:p w14:paraId="785CF702"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Abril</w:t>
            </w:r>
          </w:p>
        </w:tc>
        <w:tc>
          <w:tcPr>
            <w:tcW w:w="1026" w:type="dxa"/>
            <w:tcBorders>
              <w:top w:val="nil"/>
              <w:left w:val="single" w:sz="4" w:space="0" w:color="auto"/>
              <w:bottom w:val="nil"/>
              <w:right w:val="single" w:sz="4" w:space="0" w:color="auto"/>
            </w:tcBorders>
          </w:tcPr>
          <w:p w14:paraId="217CEFCE"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3 017</w:t>
            </w:r>
          </w:p>
        </w:tc>
        <w:tc>
          <w:tcPr>
            <w:tcW w:w="1026" w:type="dxa"/>
            <w:tcBorders>
              <w:top w:val="nil"/>
              <w:left w:val="single" w:sz="4" w:space="0" w:color="auto"/>
              <w:bottom w:val="nil"/>
              <w:right w:val="single" w:sz="4" w:space="0" w:color="auto"/>
            </w:tcBorders>
          </w:tcPr>
          <w:p w14:paraId="510870DA"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375</w:t>
            </w:r>
          </w:p>
        </w:tc>
        <w:tc>
          <w:tcPr>
            <w:tcW w:w="1032" w:type="dxa"/>
            <w:tcBorders>
              <w:top w:val="nil"/>
              <w:left w:val="single" w:sz="4" w:space="0" w:color="auto"/>
              <w:bottom w:val="nil"/>
              <w:right w:val="single" w:sz="4" w:space="0" w:color="auto"/>
            </w:tcBorders>
          </w:tcPr>
          <w:p w14:paraId="4BDE2BD1"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2 416</w:t>
            </w:r>
          </w:p>
        </w:tc>
        <w:tc>
          <w:tcPr>
            <w:tcW w:w="1057" w:type="dxa"/>
            <w:tcBorders>
              <w:top w:val="nil"/>
              <w:left w:val="single" w:sz="4" w:space="0" w:color="auto"/>
              <w:bottom w:val="nil"/>
              <w:right w:val="single" w:sz="4" w:space="0" w:color="auto"/>
            </w:tcBorders>
          </w:tcPr>
          <w:p w14:paraId="2543DBDA"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226</w:t>
            </w:r>
          </w:p>
        </w:tc>
        <w:tc>
          <w:tcPr>
            <w:tcW w:w="1070" w:type="dxa"/>
            <w:tcBorders>
              <w:top w:val="nil"/>
              <w:left w:val="single" w:sz="4" w:space="0" w:color="auto"/>
              <w:bottom w:val="nil"/>
              <w:right w:val="single" w:sz="4" w:space="0" w:color="auto"/>
            </w:tcBorders>
          </w:tcPr>
          <w:p w14:paraId="3755F564"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1 926</w:t>
            </w:r>
          </w:p>
        </w:tc>
        <w:tc>
          <w:tcPr>
            <w:tcW w:w="1051" w:type="dxa"/>
            <w:tcBorders>
              <w:top w:val="nil"/>
              <w:left w:val="single" w:sz="4" w:space="0" w:color="auto"/>
              <w:bottom w:val="nil"/>
              <w:right w:val="single" w:sz="4" w:space="0" w:color="auto"/>
            </w:tcBorders>
          </w:tcPr>
          <w:p w14:paraId="77B3C3D5"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684</w:t>
            </w:r>
          </w:p>
        </w:tc>
        <w:tc>
          <w:tcPr>
            <w:tcW w:w="1069" w:type="dxa"/>
            <w:tcBorders>
              <w:top w:val="nil"/>
              <w:left w:val="single" w:sz="4" w:space="0" w:color="auto"/>
              <w:bottom w:val="nil"/>
              <w:right w:val="single" w:sz="4" w:space="0" w:color="auto"/>
            </w:tcBorders>
          </w:tcPr>
          <w:p w14:paraId="466CBFA9"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407</w:t>
            </w:r>
          </w:p>
        </w:tc>
      </w:tr>
      <w:tr w:rsidR="0012454B" w:rsidRPr="0012454B" w14:paraId="06CB8B2D" w14:textId="77777777" w:rsidTr="00E4484F">
        <w:tc>
          <w:tcPr>
            <w:tcW w:w="1115" w:type="dxa"/>
            <w:tcBorders>
              <w:top w:val="nil"/>
              <w:left w:val="single" w:sz="4" w:space="0" w:color="auto"/>
              <w:bottom w:val="nil"/>
              <w:right w:val="single" w:sz="4" w:space="0" w:color="auto"/>
            </w:tcBorders>
          </w:tcPr>
          <w:p w14:paraId="36523321"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Mayo</w:t>
            </w:r>
          </w:p>
        </w:tc>
        <w:tc>
          <w:tcPr>
            <w:tcW w:w="1026" w:type="dxa"/>
            <w:tcBorders>
              <w:top w:val="nil"/>
              <w:left w:val="single" w:sz="4" w:space="0" w:color="auto"/>
              <w:bottom w:val="nil"/>
              <w:right w:val="single" w:sz="4" w:space="0" w:color="auto"/>
            </w:tcBorders>
          </w:tcPr>
          <w:p w14:paraId="0A80389B"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3 349</w:t>
            </w:r>
          </w:p>
        </w:tc>
        <w:tc>
          <w:tcPr>
            <w:tcW w:w="1026" w:type="dxa"/>
            <w:tcBorders>
              <w:top w:val="nil"/>
              <w:left w:val="single" w:sz="4" w:space="0" w:color="auto"/>
              <w:bottom w:val="nil"/>
              <w:right w:val="single" w:sz="4" w:space="0" w:color="auto"/>
            </w:tcBorders>
          </w:tcPr>
          <w:p w14:paraId="74084DF3"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391</w:t>
            </w:r>
          </w:p>
        </w:tc>
        <w:tc>
          <w:tcPr>
            <w:tcW w:w="1032" w:type="dxa"/>
            <w:tcBorders>
              <w:top w:val="nil"/>
              <w:left w:val="single" w:sz="4" w:space="0" w:color="auto"/>
              <w:bottom w:val="nil"/>
              <w:right w:val="single" w:sz="4" w:space="0" w:color="auto"/>
            </w:tcBorders>
          </w:tcPr>
          <w:p w14:paraId="7DA35397"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2 652</w:t>
            </w:r>
          </w:p>
        </w:tc>
        <w:tc>
          <w:tcPr>
            <w:tcW w:w="1057" w:type="dxa"/>
            <w:tcBorders>
              <w:top w:val="nil"/>
              <w:left w:val="single" w:sz="4" w:space="0" w:color="auto"/>
              <w:bottom w:val="nil"/>
              <w:right w:val="single" w:sz="4" w:space="0" w:color="auto"/>
            </w:tcBorders>
          </w:tcPr>
          <w:p w14:paraId="7DCAD2D8"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306</w:t>
            </w:r>
          </w:p>
        </w:tc>
        <w:tc>
          <w:tcPr>
            <w:tcW w:w="1070" w:type="dxa"/>
            <w:tcBorders>
              <w:top w:val="nil"/>
              <w:left w:val="single" w:sz="4" w:space="0" w:color="auto"/>
              <w:bottom w:val="nil"/>
              <w:right w:val="single" w:sz="4" w:space="0" w:color="auto"/>
            </w:tcBorders>
          </w:tcPr>
          <w:p w14:paraId="6907A692"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2 388</w:t>
            </w:r>
          </w:p>
        </w:tc>
        <w:tc>
          <w:tcPr>
            <w:tcW w:w="1051" w:type="dxa"/>
            <w:tcBorders>
              <w:top w:val="nil"/>
              <w:left w:val="single" w:sz="4" w:space="0" w:color="auto"/>
              <w:bottom w:val="nil"/>
              <w:right w:val="single" w:sz="4" w:space="0" w:color="auto"/>
            </w:tcBorders>
          </w:tcPr>
          <w:p w14:paraId="658E23DA"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735</w:t>
            </w:r>
          </w:p>
        </w:tc>
        <w:tc>
          <w:tcPr>
            <w:tcW w:w="1069" w:type="dxa"/>
            <w:tcBorders>
              <w:top w:val="nil"/>
              <w:left w:val="single" w:sz="4" w:space="0" w:color="auto"/>
              <w:bottom w:val="nil"/>
              <w:right w:val="single" w:sz="4" w:space="0" w:color="auto"/>
            </w:tcBorders>
          </w:tcPr>
          <w:p w14:paraId="190242DB"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225</w:t>
            </w:r>
          </w:p>
        </w:tc>
      </w:tr>
      <w:tr w:rsidR="0012454B" w:rsidRPr="0012454B" w14:paraId="41231916" w14:textId="77777777" w:rsidTr="00E4484F">
        <w:tc>
          <w:tcPr>
            <w:tcW w:w="1115" w:type="dxa"/>
            <w:tcBorders>
              <w:top w:val="nil"/>
              <w:left w:val="single" w:sz="4" w:space="0" w:color="auto"/>
              <w:bottom w:val="nil"/>
              <w:right w:val="single" w:sz="4" w:space="0" w:color="auto"/>
            </w:tcBorders>
          </w:tcPr>
          <w:p w14:paraId="49A6F8FE"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Junio</w:t>
            </w:r>
          </w:p>
        </w:tc>
        <w:tc>
          <w:tcPr>
            <w:tcW w:w="1026" w:type="dxa"/>
            <w:tcBorders>
              <w:top w:val="nil"/>
              <w:left w:val="single" w:sz="4" w:space="0" w:color="auto"/>
              <w:bottom w:val="nil"/>
              <w:right w:val="single" w:sz="4" w:space="0" w:color="auto"/>
            </w:tcBorders>
          </w:tcPr>
          <w:p w14:paraId="25AAF23B"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3 187</w:t>
            </w:r>
          </w:p>
        </w:tc>
        <w:tc>
          <w:tcPr>
            <w:tcW w:w="1026" w:type="dxa"/>
            <w:tcBorders>
              <w:top w:val="nil"/>
              <w:left w:val="single" w:sz="4" w:space="0" w:color="auto"/>
              <w:bottom w:val="nil"/>
              <w:right w:val="single" w:sz="4" w:space="0" w:color="auto"/>
            </w:tcBorders>
          </w:tcPr>
          <w:p w14:paraId="2A1B7FA0"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236</w:t>
            </w:r>
          </w:p>
        </w:tc>
        <w:tc>
          <w:tcPr>
            <w:tcW w:w="1032" w:type="dxa"/>
            <w:tcBorders>
              <w:top w:val="nil"/>
              <w:left w:val="single" w:sz="4" w:space="0" w:color="auto"/>
              <w:bottom w:val="nil"/>
              <w:right w:val="single" w:sz="4" w:space="0" w:color="auto"/>
            </w:tcBorders>
          </w:tcPr>
          <w:p w14:paraId="7BFBEDD2"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2 552</w:t>
            </w:r>
          </w:p>
        </w:tc>
        <w:tc>
          <w:tcPr>
            <w:tcW w:w="1057" w:type="dxa"/>
            <w:tcBorders>
              <w:top w:val="nil"/>
              <w:left w:val="single" w:sz="4" w:space="0" w:color="auto"/>
              <w:bottom w:val="nil"/>
              <w:right w:val="single" w:sz="4" w:space="0" w:color="auto"/>
            </w:tcBorders>
          </w:tcPr>
          <w:p w14:paraId="0ADF832F"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399</w:t>
            </w:r>
          </w:p>
        </w:tc>
        <w:tc>
          <w:tcPr>
            <w:tcW w:w="1070" w:type="dxa"/>
            <w:tcBorders>
              <w:top w:val="nil"/>
              <w:left w:val="single" w:sz="4" w:space="0" w:color="auto"/>
              <w:bottom w:val="nil"/>
              <w:right w:val="single" w:sz="4" w:space="0" w:color="auto"/>
            </w:tcBorders>
          </w:tcPr>
          <w:p w14:paraId="3BB85926"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2 335</w:t>
            </w:r>
          </w:p>
        </w:tc>
        <w:tc>
          <w:tcPr>
            <w:tcW w:w="1051" w:type="dxa"/>
            <w:tcBorders>
              <w:top w:val="nil"/>
              <w:left w:val="single" w:sz="4" w:space="0" w:color="auto"/>
              <w:bottom w:val="nil"/>
              <w:right w:val="single" w:sz="4" w:space="0" w:color="auto"/>
            </w:tcBorders>
          </w:tcPr>
          <w:p w14:paraId="2A40CDB0"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657</w:t>
            </w:r>
          </w:p>
        </w:tc>
        <w:tc>
          <w:tcPr>
            <w:tcW w:w="1069" w:type="dxa"/>
            <w:tcBorders>
              <w:top w:val="nil"/>
              <w:left w:val="single" w:sz="4" w:space="0" w:color="auto"/>
              <w:bottom w:val="nil"/>
              <w:right w:val="single" w:sz="4" w:space="0" w:color="auto"/>
            </w:tcBorders>
          </w:tcPr>
          <w:p w14:paraId="131FAC56"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195</w:t>
            </w:r>
          </w:p>
        </w:tc>
      </w:tr>
      <w:tr w:rsidR="0012454B" w:rsidRPr="0012454B" w14:paraId="7D681D3C" w14:textId="77777777" w:rsidTr="00E4484F">
        <w:tc>
          <w:tcPr>
            <w:tcW w:w="1115" w:type="dxa"/>
            <w:tcBorders>
              <w:top w:val="nil"/>
              <w:left w:val="single" w:sz="4" w:space="0" w:color="auto"/>
              <w:bottom w:val="nil"/>
              <w:right w:val="single" w:sz="4" w:space="0" w:color="auto"/>
            </w:tcBorders>
          </w:tcPr>
          <w:p w14:paraId="7A864385"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Julio</w:t>
            </w:r>
          </w:p>
        </w:tc>
        <w:tc>
          <w:tcPr>
            <w:tcW w:w="1026" w:type="dxa"/>
            <w:tcBorders>
              <w:top w:val="nil"/>
              <w:left w:val="single" w:sz="4" w:space="0" w:color="auto"/>
              <w:bottom w:val="nil"/>
              <w:right w:val="single" w:sz="4" w:space="0" w:color="auto"/>
            </w:tcBorders>
          </w:tcPr>
          <w:p w14:paraId="0BD9400D"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2 993</w:t>
            </w:r>
          </w:p>
        </w:tc>
        <w:tc>
          <w:tcPr>
            <w:tcW w:w="1026" w:type="dxa"/>
            <w:tcBorders>
              <w:top w:val="nil"/>
              <w:left w:val="single" w:sz="4" w:space="0" w:color="auto"/>
              <w:bottom w:val="nil"/>
              <w:right w:val="single" w:sz="4" w:space="0" w:color="auto"/>
            </w:tcBorders>
          </w:tcPr>
          <w:p w14:paraId="287AFA95"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317</w:t>
            </w:r>
          </w:p>
        </w:tc>
        <w:tc>
          <w:tcPr>
            <w:tcW w:w="1032" w:type="dxa"/>
            <w:tcBorders>
              <w:top w:val="nil"/>
              <w:left w:val="single" w:sz="4" w:space="0" w:color="auto"/>
              <w:bottom w:val="nil"/>
              <w:right w:val="single" w:sz="4" w:space="0" w:color="auto"/>
            </w:tcBorders>
          </w:tcPr>
          <w:p w14:paraId="10EBE107"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2 494</w:t>
            </w:r>
          </w:p>
        </w:tc>
        <w:tc>
          <w:tcPr>
            <w:tcW w:w="1057" w:type="dxa"/>
            <w:tcBorders>
              <w:top w:val="nil"/>
              <w:left w:val="single" w:sz="4" w:space="0" w:color="auto"/>
              <w:bottom w:val="nil"/>
              <w:right w:val="single" w:sz="4" w:space="0" w:color="auto"/>
            </w:tcBorders>
          </w:tcPr>
          <w:p w14:paraId="4424742D"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181</w:t>
            </w:r>
          </w:p>
        </w:tc>
        <w:tc>
          <w:tcPr>
            <w:tcW w:w="1070" w:type="dxa"/>
            <w:tcBorders>
              <w:top w:val="nil"/>
              <w:left w:val="single" w:sz="4" w:space="0" w:color="auto"/>
              <w:bottom w:val="nil"/>
              <w:right w:val="single" w:sz="4" w:space="0" w:color="auto"/>
            </w:tcBorders>
          </w:tcPr>
          <w:p w14:paraId="4589C9C0"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2 249</w:t>
            </w:r>
          </w:p>
        </w:tc>
        <w:tc>
          <w:tcPr>
            <w:tcW w:w="1051" w:type="dxa"/>
            <w:tcBorders>
              <w:top w:val="nil"/>
              <w:left w:val="single" w:sz="4" w:space="0" w:color="auto"/>
              <w:bottom w:val="nil"/>
              <w:right w:val="single" w:sz="4" w:space="0" w:color="auto"/>
            </w:tcBorders>
          </w:tcPr>
          <w:p w14:paraId="520D97B3"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558</w:t>
            </w:r>
          </w:p>
        </w:tc>
        <w:tc>
          <w:tcPr>
            <w:tcW w:w="1069" w:type="dxa"/>
            <w:tcBorders>
              <w:top w:val="nil"/>
              <w:left w:val="single" w:sz="4" w:space="0" w:color="auto"/>
              <w:bottom w:val="nil"/>
              <w:right w:val="single" w:sz="4" w:space="0" w:color="auto"/>
            </w:tcBorders>
          </w:tcPr>
          <w:p w14:paraId="6E819CC5"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186</w:t>
            </w:r>
          </w:p>
        </w:tc>
      </w:tr>
      <w:tr w:rsidR="0012454B" w:rsidRPr="0012454B" w14:paraId="1DEE5254" w14:textId="77777777" w:rsidTr="00E4484F">
        <w:tc>
          <w:tcPr>
            <w:tcW w:w="1115" w:type="dxa"/>
            <w:tcBorders>
              <w:top w:val="nil"/>
              <w:left w:val="single" w:sz="4" w:space="0" w:color="auto"/>
              <w:bottom w:val="nil"/>
              <w:right w:val="single" w:sz="4" w:space="0" w:color="auto"/>
            </w:tcBorders>
          </w:tcPr>
          <w:p w14:paraId="1E3687C0"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Agosto</w:t>
            </w:r>
          </w:p>
        </w:tc>
        <w:tc>
          <w:tcPr>
            <w:tcW w:w="1026" w:type="dxa"/>
            <w:tcBorders>
              <w:top w:val="nil"/>
              <w:left w:val="single" w:sz="4" w:space="0" w:color="auto"/>
              <w:bottom w:val="nil"/>
              <w:right w:val="single" w:sz="4" w:space="0" w:color="auto"/>
            </w:tcBorders>
          </w:tcPr>
          <w:p w14:paraId="2D029B74"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3 136</w:t>
            </w:r>
          </w:p>
        </w:tc>
        <w:tc>
          <w:tcPr>
            <w:tcW w:w="1026" w:type="dxa"/>
            <w:tcBorders>
              <w:top w:val="nil"/>
              <w:left w:val="single" w:sz="4" w:space="0" w:color="auto"/>
              <w:bottom w:val="nil"/>
              <w:right w:val="single" w:sz="4" w:space="0" w:color="auto"/>
            </w:tcBorders>
          </w:tcPr>
          <w:p w14:paraId="58128EA6"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251</w:t>
            </w:r>
          </w:p>
        </w:tc>
        <w:tc>
          <w:tcPr>
            <w:tcW w:w="1032" w:type="dxa"/>
            <w:tcBorders>
              <w:top w:val="nil"/>
              <w:left w:val="single" w:sz="4" w:space="0" w:color="auto"/>
              <w:bottom w:val="nil"/>
              <w:right w:val="single" w:sz="4" w:space="0" w:color="auto"/>
            </w:tcBorders>
          </w:tcPr>
          <w:p w14:paraId="5AF76A84"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2 623</w:t>
            </w:r>
          </w:p>
        </w:tc>
        <w:tc>
          <w:tcPr>
            <w:tcW w:w="1057" w:type="dxa"/>
            <w:tcBorders>
              <w:top w:val="nil"/>
              <w:left w:val="single" w:sz="4" w:space="0" w:color="auto"/>
              <w:bottom w:val="nil"/>
              <w:right w:val="single" w:sz="4" w:space="0" w:color="auto"/>
            </w:tcBorders>
          </w:tcPr>
          <w:p w14:paraId="60BE3F97"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261</w:t>
            </w:r>
          </w:p>
        </w:tc>
        <w:tc>
          <w:tcPr>
            <w:tcW w:w="1070" w:type="dxa"/>
            <w:tcBorders>
              <w:top w:val="nil"/>
              <w:left w:val="single" w:sz="4" w:space="0" w:color="auto"/>
              <w:bottom w:val="nil"/>
              <w:right w:val="single" w:sz="4" w:space="0" w:color="auto"/>
            </w:tcBorders>
          </w:tcPr>
          <w:p w14:paraId="7D9A646F"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2 385</w:t>
            </w:r>
          </w:p>
        </w:tc>
        <w:tc>
          <w:tcPr>
            <w:tcW w:w="1051" w:type="dxa"/>
            <w:tcBorders>
              <w:top w:val="nil"/>
              <w:left w:val="single" w:sz="4" w:space="0" w:color="auto"/>
              <w:bottom w:val="nil"/>
              <w:right w:val="single" w:sz="4" w:space="0" w:color="auto"/>
            </w:tcBorders>
          </w:tcPr>
          <w:p w14:paraId="270BFBB3"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526</w:t>
            </w:r>
          </w:p>
        </w:tc>
        <w:tc>
          <w:tcPr>
            <w:tcW w:w="1069" w:type="dxa"/>
            <w:tcBorders>
              <w:top w:val="nil"/>
              <w:left w:val="single" w:sz="4" w:space="0" w:color="auto"/>
              <w:bottom w:val="nil"/>
              <w:right w:val="single" w:sz="4" w:space="0" w:color="auto"/>
            </w:tcBorders>
          </w:tcPr>
          <w:p w14:paraId="11C3C1CB"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225</w:t>
            </w:r>
          </w:p>
        </w:tc>
      </w:tr>
      <w:tr w:rsidR="0012454B" w:rsidRPr="0012454B" w14:paraId="03AF34C2" w14:textId="77777777" w:rsidTr="00E4484F">
        <w:tc>
          <w:tcPr>
            <w:tcW w:w="1115" w:type="dxa"/>
            <w:tcBorders>
              <w:top w:val="nil"/>
              <w:left w:val="single" w:sz="4" w:space="0" w:color="auto"/>
              <w:bottom w:val="nil"/>
              <w:right w:val="single" w:sz="4" w:space="0" w:color="auto"/>
            </w:tcBorders>
          </w:tcPr>
          <w:p w14:paraId="5AD9223A"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Septiembre</w:t>
            </w:r>
          </w:p>
        </w:tc>
        <w:tc>
          <w:tcPr>
            <w:tcW w:w="1026" w:type="dxa"/>
            <w:tcBorders>
              <w:top w:val="nil"/>
              <w:left w:val="single" w:sz="4" w:space="0" w:color="auto"/>
              <w:bottom w:val="nil"/>
              <w:right w:val="single" w:sz="4" w:space="0" w:color="auto"/>
            </w:tcBorders>
          </w:tcPr>
          <w:p w14:paraId="5702F05F"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2 980</w:t>
            </w:r>
          </w:p>
        </w:tc>
        <w:tc>
          <w:tcPr>
            <w:tcW w:w="1026" w:type="dxa"/>
            <w:tcBorders>
              <w:top w:val="nil"/>
              <w:left w:val="single" w:sz="4" w:space="0" w:color="auto"/>
              <w:bottom w:val="nil"/>
              <w:right w:val="single" w:sz="4" w:space="0" w:color="auto"/>
            </w:tcBorders>
          </w:tcPr>
          <w:p w14:paraId="26CC5C88"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372</w:t>
            </w:r>
          </w:p>
        </w:tc>
        <w:tc>
          <w:tcPr>
            <w:tcW w:w="1032" w:type="dxa"/>
            <w:tcBorders>
              <w:top w:val="nil"/>
              <w:left w:val="single" w:sz="4" w:space="0" w:color="auto"/>
              <w:bottom w:val="nil"/>
              <w:right w:val="single" w:sz="4" w:space="0" w:color="auto"/>
            </w:tcBorders>
          </w:tcPr>
          <w:p w14:paraId="09069617"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2 395</w:t>
            </w:r>
          </w:p>
        </w:tc>
        <w:tc>
          <w:tcPr>
            <w:tcW w:w="1057" w:type="dxa"/>
            <w:tcBorders>
              <w:top w:val="nil"/>
              <w:left w:val="single" w:sz="4" w:space="0" w:color="auto"/>
              <w:bottom w:val="nil"/>
              <w:right w:val="single" w:sz="4" w:space="0" w:color="auto"/>
            </w:tcBorders>
          </w:tcPr>
          <w:p w14:paraId="5CB8AB2C"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214</w:t>
            </w:r>
          </w:p>
        </w:tc>
        <w:tc>
          <w:tcPr>
            <w:tcW w:w="1070" w:type="dxa"/>
            <w:tcBorders>
              <w:top w:val="nil"/>
              <w:left w:val="single" w:sz="4" w:space="0" w:color="auto"/>
              <w:bottom w:val="nil"/>
              <w:right w:val="single" w:sz="4" w:space="0" w:color="auto"/>
            </w:tcBorders>
          </w:tcPr>
          <w:p w14:paraId="338BA761"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2 246</w:t>
            </w:r>
          </w:p>
        </w:tc>
        <w:tc>
          <w:tcPr>
            <w:tcW w:w="1051" w:type="dxa"/>
            <w:tcBorders>
              <w:top w:val="nil"/>
              <w:left w:val="single" w:sz="4" w:space="0" w:color="auto"/>
              <w:bottom w:val="nil"/>
              <w:right w:val="single" w:sz="4" w:space="0" w:color="auto"/>
            </w:tcBorders>
          </w:tcPr>
          <w:p w14:paraId="0FA0F966"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436</w:t>
            </w:r>
          </w:p>
        </w:tc>
        <w:tc>
          <w:tcPr>
            <w:tcW w:w="1069" w:type="dxa"/>
            <w:tcBorders>
              <w:top w:val="nil"/>
              <w:left w:val="single" w:sz="4" w:space="0" w:color="auto"/>
              <w:bottom w:val="nil"/>
              <w:right w:val="single" w:sz="4" w:space="0" w:color="auto"/>
            </w:tcBorders>
          </w:tcPr>
          <w:p w14:paraId="2D8C8AA2"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298</w:t>
            </w:r>
          </w:p>
        </w:tc>
      </w:tr>
      <w:tr w:rsidR="0012454B" w:rsidRPr="0012454B" w14:paraId="43082CFB" w14:textId="77777777" w:rsidTr="00E4484F">
        <w:tc>
          <w:tcPr>
            <w:tcW w:w="1115" w:type="dxa"/>
            <w:tcBorders>
              <w:top w:val="nil"/>
              <w:left w:val="single" w:sz="4" w:space="0" w:color="auto"/>
              <w:bottom w:val="nil"/>
              <w:right w:val="single" w:sz="4" w:space="0" w:color="auto"/>
            </w:tcBorders>
          </w:tcPr>
          <w:p w14:paraId="7387AA06"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Octubre</w:t>
            </w:r>
          </w:p>
        </w:tc>
        <w:tc>
          <w:tcPr>
            <w:tcW w:w="1026" w:type="dxa"/>
            <w:tcBorders>
              <w:top w:val="nil"/>
              <w:left w:val="single" w:sz="4" w:space="0" w:color="auto"/>
              <w:bottom w:val="nil"/>
              <w:right w:val="single" w:sz="4" w:space="0" w:color="auto"/>
            </w:tcBorders>
          </w:tcPr>
          <w:p w14:paraId="3692A72F"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2 653</w:t>
            </w:r>
          </w:p>
        </w:tc>
        <w:tc>
          <w:tcPr>
            <w:tcW w:w="1026" w:type="dxa"/>
            <w:tcBorders>
              <w:top w:val="nil"/>
              <w:left w:val="single" w:sz="4" w:space="0" w:color="auto"/>
              <w:bottom w:val="nil"/>
              <w:right w:val="single" w:sz="4" w:space="0" w:color="auto"/>
            </w:tcBorders>
          </w:tcPr>
          <w:p w14:paraId="33248B6B"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464</w:t>
            </w:r>
          </w:p>
        </w:tc>
        <w:tc>
          <w:tcPr>
            <w:tcW w:w="1032" w:type="dxa"/>
            <w:tcBorders>
              <w:top w:val="nil"/>
              <w:left w:val="single" w:sz="4" w:space="0" w:color="auto"/>
              <w:bottom w:val="nil"/>
              <w:right w:val="single" w:sz="4" w:space="0" w:color="auto"/>
            </w:tcBorders>
          </w:tcPr>
          <w:p w14:paraId="1C055D71"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1 986</w:t>
            </w:r>
          </w:p>
        </w:tc>
        <w:tc>
          <w:tcPr>
            <w:tcW w:w="1057" w:type="dxa"/>
            <w:tcBorders>
              <w:top w:val="nil"/>
              <w:left w:val="single" w:sz="4" w:space="0" w:color="auto"/>
              <w:bottom w:val="nil"/>
              <w:right w:val="single" w:sz="4" w:space="0" w:color="auto"/>
            </w:tcBorders>
          </w:tcPr>
          <w:p w14:paraId="14DE7C2A"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204</w:t>
            </w:r>
          </w:p>
        </w:tc>
        <w:tc>
          <w:tcPr>
            <w:tcW w:w="1070" w:type="dxa"/>
            <w:tcBorders>
              <w:top w:val="nil"/>
              <w:left w:val="single" w:sz="4" w:space="0" w:color="auto"/>
              <w:bottom w:val="nil"/>
              <w:right w:val="single" w:sz="4" w:space="0" w:color="auto"/>
            </w:tcBorders>
          </w:tcPr>
          <w:p w14:paraId="364E0F01"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2 123</w:t>
            </w:r>
          </w:p>
        </w:tc>
        <w:tc>
          <w:tcPr>
            <w:tcW w:w="1051" w:type="dxa"/>
            <w:tcBorders>
              <w:top w:val="nil"/>
              <w:left w:val="single" w:sz="4" w:space="0" w:color="auto"/>
              <w:bottom w:val="nil"/>
              <w:right w:val="single" w:sz="4" w:space="0" w:color="auto"/>
            </w:tcBorders>
          </w:tcPr>
          <w:p w14:paraId="6BA27898"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357</w:t>
            </w:r>
          </w:p>
        </w:tc>
        <w:tc>
          <w:tcPr>
            <w:tcW w:w="1069" w:type="dxa"/>
            <w:tcBorders>
              <w:top w:val="nil"/>
              <w:left w:val="single" w:sz="4" w:space="0" w:color="auto"/>
              <w:bottom w:val="nil"/>
              <w:right w:val="single" w:sz="4" w:space="0" w:color="auto"/>
            </w:tcBorders>
          </w:tcPr>
          <w:p w14:paraId="52F95A40"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174</w:t>
            </w:r>
          </w:p>
        </w:tc>
      </w:tr>
      <w:tr w:rsidR="0012454B" w:rsidRPr="0012454B" w14:paraId="1BC5F78E" w14:textId="77777777" w:rsidTr="005879EF">
        <w:tc>
          <w:tcPr>
            <w:tcW w:w="1115" w:type="dxa"/>
            <w:tcBorders>
              <w:top w:val="nil"/>
              <w:left w:val="single" w:sz="4" w:space="0" w:color="auto"/>
              <w:bottom w:val="nil"/>
              <w:right w:val="single" w:sz="4" w:space="0" w:color="auto"/>
            </w:tcBorders>
          </w:tcPr>
          <w:p w14:paraId="2BB269F5"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Noviembre</w:t>
            </w:r>
          </w:p>
        </w:tc>
        <w:tc>
          <w:tcPr>
            <w:tcW w:w="1026" w:type="dxa"/>
            <w:tcBorders>
              <w:top w:val="nil"/>
              <w:left w:val="single" w:sz="4" w:space="0" w:color="auto"/>
              <w:bottom w:val="nil"/>
              <w:right w:val="single" w:sz="4" w:space="0" w:color="auto"/>
            </w:tcBorders>
          </w:tcPr>
          <w:p w14:paraId="7697AE7F"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2 634</w:t>
            </w:r>
          </w:p>
        </w:tc>
        <w:tc>
          <w:tcPr>
            <w:tcW w:w="1026" w:type="dxa"/>
            <w:tcBorders>
              <w:top w:val="nil"/>
              <w:left w:val="single" w:sz="4" w:space="0" w:color="auto"/>
              <w:bottom w:val="nil"/>
              <w:right w:val="single" w:sz="4" w:space="0" w:color="auto"/>
            </w:tcBorders>
          </w:tcPr>
          <w:p w14:paraId="340E3DD1"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429</w:t>
            </w:r>
          </w:p>
        </w:tc>
        <w:tc>
          <w:tcPr>
            <w:tcW w:w="1032" w:type="dxa"/>
            <w:tcBorders>
              <w:top w:val="nil"/>
              <w:left w:val="single" w:sz="4" w:space="0" w:color="auto"/>
              <w:bottom w:val="nil"/>
              <w:right w:val="single" w:sz="4" w:space="0" w:color="auto"/>
            </w:tcBorders>
          </w:tcPr>
          <w:p w14:paraId="2166422F"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1 938</w:t>
            </w:r>
          </w:p>
        </w:tc>
        <w:tc>
          <w:tcPr>
            <w:tcW w:w="1057" w:type="dxa"/>
            <w:tcBorders>
              <w:top w:val="nil"/>
              <w:left w:val="single" w:sz="4" w:space="0" w:color="auto"/>
              <w:bottom w:val="nil"/>
              <w:right w:val="single" w:sz="4" w:space="0" w:color="auto"/>
            </w:tcBorders>
          </w:tcPr>
          <w:p w14:paraId="6B05D4F2"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268</w:t>
            </w:r>
          </w:p>
        </w:tc>
        <w:tc>
          <w:tcPr>
            <w:tcW w:w="1070" w:type="dxa"/>
            <w:tcBorders>
              <w:top w:val="nil"/>
              <w:left w:val="single" w:sz="4" w:space="0" w:color="auto"/>
              <w:bottom w:val="nil"/>
              <w:right w:val="single" w:sz="4" w:space="0" w:color="auto"/>
            </w:tcBorders>
          </w:tcPr>
          <w:p w14:paraId="59C739E1"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1 956</w:t>
            </w:r>
          </w:p>
        </w:tc>
        <w:tc>
          <w:tcPr>
            <w:tcW w:w="1051" w:type="dxa"/>
            <w:tcBorders>
              <w:top w:val="nil"/>
              <w:left w:val="single" w:sz="4" w:space="0" w:color="auto"/>
              <w:bottom w:val="nil"/>
              <w:right w:val="single" w:sz="4" w:space="0" w:color="auto"/>
            </w:tcBorders>
          </w:tcPr>
          <w:p w14:paraId="4B045137"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532</w:t>
            </w:r>
          </w:p>
        </w:tc>
        <w:tc>
          <w:tcPr>
            <w:tcW w:w="1069" w:type="dxa"/>
            <w:tcBorders>
              <w:top w:val="nil"/>
              <w:left w:val="single" w:sz="4" w:space="0" w:color="auto"/>
              <w:bottom w:val="nil"/>
              <w:right w:val="single" w:sz="4" w:space="0" w:color="auto"/>
            </w:tcBorders>
          </w:tcPr>
          <w:p w14:paraId="7FAC9B12"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147</w:t>
            </w:r>
          </w:p>
        </w:tc>
      </w:tr>
      <w:tr w:rsidR="0012454B" w:rsidRPr="0012454B" w14:paraId="66A7F73E" w14:textId="77777777" w:rsidTr="005879EF">
        <w:tc>
          <w:tcPr>
            <w:tcW w:w="1115" w:type="dxa"/>
            <w:tcBorders>
              <w:top w:val="nil"/>
              <w:left w:val="single" w:sz="4" w:space="0" w:color="auto"/>
              <w:bottom w:val="single" w:sz="2" w:space="0" w:color="auto"/>
              <w:right w:val="single" w:sz="4" w:space="0" w:color="auto"/>
            </w:tcBorders>
          </w:tcPr>
          <w:p w14:paraId="14B6B95D"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Diciembre</w:t>
            </w:r>
          </w:p>
        </w:tc>
        <w:tc>
          <w:tcPr>
            <w:tcW w:w="1026" w:type="dxa"/>
            <w:tcBorders>
              <w:top w:val="nil"/>
              <w:left w:val="single" w:sz="4" w:space="0" w:color="auto"/>
              <w:bottom w:val="single" w:sz="2" w:space="0" w:color="auto"/>
              <w:right w:val="single" w:sz="4" w:space="0" w:color="auto"/>
            </w:tcBorders>
          </w:tcPr>
          <w:p w14:paraId="40F1CFCB"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2 008</w:t>
            </w:r>
          </w:p>
        </w:tc>
        <w:tc>
          <w:tcPr>
            <w:tcW w:w="1026" w:type="dxa"/>
            <w:tcBorders>
              <w:top w:val="nil"/>
              <w:left w:val="single" w:sz="4" w:space="0" w:color="auto"/>
              <w:bottom w:val="single" w:sz="2" w:space="0" w:color="auto"/>
              <w:right w:val="single" w:sz="4" w:space="0" w:color="auto"/>
            </w:tcBorders>
          </w:tcPr>
          <w:p w14:paraId="17BD82A1"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199</w:t>
            </w:r>
          </w:p>
        </w:tc>
        <w:tc>
          <w:tcPr>
            <w:tcW w:w="1032" w:type="dxa"/>
            <w:tcBorders>
              <w:top w:val="nil"/>
              <w:left w:val="single" w:sz="4" w:space="0" w:color="auto"/>
              <w:bottom w:val="single" w:sz="2" w:space="0" w:color="auto"/>
              <w:right w:val="single" w:sz="4" w:space="0" w:color="auto"/>
            </w:tcBorders>
          </w:tcPr>
          <w:p w14:paraId="5C4912D5"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1 597</w:t>
            </w:r>
          </w:p>
        </w:tc>
        <w:tc>
          <w:tcPr>
            <w:tcW w:w="1057" w:type="dxa"/>
            <w:tcBorders>
              <w:top w:val="nil"/>
              <w:left w:val="single" w:sz="4" w:space="0" w:color="auto"/>
              <w:bottom w:val="single" w:sz="2" w:space="0" w:color="auto"/>
              <w:right w:val="single" w:sz="4" w:space="0" w:color="auto"/>
            </w:tcBorders>
          </w:tcPr>
          <w:p w14:paraId="7A6465FE"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212</w:t>
            </w:r>
          </w:p>
        </w:tc>
        <w:tc>
          <w:tcPr>
            <w:tcW w:w="1070" w:type="dxa"/>
            <w:tcBorders>
              <w:top w:val="nil"/>
              <w:left w:val="single" w:sz="4" w:space="0" w:color="auto"/>
              <w:bottom w:val="single" w:sz="2" w:space="0" w:color="auto"/>
              <w:right w:val="single" w:sz="4" w:space="0" w:color="auto"/>
            </w:tcBorders>
          </w:tcPr>
          <w:p w14:paraId="78A9C1B3"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1 360</w:t>
            </w:r>
          </w:p>
        </w:tc>
        <w:tc>
          <w:tcPr>
            <w:tcW w:w="1051" w:type="dxa"/>
            <w:tcBorders>
              <w:top w:val="nil"/>
              <w:left w:val="single" w:sz="4" w:space="0" w:color="auto"/>
              <w:bottom w:val="single" w:sz="2" w:space="0" w:color="auto"/>
              <w:right w:val="single" w:sz="4" w:space="0" w:color="auto"/>
            </w:tcBorders>
          </w:tcPr>
          <w:p w14:paraId="2378D6C2"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433</w:t>
            </w:r>
          </w:p>
        </w:tc>
        <w:tc>
          <w:tcPr>
            <w:tcW w:w="1069" w:type="dxa"/>
            <w:tcBorders>
              <w:top w:val="nil"/>
              <w:left w:val="single" w:sz="4" w:space="0" w:color="auto"/>
              <w:bottom w:val="single" w:sz="2" w:space="0" w:color="auto"/>
              <w:right w:val="single" w:sz="4" w:space="0" w:color="auto"/>
            </w:tcBorders>
          </w:tcPr>
          <w:p w14:paraId="6DD38526" w14:textId="77777777" w:rsidR="0012454B" w:rsidRPr="0012454B" w:rsidRDefault="0012454B" w:rsidP="0012454B">
            <w:pPr>
              <w:spacing w:before="60"/>
              <w:ind w:right="340"/>
              <w:jc w:val="right"/>
              <w:rPr>
                <w:rFonts w:eastAsia="Calibri"/>
                <w:sz w:val="16"/>
                <w:szCs w:val="16"/>
                <w:lang w:eastAsia="en-US"/>
              </w:rPr>
            </w:pPr>
            <w:r w:rsidRPr="0012454B">
              <w:rPr>
                <w:rFonts w:eastAsia="Calibri"/>
                <w:sz w:val="16"/>
                <w:szCs w:val="16"/>
                <w:lang w:eastAsia="en-US"/>
              </w:rPr>
              <w:t>215</w:t>
            </w:r>
          </w:p>
        </w:tc>
      </w:tr>
      <w:tr w:rsidR="0012454B" w:rsidRPr="0012454B" w14:paraId="7A41D99E" w14:textId="77777777" w:rsidTr="005879EF">
        <w:tc>
          <w:tcPr>
            <w:tcW w:w="1115" w:type="dxa"/>
            <w:tcBorders>
              <w:top w:val="single" w:sz="2" w:space="0" w:color="auto"/>
              <w:left w:val="single" w:sz="4" w:space="0" w:color="auto"/>
              <w:bottom w:val="nil"/>
              <w:right w:val="single" w:sz="4" w:space="0" w:color="auto"/>
            </w:tcBorders>
          </w:tcPr>
          <w:p w14:paraId="54C4E9DA" w14:textId="77777777" w:rsidR="0012454B" w:rsidRPr="0012454B" w:rsidRDefault="0012454B" w:rsidP="0012454B">
            <w:pPr>
              <w:spacing w:before="60"/>
              <w:ind w:right="170"/>
              <w:rPr>
                <w:rFonts w:eastAsia="Calibri"/>
                <w:b/>
                <w:sz w:val="16"/>
                <w:szCs w:val="16"/>
                <w:lang w:eastAsia="en-US"/>
              </w:rPr>
            </w:pPr>
            <w:r w:rsidRPr="0012454B">
              <w:rPr>
                <w:rFonts w:eastAsia="Calibri"/>
                <w:b/>
                <w:sz w:val="16"/>
                <w:szCs w:val="16"/>
                <w:lang w:eastAsia="en-US"/>
              </w:rPr>
              <w:t>2015</w:t>
            </w:r>
          </w:p>
        </w:tc>
        <w:tc>
          <w:tcPr>
            <w:tcW w:w="1026" w:type="dxa"/>
            <w:tcBorders>
              <w:top w:val="single" w:sz="2" w:space="0" w:color="auto"/>
              <w:left w:val="single" w:sz="4" w:space="0" w:color="auto"/>
              <w:bottom w:val="nil"/>
              <w:right w:val="single" w:sz="4" w:space="0" w:color="auto"/>
            </w:tcBorders>
          </w:tcPr>
          <w:p w14:paraId="214C325B" w14:textId="77777777" w:rsidR="0012454B" w:rsidRPr="0012454B" w:rsidRDefault="0012454B" w:rsidP="0012454B">
            <w:pPr>
              <w:spacing w:before="60"/>
              <w:ind w:right="170"/>
              <w:jc w:val="right"/>
              <w:rPr>
                <w:rFonts w:eastAsia="Calibri"/>
                <w:b/>
                <w:sz w:val="16"/>
                <w:szCs w:val="16"/>
                <w:lang w:eastAsia="en-US"/>
              </w:rPr>
            </w:pPr>
            <w:r w:rsidRPr="0012454B">
              <w:rPr>
                <w:rFonts w:eastAsia="Calibri"/>
                <w:b/>
                <w:sz w:val="16"/>
                <w:szCs w:val="16"/>
                <w:lang w:eastAsia="en-US"/>
              </w:rPr>
              <w:t>1 570</w:t>
            </w:r>
          </w:p>
        </w:tc>
        <w:tc>
          <w:tcPr>
            <w:tcW w:w="1026" w:type="dxa"/>
            <w:tcBorders>
              <w:top w:val="single" w:sz="2" w:space="0" w:color="auto"/>
              <w:left w:val="single" w:sz="4" w:space="0" w:color="auto"/>
              <w:bottom w:val="nil"/>
              <w:right w:val="single" w:sz="4" w:space="0" w:color="auto"/>
            </w:tcBorders>
          </w:tcPr>
          <w:p w14:paraId="03347E97"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258</w:t>
            </w:r>
          </w:p>
        </w:tc>
        <w:tc>
          <w:tcPr>
            <w:tcW w:w="1032" w:type="dxa"/>
            <w:tcBorders>
              <w:top w:val="single" w:sz="2" w:space="0" w:color="auto"/>
              <w:left w:val="single" w:sz="4" w:space="0" w:color="auto"/>
              <w:bottom w:val="nil"/>
              <w:right w:val="single" w:sz="4" w:space="0" w:color="auto"/>
            </w:tcBorders>
          </w:tcPr>
          <w:p w14:paraId="0FE91CCF"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1 162</w:t>
            </w:r>
          </w:p>
        </w:tc>
        <w:tc>
          <w:tcPr>
            <w:tcW w:w="1057" w:type="dxa"/>
            <w:tcBorders>
              <w:top w:val="single" w:sz="2" w:space="0" w:color="auto"/>
              <w:left w:val="single" w:sz="4" w:space="0" w:color="auto"/>
              <w:bottom w:val="nil"/>
              <w:right w:val="single" w:sz="4" w:space="0" w:color="auto"/>
            </w:tcBorders>
          </w:tcPr>
          <w:p w14:paraId="7D02DC48"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150</w:t>
            </w:r>
          </w:p>
        </w:tc>
        <w:tc>
          <w:tcPr>
            <w:tcW w:w="1070" w:type="dxa"/>
            <w:tcBorders>
              <w:top w:val="single" w:sz="2" w:space="0" w:color="auto"/>
              <w:left w:val="single" w:sz="4" w:space="0" w:color="auto"/>
              <w:bottom w:val="nil"/>
              <w:right w:val="single" w:sz="4" w:space="0" w:color="auto"/>
            </w:tcBorders>
          </w:tcPr>
          <w:p w14:paraId="71C9B801"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993</w:t>
            </w:r>
          </w:p>
        </w:tc>
        <w:tc>
          <w:tcPr>
            <w:tcW w:w="1051" w:type="dxa"/>
            <w:tcBorders>
              <w:top w:val="single" w:sz="2" w:space="0" w:color="auto"/>
              <w:left w:val="single" w:sz="4" w:space="0" w:color="auto"/>
              <w:bottom w:val="nil"/>
              <w:right w:val="single" w:sz="4" w:space="0" w:color="auto"/>
            </w:tcBorders>
          </w:tcPr>
          <w:p w14:paraId="62A4F652" w14:textId="77777777" w:rsidR="0012454B" w:rsidRPr="0012454B" w:rsidRDefault="0012454B" w:rsidP="0012454B">
            <w:pPr>
              <w:spacing w:before="60"/>
              <w:ind w:right="227"/>
              <w:jc w:val="right"/>
              <w:rPr>
                <w:rFonts w:eastAsia="Calibri"/>
                <w:b/>
                <w:sz w:val="16"/>
                <w:szCs w:val="16"/>
                <w:lang w:eastAsia="en-US"/>
              </w:rPr>
            </w:pPr>
            <w:r w:rsidRPr="0012454B">
              <w:rPr>
                <w:rFonts w:eastAsia="Calibri"/>
                <w:b/>
                <w:sz w:val="16"/>
                <w:szCs w:val="16"/>
                <w:lang w:eastAsia="en-US"/>
              </w:rPr>
              <w:t>323</w:t>
            </w:r>
          </w:p>
        </w:tc>
        <w:tc>
          <w:tcPr>
            <w:tcW w:w="1069" w:type="dxa"/>
            <w:tcBorders>
              <w:top w:val="single" w:sz="2" w:space="0" w:color="auto"/>
              <w:left w:val="single" w:sz="4" w:space="0" w:color="auto"/>
              <w:bottom w:val="nil"/>
              <w:right w:val="single" w:sz="4" w:space="0" w:color="auto"/>
            </w:tcBorders>
          </w:tcPr>
          <w:p w14:paraId="6D8AA0A5" w14:textId="77777777" w:rsidR="0012454B" w:rsidRPr="0012454B" w:rsidRDefault="0012454B" w:rsidP="0012454B">
            <w:pPr>
              <w:spacing w:before="60"/>
              <w:ind w:right="284"/>
              <w:jc w:val="right"/>
              <w:rPr>
                <w:rFonts w:eastAsia="Calibri"/>
                <w:b/>
                <w:sz w:val="16"/>
                <w:szCs w:val="16"/>
                <w:lang w:eastAsia="en-US"/>
              </w:rPr>
            </w:pPr>
            <w:r w:rsidRPr="0012454B">
              <w:rPr>
                <w:rFonts w:eastAsia="Calibri"/>
                <w:b/>
                <w:sz w:val="16"/>
                <w:szCs w:val="16"/>
                <w:lang w:eastAsia="en-US"/>
              </w:rPr>
              <w:t>253</w:t>
            </w:r>
          </w:p>
        </w:tc>
      </w:tr>
      <w:tr w:rsidR="0012454B" w:rsidRPr="0012454B" w14:paraId="022FE66B" w14:textId="77777777" w:rsidTr="005879EF">
        <w:tc>
          <w:tcPr>
            <w:tcW w:w="1115" w:type="dxa"/>
            <w:tcBorders>
              <w:top w:val="nil"/>
              <w:left w:val="single" w:sz="4" w:space="0" w:color="auto"/>
              <w:bottom w:val="single" w:sz="4" w:space="0" w:color="auto"/>
              <w:right w:val="single" w:sz="4" w:space="0" w:color="auto"/>
            </w:tcBorders>
          </w:tcPr>
          <w:p w14:paraId="4B467005" w14:textId="77777777" w:rsidR="0012454B" w:rsidRPr="0012454B" w:rsidRDefault="0012454B" w:rsidP="0012454B">
            <w:pPr>
              <w:spacing w:before="60"/>
              <w:ind w:right="170"/>
              <w:rPr>
                <w:rFonts w:eastAsia="Calibri"/>
                <w:sz w:val="16"/>
                <w:szCs w:val="16"/>
                <w:lang w:eastAsia="en-US"/>
              </w:rPr>
            </w:pPr>
            <w:r w:rsidRPr="0012454B">
              <w:rPr>
                <w:rFonts w:eastAsia="Calibri"/>
                <w:sz w:val="16"/>
                <w:szCs w:val="16"/>
                <w:lang w:eastAsia="en-US"/>
              </w:rPr>
              <w:t>Enero</w:t>
            </w:r>
          </w:p>
        </w:tc>
        <w:tc>
          <w:tcPr>
            <w:tcW w:w="1026" w:type="dxa"/>
            <w:tcBorders>
              <w:top w:val="nil"/>
              <w:left w:val="single" w:sz="4" w:space="0" w:color="auto"/>
              <w:bottom w:val="single" w:sz="4" w:space="0" w:color="auto"/>
              <w:right w:val="single" w:sz="4" w:space="0" w:color="auto"/>
            </w:tcBorders>
          </w:tcPr>
          <w:p w14:paraId="68443FC3" w14:textId="77777777" w:rsidR="0012454B" w:rsidRPr="0012454B" w:rsidRDefault="0012454B" w:rsidP="0012454B">
            <w:pPr>
              <w:spacing w:before="60"/>
              <w:ind w:right="170"/>
              <w:jc w:val="right"/>
              <w:rPr>
                <w:rFonts w:eastAsia="Calibri"/>
                <w:sz w:val="16"/>
                <w:szCs w:val="16"/>
                <w:lang w:eastAsia="en-US"/>
              </w:rPr>
            </w:pPr>
            <w:r w:rsidRPr="0012454B">
              <w:rPr>
                <w:rFonts w:eastAsia="Calibri"/>
                <w:sz w:val="16"/>
                <w:szCs w:val="16"/>
                <w:lang w:eastAsia="en-US"/>
              </w:rPr>
              <w:t>1 570</w:t>
            </w:r>
          </w:p>
        </w:tc>
        <w:tc>
          <w:tcPr>
            <w:tcW w:w="1026" w:type="dxa"/>
            <w:tcBorders>
              <w:top w:val="nil"/>
              <w:left w:val="single" w:sz="4" w:space="0" w:color="auto"/>
              <w:bottom w:val="single" w:sz="4" w:space="0" w:color="auto"/>
              <w:right w:val="single" w:sz="4" w:space="0" w:color="auto"/>
            </w:tcBorders>
          </w:tcPr>
          <w:p w14:paraId="1D4F14C7"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258</w:t>
            </w:r>
          </w:p>
        </w:tc>
        <w:tc>
          <w:tcPr>
            <w:tcW w:w="1032" w:type="dxa"/>
            <w:tcBorders>
              <w:top w:val="nil"/>
              <w:left w:val="single" w:sz="4" w:space="0" w:color="auto"/>
              <w:bottom w:val="single" w:sz="4" w:space="0" w:color="auto"/>
              <w:right w:val="single" w:sz="4" w:space="0" w:color="auto"/>
            </w:tcBorders>
          </w:tcPr>
          <w:p w14:paraId="7DDCD036"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1 162</w:t>
            </w:r>
          </w:p>
        </w:tc>
        <w:tc>
          <w:tcPr>
            <w:tcW w:w="1057" w:type="dxa"/>
            <w:tcBorders>
              <w:top w:val="nil"/>
              <w:left w:val="single" w:sz="4" w:space="0" w:color="auto"/>
              <w:bottom w:val="single" w:sz="4" w:space="0" w:color="auto"/>
              <w:right w:val="single" w:sz="4" w:space="0" w:color="auto"/>
            </w:tcBorders>
          </w:tcPr>
          <w:p w14:paraId="1B2C911E"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150</w:t>
            </w:r>
          </w:p>
        </w:tc>
        <w:tc>
          <w:tcPr>
            <w:tcW w:w="1070" w:type="dxa"/>
            <w:tcBorders>
              <w:top w:val="nil"/>
              <w:left w:val="single" w:sz="4" w:space="0" w:color="auto"/>
              <w:bottom w:val="single" w:sz="4" w:space="0" w:color="auto"/>
              <w:right w:val="single" w:sz="4" w:space="0" w:color="auto"/>
            </w:tcBorders>
          </w:tcPr>
          <w:p w14:paraId="17C7FC26"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993</w:t>
            </w:r>
          </w:p>
        </w:tc>
        <w:tc>
          <w:tcPr>
            <w:tcW w:w="1051" w:type="dxa"/>
            <w:tcBorders>
              <w:top w:val="nil"/>
              <w:left w:val="single" w:sz="4" w:space="0" w:color="auto"/>
              <w:bottom w:val="single" w:sz="4" w:space="0" w:color="auto"/>
              <w:right w:val="single" w:sz="4" w:space="0" w:color="auto"/>
            </w:tcBorders>
          </w:tcPr>
          <w:p w14:paraId="6E2105E2" w14:textId="77777777" w:rsidR="0012454B" w:rsidRPr="0012454B" w:rsidRDefault="0012454B" w:rsidP="0012454B">
            <w:pPr>
              <w:spacing w:before="60"/>
              <w:ind w:right="227"/>
              <w:jc w:val="right"/>
              <w:rPr>
                <w:rFonts w:eastAsia="Calibri"/>
                <w:sz w:val="16"/>
                <w:szCs w:val="16"/>
                <w:lang w:eastAsia="en-US"/>
              </w:rPr>
            </w:pPr>
            <w:r w:rsidRPr="0012454B">
              <w:rPr>
                <w:rFonts w:eastAsia="Calibri"/>
                <w:sz w:val="16"/>
                <w:szCs w:val="16"/>
                <w:lang w:eastAsia="en-US"/>
              </w:rPr>
              <w:t>323</w:t>
            </w:r>
          </w:p>
        </w:tc>
        <w:tc>
          <w:tcPr>
            <w:tcW w:w="1069" w:type="dxa"/>
            <w:tcBorders>
              <w:top w:val="nil"/>
              <w:left w:val="single" w:sz="4" w:space="0" w:color="auto"/>
              <w:bottom w:val="single" w:sz="4" w:space="0" w:color="auto"/>
              <w:right w:val="single" w:sz="4" w:space="0" w:color="auto"/>
            </w:tcBorders>
          </w:tcPr>
          <w:p w14:paraId="03EBA544" w14:textId="77777777" w:rsidR="0012454B" w:rsidRPr="0012454B" w:rsidRDefault="0012454B" w:rsidP="0012454B">
            <w:pPr>
              <w:spacing w:before="60"/>
              <w:ind w:right="284"/>
              <w:jc w:val="right"/>
              <w:rPr>
                <w:rFonts w:eastAsia="Calibri"/>
                <w:sz w:val="16"/>
                <w:szCs w:val="16"/>
                <w:lang w:eastAsia="en-US"/>
              </w:rPr>
            </w:pPr>
            <w:r w:rsidRPr="0012454B">
              <w:rPr>
                <w:rFonts w:eastAsia="Calibri"/>
                <w:sz w:val="16"/>
                <w:szCs w:val="16"/>
                <w:lang w:eastAsia="en-US"/>
              </w:rPr>
              <w:t>253</w:t>
            </w:r>
          </w:p>
        </w:tc>
      </w:tr>
      <w:tr w:rsidR="0012454B" w:rsidRPr="0012454B" w14:paraId="2CDAA46A" w14:textId="77777777" w:rsidTr="00E4484F">
        <w:tc>
          <w:tcPr>
            <w:tcW w:w="8446" w:type="dxa"/>
            <w:gridSpan w:val="8"/>
            <w:tcBorders>
              <w:top w:val="single" w:sz="4" w:space="0" w:color="auto"/>
              <w:left w:val="nil"/>
              <w:bottom w:val="nil"/>
              <w:right w:val="nil"/>
            </w:tcBorders>
          </w:tcPr>
          <w:p w14:paraId="02A739A4" w14:textId="1FC4B29F" w:rsidR="0012454B" w:rsidRPr="0012454B" w:rsidRDefault="0012454B" w:rsidP="0012454B">
            <w:pPr>
              <w:ind w:right="340"/>
              <w:jc w:val="both"/>
              <w:rPr>
                <w:rFonts w:eastAsia="Calibri"/>
                <w:sz w:val="16"/>
                <w:szCs w:val="16"/>
                <w:lang w:eastAsia="en-US"/>
              </w:rPr>
            </w:pPr>
            <w:r w:rsidRPr="0012454B">
              <w:rPr>
                <w:rFonts w:eastAsia="Calibri"/>
                <w:sz w:val="16"/>
                <w:szCs w:val="16"/>
                <w:u w:val="single"/>
                <w:lang w:eastAsia="en-US"/>
              </w:rPr>
              <w:t>a</w:t>
            </w:r>
            <w:r w:rsidRPr="0012454B">
              <w:rPr>
                <w:rFonts w:eastAsia="Calibri"/>
                <w:sz w:val="16"/>
                <w:szCs w:val="16"/>
                <w:lang w:eastAsia="en-US"/>
              </w:rPr>
              <w:t>/</w:t>
            </w:r>
            <w:r w:rsidR="00FF5280">
              <w:rPr>
                <w:rFonts w:eastAsia="Calibri"/>
                <w:sz w:val="16"/>
                <w:szCs w:val="16"/>
                <w:lang w:eastAsia="en-US"/>
              </w:rPr>
              <w:t>Ex</w:t>
            </w:r>
            <w:r w:rsidRPr="0012454B">
              <w:rPr>
                <w:rFonts w:eastAsia="Calibri"/>
                <w:sz w:val="16"/>
                <w:szCs w:val="16"/>
                <w:lang w:eastAsia="en-US"/>
              </w:rPr>
              <w:t>cluye Crudo Altamira</w:t>
            </w:r>
            <w:r w:rsidR="00FE4576">
              <w:rPr>
                <w:rFonts w:eastAsia="Calibri"/>
                <w:sz w:val="16"/>
                <w:szCs w:val="16"/>
                <w:lang w:eastAsia="en-US"/>
              </w:rPr>
              <w:t xml:space="preserve"> y Talam.</w:t>
            </w:r>
            <w:r w:rsidRPr="0012454B">
              <w:rPr>
                <w:rFonts w:eastAsia="Calibri"/>
                <w:sz w:val="16"/>
                <w:szCs w:val="16"/>
                <w:lang w:eastAsia="en-US"/>
              </w:rPr>
              <w:t>.</w:t>
            </w:r>
          </w:p>
          <w:p w14:paraId="645B06D8" w14:textId="77777777" w:rsidR="0012454B" w:rsidRPr="0012454B" w:rsidRDefault="0012454B" w:rsidP="0012454B">
            <w:pPr>
              <w:ind w:right="340"/>
              <w:jc w:val="both"/>
              <w:rPr>
                <w:rFonts w:eastAsia="Calibri"/>
                <w:sz w:val="16"/>
                <w:szCs w:val="16"/>
                <w:lang w:eastAsia="en-US"/>
              </w:rPr>
            </w:pPr>
            <w:r w:rsidRPr="0012454B">
              <w:rPr>
                <w:rFonts w:eastAsia="Calibri"/>
                <w:sz w:val="16"/>
                <w:szCs w:val="16"/>
                <w:u w:val="single"/>
                <w:lang w:eastAsia="en-US"/>
              </w:rPr>
              <w:t>b</w:t>
            </w:r>
            <w:r w:rsidRPr="0012454B">
              <w:rPr>
                <w:rFonts w:eastAsia="Calibri"/>
                <w:sz w:val="16"/>
                <w:szCs w:val="16"/>
                <w:lang w:eastAsia="en-US"/>
              </w:rPr>
              <w:t>/ Incluye otras regiones.</w:t>
            </w:r>
          </w:p>
          <w:p w14:paraId="13227B23" w14:textId="77777777" w:rsidR="0012454B" w:rsidRPr="0012454B" w:rsidRDefault="0012454B" w:rsidP="0012454B">
            <w:pPr>
              <w:ind w:right="340"/>
              <w:jc w:val="both"/>
              <w:rPr>
                <w:rFonts w:eastAsia="Calibri"/>
                <w:sz w:val="16"/>
                <w:szCs w:val="16"/>
                <w:lang w:eastAsia="en-US"/>
              </w:rPr>
            </w:pPr>
            <w:r w:rsidRPr="0012454B">
              <w:rPr>
                <w:rFonts w:eastAsia="Calibri"/>
                <w:sz w:val="16"/>
                <w:szCs w:val="16"/>
                <w:lang w:eastAsia="en-US"/>
              </w:rPr>
              <w:t>FUENTE: Pemex.</w:t>
            </w:r>
          </w:p>
        </w:tc>
      </w:tr>
    </w:tbl>
    <w:p w14:paraId="5AE240E9" w14:textId="77777777" w:rsidR="0012454B" w:rsidRPr="0012454B" w:rsidRDefault="0012454B" w:rsidP="0012454B">
      <w:pPr>
        <w:ind w:right="-159"/>
        <w:jc w:val="both"/>
        <w:rPr>
          <w:rFonts w:eastAsia="Calibri"/>
          <w:b/>
          <w:sz w:val="20"/>
          <w:szCs w:val="20"/>
          <w:lang w:eastAsia="en-US"/>
        </w:rPr>
      </w:pPr>
    </w:p>
    <w:p w14:paraId="34E112A5" w14:textId="77777777" w:rsidR="0012454B" w:rsidRPr="0012454B" w:rsidRDefault="0012454B" w:rsidP="0012454B">
      <w:pPr>
        <w:ind w:right="-159"/>
        <w:jc w:val="both"/>
        <w:rPr>
          <w:rFonts w:eastAsia="Calibri"/>
          <w:b/>
          <w:sz w:val="20"/>
          <w:szCs w:val="20"/>
          <w:lang w:eastAsia="en-US"/>
        </w:rPr>
      </w:pPr>
      <w:r w:rsidRPr="0012454B">
        <w:rPr>
          <w:rFonts w:eastAsia="Calibri"/>
          <w:b/>
          <w:sz w:val="20"/>
          <w:szCs w:val="20"/>
          <w:lang w:eastAsia="en-US"/>
        </w:rPr>
        <w:t>Fuente de información:</w:t>
      </w:r>
    </w:p>
    <w:p w14:paraId="39952247" w14:textId="77777777" w:rsidR="0012454B" w:rsidRPr="004C101E" w:rsidRDefault="00872B0E" w:rsidP="0012454B">
      <w:pPr>
        <w:ind w:right="-159"/>
        <w:jc w:val="both"/>
        <w:rPr>
          <w:rFonts w:eastAsia="Calibri"/>
          <w:color w:val="0000FF"/>
          <w:sz w:val="20"/>
          <w:szCs w:val="20"/>
          <w:lang w:eastAsia="en-US"/>
        </w:rPr>
      </w:pPr>
      <w:hyperlink r:id="rId19" w:history="1">
        <w:r w:rsidR="0012454B" w:rsidRPr="004C101E">
          <w:rPr>
            <w:rFonts w:eastAsia="Calibri"/>
            <w:color w:val="0000FF"/>
            <w:sz w:val="20"/>
            <w:szCs w:val="20"/>
            <w:u w:val="single"/>
            <w:lang w:eastAsia="en-US"/>
          </w:rPr>
          <w:t>http://www.ri.pemex.com/files/dcpe/petro/epreciopromedio_esp.pdf</w:t>
        </w:r>
      </w:hyperlink>
      <w:r w:rsidR="0012454B" w:rsidRPr="004C101E">
        <w:rPr>
          <w:rFonts w:eastAsia="Calibri"/>
          <w:color w:val="0000FF"/>
          <w:sz w:val="20"/>
          <w:szCs w:val="20"/>
          <w:lang w:eastAsia="en-US"/>
        </w:rPr>
        <w:t xml:space="preserve"> </w:t>
      </w:r>
    </w:p>
    <w:p w14:paraId="2950CB92" w14:textId="77777777" w:rsidR="0012454B" w:rsidRPr="004C101E" w:rsidRDefault="00872B0E" w:rsidP="004C101E">
      <w:pPr>
        <w:spacing w:after="720"/>
        <w:ind w:right="-159"/>
        <w:jc w:val="both"/>
        <w:rPr>
          <w:rFonts w:eastAsia="Calibri"/>
          <w:color w:val="0000FF"/>
          <w:sz w:val="20"/>
          <w:szCs w:val="20"/>
          <w:lang w:eastAsia="en-US"/>
        </w:rPr>
      </w:pPr>
      <w:hyperlink r:id="rId20" w:history="1">
        <w:r w:rsidR="0012454B" w:rsidRPr="004C101E">
          <w:rPr>
            <w:rFonts w:eastAsia="Calibri"/>
            <w:color w:val="0000FF"/>
            <w:sz w:val="20"/>
            <w:szCs w:val="20"/>
            <w:u w:val="single"/>
            <w:lang w:eastAsia="en-US"/>
          </w:rPr>
          <w:t>http://www.ri.pemex.com/files/dcpe/petro/evalorexporta_esp.pdf</w:t>
        </w:r>
      </w:hyperlink>
      <w:r w:rsidR="0012454B" w:rsidRPr="004C101E">
        <w:rPr>
          <w:rFonts w:eastAsia="Calibri"/>
          <w:color w:val="0000FF"/>
          <w:sz w:val="20"/>
          <w:szCs w:val="20"/>
          <w:lang w:eastAsia="en-US"/>
        </w:rPr>
        <w:t xml:space="preserve"> </w:t>
      </w:r>
    </w:p>
    <w:p w14:paraId="2715DCAD" w14:textId="77777777" w:rsidR="0012454B" w:rsidRPr="0012454B" w:rsidRDefault="0012454B" w:rsidP="0012454B">
      <w:pPr>
        <w:spacing w:after="360" w:line="360" w:lineRule="auto"/>
        <w:ind w:right="-159"/>
        <w:jc w:val="both"/>
        <w:rPr>
          <w:b/>
          <w:sz w:val="26"/>
          <w:szCs w:val="26"/>
        </w:rPr>
      </w:pPr>
      <w:r w:rsidRPr="0012454B">
        <w:rPr>
          <w:b/>
          <w:sz w:val="26"/>
          <w:szCs w:val="26"/>
        </w:rPr>
        <w:t>Volumen de exportación de petróleo (Pemex)</w:t>
      </w:r>
    </w:p>
    <w:p w14:paraId="0CBF911F" w14:textId="5FAA92D4" w:rsidR="0012454B" w:rsidRPr="0012454B" w:rsidRDefault="0012454B" w:rsidP="0012454B">
      <w:pPr>
        <w:spacing w:after="360" w:line="360" w:lineRule="auto"/>
        <w:ind w:right="-159"/>
        <w:jc w:val="both"/>
        <w:rPr>
          <w:sz w:val="26"/>
          <w:szCs w:val="26"/>
          <w:lang w:val="es-ES"/>
        </w:rPr>
      </w:pPr>
      <w:r w:rsidRPr="0012454B">
        <w:rPr>
          <w:sz w:val="26"/>
          <w:szCs w:val="26"/>
          <w:lang w:val="es-ES"/>
        </w:rPr>
        <w:t>Información de Petróleos Mexicanos (Pemex) señala que durante enero de 2015, se exportaron a los diferentes destinos un volumen promedio de 1.261 millones de barriles diarios (mb/d), cantidad 1.94% mayor con relación a diciembre de 2014 (1.237 mb/d) y mayor en 7.69% a la reportada en enero de 2014 (1.171 mb/d).</w:t>
      </w:r>
    </w:p>
    <w:p w14:paraId="2C2F158D" w14:textId="77777777" w:rsidR="0012454B" w:rsidRPr="0012454B" w:rsidRDefault="0012454B" w:rsidP="0012454B">
      <w:pPr>
        <w:spacing w:after="360" w:line="360" w:lineRule="auto"/>
        <w:ind w:right="-159"/>
        <w:jc w:val="both"/>
        <w:rPr>
          <w:sz w:val="26"/>
          <w:szCs w:val="26"/>
          <w:lang w:val="es-ES"/>
        </w:rPr>
      </w:pPr>
      <w:r w:rsidRPr="0012454B">
        <w:rPr>
          <w:sz w:val="26"/>
          <w:szCs w:val="26"/>
          <w:lang w:val="es-ES"/>
        </w:rPr>
        <w:lastRenderedPageBreak/>
        <w:t>Los destinos de las exportaciones de petróleos crudos mexicanos, durante enero de 2015, fueron los siguientes: al Continente Americano (61.46%) a Europa (21.81%) y al Lejano Oriente (16.73%).</w:t>
      </w:r>
    </w:p>
    <w:p w14:paraId="255A7A0C" w14:textId="4EC05AD6" w:rsidR="0012454B" w:rsidRPr="0012454B" w:rsidRDefault="00E4484F" w:rsidP="0012454B">
      <w:pPr>
        <w:spacing w:after="360" w:line="360" w:lineRule="auto"/>
        <w:ind w:right="-159"/>
        <w:jc w:val="center"/>
        <w:rPr>
          <w:bCs/>
          <w:sz w:val="26"/>
          <w:szCs w:val="26"/>
        </w:rPr>
      </w:pPr>
      <w:r w:rsidRPr="00E4484F">
        <w:rPr>
          <w:rFonts w:ascii="Calibri" w:eastAsia="Calibri" w:hAnsi="Calibri"/>
          <w:sz w:val="22"/>
          <w:szCs w:val="22"/>
          <w:lang w:eastAsia="en-US"/>
        </w:rPr>
        <w:fldChar w:fldCharType="begin"/>
      </w:r>
      <w:r w:rsidRPr="00E4484F">
        <w:rPr>
          <w:rFonts w:ascii="Calibri" w:eastAsia="Calibri" w:hAnsi="Calibri"/>
          <w:sz w:val="22"/>
          <w:szCs w:val="22"/>
          <w:lang w:eastAsia="en-US"/>
        </w:rPr>
        <w:instrText xml:space="preserve"> LINK PowerPoint.Slide.8 "D:\\2015\\MARZO 2014\\GRÁFICAS EN POWER POINT\\9.- GRÁFICAS DE PETRÓLEOII.pptx!257" "" \a \p </w:instrText>
      </w:r>
      <w:r w:rsidRPr="00E4484F">
        <w:rPr>
          <w:rFonts w:ascii="Calibri" w:eastAsia="Calibri" w:hAnsi="Calibri"/>
          <w:sz w:val="22"/>
          <w:szCs w:val="22"/>
          <w:lang w:eastAsia="en-US"/>
        </w:rPr>
        <w:fldChar w:fldCharType="separate"/>
      </w:r>
      <w:r w:rsidRPr="00E4484F">
        <w:rPr>
          <w:rFonts w:ascii="Calibri" w:eastAsia="Calibri" w:hAnsi="Calibri"/>
          <w:noProof/>
          <w:sz w:val="22"/>
          <w:szCs w:val="22"/>
          <w:lang w:eastAsia="es-MX"/>
        </w:rPr>
        <w:drawing>
          <wp:inline distT="0" distB="0" distL="0" distR="0" wp14:anchorId="0E0AFA21" wp14:editId="76F276B1">
            <wp:extent cx="5282565" cy="2638425"/>
            <wp:effectExtent l="0" t="0" r="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21" cstate="print">
                      <a:extLst>
                        <a:ext uri="{28A0092B-C50C-407E-A947-70E740481C1C}">
                          <a14:useLocalDpi xmlns:a14="http://schemas.microsoft.com/office/drawing/2010/main" val="0"/>
                        </a:ext>
                      </a:extLst>
                    </a:blip>
                    <a:srcRect l="4720" t="10553" r="8394" b="12425"/>
                    <a:stretch>
                      <a:fillRect/>
                    </a:stretch>
                  </pic:blipFill>
                  <pic:spPr bwMode="auto">
                    <a:xfrm>
                      <a:off x="0" y="0"/>
                      <a:ext cx="5282565" cy="2638425"/>
                    </a:xfrm>
                    <a:prstGeom prst="rect">
                      <a:avLst/>
                    </a:prstGeom>
                    <a:noFill/>
                    <a:ln>
                      <a:noFill/>
                    </a:ln>
                  </pic:spPr>
                </pic:pic>
              </a:graphicData>
            </a:graphic>
          </wp:inline>
        </w:drawing>
      </w:r>
      <w:r w:rsidRPr="00E4484F">
        <w:rPr>
          <w:rFonts w:ascii="Calibri" w:eastAsia="Calibri" w:hAnsi="Calibri"/>
          <w:sz w:val="22"/>
          <w:szCs w:val="22"/>
          <w:lang w:eastAsia="en-US"/>
        </w:rPr>
        <w:fldChar w:fldCharType="end"/>
      </w:r>
    </w:p>
    <w:p w14:paraId="1B08DE33" w14:textId="77777777" w:rsidR="0012454B" w:rsidRPr="0012454B" w:rsidRDefault="0012454B" w:rsidP="0012454B">
      <w:pPr>
        <w:ind w:right="-159"/>
        <w:jc w:val="both"/>
        <w:rPr>
          <w:b/>
          <w:sz w:val="20"/>
          <w:szCs w:val="20"/>
          <w:lang w:val="es-ES"/>
        </w:rPr>
      </w:pPr>
      <w:r w:rsidRPr="0012454B">
        <w:rPr>
          <w:b/>
          <w:sz w:val="20"/>
          <w:szCs w:val="20"/>
          <w:lang w:val="es-ES"/>
        </w:rPr>
        <w:t xml:space="preserve">Fuente de información: </w:t>
      </w:r>
    </w:p>
    <w:p w14:paraId="3E411B13" w14:textId="77777777" w:rsidR="0012454B" w:rsidRPr="004C101E" w:rsidRDefault="00872B0E" w:rsidP="004C101E">
      <w:pPr>
        <w:spacing w:after="720"/>
        <w:rPr>
          <w:color w:val="0000FF"/>
          <w:sz w:val="20"/>
          <w:szCs w:val="20"/>
        </w:rPr>
      </w:pPr>
      <w:hyperlink r:id="rId22" w:history="1">
        <w:r w:rsidR="0012454B" w:rsidRPr="004C101E">
          <w:rPr>
            <w:rFonts w:eastAsia="Calibri"/>
            <w:color w:val="0000FF"/>
            <w:sz w:val="20"/>
            <w:szCs w:val="20"/>
            <w:u w:val="single"/>
            <w:lang w:eastAsia="en-US"/>
          </w:rPr>
          <w:t>http://www.ri.pemex.com/files/dcpe/petro/evolexporta_esp.pdf</w:t>
        </w:r>
      </w:hyperlink>
    </w:p>
    <w:p w14:paraId="08882C35" w14:textId="77777777" w:rsidR="00B6014F" w:rsidRPr="00B6014F" w:rsidRDefault="00B6014F" w:rsidP="00B6014F">
      <w:pPr>
        <w:ind w:right="-159"/>
        <w:jc w:val="both"/>
        <w:rPr>
          <w:rFonts w:eastAsia="Calibri"/>
          <w:b/>
          <w:sz w:val="26"/>
          <w:szCs w:val="26"/>
          <w:lang w:eastAsia="en-US"/>
        </w:rPr>
      </w:pPr>
      <w:r w:rsidRPr="00B6014F">
        <w:rPr>
          <w:rFonts w:eastAsia="Calibri"/>
          <w:b/>
          <w:sz w:val="26"/>
          <w:szCs w:val="26"/>
          <w:lang w:eastAsia="en-US"/>
        </w:rPr>
        <w:t xml:space="preserve">Petróleos Mexicanos busca mantener su meta </w:t>
      </w:r>
    </w:p>
    <w:p w14:paraId="6B149DBB" w14:textId="68DB4CBF" w:rsidR="00B6014F" w:rsidRPr="00B6014F" w:rsidRDefault="00B6014F" w:rsidP="00B6014F">
      <w:pPr>
        <w:spacing w:after="360" w:line="360" w:lineRule="auto"/>
        <w:ind w:right="-159"/>
        <w:jc w:val="both"/>
        <w:rPr>
          <w:rFonts w:eastAsia="Calibri"/>
          <w:b/>
          <w:sz w:val="26"/>
          <w:szCs w:val="26"/>
          <w:lang w:eastAsia="en-US"/>
        </w:rPr>
      </w:pPr>
      <w:r w:rsidRPr="00B6014F">
        <w:rPr>
          <w:rFonts w:eastAsia="Calibri"/>
          <w:b/>
          <w:sz w:val="26"/>
          <w:szCs w:val="26"/>
          <w:lang w:eastAsia="en-US"/>
        </w:rPr>
        <w:t xml:space="preserve">original  </w:t>
      </w:r>
      <w:r w:rsidR="005879EF">
        <w:rPr>
          <w:rFonts w:eastAsia="Calibri"/>
          <w:b/>
          <w:sz w:val="26"/>
          <w:szCs w:val="26"/>
          <w:lang w:eastAsia="en-US"/>
        </w:rPr>
        <w:t xml:space="preserve"> </w:t>
      </w:r>
      <w:r w:rsidRPr="00B6014F">
        <w:rPr>
          <w:rFonts w:eastAsia="Calibri"/>
          <w:b/>
          <w:sz w:val="26"/>
          <w:szCs w:val="26"/>
          <w:lang w:eastAsia="en-US"/>
        </w:rPr>
        <w:t>e  producción</w:t>
      </w:r>
      <w:r w:rsidR="005879EF">
        <w:rPr>
          <w:rFonts w:eastAsia="Calibri"/>
          <w:b/>
          <w:sz w:val="26"/>
          <w:szCs w:val="26"/>
          <w:lang w:eastAsia="en-US"/>
        </w:rPr>
        <w:t xml:space="preserve"> </w:t>
      </w:r>
      <w:r w:rsidRPr="00B6014F">
        <w:rPr>
          <w:rFonts w:eastAsia="Calibri"/>
          <w:b/>
          <w:sz w:val="26"/>
          <w:szCs w:val="26"/>
          <w:lang w:eastAsia="en-US"/>
        </w:rPr>
        <w:t xml:space="preserve">  para  2015  (Pemex)</w:t>
      </w:r>
    </w:p>
    <w:p w14:paraId="10F3FCC8" w14:textId="77777777" w:rsidR="00B6014F" w:rsidRPr="00B6014F" w:rsidRDefault="00B6014F" w:rsidP="00B6014F">
      <w:pPr>
        <w:spacing w:after="360" w:line="360" w:lineRule="auto"/>
        <w:ind w:right="-159"/>
        <w:jc w:val="both"/>
        <w:rPr>
          <w:rFonts w:eastAsia="Calibri"/>
          <w:sz w:val="26"/>
          <w:szCs w:val="26"/>
          <w:lang w:eastAsia="en-US"/>
        </w:rPr>
      </w:pPr>
      <w:r w:rsidRPr="00B6014F">
        <w:rPr>
          <w:rFonts w:eastAsia="Calibri"/>
          <w:sz w:val="26"/>
          <w:szCs w:val="26"/>
          <w:lang w:eastAsia="en-US"/>
        </w:rPr>
        <w:t>El 12 de marzo de 2015, Petróleos Mexicanos (Pemex) informó que busca mantener su meta original de producción para 2015. A continuación se presenta la información.</w:t>
      </w:r>
    </w:p>
    <w:p w14:paraId="7B354338" w14:textId="7962BD2E" w:rsidR="00B6014F" w:rsidRPr="00B6014F" w:rsidRDefault="00B6014F" w:rsidP="00B6014F">
      <w:pPr>
        <w:spacing w:after="360" w:line="360" w:lineRule="auto"/>
        <w:ind w:right="-159"/>
        <w:jc w:val="both"/>
        <w:rPr>
          <w:rFonts w:eastAsia="Calibri"/>
          <w:sz w:val="26"/>
          <w:szCs w:val="26"/>
          <w:lang w:eastAsia="en-US"/>
        </w:rPr>
      </w:pPr>
      <w:r w:rsidRPr="00B6014F">
        <w:rPr>
          <w:rFonts w:eastAsia="Calibri"/>
          <w:sz w:val="26"/>
          <w:szCs w:val="26"/>
          <w:lang w:eastAsia="en-US"/>
        </w:rPr>
        <w:t xml:space="preserve">En relación </w:t>
      </w:r>
      <w:r w:rsidR="004C101E">
        <w:rPr>
          <w:rFonts w:eastAsia="Calibri"/>
          <w:sz w:val="26"/>
          <w:szCs w:val="26"/>
          <w:lang w:eastAsia="en-US"/>
        </w:rPr>
        <w:t>con</w:t>
      </w:r>
      <w:r w:rsidRPr="00B6014F">
        <w:rPr>
          <w:rFonts w:eastAsia="Calibri"/>
          <w:sz w:val="26"/>
          <w:szCs w:val="26"/>
          <w:lang w:eastAsia="en-US"/>
        </w:rPr>
        <w:t xml:space="preserve"> las declaraciones del Director de Pemex Exploración y Producción en el sentido de que Petróleos Mexicanos redujo su meta de producción para el presente año, es importante precisar que si bien este escenario es el previsible con el actual ritmo de inversión, Pemex espera establecer alianzas con diversas empresas que le permitan mantener su meta original estimada en 2 mil 400 millones de barriles diarios de petróleo determinada en su presupuesto anual.</w:t>
      </w:r>
    </w:p>
    <w:p w14:paraId="4560AEE2" w14:textId="19689D2D" w:rsidR="00B6014F" w:rsidRPr="00B6014F" w:rsidRDefault="00B6014F" w:rsidP="00B6014F">
      <w:pPr>
        <w:spacing w:after="360" w:line="360" w:lineRule="auto"/>
        <w:ind w:right="-159"/>
        <w:jc w:val="both"/>
        <w:rPr>
          <w:rFonts w:eastAsia="Calibri"/>
          <w:sz w:val="26"/>
          <w:szCs w:val="26"/>
          <w:lang w:eastAsia="en-US"/>
        </w:rPr>
      </w:pPr>
      <w:r w:rsidRPr="00B6014F">
        <w:rPr>
          <w:rFonts w:eastAsia="Calibri"/>
          <w:sz w:val="26"/>
          <w:szCs w:val="26"/>
          <w:lang w:eastAsia="en-US"/>
        </w:rPr>
        <w:lastRenderedPageBreak/>
        <w:t>Aunque el ajuste presupuesta</w:t>
      </w:r>
      <w:r w:rsidR="004C101E">
        <w:rPr>
          <w:rFonts w:eastAsia="Calibri"/>
          <w:sz w:val="26"/>
          <w:szCs w:val="26"/>
          <w:lang w:eastAsia="en-US"/>
        </w:rPr>
        <w:t>rio</w:t>
      </w:r>
      <w:r w:rsidRPr="00B6014F">
        <w:rPr>
          <w:rFonts w:eastAsia="Calibri"/>
          <w:sz w:val="26"/>
          <w:szCs w:val="26"/>
          <w:lang w:eastAsia="en-US"/>
        </w:rPr>
        <w:t xml:space="preserve"> anunciado para mantener la meta anual de balance financiero podría tener impactos en la producción, Pemex reitera que dicho programa de ajuste busca minimizar el efecto en la producción de petróleo crudo y gas así como el impacto en la restitución de reservas.</w:t>
      </w:r>
    </w:p>
    <w:p w14:paraId="2921F18A" w14:textId="2AB7ACA8" w:rsidR="00B6014F" w:rsidRPr="00B6014F" w:rsidRDefault="00B6014F" w:rsidP="00B6014F">
      <w:pPr>
        <w:spacing w:after="360" w:line="360" w:lineRule="auto"/>
        <w:ind w:right="-159"/>
        <w:jc w:val="both"/>
        <w:rPr>
          <w:rFonts w:eastAsia="Calibri"/>
          <w:sz w:val="26"/>
          <w:szCs w:val="26"/>
          <w:lang w:eastAsia="en-US"/>
        </w:rPr>
      </w:pPr>
      <w:r w:rsidRPr="00B6014F">
        <w:rPr>
          <w:rFonts w:eastAsia="Calibri"/>
          <w:sz w:val="26"/>
          <w:szCs w:val="26"/>
          <w:lang w:eastAsia="en-US"/>
        </w:rPr>
        <w:t>Con el propósito de disminuir el efecto de las reducciones presupuesta</w:t>
      </w:r>
      <w:r w:rsidR="004C101E">
        <w:rPr>
          <w:rFonts w:eastAsia="Calibri"/>
          <w:sz w:val="26"/>
          <w:szCs w:val="26"/>
          <w:lang w:eastAsia="en-US"/>
        </w:rPr>
        <w:t>rias</w:t>
      </w:r>
      <w:r w:rsidRPr="00B6014F">
        <w:rPr>
          <w:rFonts w:eastAsia="Calibri"/>
          <w:sz w:val="26"/>
          <w:szCs w:val="26"/>
          <w:lang w:eastAsia="en-US"/>
        </w:rPr>
        <w:t xml:space="preserve"> en los proyectos de inversión asociados a la producción de hidrocarburos, se analizan diferentes iniciativas que permitirán una mayor participación del sector privado en los proyectos de inversión de Pemex, aprovechando las herramientas y flexibilidad que le otorga la Reforma Energética aprobada.</w:t>
      </w:r>
    </w:p>
    <w:p w14:paraId="163C0205" w14:textId="77777777" w:rsidR="00B6014F" w:rsidRPr="00B6014F" w:rsidRDefault="00B6014F" w:rsidP="00B6014F">
      <w:pPr>
        <w:spacing w:after="360" w:line="360" w:lineRule="auto"/>
        <w:ind w:right="-159"/>
        <w:jc w:val="both"/>
        <w:rPr>
          <w:rFonts w:eastAsia="Calibri"/>
          <w:sz w:val="26"/>
          <w:szCs w:val="26"/>
          <w:lang w:eastAsia="en-US"/>
        </w:rPr>
      </w:pPr>
      <w:r w:rsidRPr="00B6014F">
        <w:rPr>
          <w:rFonts w:eastAsia="Calibri"/>
          <w:sz w:val="26"/>
          <w:szCs w:val="26"/>
          <w:lang w:eastAsia="en-US"/>
        </w:rPr>
        <w:t>Entre estas iniciativas, se contempla el financiamiento de pozos, la realización de obras de infraestructura y el desarrollo de trabajos específicos que puedan llevarse a cabo mediante la participación de otras empresas.</w:t>
      </w:r>
    </w:p>
    <w:p w14:paraId="172626DA" w14:textId="77777777" w:rsidR="00B6014F" w:rsidRPr="00B6014F" w:rsidRDefault="00B6014F" w:rsidP="00B6014F">
      <w:pPr>
        <w:ind w:right="-159"/>
        <w:jc w:val="both"/>
        <w:rPr>
          <w:rFonts w:eastAsia="Calibri"/>
          <w:b/>
          <w:sz w:val="20"/>
          <w:szCs w:val="26"/>
          <w:lang w:eastAsia="en-US"/>
        </w:rPr>
      </w:pPr>
      <w:r w:rsidRPr="00B6014F">
        <w:rPr>
          <w:rFonts w:eastAsia="Calibri"/>
          <w:b/>
          <w:sz w:val="20"/>
          <w:szCs w:val="26"/>
          <w:lang w:eastAsia="en-US"/>
        </w:rPr>
        <w:t>Fuente de información:</w:t>
      </w:r>
    </w:p>
    <w:p w14:paraId="2DAD330B" w14:textId="77777777" w:rsidR="00B6014F" w:rsidRPr="004C101E" w:rsidRDefault="00872B0E" w:rsidP="004C101E">
      <w:pPr>
        <w:spacing w:after="720"/>
        <w:ind w:right="-159"/>
        <w:jc w:val="both"/>
        <w:rPr>
          <w:rFonts w:eastAsia="Calibri"/>
          <w:color w:val="0000FF"/>
          <w:sz w:val="20"/>
          <w:szCs w:val="20"/>
          <w:lang w:eastAsia="en-US"/>
        </w:rPr>
      </w:pPr>
      <w:hyperlink r:id="rId23" w:history="1">
        <w:r w:rsidR="00B6014F" w:rsidRPr="004C101E">
          <w:rPr>
            <w:rFonts w:eastAsia="Calibri"/>
            <w:color w:val="0000FF"/>
            <w:sz w:val="20"/>
            <w:szCs w:val="20"/>
            <w:u w:val="single"/>
            <w:lang w:eastAsia="en-US"/>
          </w:rPr>
          <w:t>http://www.pemex.com/prensa/boletines_nacionales/Paginas/2015-020-nacional.aspx</w:t>
        </w:r>
      </w:hyperlink>
      <w:r w:rsidR="00B6014F" w:rsidRPr="004C101E">
        <w:rPr>
          <w:rFonts w:eastAsia="Calibri"/>
          <w:color w:val="0000FF"/>
          <w:sz w:val="20"/>
          <w:szCs w:val="20"/>
          <w:lang w:eastAsia="en-US"/>
        </w:rPr>
        <w:t xml:space="preserve"> </w:t>
      </w:r>
    </w:p>
    <w:p w14:paraId="4E198ADD" w14:textId="77777777" w:rsidR="00B10D2E" w:rsidRPr="00B10D2E" w:rsidRDefault="00B10D2E" w:rsidP="00B10D2E">
      <w:pPr>
        <w:rPr>
          <w:rFonts w:eastAsia="Calibri"/>
          <w:b/>
          <w:sz w:val="26"/>
          <w:szCs w:val="26"/>
          <w:lang w:eastAsia="en-US"/>
        </w:rPr>
      </w:pPr>
      <w:r w:rsidRPr="00B10D2E">
        <w:rPr>
          <w:rFonts w:eastAsia="Calibri"/>
          <w:b/>
          <w:sz w:val="26"/>
          <w:szCs w:val="26"/>
          <w:lang w:eastAsia="en-US"/>
        </w:rPr>
        <w:t>Inicia la exportación de petróleo</w:t>
      </w:r>
    </w:p>
    <w:p w14:paraId="44F119D3" w14:textId="77777777" w:rsidR="00B10D2E" w:rsidRPr="00B10D2E" w:rsidRDefault="00B10D2E" w:rsidP="00B10D2E">
      <w:pPr>
        <w:spacing w:after="360" w:line="360" w:lineRule="auto"/>
        <w:ind w:right="-159"/>
        <w:jc w:val="both"/>
        <w:rPr>
          <w:rFonts w:eastAsia="Calibri"/>
          <w:b/>
          <w:sz w:val="26"/>
          <w:szCs w:val="26"/>
          <w:lang w:eastAsia="en-US"/>
        </w:rPr>
      </w:pPr>
      <w:r w:rsidRPr="00B10D2E">
        <w:rPr>
          <w:rFonts w:eastAsia="Calibri"/>
          <w:b/>
          <w:sz w:val="26"/>
          <w:szCs w:val="26"/>
          <w:lang w:eastAsia="en-US"/>
        </w:rPr>
        <w:t>a Corea del Sur (Pemex)</w:t>
      </w:r>
    </w:p>
    <w:p w14:paraId="70788FD0" w14:textId="77777777" w:rsidR="00B10D2E" w:rsidRPr="00B10D2E" w:rsidRDefault="00B10D2E" w:rsidP="00B10D2E">
      <w:pPr>
        <w:spacing w:after="360" w:line="360" w:lineRule="auto"/>
        <w:ind w:right="-159"/>
        <w:jc w:val="both"/>
        <w:rPr>
          <w:rFonts w:eastAsia="Calibri"/>
          <w:sz w:val="26"/>
          <w:szCs w:val="26"/>
          <w:lang w:eastAsia="en-US"/>
        </w:rPr>
      </w:pPr>
      <w:r w:rsidRPr="00B10D2E">
        <w:rPr>
          <w:rFonts w:eastAsia="Calibri"/>
          <w:sz w:val="26"/>
          <w:szCs w:val="26"/>
          <w:lang w:eastAsia="en-US"/>
        </w:rPr>
        <w:t xml:space="preserve">El 9 de marzo de 2015, Petróleos Mexicanos (Pemex) informó que como parte del incremento de sus exportaciones al Lejano Oriente, inició la comercialización de petróleo crudo mexicano a Corea del Sur, la cual comenzó a fines de 2014 con embarques </w:t>
      </w:r>
      <w:r w:rsidRPr="00B10D2E">
        <w:rPr>
          <w:rFonts w:eastAsia="Calibri"/>
          <w:i/>
          <w:sz w:val="26"/>
          <w:szCs w:val="26"/>
          <w:lang w:eastAsia="en-US"/>
        </w:rPr>
        <w:t>spot</w:t>
      </w:r>
      <w:r w:rsidRPr="00B10D2E">
        <w:rPr>
          <w:rFonts w:eastAsia="Calibri"/>
          <w:sz w:val="26"/>
          <w:szCs w:val="26"/>
          <w:lang w:eastAsia="en-US"/>
        </w:rPr>
        <w:t xml:space="preserve"> que se están entregando desde enero y hasta el próximo abril por un volumen total aproximado de 5 millones de barriles.</w:t>
      </w:r>
    </w:p>
    <w:p w14:paraId="5C32086F" w14:textId="77777777" w:rsidR="00B10D2E" w:rsidRPr="00B10D2E" w:rsidRDefault="00B10D2E" w:rsidP="00B10D2E">
      <w:pPr>
        <w:spacing w:after="360" w:line="360" w:lineRule="auto"/>
        <w:ind w:right="-159"/>
        <w:jc w:val="both"/>
        <w:rPr>
          <w:rFonts w:eastAsia="Calibri"/>
          <w:sz w:val="26"/>
          <w:szCs w:val="26"/>
          <w:lang w:eastAsia="en-US"/>
        </w:rPr>
      </w:pPr>
      <w:r w:rsidRPr="00B10D2E">
        <w:rPr>
          <w:rFonts w:eastAsia="Calibri"/>
          <w:sz w:val="26"/>
          <w:szCs w:val="26"/>
          <w:lang w:eastAsia="en-US"/>
        </w:rPr>
        <w:t>Lo anterior forma parte de la estrategia comercial de Petróleos Mexicanos para diversificar geográficamente las exportaciones de crudo.</w:t>
      </w:r>
    </w:p>
    <w:p w14:paraId="067A7D7E" w14:textId="77777777" w:rsidR="00B10D2E" w:rsidRPr="00B10D2E" w:rsidRDefault="00B10D2E" w:rsidP="00B10D2E">
      <w:pPr>
        <w:spacing w:after="360" w:line="360" w:lineRule="auto"/>
        <w:ind w:right="-159"/>
        <w:jc w:val="both"/>
        <w:rPr>
          <w:rFonts w:eastAsia="Calibri"/>
          <w:sz w:val="26"/>
          <w:szCs w:val="26"/>
          <w:lang w:eastAsia="en-US"/>
        </w:rPr>
      </w:pPr>
      <w:r w:rsidRPr="00B10D2E">
        <w:rPr>
          <w:rFonts w:eastAsia="Calibri"/>
          <w:sz w:val="26"/>
          <w:szCs w:val="26"/>
          <w:lang w:eastAsia="en-US"/>
        </w:rPr>
        <w:lastRenderedPageBreak/>
        <w:t>La mayor parte del volumen entregado a Corea fue colocado con la empresa Hyundai Oilbank Co. Ltd. (80%) y el resto con GS Caltex Singapore Pte. Ltd. Por tipo de crudo, el suministro se conformó por 80% de crudo Istmo y 20% de Maya, en embarques sencillos o combinados de un millón de barriles cada uno, los cuales se valoran conforme a las fórmulas de precio correspondientes para Lejano Oriente.</w:t>
      </w:r>
    </w:p>
    <w:p w14:paraId="242D0538" w14:textId="77777777" w:rsidR="00B10D2E" w:rsidRPr="00B10D2E" w:rsidRDefault="00B10D2E" w:rsidP="00B10D2E">
      <w:pPr>
        <w:spacing w:after="360" w:line="360" w:lineRule="auto"/>
        <w:ind w:right="-159"/>
        <w:jc w:val="both"/>
        <w:rPr>
          <w:rFonts w:eastAsia="Calibri"/>
          <w:sz w:val="26"/>
          <w:szCs w:val="26"/>
          <w:lang w:eastAsia="en-US"/>
        </w:rPr>
      </w:pPr>
      <w:r w:rsidRPr="00B10D2E">
        <w:rPr>
          <w:rFonts w:eastAsia="Calibri"/>
          <w:sz w:val="26"/>
          <w:szCs w:val="26"/>
          <w:lang w:eastAsia="en-US"/>
        </w:rPr>
        <w:t>La entrega del petróleo se ha realizado a través de terminales marítimas de Pemex, tanto del Pacífico como del Golfo de México.</w:t>
      </w:r>
    </w:p>
    <w:p w14:paraId="6E2E02E4" w14:textId="77777777" w:rsidR="00B10D2E" w:rsidRPr="00B10D2E" w:rsidRDefault="00B10D2E" w:rsidP="00B10D2E">
      <w:pPr>
        <w:ind w:right="-159"/>
        <w:jc w:val="both"/>
        <w:rPr>
          <w:rFonts w:eastAsia="Calibri"/>
          <w:sz w:val="20"/>
          <w:szCs w:val="20"/>
          <w:lang w:eastAsia="en-US"/>
        </w:rPr>
      </w:pPr>
      <w:r w:rsidRPr="00B10D2E">
        <w:rPr>
          <w:rFonts w:eastAsia="Calibri"/>
          <w:b/>
          <w:sz w:val="20"/>
          <w:szCs w:val="20"/>
          <w:lang w:eastAsia="en-US"/>
        </w:rPr>
        <w:t>Fuente de información</w:t>
      </w:r>
      <w:r w:rsidRPr="00B10D2E">
        <w:rPr>
          <w:rFonts w:eastAsia="Calibri"/>
          <w:sz w:val="20"/>
          <w:szCs w:val="20"/>
          <w:lang w:eastAsia="en-US"/>
        </w:rPr>
        <w:t>:</w:t>
      </w:r>
    </w:p>
    <w:p w14:paraId="7631E4F4" w14:textId="77777777" w:rsidR="00B10D2E" w:rsidRPr="004C101E" w:rsidRDefault="00872B0E" w:rsidP="004C101E">
      <w:pPr>
        <w:spacing w:after="720"/>
        <w:ind w:right="-159"/>
        <w:jc w:val="both"/>
        <w:rPr>
          <w:rFonts w:eastAsia="Calibri"/>
          <w:color w:val="0000FF"/>
          <w:sz w:val="20"/>
          <w:szCs w:val="20"/>
          <w:lang w:eastAsia="en-US"/>
        </w:rPr>
      </w:pPr>
      <w:hyperlink r:id="rId24" w:anchor=".VP9AwPmG9ps" w:history="1">
        <w:r w:rsidR="00B10D2E" w:rsidRPr="004C101E">
          <w:rPr>
            <w:rFonts w:eastAsia="Calibri"/>
            <w:color w:val="0000FF"/>
            <w:sz w:val="20"/>
            <w:szCs w:val="20"/>
            <w:u w:val="single"/>
            <w:lang w:eastAsia="en-US"/>
          </w:rPr>
          <w:t>http://www.pemex.com/prensa/boletines_nacionales/Paginas/2015-019-nacional.aspx#.VP9AwPmG9ps</w:t>
        </w:r>
      </w:hyperlink>
    </w:p>
    <w:p w14:paraId="1D5DF751" w14:textId="15851FDE" w:rsidR="00B473F5" w:rsidRPr="000E3A45" w:rsidRDefault="00B473F5" w:rsidP="00B473F5">
      <w:pPr>
        <w:spacing w:before="360" w:after="360" w:line="360" w:lineRule="auto"/>
        <w:ind w:right="-159"/>
        <w:jc w:val="both"/>
        <w:rPr>
          <w:b/>
          <w:sz w:val="26"/>
          <w:szCs w:val="26"/>
          <w:lang w:val="es-ES"/>
        </w:rPr>
      </w:pPr>
      <w:r w:rsidRPr="000E3A45">
        <w:rPr>
          <w:b/>
          <w:sz w:val="26"/>
          <w:szCs w:val="26"/>
          <w:lang w:val="es-ES"/>
        </w:rPr>
        <w:t>Petróleo crudo de exportación (Pemex)</w:t>
      </w:r>
    </w:p>
    <w:p w14:paraId="38E59918" w14:textId="44B6C231" w:rsidR="00B473F5" w:rsidRPr="000E3A45" w:rsidRDefault="00B473F5" w:rsidP="00B473F5">
      <w:pPr>
        <w:spacing w:after="360" w:line="360" w:lineRule="auto"/>
        <w:ind w:right="-159"/>
        <w:jc w:val="both"/>
        <w:rPr>
          <w:sz w:val="26"/>
          <w:szCs w:val="26"/>
        </w:rPr>
      </w:pPr>
      <w:bookmarkStart w:id="4" w:name="OLE_LINK75"/>
      <w:r w:rsidRPr="000E3A45">
        <w:rPr>
          <w:sz w:val="26"/>
          <w:szCs w:val="26"/>
        </w:rPr>
        <w:t>De conformidad con cifras disponibles de Petróleos Mexicanos (Pemex) y de la Secretaría de Energía (Sener)</w:t>
      </w:r>
      <w:r w:rsidR="004C101E">
        <w:rPr>
          <w:sz w:val="26"/>
          <w:szCs w:val="26"/>
        </w:rPr>
        <w:t>,</w:t>
      </w:r>
      <w:r w:rsidRPr="000E3A45">
        <w:rPr>
          <w:sz w:val="26"/>
          <w:szCs w:val="26"/>
        </w:rPr>
        <w:t xml:space="preserve"> el precio promedio de la mezcla mexicana de exportación </w:t>
      </w:r>
      <w:r w:rsidR="003F6BB8">
        <w:rPr>
          <w:sz w:val="26"/>
          <w:szCs w:val="26"/>
        </w:rPr>
        <w:t xml:space="preserve">del </w:t>
      </w:r>
      <w:r w:rsidR="004C101E">
        <w:rPr>
          <w:sz w:val="26"/>
          <w:szCs w:val="26"/>
        </w:rPr>
        <w:t>2</w:t>
      </w:r>
      <w:r w:rsidR="003F6BB8">
        <w:rPr>
          <w:sz w:val="26"/>
          <w:szCs w:val="26"/>
        </w:rPr>
        <w:t xml:space="preserve"> </w:t>
      </w:r>
      <w:r w:rsidR="00E33E93">
        <w:rPr>
          <w:sz w:val="26"/>
          <w:szCs w:val="26"/>
        </w:rPr>
        <w:t xml:space="preserve">al </w:t>
      </w:r>
      <w:r w:rsidR="00B83744">
        <w:rPr>
          <w:sz w:val="26"/>
          <w:szCs w:val="26"/>
        </w:rPr>
        <w:t>13</w:t>
      </w:r>
      <w:r w:rsidR="00F80FE5">
        <w:rPr>
          <w:sz w:val="26"/>
          <w:szCs w:val="26"/>
        </w:rPr>
        <w:t xml:space="preserve"> de </w:t>
      </w:r>
      <w:r w:rsidR="00B83744">
        <w:rPr>
          <w:sz w:val="26"/>
          <w:szCs w:val="26"/>
        </w:rPr>
        <w:t>marzo</w:t>
      </w:r>
      <w:r w:rsidR="00F80FE5">
        <w:rPr>
          <w:sz w:val="26"/>
          <w:szCs w:val="26"/>
        </w:rPr>
        <w:t xml:space="preserve"> de 2015, f</w:t>
      </w:r>
      <w:r w:rsidRPr="000E3A45">
        <w:rPr>
          <w:sz w:val="26"/>
          <w:szCs w:val="26"/>
        </w:rPr>
        <w:t xml:space="preserve">ue de </w:t>
      </w:r>
      <w:r w:rsidR="003A1D76" w:rsidRPr="000E3A45">
        <w:rPr>
          <w:sz w:val="26"/>
          <w:szCs w:val="26"/>
        </w:rPr>
        <w:t>4</w:t>
      </w:r>
      <w:r w:rsidR="001C2D9C">
        <w:rPr>
          <w:sz w:val="26"/>
          <w:szCs w:val="26"/>
        </w:rPr>
        <w:t>7</w:t>
      </w:r>
      <w:r w:rsidR="00F80FE5">
        <w:rPr>
          <w:sz w:val="26"/>
          <w:szCs w:val="26"/>
        </w:rPr>
        <w:t>.</w:t>
      </w:r>
      <w:r w:rsidR="001C2D9C">
        <w:rPr>
          <w:sz w:val="26"/>
          <w:szCs w:val="26"/>
        </w:rPr>
        <w:t>79</w:t>
      </w:r>
      <w:r w:rsidRPr="000E3A45">
        <w:rPr>
          <w:sz w:val="26"/>
          <w:szCs w:val="26"/>
        </w:rPr>
        <w:t xml:space="preserve"> d/b, cotización </w:t>
      </w:r>
      <w:r w:rsidR="004C101E">
        <w:rPr>
          <w:sz w:val="26"/>
          <w:szCs w:val="26"/>
        </w:rPr>
        <w:t>0.72</w:t>
      </w:r>
      <w:r w:rsidRPr="000E3A45">
        <w:rPr>
          <w:sz w:val="26"/>
          <w:szCs w:val="26"/>
        </w:rPr>
        <w:t>% m</w:t>
      </w:r>
      <w:r w:rsidR="007E03B3">
        <w:rPr>
          <w:sz w:val="26"/>
          <w:szCs w:val="26"/>
        </w:rPr>
        <w:t>ayor</w:t>
      </w:r>
      <w:r w:rsidRPr="000E3A45">
        <w:rPr>
          <w:sz w:val="26"/>
          <w:szCs w:val="26"/>
        </w:rPr>
        <w:t xml:space="preserve"> a la registrada en </w:t>
      </w:r>
      <w:r w:rsidR="003F4CB4">
        <w:rPr>
          <w:sz w:val="26"/>
          <w:szCs w:val="26"/>
        </w:rPr>
        <w:t>febrero</w:t>
      </w:r>
      <w:r w:rsidR="007E03B3">
        <w:rPr>
          <w:sz w:val="26"/>
          <w:szCs w:val="26"/>
        </w:rPr>
        <w:t xml:space="preserve"> pasado (</w:t>
      </w:r>
      <w:r w:rsidR="003F4CB4">
        <w:rPr>
          <w:sz w:val="26"/>
          <w:szCs w:val="26"/>
        </w:rPr>
        <w:t>47.45</w:t>
      </w:r>
      <w:r w:rsidR="007E03B3">
        <w:rPr>
          <w:sz w:val="26"/>
          <w:szCs w:val="26"/>
        </w:rPr>
        <w:t xml:space="preserve"> d/b), </w:t>
      </w:r>
      <w:r w:rsidR="003F4CB4">
        <w:rPr>
          <w:sz w:val="26"/>
          <w:szCs w:val="26"/>
        </w:rPr>
        <w:t>8.73</w:t>
      </w:r>
      <w:r w:rsidR="007E03B3">
        <w:rPr>
          <w:sz w:val="26"/>
          <w:szCs w:val="26"/>
        </w:rPr>
        <w:t xml:space="preserve">% menor a </w:t>
      </w:r>
      <w:r w:rsidR="007621AB">
        <w:rPr>
          <w:sz w:val="26"/>
          <w:szCs w:val="26"/>
        </w:rPr>
        <w:t xml:space="preserve">diciembre </w:t>
      </w:r>
      <w:r w:rsidR="007E03B3">
        <w:rPr>
          <w:sz w:val="26"/>
          <w:szCs w:val="26"/>
        </w:rPr>
        <w:t>de 2014</w:t>
      </w:r>
      <w:r w:rsidRPr="000E3A45">
        <w:rPr>
          <w:sz w:val="26"/>
          <w:szCs w:val="26"/>
        </w:rPr>
        <w:t xml:space="preserve"> (</w:t>
      </w:r>
      <w:r w:rsidR="007621AB">
        <w:rPr>
          <w:sz w:val="26"/>
          <w:szCs w:val="26"/>
        </w:rPr>
        <w:t>52.3</w:t>
      </w:r>
      <w:r w:rsidR="003F4CB4">
        <w:rPr>
          <w:sz w:val="26"/>
          <w:szCs w:val="26"/>
        </w:rPr>
        <w:t>6</w:t>
      </w:r>
      <w:r w:rsidRPr="000E3A45">
        <w:rPr>
          <w:sz w:val="26"/>
          <w:szCs w:val="26"/>
        </w:rPr>
        <w:t xml:space="preserve"> d/b),</w:t>
      </w:r>
      <w:r w:rsidR="003A1D76" w:rsidRPr="000E3A45">
        <w:rPr>
          <w:sz w:val="26"/>
          <w:szCs w:val="26"/>
        </w:rPr>
        <w:t xml:space="preserve"> </w:t>
      </w:r>
      <w:r w:rsidR="007621AB">
        <w:rPr>
          <w:sz w:val="26"/>
          <w:szCs w:val="26"/>
        </w:rPr>
        <w:t xml:space="preserve">e </w:t>
      </w:r>
      <w:r w:rsidRPr="000E3A45">
        <w:rPr>
          <w:sz w:val="26"/>
          <w:szCs w:val="26"/>
        </w:rPr>
        <w:t xml:space="preserve">inferior en </w:t>
      </w:r>
      <w:r w:rsidR="003F4CB4">
        <w:rPr>
          <w:sz w:val="26"/>
          <w:szCs w:val="26"/>
        </w:rPr>
        <w:t>48.88</w:t>
      </w:r>
      <w:r w:rsidRPr="000E3A45">
        <w:rPr>
          <w:sz w:val="26"/>
          <w:szCs w:val="26"/>
        </w:rPr>
        <w:t xml:space="preserve">% si se le compara con el promedio de </w:t>
      </w:r>
      <w:r w:rsidR="003F4CB4">
        <w:rPr>
          <w:sz w:val="26"/>
          <w:szCs w:val="26"/>
        </w:rPr>
        <w:t>marzo</w:t>
      </w:r>
      <w:r w:rsidRPr="000E3A45">
        <w:rPr>
          <w:sz w:val="26"/>
          <w:szCs w:val="26"/>
        </w:rPr>
        <w:t xml:space="preserve"> de 201</w:t>
      </w:r>
      <w:r w:rsidR="00F95A4D">
        <w:rPr>
          <w:sz w:val="26"/>
          <w:szCs w:val="26"/>
        </w:rPr>
        <w:t>4</w:t>
      </w:r>
      <w:r w:rsidRPr="000E3A45">
        <w:rPr>
          <w:sz w:val="26"/>
          <w:szCs w:val="26"/>
        </w:rPr>
        <w:t xml:space="preserve"> (9</w:t>
      </w:r>
      <w:r w:rsidR="00FF0CAA">
        <w:rPr>
          <w:sz w:val="26"/>
          <w:szCs w:val="26"/>
        </w:rPr>
        <w:t>3.</w:t>
      </w:r>
      <w:r w:rsidR="003F4CB4">
        <w:rPr>
          <w:sz w:val="26"/>
          <w:szCs w:val="26"/>
        </w:rPr>
        <w:t>48</w:t>
      </w:r>
      <w:r w:rsidRPr="000E3A45">
        <w:rPr>
          <w:sz w:val="26"/>
          <w:szCs w:val="26"/>
        </w:rPr>
        <w:t xml:space="preserve"> d/b).</w:t>
      </w:r>
      <w:bookmarkEnd w:id="4"/>
    </w:p>
    <w:p w14:paraId="5B2F102C" w14:textId="25E915BB" w:rsidR="00B473F5" w:rsidRPr="000E3A45" w:rsidRDefault="00343A56" w:rsidP="00B473F5">
      <w:pPr>
        <w:spacing w:after="360" w:line="360" w:lineRule="auto"/>
        <w:ind w:right="-159"/>
        <w:jc w:val="center"/>
      </w:pPr>
      <w:r w:rsidRPr="00343A56">
        <w:rPr>
          <w:rFonts w:ascii="Calibri" w:eastAsia="Calibri" w:hAnsi="Calibri"/>
          <w:sz w:val="22"/>
          <w:szCs w:val="22"/>
          <w:lang w:eastAsia="en-US"/>
        </w:rPr>
        <w:lastRenderedPageBreak/>
        <w:fldChar w:fldCharType="begin"/>
      </w:r>
      <w:r w:rsidRPr="00343A56">
        <w:rPr>
          <w:rFonts w:ascii="Calibri" w:eastAsia="Calibri" w:hAnsi="Calibri"/>
          <w:sz w:val="22"/>
          <w:szCs w:val="22"/>
          <w:lang w:eastAsia="en-US"/>
        </w:rPr>
        <w:instrText xml:space="preserve"> LINK PowerPoint.Slide.8 "D:\\2015\\MARZO 2014\\GRÁFICAS EN POWER POINT\\9.- GRÁFICAS DE PETRÓLEOII.pptx!260" "" \a \p </w:instrText>
      </w:r>
      <w:r w:rsidRPr="00343A56">
        <w:rPr>
          <w:rFonts w:ascii="Calibri" w:eastAsia="Calibri" w:hAnsi="Calibri"/>
          <w:sz w:val="22"/>
          <w:szCs w:val="22"/>
          <w:lang w:eastAsia="en-US"/>
        </w:rPr>
        <w:fldChar w:fldCharType="separate"/>
      </w:r>
      <w:r w:rsidRPr="00343A56">
        <w:rPr>
          <w:rFonts w:ascii="Calibri" w:eastAsia="Calibri" w:hAnsi="Calibri"/>
          <w:noProof/>
          <w:sz w:val="22"/>
          <w:szCs w:val="22"/>
          <w:lang w:eastAsia="es-MX"/>
        </w:rPr>
        <w:drawing>
          <wp:inline distT="0" distB="0" distL="0" distR="0" wp14:anchorId="6E18EB5B" wp14:editId="6595263E">
            <wp:extent cx="5733415" cy="2953385"/>
            <wp:effectExtent l="0" t="0" r="635" b="0"/>
            <wp:docPr id="1595" name="Imagen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25" cstate="print">
                      <a:extLst>
                        <a:ext uri="{28A0092B-C50C-407E-A947-70E740481C1C}">
                          <a14:useLocalDpi xmlns:a14="http://schemas.microsoft.com/office/drawing/2010/main" val="0"/>
                        </a:ext>
                      </a:extLst>
                    </a:blip>
                    <a:srcRect l="4250" t="5804" r="1421" b="8066"/>
                    <a:stretch>
                      <a:fillRect/>
                    </a:stretch>
                  </pic:blipFill>
                  <pic:spPr bwMode="auto">
                    <a:xfrm>
                      <a:off x="0" y="0"/>
                      <a:ext cx="5733415" cy="2953385"/>
                    </a:xfrm>
                    <a:prstGeom prst="rect">
                      <a:avLst/>
                    </a:prstGeom>
                    <a:noFill/>
                    <a:ln>
                      <a:noFill/>
                    </a:ln>
                  </pic:spPr>
                </pic:pic>
              </a:graphicData>
            </a:graphic>
          </wp:inline>
        </w:drawing>
      </w:r>
      <w:r w:rsidRPr="00343A56">
        <w:rPr>
          <w:rFonts w:ascii="Calibri" w:eastAsia="Calibri" w:hAnsi="Calibri"/>
          <w:sz w:val="22"/>
          <w:szCs w:val="22"/>
          <w:lang w:eastAsia="en-US"/>
        </w:rPr>
        <w:fldChar w:fldCharType="end"/>
      </w:r>
    </w:p>
    <w:p w14:paraId="368DD416" w14:textId="3244B0D0" w:rsidR="00FF0CAA" w:rsidRDefault="00B473F5" w:rsidP="00B473F5">
      <w:pPr>
        <w:spacing w:after="360" w:line="360" w:lineRule="auto"/>
        <w:ind w:right="-159"/>
        <w:jc w:val="both"/>
        <w:rPr>
          <w:sz w:val="26"/>
          <w:szCs w:val="26"/>
        </w:rPr>
      </w:pPr>
      <w:r w:rsidRPr="000E3A45">
        <w:rPr>
          <w:sz w:val="26"/>
          <w:szCs w:val="26"/>
        </w:rPr>
        <w:t xml:space="preserve">Por su parte, </w:t>
      </w:r>
      <w:r w:rsidR="00F95A4D">
        <w:rPr>
          <w:sz w:val="26"/>
          <w:szCs w:val="26"/>
        </w:rPr>
        <w:t>el precio promedio d</w:t>
      </w:r>
      <w:r w:rsidRPr="000E3A45">
        <w:rPr>
          <w:sz w:val="26"/>
          <w:szCs w:val="26"/>
        </w:rPr>
        <w:t xml:space="preserve">el crudo West Texas Intermediate (WTI) </w:t>
      </w:r>
      <w:r w:rsidR="00F95A4D">
        <w:rPr>
          <w:sz w:val="26"/>
          <w:szCs w:val="26"/>
        </w:rPr>
        <w:t xml:space="preserve">en </w:t>
      </w:r>
      <w:r w:rsidR="00FF0CAA">
        <w:rPr>
          <w:sz w:val="26"/>
          <w:szCs w:val="26"/>
        </w:rPr>
        <w:t xml:space="preserve">los primeros </w:t>
      </w:r>
      <w:r w:rsidR="003F4CB4">
        <w:rPr>
          <w:sz w:val="26"/>
          <w:szCs w:val="26"/>
        </w:rPr>
        <w:t>13</w:t>
      </w:r>
      <w:r w:rsidR="00FF0CAA">
        <w:rPr>
          <w:sz w:val="26"/>
          <w:szCs w:val="26"/>
        </w:rPr>
        <w:t xml:space="preserve"> días de </w:t>
      </w:r>
      <w:r w:rsidR="003F4CB4">
        <w:rPr>
          <w:sz w:val="26"/>
          <w:szCs w:val="26"/>
        </w:rPr>
        <w:t>marzo</w:t>
      </w:r>
      <w:r w:rsidR="00FF0CAA">
        <w:rPr>
          <w:sz w:val="26"/>
          <w:szCs w:val="26"/>
        </w:rPr>
        <w:t xml:space="preserve"> registró un prom</w:t>
      </w:r>
      <w:r w:rsidR="008C0EF4">
        <w:rPr>
          <w:sz w:val="26"/>
          <w:szCs w:val="26"/>
        </w:rPr>
        <w:t>e</w:t>
      </w:r>
      <w:r w:rsidR="00FF0CAA">
        <w:rPr>
          <w:sz w:val="26"/>
          <w:szCs w:val="26"/>
        </w:rPr>
        <w:t xml:space="preserve">dio de </w:t>
      </w:r>
      <w:r w:rsidR="003F4CB4">
        <w:rPr>
          <w:sz w:val="26"/>
          <w:szCs w:val="26"/>
        </w:rPr>
        <w:t>48.99</w:t>
      </w:r>
      <w:r w:rsidR="00FF0CAA">
        <w:rPr>
          <w:sz w:val="26"/>
          <w:szCs w:val="26"/>
        </w:rPr>
        <w:t xml:space="preserve"> d/b, lo que significó un</w:t>
      </w:r>
      <w:r w:rsidR="003F4CB4">
        <w:rPr>
          <w:sz w:val="26"/>
          <w:szCs w:val="26"/>
        </w:rPr>
        <w:t>a dismin</w:t>
      </w:r>
      <w:r w:rsidR="004C101E">
        <w:rPr>
          <w:sz w:val="26"/>
          <w:szCs w:val="26"/>
        </w:rPr>
        <w:t>u</w:t>
      </w:r>
      <w:r w:rsidR="003F4CB4">
        <w:rPr>
          <w:sz w:val="26"/>
          <w:szCs w:val="26"/>
        </w:rPr>
        <w:t>ción</w:t>
      </w:r>
      <w:r w:rsidR="00FF0CAA">
        <w:rPr>
          <w:sz w:val="26"/>
          <w:szCs w:val="26"/>
        </w:rPr>
        <w:t xml:space="preserve"> de </w:t>
      </w:r>
      <w:r w:rsidR="003F4CB4">
        <w:rPr>
          <w:sz w:val="26"/>
          <w:szCs w:val="26"/>
        </w:rPr>
        <w:t>3.05</w:t>
      </w:r>
      <w:r w:rsidR="00FF0CAA">
        <w:rPr>
          <w:sz w:val="26"/>
          <w:szCs w:val="26"/>
        </w:rPr>
        <w:t>% con relación al mes inmediato anterior (</w:t>
      </w:r>
      <w:r w:rsidR="003F4CB4">
        <w:rPr>
          <w:sz w:val="26"/>
          <w:szCs w:val="26"/>
        </w:rPr>
        <w:t>50.53</w:t>
      </w:r>
      <w:r w:rsidR="00FF0CAA">
        <w:rPr>
          <w:sz w:val="26"/>
          <w:szCs w:val="26"/>
        </w:rPr>
        <w:t xml:space="preserve">%), pero </w:t>
      </w:r>
      <w:r w:rsidR="008C0EF4">
        <w:rPr>
          <w:sz w:val="26"/>
          <w:szCs w:val="26"/>
        </w:rPr>
        <w:t xml:space="preserve">menor en </w:t>
      </w:r>
      <w:r w:rsidR="00FF0CAA">
        <w:rPr>
          <w:sz w:val="26"/>
          <w:szCs w:val="26"/>
        </w:rPr>
        <w:t>1</w:t>
      </w:r>
      <w:r w:rsidR="00252495">
        <w:rPr>
          <w:sz w:val="26"/>
          <w:szCs w:val="26"/>
        </w:rPr>
        <w:t>6.66</w:t>
      </w:r>
      <w:r w:rsidR="00FF0CAA">
        <w:rPr>
          <w:sz w:val="26"/>
          <w:szCs w:val="26"/>
        </w:rPr>
        <w:t xml:space="preserve">% con respecto a </w:t>
      </w:r>
      <w:r w:rsidR="00F95A4D">
        <w:rPr>
          <w:sz w:val="26"/>
          <w:szCs w:val="26"/>
        </w:rPr>
        <w:t>diciembre de 2014</w:t>
      </w:r>
      <w:r w:rsidR="00FF0CAA">
        <w:rPr>
          <w:sz w:val="26"/>
          <w:szCs w:val="26"/>
        </w:rPr>
        <w:t xml:space="preserve"> (</w:t>
      </w:r>
      <w:r w:rsidR="00F95A4D">
        <w:rPr>
          <w:sz w:val="26"/>
          <w:szCs w:val="26"/>
        </w:rPr>
        <w:t>58.78 d/b</w:t>
      </w:r>
      <w:r w:rsidR="00FF0CAA">
        <w:rPr>
          <w:sz w:val="26"/>
          <w:szCs w:val="26"/>
        </w:rPr>
        <w:t xml:space="preserve">), e inferior en </w:t>
      </w:r>
      <w:r w:rsidR="00252495">
        <w:rPr>
          <w:sz w:val="26"/>
          <w:szCs w:val="26"/>
        </w:rPr>
        <w:t>51.43</w:t>
      </w:r>
      <w:r w:rsidR="00FF0CAA">
        <w:rPr>
          <w:sz w:val="26"/>
          <w:szCs w:val="26"/>
        </w:rPr>
        <w:t xml:space="preserve">% si se le compara con el promedio de </w:t>
      </w:r>
      <w:r w:rsidR="003F4CB4">
        <w:rPr>
          <w:sz w:val="26"/>
          <w:szCs w:val="26"/>
        </w:rPr>
        <w:t>marzo</w:t>
      </w:r>
      <w:r w:rsidR="00FF0CAA">
        <w:rPr>
          <w:sz w:val="26"/>
          <w:szCs w:val="26"/>
        </w:rPr>
        <w:t xml:space="preserve"> de 2014 (100.8</w:t>
      </w:r>
      <w:r w:rsidR="003F4CB4">
        <w:rPr>
          <w:sz w:val="26"/>
          <w:szCs w:val="26"/>
        </w:rPr>
        <w:t>7</w:t>
      </w:r>
      <w:r w:rsidR="00FF0CAA">
        <w:rPr>
          <w:sz w:val="26"/>
          <w:szCs w:val="26"/>
        </w:rPr>
        <w:t xml:space="preserve"> d/b).</w:t>
      </w:r>
    </w:p>
    <w:p w14:paraId="2E96735B" w14:textId="0109CFDC" w:rsidR="00FF0CAA" w:rsidRDefault="000E2CE0" w:rsidP="00B473F5">
      <w:pPr>
        <w:spacing w:after="360" w:line="360" w:lineRule="auto"/>
        <w:ind w:right="-159"/>
        <w:jc w:val="both"/>
        <w:rPr>
          <w:sz w:val="26"/>
          <w:szCs w:val="26"/>
          <w:lang w:val="es-ES"/>
        </w:rPr>
      </w:pPr>
      <w:bookmarkStart w:id="5" w:name="OLE_LINK64"/>
      <w:bookmarkStart w:id="6" w:name="OLE_LINK66"/>
      <w:r>
        <w:rPr>
          <w:sz w:val="26"/>
          <w:szCs w:val="26"/>
          <w:lang w:val="es-ES"/>
        </w:rPr>
        <w:t xml:space="preserve">Asimismo, </w:t>
      </w:r>
      <w:r w:rsidR="00B473F5" w:rsidRPr="000E3A45">
        <w:rPr>
          <w:sz w:val="26"/>
          <w:szCs w:val="26"/>
          <w:lang w:val="es-ES"/>
        </w:rPr>
        <w:t xml:space="preserve">durante los primeros </w:t>
      </w:r>
      <w:r w:rsidR="003F4CB4">
        <w:rPr>
          <w:sz w:val="26"/>
          <w:szCs w:val="26"/>
          <w:lang w:val="es-ES"/>
        </w:rPr>
        <w:t>13</w:t>
      </w:r>
      <w:r w:rsidR="00B473F5" w:rsidRPr="000E3A45">
        <w:rPr>
          <w:sz w:val="26"/>
          <w:szCs w:val="26"/>
          <w:lang w:val="es-ES"/>
        </w:rPr>
        <w:t xml:space="preserve"> días de </w:t>
      </w:r>
      <w:r w:rsidR="003F4CB4">
        <w:rPr>
          <w:sz w:val="26"/>
          <w:szCs w:val="26"/>
          <w:lang w:val="es-ES"/>
        </w:rPr>
        <w:t>marzo</w:t>
      </w:r>
      <w:r w:rsidR="00B473F5" w:rsidRPr="000E3A45">
        <w:rPr>
          <w:sz w:val="26"/>
          <w:szCs w:val="26"/>
          <w:lang w:val="es-ES"/>
        </w:rPr>
        <w:t xml:space="preserve"> del presente año, la cotización promedio del crudo Brent del Mar del Norte fue de </w:t>
      </w:r>
      <w:r>
        <w:rPr>
          <w:sz w:val="26"/>
          <w:szCs w:val="26"/>
          <w:lang w:val="es-ES"/>
        </w:rPr>
        <w:t>5</w:t>
      </w:r>
      <w:r w:rsidR="003F4CB4">
        <w:rPr>
          <w:sz w:val="26"/>
          <w:szCs w:val="26"/>
          <w:lang w:val="es-ES"/>
        </w:rPr>
        <w:t>8.95</w:t>
      </w:r>
      <w:r w:rsidR="00B473F5" w:rsidRPr="000E3A45">
        <w:rPr>
          <w:sz w:val="26"/>
          <w:szCs w:val="26"/>
          <w:lang w:val="es-ES"/>
        </w:rPr>
        <w:t xml:space="preserve"> d/b, precio que significó un </w:t>
      </w:r>
      <w:r w:rsidR="00C7654B">
        <w:rPr>
          <w:sz w:val="26"/>
          <w:szCs w:val="26"/>
          <w:lang w:val="es-ES"/>
        </w:rPr>
        <w:t>incremento d</w:t>
      </w:r>
      <w:r w:rsidR="00B473F5" w:rsidRPr="000E3A45">
        <w:rPr>
          <w:sz w:val="26"/>
          <w:szCs w:val="26"/>
          <w:lang w:val="es-ES"/>
        </w:rPr>
        <w:t xml:space="preserve">e </w:t>
      </w:r>
      <w:r>
        <w:rPr>
          <w:sz w:val="26"/>
          <w:szCs w:val="26"/>
          <w:lang w:val="es-ES"/>
        </w:rPr>
        <w:t>1</w:t>
      </w:r>
      <w:r w:rsidR="003F4CB4">
        <w:rPr>
          <w:sz w:val="26"/>
          <w:szCs w:val="26"/>
          <w:lang w:val="es-ES"/>
        </w:rPr>
        <w:t>.73</w:t>
      </w:r>
      <w:r w:rsidR="00B473F5" w:rsidRPr="000E3A45">
        <w:rPr>
          <w:sz w:val="26"/>
          <w:szCs w:val="26"/>
          <w:lang w:val="es-ES"/>
        </w:rPr>
        <w:t>% con relación a</w:t>
      </w:r>
      <w:r w:rsidR="003F4CB4">
        <w:rPr>
          <w:sz w:val="26"/>
          <w:szCs w:val="26"/>
          <w:lang w:val="es-ES"/>
        </w:rPr>
        <w:t xml:space="preserve"> febrero pasado</w:t>
      </w:r>
      <w:r w:rsidR="00B473F5" w:rsidRPr="000E3A45">
        <w:rPr>
          <w:sz w:val="26"/>
          <w:szCs w:val="26"/>
          <w:lang w:val="es-ES"/>
        </w:rPr>
        <w:t xml:space="preserve"> </w:t>
      </w:r>
      <w:r w:rsidR="00FF0CAA">
        <w:rPr>
          <w:sz w:val="26"/>
          <w:szCs w:val="26"/>
          <w:lang w:val="es-ES"/>
        </w:rPr>
        <w:t>(</w:t>
      </w:r>
      <w:r w:rsidR="003F4CB4">
        <w:rPr>
          <w:sz w:val="26"/>
          <w:szCs w:val="26"/>
          <w:lang w:val="es-ES"/>
        </w:rPr>
        <w:t>5</w:t>
      </w:r>
      <w:r w:rsidR="00FF0CAA">
        <w:rPr>
          <w:sz w:val="26"/>
          <w:szCs w:val="26"/>
          <w:lang w:val="es-ES"/>
        </w:rPr>
        <w:t>7.</w:t>
      </w:r>
      <w:r w:rsidR="003F4CB4">
        <w:rPr>
          <w:sz w:val="26"/>
          <w:szCs w:val="26"/>
          <w:lang w:val="es-ES"/>
        </w:rPr>
        <w:t>95</w:t>
      </w:r>
      <w:r w:rsidR="00FF0CAA">
        <w:rPr>
          <w:sz w:val="26"/>
          <w:szCs w:val="26"/>
          <w:lang w:val="es-ES"/>
        </w:rPr>
        <w:t xml:space="preserve"> d/b)</w:t>
      </w:r>
      <w:r w:rsidR="00C7654B">
        <w:rPr>
          <w:sz w:val="26"/>
          <w:szCs w:val="26"/>
          <w:lang w:val="es-ES"/>
        </w:rPr>
        <w:t xml:space="preserve">, menor en </w:t>
      </w:r>
      <w:r w:rsidR="003F4CB4">
        <w:rPr>
          <w:sz w:val="26"/>
          <w:szCs w:val="26"/>
          <w:lang w:val="es-ES"/>
        </w:rPr>
        <w:t>5.12</w:t>
      </w:r>
      <w:r w:rsidR="00C7654B">
        <w:rPr>
          <w:sz w:val="26"/>
          <w:szCs w:val="26"/>
          <w:lang w:val="es-ES"/>
        </w:rPr>
        <w:t xml:space="preserve">% respecto a diciembre anterior (62.13 d/b), e inferior en </w:t>
      </w:r>
      <w:r w:rsidR="003F4CB4">
        <w:rPr>
          <w:sz w:val="26"/>
          <w:szCs w:val="26"/>
          <w:lang w:val="es-ES"/>
        </w:rPr>
        <w:t>4</w:t>
      </w:r>
      <w:r w:rsidR="00C7654B">
        <w:rPr>
          <w:sz w:val="26"/>
          <w:szCs w:val="26"/>
          <w:lang w:val="es-ES"/>
        </w:rPr>
        <w:t>5.5</w:t>
      </w:r>
      <w:r w:rsidR="003F4CB4">
        <w:rPr>
          <w:sz w:val="26"/>
          <w:szCs w:val="26"/>
          <w:lang w:val="es-ES"/>
        </w:rPr>
        <w:t>6</w:t>
      </w:r>
      <w:r w:rsidR="00C7654B">
        <w:rPr>
          <w:sz w:val="26"/>
          <w:szCs w:val="26"/>
          <w:lang w:val="es-ES"/>
        </w:rPr>
        <w:t xml:space="preserve">% si se le compara con el promedio de </w:t>
      </w:r>
      <w:r w:rsidR="003F4CB4">
        <w:rPr>
          <w:sz w:val="26"/>
          <w:szCs w:val="26"/>
          <w:lang w:val="es-ES"/>
        </w:rPr>
        <w:t>marzo</w:t>
      </w:r>
      <w:r w:rsidR="00C7654B">
        <w:rPr>
          <w:sz w:val="26"/>
          <w:szCs w:val="26"/>
          <w:lang w:val="es-ES"/>
        </w:rPr>
        <w:t xml:space="preserve"> de 2014 (10</w:t>
      </w:r>
      <w:r w:rsidR="003F4CB4">
        <w:rPr>
          <w:sz w:val="26"/>
          <w:szCs w:val="26"/>
          <w:lang w:val="es-ES"/>
        </w:rPr>
        <w:t>8</w:t>
      </w:r>
      <w:r w:rsidR="00C7654B">
        <w:rPr>
          <w:sz w:val="26"/>
          <w:szCs w:val="26"/>
          <w:lang w:val="es-ES"/>
        </w:rPr>
        <w:t>.</w:t>
      </w:r>
      <w:r w:rsidR="003F4CB4">
        <w:rPr>
          <w:sz w:val="26"/>
          <w:szCs w:val="26"/>
          <w:lang w:val="es-ES"/>
        </w:rPr>
        <w:t>29</w:t>
      </w:r>
      <w:r w:rsidR="00C7654B">
        <w:rPr>
          <w:sz w:val="26"/>
          <w:szCs w:val="26"/>
          <w:lang w:val="es-ES"/>
        </w:rPr>
        <w:t xml:space="preserve"> d/b)</w:t>
      </w:r>
      <w:r w:rsidR="008C0EF4">
        <w:rPr>
          <w:sz w:val="26"/>
          <w:szCs w:val="26"/>
          <w:lang w:val="es-ES"/>
        </w:rPr>
        <w:t>.</w:t>
      </w:r>
    </w:p>
    <w:p w14:paraId="5D3EB238" w14:textId="7443EE50" w:rsidR="008E51E8" w:rsidRPr="000E3A45" w:rsidRDefault="00343A56" w:rsidP="008E51E8">
      <w:pPr>
        <w:spacing w:after="360" w:line="360" w:lineRule="auto"/>
        <w:ind w:right="-159"/>
        <w:jc w:val="center"/>
        <w:rPr>
          <w:sz w:val="26"/>
          <w:szCs w:val="26"/>
          <w:lang w:val="es-ES"/>
        </w:rPr>
      </w:pPr>
      <w:r w:rsidRPr="00343A56">
        <w:rPr>
          <w:rFonts w:ascii="Calibri" w:eastAsia="Calibri" w:hAnsi="Calibri"/>
          <w:sz w:val="22"/>
          <w:szCs w:val="22"/>
          <w:lang w:eastAsia="en-US"/>
        </w:rPr>
        <w:lastRenderedPageBreak/>
        <w:fldChar w:fldCharType="begin"/>
      </w:r>
      <w:r w:rsidRPr="00343A56">
        <w:rPr>
          <w:rFonts w:ascii="Calibri" w:eastAsia="Calibri" w:hAnsi="Calibri"/>
          <w:sz w:val="22"/>
          <w:szCs w:val="22"/>
          <w:lang w:eastAsia="en-US"/>
        </w:rPr>
        <w:instrText xml:space="preserve"> LINK PowerPoint.Slide.8 "D:\\2015\\MARZO 2014\\GRÁFICAS EN POWER POINT\\9.- GRÁFICAS DE PETRÓLEOII.pptx!259" "" \a \p </w:instrText>
      </w:r>
      <w:r w:rsidRPr="00343A56">
        <w:rPr>
          <w:rFonts w:ascii="Calibri" w:eastAsia="Calibri" w:hAnsi="Calibri"/>
          <w:sz w:val="22"/>
          <w:szCs w:val="22"/>
          <w:lang w:eastAsia="en-US"/>
        </w:rPr>
        <w:fldChar w:fldCharType="separate"/>
      </w:r>
      <w:r w:rsidRPr="00343A56">
        <w:rPr>
          <w:rFonts w:ascii="Calibri" w:eastAsia="Calibri" w:hAnsi="Calibri"/>
          <w:noProof/>
          <w:sz w:val="22"/>
          <w:szCs w:val="22"/>
          <w:lang w:eastAsia="es-MX"/>
        </w:rPr>
        <w:drawing>
          <wp:inline distT="0" distB="0" distL="0" distR="0" wp14:anchorId="26F81325" wp14:editId="3DE0CDCC">
            <wp:extent cx="5554345" cy="2724785"/>
            <wp:effectExtent l="0" t="0" r="8255" b="0"/>
            <wp:docPr id="1596" name="Imagen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26" cstate="print">
                      <a:extLst>
                        <a:ext uri="{28A0092B-C50C-407E-A947-70E740481C1C}">
                          <a14:useLocalDpi xmlns:a14="http://schemas.microsoft.com/office/drawing/2010/main" val="0"/>
                        </a:ext>
                      </a:extLst>
                    </a:blip>
                    <a:srcRect l="5241" t="11589" r="3404" b="8826"/>
                    <a:stretch>
                      <a:fillRect/>
                    </a:stretch>
                  </pic:blipFill>
                  <pic:spPr bwMode="auto">
                    <a:xfrm>
                      <a:off x="0" y="0"/>
                      <a:ext cx="5554345" cy="2724785"/>
                    </a:xfrm>
                    <a:prstGeom prst="rect">
                      <a:avLst/>
                    </a:prstGeom>
                    <a:noFill/>
                    <a:ln>
                      <a:noFill/>
                    </a:ln>
                  </pic:spPr>
                </pic:pic>
              </a:graphicData>
            </a:graphic>
          </wp:inline>
        </w:drawing>
      </w:r>
      <w:r w:rsidRPr="00343A56">
        <w:rPr>
          <w:rFonts w:ascii="Calibri" w:eastAsia="Calibri" w:hAnsi="Calibri"/>
          <w:sz w:val="22"/>
          <w:szCs w:val="22"/>
          <w:lang w:eastAsia="en-US"/>
        </w:rPr>
        <w:fldChar w:fldCharType="end"/>
      </w:r>
    </w:p>
    <w:p w14:paraId="4382E336" w14:textId="77777777" w:rsidR="009372FF" w:rsidRPr="000E3A45" w:rsidRDefault="009372FF" w:rsidP="00B473F5">
      <w:pPr>
        <w:spacing w:after="360" w:line="360" w:lineRule="auto"/>
        <w:ind w:right="-159"/>
        <w:jc w:val="both"/>
        <w:rPr>
          <w:sz w:val="26"/>
          <w:szCs w:val="26"/>
          <w:lang w:val="es-ES"/>
        </w:rPr>
      </w:pPr>
    </w:p>
    <w:p w14:paraId="0F536756" w14:textId="0DB0041E" w:rsidR="009372FF" w:rsidRPr="000E3A45" w:rsidRDefault="009372FF">
      <w:pPr>
        <w:rPr>
          <w:sz w:val="26"/>
          <w:szCs w:val="26"/>
          <w:lang w:val="es-ES"/>
        </w:rPr>
      </w:pPr>
      <w:r w:rsidRPr="000E3A45">
        <w:rPr>
          <w:sz w:val="26"/>
          <w:szCs w:val="26"/>
          <w:lang w:val="es-ES"/>
        </w:rPr>
        <w:br w:type="page"/>
      </w:r>
    </w:p>
    <w:bookmarkEnd w:id="5"/>
    <w:bookmarkEnd w:id="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851"/>
        <w:gridCol w:w="1021"/>
        <w:gridCol w:w="1021"/>
        <w:gridCol w:w="1304"/>
        <w:gridCol w:w="851"/>
        <w:gridCol w:w="1021"/>
        <w:gridCol w:w="1021"/>
      </w:tblGrid>
      <w:tr w:rsidR="00B473F5" w:rsidRPr="000E3A45" w14:paraId="3EAB9B4B" w14:textId="77777777" w:rsidTr="00202E4C">
        <w:trPr>
          <w:jc w:val="center"/>
        </w:trPr>
        <w:tc>
          <w:tcPr>
            <w:tcW w:w="8394" w:type="dxa"/>
            <w:gridSpan w:val="8"/>
            <w:tcBorders>
              <w:top w:val="nil"/>
              <w:left w:val="nil"/>
              <w:bottom w:val="single" w:sz="4" w:space="0" w:color="auto"/>
              <w:right w:val="nil"/>
            </w:tcBorders>
          </w:tcPr>
          <w:p w14:paraId="499506A2" w14:textId="77777777" w:rsidR="00B473F5" w:rsidRPr="000E3A45" w:rsidRDefault="00B473F5" w:rsidP="00202E4C">
            <w:pPr>
              <w:jc w:val="center"/>
              <w:rPr>
                <w:b/>
                <w:sz w:val="18"/>
                <w:szCs w:val="18"/>
              </w:rPr>
            </w:pPr>
            <w:r w:rsidRPr="000E3A45">
              <w:rPr>
                <w:rFonts w:eastAsia="Times New Roman"/>
              </w:rPr>
              <w:lastRenderedPageBreak/>
              <w:br w:type="page"/>
            </w:r>
            <w:r w:rsidRPr="000E3A45">
              <w:rPr>
                <w:lang w:val="es-ES"/>
              </w:rPr>
              <w:br w:type="page"/>
            </w:r>
            <w:r w:rsidRPr="000E3A45">
              <w:rPr>
                <w:lang w:val="es-ES"/>
              </w:rPr>
              <w:br w:type="page"/>
            </w:r>
            <w:r w:rsidRPr="000E3A45">
              <w:br w:type="page"/>
            </w:r>
            <w:r w:rsidRPr="000E3A45">
              <w:rPr>
                <w:sz w:val="26"/>
                <w:szCs w:val="26"/>
                <w:lang w:val="es-ES"/>
              </w:rPr>
              <w:br w:type="page"/>
            </w:r>
            <w:r w:rsidRPr="000E3A45">
              <w:rPr>
                <w:sz w:val="26"/>
                <w:szCs w:val="26"/>
                <w:lang w:val="es-ES"/>
              </w:rPr>
              <w:br w:type="page"/>
            </w:r>
            <w:r w:rsidRPr="000E3A45">
              <w:rPr>
                <w:sz w:val="26"/>
                <w:szCs w:val="26"/>
                <w:lang w:val="es-ES"/>
              </w:rPr>
              <w:br w:type="page"/>
            </w:r>
            <w:r w:rsidRPr="000E3A45">
              <w:rPr>
                <w:b/>
                <w:sz w:val="18"/>
                <w:szCs w:val="18"/>
              </w:rPr>
              <w:t>PRECIOS INTERNACIONALES DEL PETRÓLEO</w:t>
            </w:r>
          </w:p>
          <w:p w14:paraId="752C46F8" w14:textId="77777777" w:rsidR="00B473F5" w:rsidRPr="000E3A45" w:rsidRDefault="00B473F5" w:rsidP="00202E4C">
            <w:pPr>
              <w:jc w:val="center"/>
              <w:rPr>
                <w:b/>
                <w:sz w:val="18"/>
                <w:szCs w:val="18"/>
              </w:rPr>
            </w:pPr>
            <w:r w:rsidRPr="000E3A45">
              <w:rPr>
                <w:b/>
                <w:sz w:val="18"/>
                <w:szCs w:val="18"/>
              </w:rPr>
              <w:t>-Dólares por barril-</w:t>
            </w:r>
          </w:p>
        </w:tc>
      </w:tr>
      <w:tr w:rsidR="00B473F5" w:rsidRPr="000E3A45" w14:paraId="0D4DAA9A" w14:textId="77777777" w:rsidTr="00202E4C">
        <w:trPr>
          <w:jc w:val="center"/>
        </w:trPr>
        <w:tc>
          <w:tcPr>
            <w:tcW w:w="1304" w:type="dxa"/>
            <w:vMerge w:val="restart"/>
            <w:tcBorders>
              <w:top w:val="single" w:sz="4" w:space="0" w:color="auto"/>
              <w:left w:val="single" w:sz="4" w:space="0" w:color="auto"/>
              <w:bottom w:val="nil"/>
              <w:right w:val="single" w:sz="4" w:space="0" w:color="auto"/>
            </w:tcBorders>
            <w:vAlign w:val="center"/>
          </w:tcPr>
          <w:p w14:paraId="5871682F" w14:textId="77777777" w:rsidR="00B473F5" w:rsidRPr="000E3A45" w:rsidRDefault="00B473F5" w:rsidP="00202E4C">
            <w:pPr>
              <w:jc w:val="center"/>
              <w:rPr>
                <w:b/>
                <w:sz w:val="14"/>
                <w:szCs w:val="14"/>
              </w:rPr>
            </w:pPr>
            <w:r w:rsidRPr="000E3A45">
              <w:rPr>
                <w:b/>
                <w:sz w:val="14"/>
                <w:szCs w:val="14"/>
              </w:rPr>
              <w:t>Fecha</w:t>
            </w:r>
          </w:p>
        </w:tc>
        <w:tc>
          <w:tcPr>
            <w:tcW w:w="1872" w:type="dxa"/>
            <w:gridSpan w:val="2"/>
            <w:tcBorders>
              <w:top w:val="single" w:sz="4" w:space="0" w:color="auto"/>
              <w:left w:val="single" w:sz="4" w:space="0" w:color="auto"/>
              <w:bottom w:val="single" w:sz="4" w:space="0" w:color="auto"/>
              <w:right w:val="single" w:sz="4" w:space="0" w:color="auto"/>
            </w:tcBorders>
          </w:tcPr>
          <w:p w14:paraId="11B6A80C" w14:textId="77777777" w:rsidR="00B473F5" w:rsidRPr="000E3A45" w:rsidRDefault="00B473F5" w:rsidP="00202E4C">
            <w:pPr>
              <w:jc w:val="center"/>
              <w:rPr>
                <w:b/>
                <w:sz w:val="14"/>
                <w:szCs w:val="14"/>
                <w:lang w:val="it-IT"/>
              </w:rPr>
            </w:pPr>
            <w:r w:rsidRPr="000E3A45">
              <w:rPr>
                <w:b/>
                <w:sz w:val="14"/>
                <w:szCs w:val="14"/>
                <w:lang w:val="it-IT"/>
              </w:rPr>
              <w:t>Crudo API</w:t>
            </w:r>
          </w:p>
          <w:p w14:paraId="27598716" w14:textId="77777777" w:rsidR="00B473F5" w:rsidRPr="000E3A45" w:rsidRDefault="00B473F5" w:rsidP="00202E4C">
            <w:pPr>
              <w:jc w:val="center"/>
              <w:rPr>
                <w:b/>
                <w:sz w:val="14"/>
                <w:szCs w:val="14"/>
                <w:lang w:val="it-IT"/>
              </w:rPr>
            </w:pPr>
            <w:r w:rsidRPr="000E3A45">
              <w:rPr>
                <w:b/>
                <w:sz w:val="14"/>
                <w:szCs w:val="14"/>
                <w:lang w:val="it-IT"/>
              </w:rPr>
              <w:t>Precio promedio spot</w:t>
            </w:r>
            <w:r w:rsidRPr="000E3A45">
              <w:rPr>
                <w:b/>
                <w:sz w:val="14"/>
                <w:szCs w:val="14"/>
                <w:u w:val="single"/>
                <w:vertAlign w:val="superscript"/>
                <w:lang w:val="it-IT"/>
              </w:rPr>
              <w:t>1</w:t>
            </w:r>
            <w:r w:rsidRPr="000E3A45">
              <w:rPr>
                <w:b/>
                <w:sz w:val="14"/>
                <w:szCs w:val="14"/>
                <w:vertAlign w:val="superscript"/>
                <w:lang w:val="it-IT"/>
              </w:rPr>
              <w:t>/</w:t>
            </w:r>
          </w:p>
        </w:tc>
        <w:tc>
          <w:tcPr>
            <w:tcW w:w="1021" w:type="dxa"/>
            <w:vMerge w:val="restart"/>
            <w:tcBorders>
              <w:top w:val="single" w:sz="4" w:space="0" w:color="auto"/>
              <w:left w:val="single" w:sz="4" w:space="0" w:color="auto"/>
              <w:bottom w:val="nil"/>
              <w:right w:val="single" w:sz="4" w:space="0" w:color="auto"/>
            </w:tcBorders>
          </w:tcPr>
          <w:p w14:paraId="30A02FB5" w14:textId="77777777" w:rsidR="00B473F5" w:rsidRPr="000E3A45" w:rsidRDefault="00B473F5" w:rsidP="00202E4C">
            <w:pPr>
              <w:jc w:val="center"/>
              <w:rPr>
                <w:b/>
                <w:sz w:val="14"/>
                <w:szCs w:val="14"/>
              </w:rPr>
            </w:pPr>
            <w:r w:rsidRPr="000E3A45">
              <w:rPr>
                <w:b/>
                <w:sz w:val="14"/>
                <w:szCs w:val="14"/>
              </w:rPr>
              <w:t>Precio promedio de exportación del crudo mexicano</w:t>
            </w:r>
            <w:r w:rsidRPr="000E3A45">
              <w:rPr>
                <w:b/>
                <w:sz w:val="14"/>
                <w:szCs w:val="14"/>
                <w:u w:val="single"/>
                <w:vertAlign w:val="superscript"/>
              </w:rPr>
              <w:t>2</w:t>
            </w:r>
            <w:r w:rsidRPr="000E3A45">
              <w:rPr>
                <w:b/>
                <w:sz w:val="14"/>
                <w:szCs w:val="14"/>
                <w:vertAlign w:val="superscript"/>
              </w:rPr>
              <w:t>/</w:t>
            </w:r>
          </w:p>
        </w:tc>
        <w:tc>
          <w:tcPr>
            <w:tcW w:w="1304" w:type="dxa"/>
            <w:vMerge w:val="restart"/>
            <w:tcBorders>
              <w:top w:val="single" w:sz="4" w:space="0" w:color="auto"/>
              <w:left w:val="single" w:sz="4" w:space="0" w:color="auto"/>
              <w:bottom w:val="nil"/>
              <w:right w:val="single" w:sz="4" w:space="0" w:color="auto"/>
            </w:tcBorders>
            <w:vAlign w:val="center"/>
          </w:tcPr>
          <w:p w14:paraId="0C530EFE" w14:textId="77777777" w:rsidR="00B473F5" w:rsidRPr="000E3A45" w:rsidRDefault="00B473F5" w:rsidP="00202E4C">
            <w:pPr>
              <w:jc w:val="center"/>
              <w:rPr>
                <w:b/>
                <w:sz w:val="14"/>
                <w:szCs w:val="14"/>
              </w:rPr>
            </w:pPr>
            <w:r w:rsidRPr="000E3A45">
              <w:rPr>
                <w:b/>
                <w:sz w:val="14"/>
                <w:szCs w:val="14"/>
              </w:rPr>
              <w:t>Fecha</w:t>
            </w:r>
          </w:p>
        </w:tc>
        <w:tc>
          <w:tcPr>
            <w:tcW w:w="1872" w:type="dxa"/>
            <w:gridSpan w:val="2"/>
            <w:tcBorders>
              <w:top w:val="single" w:sz="4" w:space="0" w:color="auto"/>
              <w:left w:val="single" w:sz="4" w:space="0" w:color="auto"/>
              <w:bottom w:val="single" w:sz="4" w:space="0" w:color="auto"/>
              <w:right w:val="single" w:sz="4" w:space="0" w:color="auto"/>
            </w:tcBorders>
          </w:tcPr>
          <w:p w14:paraId="6972F0C0" w14:textId="77777777" w:rsidR="00B473F5" w:rsidRPr="000E3A45" w:rsidRDefault="00B473F5" w:rsidP="00202E4C">
            <w:pPr>
              <w:jc w:val="center"/>
              <w:rPr>
                <w:b/>
                <w:sz w:val="14"/>
                <w:szCs w:val="14"/>
              </w:rPr>
            </w:pPr>
            <w:r w:rsidRPr="000E3A45">
              <w:rPr>
                <w:b/>
                <w:sz w:val="14"/>
                <w:szCs w:val="14"/>
              </w:rPr>
              <w:t>Crudo API</w:t>
            </w:r>
          </w:p>
          <w:p w14:paraId="798AE4B7" w14:textId="77777777" w:rsidR="00B473F5" w:rsidRPr="000E3A45" w:rsidRDefault="00B473F5" w:rsidP="00202E4C">
            <w:pPr>
              <w:jc w:val="center"/>
              <w:rPr>
                <w:b/>
                <w:sz w:val="14"/>
                <w:szCs w:val="14"/>
              </w:rPr>
            </w:pPr>
            <w:r w:rsidRPr="000E3A45">
              <w:rPr>
                <w:b/>
                <w:sz w:val="14"/>
                <w:szCs w:val="14"/>
              </w:rPr>
              <w:t>Precio spot</w:t>
            </w:r>
            <w:r w:rsidRPr="000E3A45">
              <w:rPr>
                <w:b/>
                <w:sz w:val="14"/>
                <w:szCs w:val="14"/>
                <w:u w:val="single"/>
                <w:vertAlign w:val="superscript"/>
              </w:rPr>
              <w:t>1</w:t>
            </w:r>
            <w:r w:rsidRPr="000E3A45">
              <w:rPr>
                <w:b/>
                <w:sz w:val="14"/>
                <w:szCs w:val="14"/>
                <w:vertAlign w:val="superscript"/>
              </w:rPr>
              <w:t>/</w:t>
            </w:r>
          </w:p>
        </w:tc>
        <w:tc>
          <w:tcPr>
            <w:tcW w:w="1021" w:type="dxa"/>
            <w:vMerge w:val="restart"/>
            <w:tcBorders>
              <w:top w:val="single" w:sz="4" w:space="0" w:color="auto"/>
              <w:left w:val="single" w:sz="4" w:space="0" w:color="auto"/>
              <w:bottom w:val="nil"/>
              <w:right w:val="single" w:sz="4" w:space="0" w:color="auto"/>
            </w:tcBorders>
          </w:tcPr>
          <w:p w14:paraId="6075410E" w14:textId="77777777" w:rsidR="00B473F5" w:rsidRPr="000E3A45" w:rsidRDefault="00B473F5" w:rsidP="00202E4C">
            <w:pPr>
              <w:jc w:val="center"/>
              <w:rPr>
                <w:b/>
                <w:sz w:val="14"/>
                <w:szCs w:val="14"/>
              </w:rPr>
            </w:pPr>
            <w:r w:rsidRPr="000E3A45">
              <w:rPr>
                <w:b/>
                <w:sz w:val="14"/>
                <w:szCs w:val="14"/>
              </w:rPr>
              <w:t>Precio promedio de exportación del crudo mexicano</w:t>
            </w:r>
            <w:r w:rsidRPr="000E3A45">
              <w:rPr>
                <w:b/>
                <w:sz w:val="14"/>
                <w:szCs w:val="14"/>
                <w:u w:val="single"/>
                <w:vertAlign w:val="superscript"/>
              </w:rPr>
              <w:t>2</w:t>
            </w:r>
            <w:r w:rsidRPr="000E3A45">
              <w:rPr>
                <w:b/>
                <w:sz w:val="14"/>
                <w:szCs w:val="14"/>
                <w:vertAlign w:val="superscript"/>
              </w:rPr>
              <w:t>/</w:t>
            </w:r>
          </w:p>
        </w:tc>
      </w:tr>
      <w:tr w:rsidR="00B473F5" w:rsidRPr="000E3A45" w14:paraId="48D8D883" w14:textId="77777777" w:rsidTr="00202E4C">
        <w:trPr>
          <w:jc w:val="center"/>
        </w:trPr>
        <w:tc>
          <w:tcPr>
            <w:tcW w:w="1304" w:type="dxa"/>
            <w:vMerge/>
            <w:tcBorders>
              <w:top w:val="nil"/>
              <w:left w:val="single" w:sz="4" w:space="0" w:color="auto"/>
              <w:bottom w:val="single" w:sz="4" w:space="0" w:color="auto"/>
              <w:right w:val="single" w:sz="4" w:space="0" w:color="auto"/>
            </w:tcBorders>
          </w:tcPr>
          <w:p w14:paraId="77969ABA" w14:textId="77777777" w:rsidR="00B473F5" w:rsidRPr="000E3A45" w:rsidRDefault="00B473F5" w:rsidP="00202E4C">
            <w:pPr>
              <w:jc w:val="center"/>
              <w:rPr>
                <w:b/>
                <w:sz w:val="14"/>
                <w:szCs w:val="14"/>
              </w:rPr>
            </w:pPr>
          </w:p>
        </w:tc>
        <w:tc>
          <w:tcPr>
            <w:tcW w:w="851" w:type="dxa"/>
            <w:tcBorders>
              <w:top w:val="nil"/>
              <w:left w:val="single" w:sz="4" w:space="0" w:color="auto"/>
              <w:bottom w:val="single" w:sz="4" w:space="0" w:color="auto"/>
              <w:right w:val="single" w:sz="4" w:space="0" w:color="auto"/>
            </w:tcBorders>
            <w:vAlign w:val="center"/>
          </w:tcPr>
          <w:p w14:paraId="67BAC808" w14:textId="77777777" w:rsidR="00B473F5" w:rsidRPr="000E3A45" w:rsidRDefault="00B473F5" w:rsidP="00202E4C">
            <w:pPr>
              <w:jc w:val="center"/>
              <w:rPr>
                <w:b/>
                <w:sz w:val="14"/>
                <w:szCs w:val="14"/>
              </w:rPr>
            </w:pPr>
            <w:r w:rsidRPr="000E3A45">
              <w:rPr>
                <w:b/>
                <w:sz w:val="14"/>
                <w:szCs w:val="14"/>
              </w:rPr>
              <w:t>Brent</w:t>
            </w:r>
          </w:p>
          <w:p w14:paraId="0398BB7E" w14:textId="77777777" w:rsidR="00B473F5" w:rsidRPr="000E3A45" w:rsidRDefault="00B473F5" w:rsidP="00202E4C">
            <w:pPr>
              <w:jc w:val="center"/>
              <w:rPr>
                <w:b/>
                <w:sz w:val="14"/>
                <w:szCs w:val="14"/>
              </w:rPr>
            </w:pPr>
            <w:r w:rsidRPr="000E3A45">
              <w:rPr>
                <w:b/>
                <w:sz w:val="14"/>
                <w:szCs w:val="14"/>
              </w:rPr>
              <w:t>(38)</w:t>
            </w:r>
          </w:p>
        </w:tc>
        <w:tc>
          <w:tcPr>
            <w:tcW w:w="1021" w:type="dxa"/>
            <w:tcBorders>
              <w:top w:val="nil"/>
              <w:left w:val="single" w:sz="4" w:space="0" w:color="auto"/>
              <w:bottom w:val="single" w:sz="4" w:space="0" w:color="auto"/>
              <w:right w:val="single" w:sz="4" w:space="0" w:color="auto"/>
            </w:tcBorders>
          </w:tcPr>
          <w:p w14:paraId="155D896C" w14:textId="77777777" w:rsidR="00B473F5" w:rsidRPr="000E3A45" w:rsidRDefault="00B473F5" w:rsidP="00202E4C">
            <w:pPr>
              <w:jc w:val="center"/>
              <w:rPr>
                <w:b/>
                <w:sz w:val="14"/>
                <w:szCs w:val="14"/>
              </w:rPr>
            </w:pPr>
            <w:r w:rsidRPr="000E3A45">
              <w:rPr>
                <w:b/>
                <w:sz w:val="14"/>
                <w:szCs w:val="14"/>
              </w:rPr>
              <w:t>West Texas Intermediate</w:t>
            </w:r>
          </w:p>
          <w:p w14:paraId="406DB400" w14:textId="77777777" w:rsidR="00B473F5" w:rsidRPr="000E3A45" w:rsidRDefault="00B473F5" w:rsidP="00202E4C">
            <w:pPr>
              <w:jc w:val="center"/>
              <w:rPr>
                <w:b/>
                <w:sz w:val="14"/>
                <w:szCs w:val="14"/>
              </w:rPr>
            </w:pPr>
            <w:r w:rsidRPr="000E3A45">
              <w:rPr>
                <w:b/>
                <w:sz w:val="14"/>
                <w:szCs w:val="14"/>
              </w:rPr>
              <w:t>(44)</w:t>
            </w:r>
          </w:p>
        </w:tc>
        <w:tc>
          <w:tcPr>
            <w:tcW w:w="1021" w:type="dxa"/>
            <w:vMerge/>
            <w:tcBorders>
              <w:top w:val="nil"/>
              <w:left w:val="single" w:sz="4" w:space="0" w:color="auto"/>
              <w:bottom w:val="single" w:sz="4" w:space="0" w:color="auto"/>
              <w:right w:val="single" w:sz="4" w:space="0" w:color="auto"/>
            </w:tcBorders>
          </w:tcPr>
          <w:p w14:paraId="4B9F2D94" w14:textId="77777777" w:rsidR="00B473F5" w:rsidRPr="000E3A45" w:rsidRDefault="00B473F5" w:rsidP="00202E4C">
            <w:pPr>
              <w:jc w:val="center"/>
              <w:rPr>
                <w:b/>
                <w:sz w:val="14"/>
                <w:szCs w:val="14"/>
              </w:rPr>
            </w:pPr>
          </w:p>
        </w:tc>
        <w:tc>
          <w:tcPr>
            <w:tcW w:w="1304" w:type="dxa"/>
            <w:vMerge/>
            <w:tcBorders>
              <w:top w:val="nil"/>
              <w:left w:val="single" w:sz="4" w:space="0" w:color="auto"/>
              <w:bottom w:val="single" w:sz="4" w:space="0" w:color="auto"/>
              <w:right w:val="single" w:sz="4" w:space="0" w:color="auto"/>
            </w:tcBorders>
          </w:tcPr>
          <w:p w14:paraId="34A46ED8" w14:textId="77777777" w:rsidR="00B473F5" w:rsidRPr="000E3A45" w:rsidRDefault="00B473F5" w:rsidP="00202E4C">
            <w:pPr>
              <w:jc w:val="center"/>
              <w:rPr>
                <w:b/>
                <w:sz w:val="14"/>
                <w:szCs w:val="14"/>
              </w:rPr>
            </w:pPr>
          </w:p>
        </w:tc>
        <w:tc>
          <w:tcPr>
            <w:tcW w:w="851" w:type="dxa"/>
            <w:tcBorders>
              <w:top w:val="nil"/>
              <w:left w:val="single" w:sz="4" w:space="0" w:color="auto"/>
              <w:bottom w:val="single" w:sz="4" w:space="0" w:color="auto"/>
              <w:right w:val="single" w:sz="4" w:space="0" w:color="auto"/>
            </w:tcBorders>
            <w:vAlign w:val="center"/>
          </w:tcPr>
          <w:p w14:paraId="233D1369" w14:textId="77777777" w:rsidR="00B473F5" w:rsidRPr="000E3A45" w:rsidRDefault="00B473F5" w:rsidP="00202E4C">
            <w:pPr>
              <w:jc w:val="center"/>
              <w:rPr>
                <w:b/>
                <w:sz w:val="14"/>
                <w:szCs w:val="14"/>
              </w:rPr>
            </w:pPr>
            <w:r w:rsidRPr="000E3A45">
              <w:rPr>
                <w:b/>
                <w:sz w:val="14"/>
                <w:szCs w:val="14"/>
              </w:rPr>
              <w:t>Brent</w:t>
            </w:r>
          </w:p>
          <w:p w14:paraId="791E6CCC" w14:textId="77777777" w:rsidR="00B473F5" w:rsidRPr="000E3A45" w:rsidRDefault="00B473F5" w:rsidP="00202E4C">
            <w:pPr>
              <w:jc w:val="center"/>
              <w:rPr>
                <w:b/>
                <w:sz w:val="14"/>
                <w:szCs w:val="14"/>
              </w:rPr>
            </w:pPr>
            <w:r w:rsidRPr="000E3A45">
              <w:rPr>
                <w:b/>
                <w:sz w:val="14"/>
                <w:szCs w:val="14"/>
              </w:rPr>
              <w:t>(38)</w:t>
            </w:r>
          </w:p>
        </w:tc>
        <w:tc>
          <w:tcPr>
            <w:tcW w:w="1021" w:type="dxa"/>
            <w:tcBorders>
              <w:top w:val="nil"/>
              <w:left w:val="single" w:sz="4" w:space="0" w:color="auto"/>
              <w:bottom w:val="single" w:sz="4" w:space="0" w:color="auto"/>
              <w:right w:val="single" w:sz="4" w:space="0" w:color="auto"/>
            </w:tcBorders>
          </w:tcPr>
          <w:p w14:paraId="1F40BD28" w14:textId="77777777" w:rsidR="00B473F5" w:rsidRPr="000E3A45" w:rsidRDefault="00B473F5" w:rsidP="00202E4C">
            <w:pPr>
              <w:jc w:val="center"/>
              <w:rPr>
                <w:b/>
                <w:sz w:val="14"/>
                <w:szCs w:val="14"/>
              </w:rPr>
            </w:pPr>
            <w:r w:rsidRPr="000E3A45">
              <w:rPr>
                <w:b/>
                <w:sz w:val="14"/>
                <w:szCs w:val="14"/>
              </w:rPr>
              <w:t>West Texas Intermediate</w:t>
            </w:r>
          </w:p>
          <w:p w14:paraId="11A56281" w14:textId="77777777" w:rsidR="00B473F5" w:rsidRPr="000E3A45" w:rsidRDefault="00B473F5" w:rsidP="00202E4C">
            <w:pPr>
              <w:jc w:val="center"/>
              <w:rPr>
                <w:b/>
                <w:sz w:val="14"/>
                <w:szCs w:val="14"/>
              </w:rPr>
            </w:pPr>
            <w:r w:rsidRPr="000E3A45">
              <w:rPr>
                <w:b/>
                <w:sz w:val="14"/>
                <w:szCs w:val="14"/>
              </w:rPr>
              <w:t>(44)</w:t>
            </w:r>
          </w:p>
        </w:tc>
        <w:tc>
          <w:tcPr>
            <w:tcW w:w="1021" w:type="dxa"/>
            <w:vMerge/>
            <w:tcBorders>
              <w:top w:val="nil"/>
              <w:left w:val="single" w:sz="4" w:space="0" w:color="auto"/>
              <w:bottom w:val="single" w:sz="4" w:space="0" w:color="auto"/>
              <w:right w:val="single" w:sz="4" w:space="0" w:color="auto"/>
            </w:tcBorders>
          </w:tcPr>
          <w:p w14:paraId="10C0A078" w14:textId="77777777" w:rsidR="00B473F5" w:rsidRPr="000E3A45" w:rsidRDefault="00B473F5" w:rsidP="00202E4C">
            <w:pPr>
              <w:jc w:val="center"/>
              <w:rPr>
                <w:b/>
                <w:sz w:val="14"/>
                <w:szCs w:val="14"/>
              </w:rPr>
            </w:pPr>
          </w:p>
        </w:tc>
      </w:tr>
      <w:tr w:rsidR="00BA31EA" w:rsidRPr="000E3A45" w14:paraId="44AC0E21" w14:textId="77777777" w:rsidTr="001E7D79">
        <w:trPr>
          <w:jc w:val="center"/>
        </w:trPr>
        <w:tc>
          <w:tcPr>
            <w:tcW w:w="1304" w:type="dxa"/>
            <w:tcBorders>
              <w:top w:val="single" w:sz="4" w:space="0" w:color="auto"/>
              <w:left w:val="single" w:sz="4" w:space="0" w:color="auto"/>
              <w:bottom w:val="nil"/>
              <w:right w:val="single" w:sz="4" w:space="0" w:color="auto"/>
            </w:tcBorders>
          </w:tcPr>
          <w:p w14:paraId="41F6E6EB" w14:textId="16455537" w:rsidR="00BA31EA" w:rsidRPr="000E3A45" w:rsidRDefault="00BA31EA" w:rsidP="00BA31EA">
            <w:pPr>
              <w:rPr>
                <w:sz w:val="14"/>
                <w:szCs w:val="14"/>
              </w:rPr>
            </w:pPr>
            <w:r w:rsidRPr="000E3A45">
              <w:rPr>
                <w:sz w:val="14"/>
                <w:szCs w:val="14"/>
              </w:rPr>
              <w:t>Diciembre 2009</w:t>
            </w:r>
          </w:p>
        </w:tc>
        <w:tc>
          <w:tcPr>
            <w:tcW w:w="851" w:type="dxa"/>
            <w:tcBorders>
              <w:top w:val="single" w:sz="4" w:space="0" w:color="auto"/>
              <w:left w:val="single" w:sz="4" w:space="0" w:color="auto"/>
              <w:bottom w:val="nil"/>
              <w:right w:val="single" w:sz="4" w:space="0" w:color="auto"/>
            </w:tcBorders>
          </w:tcPr>
          <w:p w14:paraId="38058A3B" w14:textId="7CE2D407" w:rsidR="00BA31EA" w:rsidRPr="000E3A45" w:rsidRDefault="00BA31EA" w:rsidP="00BA31EA">
            <w:pPr>
              <w:ind w:right="170"/>
              <w:jc w:val="right"/>
              <w:rPr>
                <w:sz w:val="14"/>
                <w:szCs w:val="14"/>
              </w:rPr>
            </w:pPr>
            <w:r w:rsidRPr="000E3A45">
              <w:rPr>
                <w:sz w:val="14"/>
                <w:szCs w:val="14"/>
              </w:rPr>
              <w:t>74.46</w:t>
            </w:r>
          </w:p>
        </w:tc>
        <w:tc>
          <w:tcPr>
            <w:tcW w:w="1021" w:type="dxa"/>
            <w:tcBorders>
              <w:top w:val="single" w:sz="4" w:space="0" w:color="auto"/>
              <w:left w:val="single" w:sz="4" w:space="0" w:color="auto"/>
              <w:bottom w:val="nil"/>
              <w:right w:val="single" w:sz="4" w:space="0" w:color="auto"/>
            </w:tcBorders>
          </w:tcPr>
          <w:p w14:paraId="4794D080" w14:textId="24ED0176" w:rsidR="00BA31EA" w:rsidRPr="000E3A45" w:rsidRDefault="00BA31EA" w:rsidP="00BA31EA">
            <w:pPr>
              <w:ind w:right="227"/>
              <w:jc w:val="right"/>
              <w:rPr>
                <w:sz w:val="14"/>
                <w:szCs w:val="14"/>
              </w:rPr>
            </w:pPr>
            <w:r w:rsidRPr="000E3A45">
              <w:rPr>
                <w:sz w:val="14"/>
                <w:szCs w:val="14"/>
              </w:rPr>
              <w:t>74.01</w:t>
            </w:r>
          </w:p>
        </w:tc>
        <w:tc>
          <w:tcPr>
            <w:tcW w:w="1021" w:type="dxa"/>
            <w:tcBorders>
              <w:top w:val="single" w:sz="4" w:space="0" w:color="auto"/>
              <w:left w:val="single" w:sz="4" w:space="0" w:color="auto"/>
              <w:bottom w:val="nil"/>
              <w:right w:val="single" w:sz="4" w:space="0" w:color="auto"/>
            </w:tcBorders>
          </w:tcPr>
          <w:p w14:paraId="330F9AE3" w14:textId="335DDB84" w:rsidR="00BA31EA" w:rsidRPr="000E3A45" w:rsidRDefault="00BA31EA" w:rsidP="00BA31EA">
            <w:pPr>
              <w:ind w:right="227"/>
              <w:jc w:val="right"/>
              <w:rPr>
                <w:sz w:val="14"/>
                <w:szCs w:val="14"/>
              </w:rPr>
            </w:pPr>
            <w:r w:rsidRPr="000E3A45">
              <w:rPr>
                <w:sz w:val="14"/>
                <w:szCs w:val="14"/>
              </w:rPr>
              <w:t>69.66</w:t>
            </w:r>
          </w:p>
        </w:tc>
        <w:tc>
          <w:tcPr>
            <w:tcW w:w="1304" w:type="dxa"/>
            <w:tcBorders>
              <w:top w:val="single" w:sz="4" w:space="0" w:color="auto"/>
              <w:left w:val="single" w:sz="4" w:space="0" w:color="auto"/>
              <w:bottom w:val="nil"/>
              <w:right w:val="single" w:sz="4" w:space="0" w:color="auto"/>
            </w:tcBorders>
          </w:tcPr>
          <w:p w14:paraId="78B5CEE1" w14:textId="2A31EAFB" w:rsidR="00BA31EA" w:rsidRPr="000E3A45" w:rsidRDefault="00BA31EA" w:rsidP="00BA31EA">
            <w:pPr>
              <w:rPr>
                <w:sz w:val="14"/>
                <w:szCs w:val="14"/>
              </w:rPr>
            </w:pPr>
            <w:r w:rsidRPr="000E3A45">
              <w:rPr>
                <w:sz w:val="14"/>
                <w:szCs w:val="14"/>
              </w:rPr>
              <w:t>Enero 2014</w:t>
            </w:r>
          </w:p>
        </w:tc>
        <w:tc>
          <w:tcPr>
            <w:tcW w:w="851" w:type="dxa"/>
            <w:tcBorders>
              <w:top w:val="single" w:sz="4" w:space="0" w:color="auto"/>
              <w:left w:val="single" w:sz="4" w:space="0" w:color="auto"/>
              <w:bottom w:val="nil"/>
              <w:right w:val="single" w:sz="4" w:space="0" w:color="auto"/>
            </w:tcBorders>
            <w:vAlign w:val="center"/>
          </w:tcPr>
          <w:p w14:paraId="71CE7476" w14:textId="58105F79" w:rsidR="00BA31EA" w:rsidRPr="000E3A45" w:rsidRDefault="00BA31EA" w:rsidP="00BA31EA">
            <w:pPr>
              <w:ind w:right="170"/>
              <w:jc w:val="right"/>
              <w:rPr>
                <w:sz w:val="14"/>
                <w:szCs w:val="14"/>
              </w:rPr>
            </w:pPr>
            <w:r w:rsidRPr="000E3A45">
              <w:rPr>
                <w:sz w:val="14"/>
                <w:szCs w:val="14"/>
              </w:rPr>
              <w:t>109.34</w:t>
            </w:r>
          </w:p>
        </w:tc>
        <w:tc>
          <w:tcPr>
            <w:tcW w:w="1021" w:type="dxa"/>
            <w:tcBorders>
              <w:top w:val="single" w:sz="4" w:space="0" w:color="auto"/>
              <w:left w:val="single" w:sz="4" w:space="0" w:color="auto"/>
              <w:bottom w:val="nil"/>
              <w:right w:val="single" w:sz="4" w:space="0" w:color="auto"/>
            </w:tcBorders>
            <w:vAlign w:val="center"/>
          </w:tcPr>
          <w:p w14:paraId="1856D445" w14:textId="072B78F5" w:rsidR="00BA31EA" w:rsidRPr="000E3A45" w:rsidRDefault="00BA31EA" w:rsidP="00BA31EA">
            <w:pPr>
              <w:ind w:right="227"/>
              <w:jc w:val="right"/>
              <w:rPr>
                <w:sz w:val="14"/>
                <w:szCs w:val="14"/>
              </w:rPr>
            </w:pPr>
            <w:r w:rsidRPr="000E3A45">
              <w:rPr>
                <w:sz w:val="14"/>
                <w:szCs w:val="14"/>
              </w:rPr>
              <w:t>94.62</w:t>
            </w:r>
          </w:p>
        </w:tc>
        <w:tc>
          <w:tcPr>
            <w:tcW w:w="1021" w:type="dxa"/>
            <w:tcBorders>
              <w:top w:val="single" w:sz="4" w:space="0" w:color="auto"/>
              <w:left w:val="single" w:sz="4" w:space="0" w:color="auto"/>
              <w:bottom w:val="nil"/>
              <w:right w:val="single" w:sz="4" w:space="0" w:color="auto"/>
            </w:tcBorders>
            <w:vAlign w:val="center"/>
          </w:tcPr>
          <w:p w14:paraId="561A2937" w14:textId="29CBF3DF" w:rsidR="00BA31EA" w:rsidRPr="000E3A45" w:rsidRDefault="00BA31EA" w:rsidP="00BA31EA">
            <w:pPr>
              <w:ind w:right="227"/>
              <w:jc w:val="right"/>
              <w:rPr>
                <w:sz w:val="14"/>
                <w:szCs w:val="14"/>
              </w:rPr>
            </w:pPr>
            <w:r w:rsidRPr="000E3A45">
              <w:rPr>
                <w:sz w:val="14"/>
                <w:szCs w:val="14"/>
              </w:rPr>
              <w:t>90.65</w:t>
            </w:r>
          </w:p>
        </w:tc>
      </w:tr>
      <w:tr w:rsidR="00BA31EA" w:rsidRPr="000E3A45" w14:paraId="34773BF1" w14:textId="77777777" w:rsidTr="001E7D79">
        <w:trPr>
          <w:jc w:val="center"/>
        </w:trPr>
        <w:tc>
          <w:tcPr>
            <w:tcW w:w="1304" w:type="dxa"/>
            <w:tcBorders>
              <w:top w:val="nil"/>
              <w:left w:val="single" w:sz="4" w:space="0" w:color="auto"/>
              <w:bottom w:val="nil"/>
              <w:right w:val="single" w:sz="4" w:space="0" w:color="auto"/>
            </w:tcBorders>
          </w:tcPr>
          <w:p w14:paraId="17A6D817" w14:textId="32BB3404" w:rsidR="00BA31EA" w:rsidRPr="000E3A45" w:rsidRDefault="00BA31EA" w:rsidP="00BA31EA">
            <w:pPr>
              <w:rPr>
                <w:sz w:val="14"/>
                <w:szCs w:val="14"/>
              </w:rPr>
            </w:pPr>
            <w:r w:rsidRPr="000E3A45">
              <w:rPr>
                <w:sz w:val="14"/>
                <w:szCs w:val="14"/>
              </w:rPr>
              <w:t>Diciembre 2010</w:t>
            </w:r>
          </w:p>
        </w:tc>
        <w:tc>
          <w:tcPr>
            <w:tcW w:w="851" w:type="dxa"/>
            <w:tcBorders>
              <w:top w:val="nil"/>
              <w:left w:val="single" w:sz="4" w:space="0" w:color="auto"/>
              <w:bottom w:val="nil"/>
              <w:right w:val="single" w:sz="4" w:space="0" w:color="auto"/>
            </w:tcBorders>
          </w:tcPr>
          <w:p w14:paraId="76BCA47F" w14:textId="52C747DB" w:rsidR="00BA31EA" w:rsidRPr="000E3A45" w:rsidRDefault="00BA31EA" w:rsidP="00BA31EA">
            <w:pPr>
              <w:ind w:right="170"/>
              <w:jc w:val="right"/>
              <w:rPr>
                <w:sz w:val="14"/>
                <w:szCs w:val="14"/>
              </w:rPr>
            </w:pPr>
            <w:r w:rsidRPr="000E3A45">
              <w:rPr>
                <w:sz w:val="14"/>
                <w:szCs w:val="14"/>
              </w:rPr>
              <w:t>91.22</w:t>
            </w:r>
          </w:p>
        </w:tc>
        <w:tc>
          <w:tcPr>
            <w:tcW w:w="1021" w:type="dxa"/>
            <w:tcBorders>
              <w:top w:val="nil"/>
              <w:left w:val="single" w:sz="4" w:space="0" w:color="auto"/>
              <w:bottom w:val="nil"/>
              <w:right w:val="single" w:sz="4" w:space="0" w:color="auto"/>
            </w:tcBorders>
          </w:tcPr>
          <w:p w14:paraId="3DFF9A8B" w14:textId="421C848F" w:rsidR="00BA31EA" w:rsidRPr="000E3A45" w:rsidRDefault="00BA31EA" w:rsidP="00BA31EA">
            <w:pPr>
              <w:ind w:right="227"/>
              <w:jc w:val="right"/>
              <w:rPr>
                <w:sz w:val="14"/>
                <w:szCs w:val="14"/>
              </w:rPr>
            </w:pPr>
            <w:r w:rsidRPr="000E3A45">
              <w:rPr>
                <w:sz w:val="14"/>
                <w:szCs w:val="14"/>
              </w:rPr>
              <w:t>88.36</w:t>
            </w:r>
          </w:p>
        </w:tc>
        <w:tc>
          <w:tcPr>
            <w:tcW w:w="1021" w:type="dxa"/>
            <w:tcBorders>
              <w:top w:val="nil"/>
              <w:left w:val="single" w:sz="4" w:space="0" w:color="auto"/>
              <w:bottom w:val="nil"/>
              <w:right w:val="single" w:sz="4" w:space="0" w:color="auto"/>
            </w:tcBorders>
          </w:tcPr>
          <w:p w14:paraId="11D88A76" w14:textId="5B164048" w:rsidR="00BA31EA" w:rsidRPr="000E3A45" w:rsidRDefault="00BA31EA" w:rsidP="00BA31EA">
            <w:pPr>
              <w:ind w:right="227"/>
              <w:jc w:val="right"/>
              <w:rPr>
                <w:sz w:val="14"/>
                <w:szCs w:val="14"/>
              </w:rPr>
            </w:pPr>
            <w:r w:rsidRPr="000E3A45">
              <w:rPr>
                <w:sz w:val="14"/>
                <w:szCs w:val="14"/>
              </w:rPr>
              <w:t>82.19</w:t>
            </w:r>
          </w:p>
        </w:tc>
        <w:tc>
          <w:tcPr>
            <w:tcW w:w="1304" w:type="dxa"/>
            <w:tcBorders>
              <w:top w:val="nil"/>
              <w:left w:val="single" w:sz="4" w:space="0" w:color="auto"/>
              <w:bottom w:val="nil"/>
              <w:right w:val="single" w:sz="4" w:space="0" w:color="auto"/>
            </w:tcBorders>
          </w:tcPr>
          <w:p w14:paraId="3B447AAE" w14:textId="10577394" w:rsidR="00BA31EA" w:rsidRPr="000E3A45" w:rsidRDefault="00BA31EA" w:rsidP="00BA31EA">
            <w:pPr>
              <w:rPr>
                <w:sz w:val="14"/>
                <w:szCs w:val="14"/>
              </w:rPr>
            </w:pPr>
            <w:r w:rsidRPr="000E3A45">
              <w:rPr>
                <w:sz w:val="14"/>
                <w:szCs w:val="14"/>
              </w:rPr>
              <w:t>Febrero 2014</w:t>
            </w:r>
          </w:p>
        </w:tc>
        <w:tc>
          <w:tcPr>
            <w:tcW w:w="851" w:type="dxa"/>
            <w:tcBorders>
              <w:top w:val="nil"/>
              <w:left w:val="single" w:sz="4" w:space="0" w:color="auto"/>
              <w:bottom w:val="nil"/>
              <w:right w:val="single" w:sz="4" w:space="0" w:color="auto"/>
            </w:tcBorders>
            <w:vAlign w:val="center"/>
          </w:tcPr>
          <w:p w14:paraId="4D232653" w14:textId="05F9A5C6" w:rsidR="00BA31EA" w:rsidRPr="000E3A45" w:rsidRDefault="00BA31EA" w:rsidP="00BA31EA">
            <w:pPr>
              <w:ind w:right="170"/>
              <w:jc w:val="right"/>
              <w:rPr>
                <w:sz w:val="14"/>
                <w:szCs w:val="14"/>
              </w:rPr>
            </w:pPr>
            <w:r w:rsidRPr="000E3A45">
              <w:rPr>
                <w:sz w:val="14"/>
                <w:szCs w:val="14"/>
              </w:rPr>
              <w:t>110.15</w:t>
            </w:r>
          </w:p>
        </w:tc>
        <w:tc>
          <w:tcPr>
            <w:tcW w:w="1021" w:type="dxa"/>
            <w:tcBorders>
              <w:top w:val="nil"/>
              <w:left w:val="single" w:sz="4" w:space="0" w:color="auto"/>
              <w:bottom w:val="nil"/>
              <w:right w:val="single" w:sz="4" w:space="0" w:color="auto"/>
            </w:tcBorders>
            <w:vAlign w:val="center"/>
          </w:tcPr>
          <w:p w14:paraId="58821212" w14:textId="55594876" w:rsidR="00BA31EA" w:rsidRPr="000E3A45" w:rsidRDefault="00BA31EA" w:rsidP="00BA31EA">
            <w:pPr>
              <w:ind w:right="227"/>
              <w:jc w:val="right"/>
              <w:rPr>
                <w:sz w:val="14"/>
                <w:szCs w:val="14"/>
              </w:rPr>
            </w:pPr>
            <w:r w:rsidRPr="000E3A45">
              <w:rPr>
                <w:sz w:val="14"/>
                <w:szCs w:val="14"/>
              </w:rPr>
              <w:t>100.81</w:t>
            </w:r>
          </w:p>
        </w:tc>
        <w:tc>
          <w:tcPr>
            <w:tcW w:w="1021" w:type="dxa"/>
            <w:tcBorders>
              <w:top w:val="nil"/>
              <w:left w:val="single" w:sz="4" w:space="0" w:color="auto"/>
              <w:bottom w:val="nil"/>
              <w:right w:val="single" w:sz="4" w:space="0" w:color="auto"/>
            </w:tcBorders>
            <w:vAlign w:val="center"/>
          </w:tcPr>
          <w:p w14:paraId="10FC272A" w14:textId="5D3DC529" w:rsidR="00BA31EA" w:rsidRPr="000E3A45" w:rsidRDefault="00BA31EA" w:rsidP="00BA31EA">
            <w:pPr>
              <w:ind w:right="227"/>
              <w:jc w:val="right"/>
              <w:rPr>
                <w:sz w:val="14"/>
                <w:szCs w:val="14"/>
              </w:rPr>
            </w:pPr>
            <w:r w:rsidRPr="000E3A45">
              <w:rPr>
                <w:sz w:val="14"/>
                <w:szCs w:val="14"/>
              </w:rPr>
              <w:t>93.09</w:t>
            </w:r>
          </w:p>
        </w:tc>
      </w:tr>
      <w:tr w:rsidR="00BA31EA" w:rsidRPr="000E3A45" w14:paraId="5332AFE7" w14:textId="77777777" w:rsidTr="001E7D79">
        <w:trPr>
          <w:jc w:val="center"/>
        </w:trPr>
        <w:tc>
          <w:tcPr>
            <w:tcW w:w="1304" w:type="dxa"/>
            <w:tcBorders>
              <w:top w:val="nil"/>
              <w:left w:val="single" w:sz="4" w:space="0" w:color="auto"/>
              <w:bottom w:val="nil"/>
              <w:right w:val="single" w:sz="4" w:space="0" w:color="auto"/>
            </w:tcBorders>
          </w:tcPr>
          <w:p w14:paraId="5D43638B" w14:textId="7FACFE4B" w:rsidR="00BA31EA" w:rsidRPr="000E3A45" w:rsidRDefault="00BA31EA" w:rsidP="00BA31EA">
            <w:pPr>
              <w:rPr>
                <w:sz w:val="14"/>
                <w:szCs w:val="14"/>
              </w:rPr>
            </w:pPr>
            <w:r w:rsidRPr="000E3A45">
              <w:rPr>
                <w:sz w:val="14"/>
                <w:szCs w:val="14"/>
              </w:rPr>
              <w:t>Diciembre 2011</w:t>
            </w:r>
          </w:p>
        </w:tc>
        <w:tc>
          <w:tcPr>
            <w:tcW w:w="851" w:type="dxa"/>
            <w:tcBorders>
              <w:top w:val="nil"/>
              <w:left w:val="single" w:sz="4" w:space="0" w:color="auto"/>
              <w:bottom w:val="nil"/>
              <w:right w:val="single" w:sz="4" w:space="0" w:color="auto"/>
            </w:tcBorders>
          </w:tcPr>
          <w:p w14:paraId="7D4EA0E9" w14:textId="2AA471EB" w:rsidR="00BA31EA" w:rsidRPr="000E3A45" w:rsidRDefault="00BA31EA" w:rsidP="00BA31EA">
            <w:pPr>
              <w:ind w:right="170"/>
              <w:jc w:val="right"/>
              <w:rPr>
                <w:sz w:val="14"/>
                <w:szCs w:val="14"/>
              </w:rPr>
            </w:pPr>
            <w:r w:rsidRPr="000E3A45">
              <w:rPr>
                <w:sz w:val="14"/>
                <w:szCs w:val="14"/>
              </w:rPr>
              <w:t>108.90</w:t>
            </w:r>
          </w:p>
        </w:tc>
        <w:tc>
          <w:tcPr>
            <w:tcW w:w="1021" w:type="dxa"/>
            <w:tcBorders>
              <w:top w:val="nil"/>
              <w:left w:val="single" w:sz="4" w:space="0" w:color="auto"/>
              <w:bottom w:val="nil"/>
              <w:right w:val="single" w:sz="4" w:space="0" w:color="auto"/>
            </w:tcBorders>
          </w:tcPr>
          <w:p w14:paraId="4C800D8B" w14:textId="01B302CA" w:rsidR="00BA31EA" w:rsidRPr="000E3A45" w:rsidRDefault="00BA31EA" w:rsidP="00BA31EA">
            <w:pPr>
              <w:ind w:right="227"/>
              <w:jc w:val="right"/>
              <w:rPr>
                <w:sz w:val="14"/>
                <w:szCs w:val="14"/>
              </w:rPr>
            </w:pPr>
            <w:r w:rsidRPr="000E3A45">
              <w:rPr>
                <w:sz w:val="14"/>
                <w:szCs w:val="14"/>
              </w:rPr>
              <w:t>98.54</w:t>
            </w:r>
          </w:p>
        </w:tc>
        <w:tc>
          <w:tcPr>
            <w:tcW w:w="1021" w:type="dxa"/>
            <w:tcBorders>
              <w:top w:val="nil"/>
              <w:left w:val="single" w:sz="4" w:space="0" w:color="auto"/>
              <w:bottom w:val="nil"/>
              <w:right w:val="single" w:sz="4" w:space="0" w:color="auto"/>
            </w:tcBorders>
          </w:tcPr>
          <w:p w14:paraId="679473EC" w14:textId="4B7EBE9F" w:rsidR="00BA31EA" w:rsidRPr="000E3A45" w:rsidRDefault="00BA31EA" w:rsidP="00BA31EA">
            <w:pPr>
              <w:ind w:right="227"/>
              <w:jc w:val="right"/>
              <w:rPr>
                <w:sz w:val="14"/>
                <w:szCs w:val="14"/>
              </w:rPr>
            </w:pPr>
            <w:r w:rsidRPr="000E3A45">
              <w:rPr>
                <w:sz w:val="14"/>
                <w:szCs w:val="14"/>
              </w:rPr>
              <w:t>106.33</w:t>
            </w:r>
          </w:p>
        </w:tc>
        <w:tc>
          <w:tcPr>
            <w:tcW w:w="1304" w:type="dxa"/>
            <w:tcBorders>
              <w:top w:val="nil"/>
              <w:left w:val="single" w:sz="4" w:space="0" w:color="auto"/>
              <w:bottom w:val="nil"/>
              <w:right w:val="single" w:sz="4" w:space="0" w:color="auto"/>
            </w:tcBorders>
          </w:tcPr>
          <w:p w14:paraId="45300A30" w14:textId="25C19E1F" w:rsidR="00BA31EA" w:rsidRPr="000E3A45" w:rsidRDefault="00BA31EA" w:rsidP="00BA31EA">
            <w:pPr>
              <w:rPr>
                <w:sz w:val="14"/>
                <w:szCs w:val="14"/>
              </w:rPr>
            </w:pPr>
            <w:r w:rsidRPr="000E3A45">
              <w:rPr>
                <w:sz w:val="14"/>
                <w:szCs w:val="14"/>
              </w:rPr>
              <w:t>Marzo 2014</w:t>
            </w:r>
          </w:p>
        </w:tc>
        <w:tc>
          <w:tcPr>
            <w:tcW w:w="851" w:type="dxa"/>
            <w:tcBorders>
              <w:top w:val="nil"/>
              <w:left w:val="single" w:sz="4" w:space="0" w:color="auto"/>
              <w:bottom w:val="nil"/>
              <w:right w:val="single" w:sz="4" w:space="0" w:color="auto"/>
            </w:tcBorders>
          </w:tcPr>
          <w:p w14:paraId="5F03AB07" w14:textId="0FDBD824" w:rsidR="00BA31EA" w:rsidRPr="000E3A45" w:rsidRDefault="00BA31EA" w:rsidP="00BA31EA">
            <w:pPr>
              <w:ind w:right="170"/>
              <w:jc w:val="right"/>
              <w:rPr>
                <w:sz w:val="14"/>
                <w:szCs w:val="14"/>
              </w:rPr>
            </w:pPr>
            <w:r w:rsidRPr="000E3A45">
              <w:rPr>
                <w:sz w:val="14"/>
                <w:szCs w:val="14"/>
              </w:rPr>
              <w:t>108.29</w:t>
            </w:r>
          </w:p>
        </w:tc>
        <w:tc>
          <w:tcPr>
            <w:tcW w:w="1021" w:type="dxa"/>
            <w:tcBorders>
              <w:top w:val="nil"/>
              <w:left w:val="single" w:sz="4" w:space="0" w:color="auto"/>
              <w:bottom w:val="nil"/>
              <w:right w:val="single" w:sz="4" w:space="0" w:color="auto"/>
            </w:tcBorders>
          </w:tcPr>
          <w:p w14:paraId="2AC51259" w14:textId="7FFF9E7D" w:rsidR="00BA31EA" w:rsidRPr="000E3A45" w:rsidRDefault="00BA31EA" w:rsidP="00BA31EA">
            <w:pPr>
              <w:ind w:right="227"/>
              <w:jc w:val="right"/>
              <w:rPr>
                <w:sz w:val="14"/>
                <w:szCs w:val="14"/>
              </w:rPr>
            </w:pPr>
            <w:r w:rsidRPr="000E3A45">
              <w:rPr>
                <w:sz w:val="14"/>
                <w:szCs w:val="14"/>
              </w:rPr>
              <w:t>100.87</w:t>
            </w:r>
          </w:p>
        </w:tc>
        <w:tc>
          <w:tcPr>
            <w:tcW w:w="1021" w:type="dxa"/>
            <w:tcBorders>
              <w:top w:val="nil"/>
              <w:left w:val="single" w:sz="4" w:space="0" w:color="auto"/>
              <w:bottom w:val="nil"/>
              <w:right w:val="single" w:sz="4" w:space="0" w:color="auto"/>
            </w:tcBorders>
          </w:tcPr>
          <w:p w14:paraId="655D9BE6" w14:textId="0C701135" w:rsidR="00BA31EA" w:rsidRPr="000E3A45" w:rsidRDefault="00BA31EA" w:rsidP="00BA31EA">
            <w:pPr>
              <w:ind w:right="227"/>
              <w:jc w:val="right"/>
              <w:rPr>
                <w:sz w:val="14"/>
                <w:szCs w:val="14"/>
              </w:rPr>
            </w:pPr>
            <w:r w:rsidRPr="000E3A45">
              <w:rPr>
                <w:sz w:val="14"/>
                <w:szCs w:val="14"/>
              </w:rPr>
              <w:t>93.48</w:t>
            </w:r>
          </w:p>
        </w:tc>
      </w:tr>
      <w:tr w:rsidR="00BA31EA" w:rsidRPr="000E3A45" w14:paraId="0C30449C" w14:textId="77777777" w:rsidTr="00202E4C">
        <w:trPr>
          <w:jc w:val="center"/>
        </w:trPr>
        <w:tc>
          <w:tcPr>
            <w:tcW w:w="1304" w:type="dxa"/>
            <w:tcBorders>
              <w:top w:val="nil"/>
              <w:left w:val="single" w:sz="4" w:space="0" w:color="auto"/>
              <w:bottom w:val="nil"/>
              <w:right w:val="single" w:sz="4" w:space="0" w:color="auto"/>
            </w:tcBorders>
          </w:tcPr>
          <w:p w14:paraId="5A931997" w14:textId="5863BF4A" w:rsidR="00BA31EA" w:rsidRPr="000E3A45" w:rsidRDefault="00BA31EA" w:rsidP="00BA31EA">
            <w:pPr>
              <w:rPr>
                <w:sz w:val="14"/>
                <w:szCs w:val="14"/>
              </w:rPr>
            </w:pPr>
            <w:r w:rsidRPr="000E3A45">
              <w:rPr>
                <w:sz w:val="14"/>
                <w:szCs w:val="14"/>
              </w:rPr>
              <w:t>Diciembre 2012</w:t>
            </w:r>
          </w:p>
        </w:tc>
        <w:tc>
          <w:tcPr>
            <w:tcW w:w="851" w:type="dxa"/>
            <w:tcBorders>
              <w:top w:val="nil"/>
              <w:left w:val="single" w:sz="4" w:space="0" w:color="auto"/>
              <w:bottom w:val="nil"/>
              <w:right w:val="single" w:sz="4" w:space="0" w:color="auto"/>
            </w:tcBorders>
          </w:tcPr>
          <w:p w14:paraId="5849AC8A" w14:textId="05AE6F73" w:rsidR="00BA31EA" w:rsidRPr="000E3A45" w:rsidRDefault="00BA31EA" w:rsidP="00BA31EA">
            <w:pPr>
              <w:ind w:right="170"/>
              <w:jc w:val="right"/>
              <w:rPr>
                <w:sz w:val="14"/>
                <w:szCs w:val="14"/>
              </w:rPr>
            </w:pPr>
            <w:r w:rsidRPr="000E3A45">
              <w:rPr>
                <w:sz w:val="14"/>
                <w:szCs w:val="14"/>
              </w:rPr>
              <w:t>109.11</w:t>
            </w:r>
          </w:p>
        </w:tc>
        <w:tc>
          <w:tcPr>
            <w:tcW w:w="1021" w:type="dxa"/>
            <w:tcBorders>
              <w:top w:val="nil"/>
              <w:left w:val="single" w:sz="4" w:space="0" w:color="auto"/>
              <w:bottom w:val="nil"/>
              <w:right w:val="single" w:sz="4" w:space="0" w:color="auto"/>
            </w:tcBorders>
          </w:tcPr>
          <w:p w14:paraId="1D6D1F8C" w14:textId="0FF64208" w:rsidR="00BA31EA" w:rsidRPr="000E3A45" w:rsidRDefault="00BA31EA" w:rsidP="00BA31EA">
            <w:pPr>
              <w:ind w:right="227"/>
              <w:jc w:val="right"/>
              <w:rPr>
                <w:sz w:val="14"/>
                <w:szCs w:val="14"/>
              </w:rPr>
            </w:pPr>
            <w:r w:rsidRPr="000E3A45">
              <w:rPr>
                <w:sz w:val="14"/>
                <w:szCs w:val="14"/>
              </w:rPr>
              <w:t>87.43</w:t>
            </w:r>
          </w:p>
        </w:tc>
        <w:tc>
          <w:tcPr>
            <w:tcW w:w="1021" w:type="dxa"/>
            <w:tcBorders>
              <w:top w:val="nil"/>
              <w:left w:val="single" w:sz="4" w:space="0" w:color="auto"/>
              <w:bottom w:val="nil"/>
              <w:right w:val="single" w:sz="4" w:space="0" w:color="auto"/>
            </w:tcBorders>
          </w:tcPr>
          <w:p w14:paraId="7E600989" w14:textId="754FE9AC" w:rsidR="00BA31EA" w:rsidRPr="000E3A45" w:rsidRDefault="00BA31EA" w:rsidP="00BA31EA">
            <w:pPr>
              <w:ind w:right="227"/>
              <w:jc w:val="right"/>
              <w:rPr>
                <w:sz w:val="14"/>
                <w:szCs w:val="14"/>
              </w:rPr>
            </w:pPr>
            <w:r w:rsidRPr="000E3A45">
              <w:rPr>
                <w:sz w:val="14"/>
                <w:szCs w:val="14"/>
              </w:rPr>
              <w:t>96.67</w:t>
            </w:r>
          </w:p>
        </w:tc>
        <w:tc>
          <w:tcPr>
            <w:tcW w:w="1304" w:type="dxa"/>
            <w:tcBorders>
              <w:top w:val="nil"/>
              <w:left w:val="single" w:sz="4" w:space="0" w:color="auto"/>
              <w:bottom w:val="nil"/>
              <w:right w:val="single" w:sz="4" w:space="0" w:color="auto"/>
            </w:tcBorders>
          </w:tcPr>
          <w:p w14:paraId="455AB824" w14:textId="4250D208" w:rsidR="00BA31EA" w:rsidRPr="000E3A45" w:rsidRDefault="00BA31EA" w:rsidP="00BA31EA">
            <w:pPr>
              <w:rPr>
                <w:sz w:val="14"/>
                <w:szCs w:val="14"/>
              </w:rPr>
            </w:pPr>
            <w:r w:rsidRPr="000E3A45">
              <w:rPr>
                <w:sz w:val="14"/>
                <w:szCs w:val="14"/>
              </w:rPr>
              <w:t>Abril 2014</w:t>
            </w:r>
          </w:p>
        </w:tc>
        <w:tc>
          <w:tcPr>
            <w:tcW w:w="851" w:type="dxa"/>
            <w:tcBorders>
              <w:top w:val="nil"/>
              <w:left w:val="single" w:sz="4" w:space="0" w:color="auto"/>
              <w:bottom w:val="nil"/>
              <w:right w:val="single" w:sz="4" w:space="0" w:color="auto"/>
            </w:tcBorders>
            <w:vAlign w:val="center"/>
          </w:tcPr>
          <w:p w14:paraId="44572228" w14:textId="31964417" w:rsidR="00BA31EA" w:rsidRPr="000E3A45" w:rsidRDefault="00BA31EA" w:rsidP="00BA31EA">
            <w:pPr>
              <w:ind w:right="170"/>
              <w:jc w:val="right"/>
              <w:rPr>
                <w:sz w:val="14"/>
                <w:szCs w:val="14"/>
              </w:rPr>
            </w:pPr>
            <w:r w:rsidRPr="000E3A45">
              <w:rPr>
                <w:sz w:val="14"/>
                <w:szCs w:val="14"/>
              </w:rPr>
              <w:t>108.12</w:t>
            </w:r>
          </w:p>
        </w:tc>
        <w:tc>
          <w:tcPr>
            <w:tcW w:w="1021" w:type="dxa"/>
            <w:tcBorders>
              <w:top w:val="nil"/>
              <w:left w:val="single" w:sz="4" w:space="0" w:color="auto"/>
              <w:bottom w:val="nil"/>
              <w:right w:val="single" w:sz="4" w:space="0" w:color="auto"/>
            </w:tcBorders>
            <w:vAlign w:val="center"/>
          </w:tcPr>
          <w:p w14:paraId="5DC633A4" w14:textId="6CBEEF42" w:rsidR="00BA31EA" w:rsidRPr="000E3A45" w:rsidRDefault="00BA31EA" w:rsidP="00BA31EA">
            <w:pPr>
              <w:ind w:right="227"/>
              <w:jc w:val="right"/>
              <w:rPr>
                <w:sz w:val="14"/>
                <w:szCs w:val="14"/>
              </w:rPr>
            </w:pPr>
            <w:r w:rsidRPr="000E3A45">
              <w:rPr>
                <w:sz w:val="14"/>
                <w:szCs w:val="14"/>
              </w:rPr>
              <w:t>101.94</w:t>
            </w:r>
          </w:p>
        </w:tc>
        <w:tc>
          <w:tcPr>
            <w:tcW w:w="1021" w:type="dxa"/>
            <w:tcBorders>
              <w:top w:val="nil"/>
              <w:left w:val="single" w:sz="4" w:space="0" w:color="auto"/>
              <w:bottom w:val="nil"/>
              <w:right w:val="single" w:sz="4" w:space="0" w:color="auto"/>
            </w:tcBorders>
            <w:vAlign w:val="center"/>
          </w:tcPr>
          <w:p w14:paraId="17B815FD" w14:textId="73EDAD10" w:rsidR="00BA31EA" w:rsidRPr="000E3A45" w:rsidRDefault="00BA31EA" w:rsidP="00BA31EA">
            <w:pPr>
              <w:ind w:right="227"/>
              <w:jc w:val="right"/>
              <w:rPr>
                <w:sz w:val="14"/>
                <w:szCs w:val="14"/>
              </w:rPr>
            </w:pPr>
            <w:r w:rsidRPr="000E3A45">
              <w:rPr>
                <w:sz w:val="14"/>
                <w:szCs w:val="14"/>
              </w:rPr>
              <w:t>95.68</w:t>
            </w:r>
          </w:p>
        </w:tc>
      </w:tr>
      <w:tr w:rsidR="00BA31EA" w:rsidRPr="000E3A45" w14:paraId="6A7BDE79" w14:textId="77777777" w:rsidTr="001E7D79">
        <w:trPr>
          <w:jc w:val="center"/>
        </w:trPr>
        <w:tc>
          <w:tcPr>
            <w:tcW w:w="1304" w:type="dxa"/>
            <w:tcBorders>
              <w:top w:val="nil"/>
              <w:left w:val="single" w:sz="4" w:space="0" w:color="auto"/>
              <w:bottom w:val="nil"/>
              <w:right w:val="single" w:sz="4" w:space="0" w:color="auto"/>
            </w:tcBorders>
          </w:tcPr>
          <w:p w14:paraId="32C4C2E7" w14:textId="15C4513D" w:rsidR="00BA31EA" w:rsidRPr="000E3A45" w:rsidRDefault="00BA31EA" w:rsidP="00BA31EA">
            <w:pPr>
              <w:rPr>
                <w:sz w:val="14"/>
                <w:szCs w:val="14"/>
              </w:rPr>
            </w:pPr>
            <w:r w:rsidRPr="000E3A45">
              <w:rPr>
                <w:sz w:val="14"/>
                <w:szCs w:val="14"/>
              </w:rPr>
              <w:t>Enero 2013</w:t>
            </w:r>
          </w:p>
        </w:tc>
        <w:tc>
          <w:tcPr>
            <w:tcW w:w="851" w:type="dxa"/>
            <w:tcBorders>
              <w:top w:val="nil"/>
              <w:left w:val="single" w:sz="4" w:space="0" w:color="auto"/>
              <w:bottom w:val="nil"/>
              <w:right w:val="single" w:sz="4" w:space="0" w:color="auto"/>
            </w:tcBorders>
          </w:tcPr>
          <w:p w14:paraId="4175F488" w14:textId="276D5E6A" w:rsidR="00BA31EA" w:rsidRPr="000E3A45" w:rsidRDefault="00BA31EA" w:rsidP="00BA31EA">
            <w:pPr>
              <w:ind w:right="170"/>
              <w:jc w:val="right"/>
              <w:rPr>
                <w:sz w:val="14"/>
                <w:szCs w:val="14"/>
              </w:rPr>
            </w:pPr>
            <w:r w:rsidRPr="000E3A45">
              <w:rPr>
                <w:sz w:val="14"/>
                <w:szCs w:val="14"/>
              </w:rPr>
              <w:t>113.36</w:t>
            </w:r>
          </w:p>
        </w:tc>
        <w:tc>
          <w:tcPr>
            <w:tcW w:w="1021" w:type="dxa"/>
            <w:tcBorders>
              <w:top w:val="nil"/>
              <w:left w:val="single" w:sz="4" w:space="0" w:color="auto"/>
              <w:bottom w:val="nil"/>
              <w:right w:val="single" w:sz="4" w:space="0" w:color="auto"/>
            </w:tcBorders>
          </w:tcPr>
          <w:p w14:paraId="6532CC5D" w14:textId="29CBC666" w:rsidR="00BA31EA" w:rsidRPr="000E3A45" w:rsidRDefault="00BA31EA" w:rsidP="00BA31EA">
            <w:pPr>
              <w:ind w:right="227"/>
              <w:jc w:val="right"/>
              <w:rPr>
                <w:sz w:val="14"/>
                <w:szCs w:val="14"/>
              </w:rPr>
            </w:pPr>
            <w:r w:rsidRPr="000E3A45">
              <w:rPr>
                <w:sz w:val="14"/>
                <w:szCs w:val="14"/>
              </w:rPr>
              <w:t>94.65</w:t>
            </w:r>
          </w:p>
        </w:tc>
        <w:tc>
          <w:tcPr>
            <w:tcW w:w="1021" w:type="dxa"/>
            <w:tcBorders>
              <w:top w:val="nil"/>
              <w:left w:val="single" w:sz="4" w:space="0" w:color="auto"/>
              <w:bottom w:val="nil"/>
              <w:right w:val="single" w:sz="4" w:space="0" w:color="auto"/>
            </w:tcBorders>
          </w:tcPr>
          <w:p w14:paraId="68D6E626" w14:textId="0987123F" w:rsidR="00BA31EA" w:rsidRPr="000E3A45" w:rsidRDefault="00BA31EA" w:rsidP="00BA31EA">
            <w:pPr>
              <w:ind w:right="227"/>
              <w:jc w:val="right"/>
              <w:rPr>
                <w:sz w:val="14"/>
                <w:szCs w:val="14"/>
              </w:rPr>
            </w:pPr>
            <w:r w:rsidRPr="000E3A45">
              <w:rPr>
                <w:sz w:val="14"/>
                <w:szCs w:val="14"/>
              </w:rPr>
              <w:t>100.60</w:t>
            </w:r>
          </w:p>
        </w:tc>
        <w:tc>
          <w:tcPr>
            <w:tcW w:w="1304" w:type="dxa"/>
            <w:tcBorders>
              <w:top w:val="nil"/>
              <w:left w:val="single" w:sz="4" w:space="0" w:color="auto"/>
              <w:bottom w:val="nil"/>
              <w:right w:val="single" w:sz="4" w:space="0" w:color="auto"/>
            </w:tcBorders>
          </w:tcPr>
          <w:p w14:paraId="17481BE5" w14:textId="001522D9" w:rsidR="00BA31EA" w:rsidRPr="000E3A45" w:rsidRDefault="00BA31EA" w:rsidP="00BA31EA">
            <w:pPr>
              <w:rPr>
                <w:sz w:val="14"/>
                <w:szCs w:val="14"/>
              </w:rPr>
            </w:pPr>
            <w:r w:rsidRPr="000E3A45">
              <w:rPr>
                <w:sz w:val="14"/>
                <w:szCs w:val="14"/>
              </w:rPr>
              <w:t>Mayo 2014</w:t>
            </w:r>
          </w:p>
        </w:tc>
        <w:tc>
          <w:tcPr>
            <w:tcW w:w="851" w:type="dxa"/>
            <w:tcBorders>
              <w:top w:val="nil"/>
              <w:left w:val="single" w:sz="4" w:space="0" w:color="auto"/>
              <w:bottom w:val="nil"/>
              <w:right w:val="single" w:sz="4" w:space="0" w:color="auto"/>
            </w:tcBorders>
          </w:tcPr>
          <w:p w14:paraId="4462DCBC" w14:textId="45E67ED4" w:rsidR="00BA31EA" w:rsidRPr="000E3A45" w:rsidRDefault="00BA31EA" w:rsidP="00BA31EA">
            <w:pPr>
              <w:ind w:right="170"/>
              <w:jc w:val="right"/>
              <w:rPr>
                <w:sz w:val="14"/>
                <w:szCs w:val="14"/>
              </w:rPr>
            </w:pPr>
            <w:r w:rsidRPr="000E3A45">
              <w:rPr>
                <w:sz w:val="14"/>
                <w:szCs w:val="14"/>
              </w:rPr>
              <w:t>110.36</w:t>
            </w:r>
          </w:p>
        </w:tc>
        <w:tc>
          <w:tcPr>
            <w:tcW w:w="1021" w:type="dxa"/>
            <w:tcBorders>
              <w:top w:val="nil"/>
              <w:left w:val="single" w:sz="4" w:space="0" w:color="auto"/>
              <w:bottom w:val="nil"/>
              <w:right w:val="single" w:sz="4" w:space="0" w:color="auto"/>
            </w:tcBorders>
          </w:tcPr>
          <w:p w14:paraId="1FBAE926" w14:textId="369C5400" w:rsidR="00BA31EA" w:rsidRPr="000E3A45" w:rsidRDefault="00BA31EA" w:rsidP="00BA31EA">
            <w:pPr>
              <w:ind w:right="227"/>
              <w:jc w:val="right"/>
              <w:rPr>
                <w:sz w:val="14"/>
                <w:szCs w:val="14"/>
              </w:rPr>
            </w:pPr>
            <w:r w:rsidRPr="000E3A45">
              <w:rPr>
                <w:sz w:val="14"/>
                <w:szCs w:val="14"/>
              </w:rPr>
              <w:t>102.53</w:t>
            </w:r>
          </w:p>
        </w:tc>
        <w:tc>
          <w:tcPr>
            <w:tcW w:w="1021" w:type="dxa"/>
            <w:tcBorders>
              <w:top w:val="nil"/>
              <w:left w:val="single" w:sz="4" w:space="0" w:color="auto"/>
              <w:bottom w:val="nil"/>
              <w:right w:val="single" w:sz="4" w:space="0" w:color="auto"/>
            </w:tcBorders>
          </w:tcPr>
          <w:p w14:paraId="608F09E7" w14:textId="264F41F8" w:rsidR="00BA31EA" w:rsidRPr="000E3A45" w:rsidRDefault="00BA31EA" w:rsidP="00BA31EA">
            <w:pPr>
              <w:ind w:right="227"/>
              <w:jc w:val="right"/>
              <w:rPr>
                <w:sz w:val="14"/>
                <w:szCs w:val="14"/>
              </w:rPr>
            </w:pPr>
            <w:r w:rsidRPr="000E3A45">
              <w:rPr>
                <w:sz w:val="14"/>
                <w:szCs w:val="14"/>
              </w:rPr>
              <w:t>96.79</w:t>
            </w:r>
          </w:p>
        </w:tc>
      </w:tr>
      <w:tr w:rsidR="00BA31EA" w:rsidRPr="000E3A45" w14:paraId="0CD01D57" w14:textId="77777777" w:rsidTr="001E7D79">
        <w:trPr>
          <w:jc w:val="center"/>
        </w:trPr>
        <w:tc>
          <w:tcPr>
            <w:tcW w:w="1304" w:type="dxa"/>
            <w:tcBorders>
              <w:top w:val="nil"/>
              <w:left w:val="single" w:sz="4" w:space="0" w:color="auto"/>
              <w:bottom w:val="nil"/>
              <w:right w:val="single" w:sz="4" w:space="0" w:color="auto"/>
            </w:tcBorders>
          </w:tcPr>
          <w:p w14:paraId="2D12B5F4" w14:textId="1DD3B08A" w:rsidR="00BA31EA" w:rsidRPr="000E3A45" w:rsidRDefault="00BA31EA" w:rsidP="00BA31EA">
            <w:pPr>
              <w:rPr>
                <w:sz w:val="14"/>
                <w:szCs w:val="14"/>
              </w:rPr>
            </w:pPr>
            <w:r w:rsidRPr="000E3A45">
              <w:rPr>
                <w:sz w:val="14"/>
                <w:szCs w:val="14"/>
              </w:rPr>
              <w:t>Febrero 2013</w:t>
            </w:r>
          </w:p>
        </w:tc>
        <w:tc>
          <w:tcPr>
            <w:tcW w:w="851" w:type="dxa"/>
            <w:tcBorders>
              <w:top w:val="nil"/>
              <w:left w:val="single" w:sz="4" w:space="0" w:color="auto"/>
              <w:bottom w:val="nil"/>
              <w:right w:val="single" w:sz="4" w:space="0" w:color="auto"/>
            </w:tcBorders>
            <w:vAlign w:val="center"/>
          </w:tcPr>
          <w:p w14:paraId="41DB1DFE" w14:textId="5D2853B5" w:rsidR="00BA31EA" w:rsidRPr="000E3A45" w:rsidRDefault="00BA31EA" w:rsidP="00BA31EA">
            <w:pPr>
              <w:ind w:right="170"/>
              <w:jc w:val="right"/>
              <w:rPr>
                <w:sz w:val="14"/>
                <w:szCs w:val="14"/>
              </w:rPr>
            </w:pPr>
            <w:r w:rsidRPr="000E3A45">
              <w:rPr>
                <w:sz w:val="14"/>
                <w:szCs w:val="14"/>
              </w:rPr>
              <w:t>116.95</w:t>
            </w:r>
          </w:p>
        </w:tc>
        <w:tc>
          <w:tcPr>
            <w:tcW w:w="1021" w:type="dxa"/>
            <w:tcBorders>
              <w:top w:val="nil"/>
              <w:left w:val="single" w:sz="4" w:space="0" w:color="auto"/>
              <w:bottom w:val="nil"/>
              <w:right w:val="single" w:sz="4" w:space="0" w:color="auto"/>
            </w:tcBorders>
            <w:vAlign w:val="center"/>
          </w:tcPr>
          <w:p w14:paraId="0E1A76A3" w14:textId="6F201BB8" w:rsidR="00BA31EA" w:rsidRPr="000E3A45" w:rsidRDefault="00BA31EA" w:rsidP="00BA31EA">
            <w:pPr>
              <w:ind w:right="227"/>
              <w:jc w:val="right"/>
              <w:rPr>
                <w:sz w:val="14"/>
                <w:szCs w:val="14"/>
              </w:rPr>
            </w:pPr>
            <w:r w:rsidRPr="000E3A45">
              <w:rPr>
                <w:sz w:val="14"/>
                <w:szCs w:val="14"/>
              </w:rPr>
              <w:t>94.87</w:t>
            </w:r>
          </w:p>
        </w:tc>
        <w:tc>
          <w:tcPr>
            <w:tcW w:w="1021" w:type="dxa"/>
            <w:tcBorders>
              <w:top w:val="nil"/>
              <w:left w:val="single" w:sz="4" w:space="0" w:color="auto"/>
              <w:bottom w:val="nil"/>
              <w:right w:val="single" w:sz="4" w:space="0" w:color="auto"/>
            </w:tcBorders>
            <w:vAlign w:val="center"/>
          </w:tcPr>
          <w:p w14:paraId="28460B21" w14:textId="3DD4614C" w:rsidR="00BA31EA" w:rsidRPr="000E3A45" w:rsidRDefault="00BA31EA" w:rsidP="00BA31EA">
            <w:pPr>
              <w:ind w:right="227"/>
              <w:jc w:val="right"/>
              <w:rPr>
                <w:sz w:val="14"/>
                <w:szCs w:val="14"/>
              </w:rPr>
            </w:pPr>
            <w:r w:rsidRPr="000E3A45">
              <w:rPr>
                <w:sz w:val="14"/>
                <w:szCs w:val="14"/>
              </w:rPr>
              <w:t>105.43</w:t>
            </w:r>
          </w:p>
        </w:tc>
        <w:tc>
          <w:tcPr>
            <w:tcW w:w="1304" w:type="dxa"/>
            <w:tcBorders>
              <w:top w:val="nil"/>
              <w:left w:val="single" w:sz="4" w:space="0" w:color="auto"/>
              <w:bottom w:val="nil"/>
              <w:right w:val="single" w:sz="4" w:space="0" w:color="auto"/>
            </w:tcBorders>
          </w:tcPr>
          <w:p w14:paraId="2225C882" w14:textId="49A282E3" w:rsidR="00BA31EA" w:rsidRPr="000E3A45" w:rsidRDefault="00BA31EA" w:rsidP="00BA31EA">
            <w:pPr>
              <w:rPr>
                <w:sz w:val="14"/>
                <w:szCs w:val="14"/>
              </w:rPr>
            </w:pPr>
            <w:r w:rsidRPr="000E3A45">
              <w:rPr>
                <w:sz w:val="14"/>
                <w:szCs w:val="14"/>
              </w:rPr>
              <w:t>Junio 2014</w:t>
            </w:r>
          </w:p>
        </w:tc>
        <w:tc>
          <w:tcPr>
            <w:tcW w:w="851" w:type="dxa"/>
            <w:tcBorders>
              <w:top w:val="nil"/>
              <w:left w:val="single" w:sz="4" w:space="0" w:color="auto"/>
              <w:bottom w:val="nil"/>
              <w:right w:val="single" w:sz="4" w:space="0" w:color="auto"/>
            </w:tcBorders>
            <w:vAlign w:val="center"/>
          </w:tcPr>
          <w:p w14:paraId="1E89DCB3" w14:textId="7A84165A" w:rsidR="00BA31EA" w:rsidRPr="000E3A45" w:rsidRDefault="00BA31EA" w:rsidP="00BA31EA">
            <w:pPr>
              <w:ind w:right="170"/>
              <w:jc w:val="right"/>
              <w:rPr>
                <w:sz w:val="14"/>
                <w:szCs w:val="14"/>
              </w:rPr>
            </w:pPr>
            <w:r w:rsidRPr="000E3A45">
              <w:rPr>
                <w:sz w:val="14"/>
                <w:szCs w:val="14"/>
              </w:rPr>
              <w:t>112.26</w:t>
            </w:r>
          </w:p>
        </w:tc>
        <w:tc>
          <w:tcPr>
            <w:tcW w:w="1021" w:type="dxa"/>
            <w:tcBorders>
              <w:top w:val="nil"/>
              <w:left w:val="single" w:sz="4" w:space="0" w:color="auto"/>
              <w:bottom w:val="nil"/>
              <w:right w:val="single" w:sz="4" w:space="0" w:color="auto"/>
            </w:tcBorders>
            <w:vAlign w:val="center"/>
          </w:tcPr>
          <w:p w14:paraId="29E47EB8" w14:textId="385A7D5F" w:rsidR="00BA31EA" w:rsidRPr="000E3A45" w:rsidRDefault="00BA31EA" w:rsidP="00BA31EA">
            <w:pPr>
              <w:ind w:right="227"/>
              <w:jc w:val="right"/>
              <w:rPr>
                <w:sz w:val="14"/>
                <w:szCs w:val="14"/>
              </w:rPr>
            </w:pPr>
            <w:r w:rsidRPr="000E3A45">
              <w:rPr>
                <w:sz w:val="14"/>
                <w:szCs w:val="14"/>
              </w:rPr>
              <w:t>105.70</w:t>
            </w:r>
          </w:p>
        </w:tc>
        <w:tc>
          <w:tcPr>
            <w:tcW w:w="1021" w:type="dxa"/>
            <w:tcBorders>
              <w:top w:val="nil"/>
              <w:left w:val="single" w:sz="4" w:space="0" w:color="auto"/>
              <w:bottom w:val="nil"/>
              <w:right w:val="single" w:sz="4" w:space="0" w:color="auto"/>
            </w:tcBorders>
            <w:vAlign w:val="center"/>
          </w:tcPr>
          <w:p w14:paraId="3DDE1B75" w14:textId="028876F6" w:rsidR="00BA31EA" w:rsidRPr="000E3A45" w:rsidRDefault="00BA31EA" w:rsidP="00BA31EA">
            <w:pPr>
              <w:ind w:right="227"/>
              <w:jc w:val="right"/>
              <w:rPr>
                <w:sz w:val="14"/>
                <w:szCs w:val="14"/>
              </w:rPr>
            </w:pPr>
            <w:r w:rsidRPr="000E3A45">
              <w:rPr>
                <w:sz w:val="14"/>
                <w:szCs w:val="14"/>
              </w:rPr>
              <w:t>98.79</w:t>
            </w:r>
          </w:p>
        </w:tc>
      </w:tr>
      <w:tr w:rsidR="00BA31EA" w:rsidRPr="000E3A45" w14:paraId="3C2C1D5D" w14:textId="77777777" w:rsidTr="00202E4C">
        <w:trPr>
          <w:jc w:val="center"/>
        </w:trPr>
        <w:tc>
          <w:tcPr>
            <w:tcW w:w="1304" w:type="dxa"/>
            <w:tcBorders>
              <w:top w:val="nil"/>
              <w:left w:val="single" w:sz="4" w:space="0" w:color="auto"/>
              <w:bottom w:val="nil"/>
              <w:right w:val="single" w:sz="4" w:space="0" w:color="auto"/>
            </w:tcBorders>
          </w:tcPr>
          <w:p w14:paraId="2702512C" w14:textId="17A57967" w:rsidR="00BA31EA" w:rsidRPr="000E3A45" w:rsidRDefault="00BA31EA" w:rsidP="00BA31EA">
            <w:pPr>
              <w:rPr>
                <w:sz w:val="14"/>
                <w:szCs w:val="14"/>
              </w:rPr>
            </w:pPr>
            <w:r w:rsidRPr="000E3A45">
              <w:rPr>
                <w:sz w:val="14"/>
                <w:szCs w:val="14"/>
              </w:rPr>
              <w:t>Marzo 2013</w:t>
            </w:r>
          </w:p>
        </w:tc>
        <w:tc>
          <w:tcPr>
            <w:tcW w:w="851" w:type="dxa"/>
            <w:tcBorders>
              <w:top w:val="nil"/>
              <w:left w:val="single" w:sz="4" w:space="0" w:color="auto"/>
              <w:bottom w:val="nil"/>
              <w:right w:val="single" w:sz="4" w:space="0" w:color="auto"/>
            </w:tcBorders>
            <w:vAlign w:val="center"/>
          </w:tcPr>
          <w:p w14:paraId="1EF0D22A" w14:textId="422F2143" w:rsidR="00BA31EA" w:rsidRPr="000E3A45" w:rsidRDefault="00BA31EA" w:rsidP="00BA31EA">
            <w:pPr>
              <w:ind w:right="170"/>
              <w:jc w:val="right"/>
              <w:rPr>
                <w:sz w:val="14"/>
                <w:szCs w:val="14"/>
              </w:rPr>
            </w:pPr>
            <w:r w:rsidRPr="000E3A45">
              <w:rPr>
                <w:sz w:val="14"/>
                <w:szCs w:val="14"/>
              </w:rPr>
              <w:t>109.24</w:t>
            </w:r>
          </w:p>
        </w:tc>
        <w:tc>
          <w:tcPr>
            <w:tcW w:w="1021" w:type="dxa"/>
            <w:tcBorders>
              <w:top w:val="nil"/>
              <w:left w:val="single" w:sz="4" w:space="0" w:color="auto"/>
              <w:bottom w:val="nil"/>
              <w:right w:val="single" w:sz="4" w:space="0" w:color="auto"/>
            </w:tcBorders>
            <w:vAlign w:val="center"/>
          </w:tcPr>
          <w:p w14:paraId="17BB4C2F" w14:textId="251BCDB3" w:rsidR="00BA31EA" w:rsidRPr="000E3A45" w:rsidRDefault="00BA31EA" w:rsidP="00BA31EA">
            <w:pPr>
              <w:ind w:right="227"/>
              <w:jc w:val="right"/>
              <w:rPr>
                <w:sz w:val="14"/>
                <w:szCs w:val="14"/>
              </w:rPr>
            </w:pPr>
            <w:r w:rsidRPr="000E3A45">
              <w:rPr>
                <w:sz w:val="14"/>
                <w:szCs w:val="14"/>
              </w:rPr>
              <w:t>93.13</w:t>
            </w:r>
          </w:p>
        </w:tc>
        <w:tc>
          <w:tcPr>
            <w:tcW w:w="1021" w:type="dxa"/>
            <w:tcBorders>
              <w:top w:val="nil"/>
              <w:left w:val="single" w:sz="4" w:space="0" w:color="auto"/>
              <w:bottom w:val="nil"/>
              <w:right w:val="single" w:sz="4" w:space="0" w:color="auto"/>
            </w:tcBorders>
            <w:vAlign w:val="center"/>
          </w:tcPr>
          <w:p w14:paraId="07666006" w14:textId="36AF1502" w:rsidR="00BA31EA" w:rsidRPr="000E3A45" w:rsidRDefault="00BA31EA" w:rsidP="00BA31EA">
            <w:pPr>
              <w:ind w:right="227"/>
              <w:jc w:val="right"/>
              <w:rPr>
                <w:sz w:val="14"/>
                <w:szCs w:val="14"/>
              </w:rPr>
            </w:pPr>
            <w:r w:rsidRPr="000E3A45">
              <w:rPr>
                <w:sz w:val="14"/>
                <w:szCs w:val="14"/>
              </w:rPr>
              <w:t>102.98</w:t>
            </w:r>
          </w:p>
        </w:tc>
        <w:tc>
          <w:tcPr>
            <w:tcW w:w="1304" w:type="dxa"/>
            <w:tcBorders>
              <w:top w:val="nil"/>
              <w:left w:val="single" w:sz="4" w:space="0" w:color="auto"/>
              <w:bottom w:val="nil"/>
              <w:right w:val="single" w:sz="4" w:space="0" w:color="auto"/>
            </w:tcBorders>
          </w:tcPr>
          <w:p w14:paraId="7D7E7B73" w14:textId="48487FDA" w:rsidR="00BA31EA" w:rsidRPr="000E3A45" w:rsidRDefault="00BA31EA" w:rsidP="00BA31EA">
            <w:pPr>
              <w:rPr>
                <w:sz w:val="14"/>
                <w:szCs w:val="14"/>
              </w:rPr>
            </w:pPr>
            <w:r w:rsidRPr="000E3A45">
              <w:rPr>
                <w:sz w:val="14"/>
                <w:szCs w:val="14"/>
              </w:rPr>
              <w:t>Julio 2014</w:t>
            </w:r>
          </w:p>
        </w:tc>
        <w:tc>
          <w:tcPr>
            <w:tcW w:w="851" w:type="dxa"/>
            <w:tcBorders>
              <w:top w:val="nil"/>
              <w:left w:val="single" w:sz="4" w:space="0" w:color="auto"/>
              <w:bottom w:val="nil"/>
              <w:right w:val="single" w:sz="4" w:space="0" w:color="auto"/>
            </w:tcBorders>
            <w:vAlign w:val="center"/>
          </w:tcPr>
          <w:p w14:paraId="7852F099" w14:textId="205DA8CA" w:rsidR="00BA31EA" w:rsidRPr="000E3A45" w:rsidRDefault="00BA31EA" w:rsidP="00BA31EA">
            <w:pPr>
              <w:ind w:right="170"/>
              <w:jc w:val="right"/>
              <w:rPr>
                <w:sz w:val="14"/>
                <w:szCs w:val="14"/>
              </w:rPr>
            </w:pPr>
            <w:r w:rsidRPr="000E3A45">
              <w:rPr>
                <w:sz w:val="14"/>
                <w:szCs w:val="14"/>
              </w:rPr>
              <w:t>106.72</w:t>
            </w:r>
          </w:p>
        </w:tc>
        <w:tc>
          <w:tcPr>
            <w:tcW w:w="1021" w:type="dxa"/>
            <w:tcBorders>
              <w:top w:val="nil"/>
              <w:left w:val="single" w:sz="4" w:space="0" w:color="auto"/>
              <w:bottom w:val="nil"/>
              <w:right w:val="single" w:sz="4" w:space="0" w:color="auto"/>
            </w:tcBorders>
            <w:vAlign w:val="center"/>
          </w:tcPr>
          <w:p w14:paraId="20E5074F" w14:textId="442108A7" w:rsidR="00BA31EA" w:rsidRPr="000E3A45" w:rsidRDefault="00BA31EA" w:rsidP="00BA31EA">
            <w:pPr>
              <w:ind w:right="227"/>
              <w:jc w:val="right"/>
              <w:rPr>
                <w:sz w:val="14"/>
                <w:szCs w:val="14"/>
              </w:rPr>
            </w:pPr>
            <w:r w:rsidRPr="000E3A45">
              <w:rPr>
                <w:sz w:val="14"/>
                <w:szCs w:val="14"/>
              </w:rPr>
              <w:t>103.44</w:t>
            </w:r>
          </w:p>
        </w:tc>
        <w:tc>
          <w:tcPr>
            <w:tcW w:w="1021" w:type="dxa"/>
            <w:tcBorders>
              <w:top w:val="nil"/>
              <w:left w:val="single" w:sz="4" w:space="0" w:color="auto"/>
              <w:bottom w:val="nil"/>
              <w:right w:val="single" w:sz="4" w:space="0" w:color="auto"/>
            </w:tcBorders>
            <w:vAlign w:val="center"/>
          </w:tcPr>
          <w:p w14:paraId="0D562091" w14:textId="4255BC25" w:rsidR="00BA31EA" w:rsidRPr="000E3A45" w:rsidRDefault="00BA31EA" w:rsidP="00BA31EA">
            <w:pPr>
              <w:ind w:right="227"/>
              <w:jc w:val="right"/>
              <w:rPr>
                <w:sz w:val="14"/>
                <w:szCs w:val="14"/>
              </w:rPr>
            </w:pPr>
            <w:r w:rsidRPr="000E3A45">
              <w:rPr>
                <w:sz w:val="14"/>
                <w:szCs w:val="14"/>
              </w:rPr>
              <w:t>9</w:t>
            </w:r>
            <w:r>
              <w:rPr>
                <w:sz w:val="14"/>
                <w:szCs w:val="14"/>
              </w:rPr>
              <w:t>4.65</w:t>
            </w:r>
          </w:p>
        </w:tc>
      </w:tr>
      <w:tr w:rsidR="00BA31EA" w:rsidRPr="000E3A45" w14:paraId="0F408A3B" w14:textId="77777777" w:rsidTr="001E7D79">
        <w:trPr>
          <w:jc w:val="center"/>
        </w:trPr>
        <w:tc>
          <w:tcPr>
            <w:tcW w:w="1304" w:type="dxa"/>
            <w:tcBorders>
              <w:top w:val="nil"/>
              <w:left w:val="single" w:sz="4" w:space="0" w:color="auto"/>
              <w:bottom w:val="nil"/>
              <w:right w:val="single" w:sz="4" w:space="0" w:color="auto"/>
            </w:tcBorders>
          </w:tcPr>
          <w:p w14:paraId="036F4597" w14:textId="75C5C46A" w:rsidR="00BA31EA" w:rsidRPr="000E3A45" w:rsidRDefault="00BA31EA" w:rsidP="00BA31EA">
            <w:pPr>
              <w:rPr>
                <w:sz w:val="14"/>
                <w:szCs w:val="14"/>
              </w:rPr>
            </w:pPr>
            <w:r w:rsidRPr="000E3A45">
              <w:rPr>
                <w:sz w:val="14"/>
                <w:szCs w:val="14"/>
              </w:rPr>
              <w:t>Abril 2013</w:t>
            </w:r>
          </w:p>
        </w:tc>
        <w:tc>
          <w:tcPr>
            <w:tcW w:w="851" w:type="dxa"/>
            <w:tcBorders>
              <w:top w:val="nil"/>
              <w:left w:val="single" w:sz="4" w:space="0" w:color="auto"/>
              <w:bottom w:val="nil"/>
              <w:right w:val="single" w:sz="4" w:space="0" w:color="auto"/>
            </w:tcBorders>
          </w:tcPr>
          <w:p w14:paraId="5ECD6C4C" w14:textId="3F0D1CC8" w:rsidR="00BA31EA" w:rsidRPr="000E3A45" w:rsidRDefault="00BA31EA" w:rsidP="00BA31EA">
            <w:pPr>
              <w:ind w:right="170"/>
              <w:jc w:val="right"/>
              <w:rPr>
                <w:sz w:val="14"/>
                <w:szCs w:val="14"/>
              </w:rPr>
            </w:pPr>
            <w:r w:rsidRPr="000E3A45">
              <w:rPr>
                <w:sz w:val="14"/>
                <w:szCs w:val="14"/>
              </w:rPr>
              <w:t>103.09</w:t>
            </w:r>
          </w:p>
        </w:tc>
        <w:tc>
          <w:tcPr>
            <w:tcW w:w="1021" w:type="dxa"/>
            <w:tcBorders>
              <w:top w:val="nil"/>
              <w:left w:val="single" w:sz="4" w:space="0" w:color="auto"/>
              <w:bottom w:val="nil"/>
              <w:right w:val="single" w:sz="4" w:space="0" w:color="auto"/>
            </w:tcBorders>
          </w:tcPr>
          <w:p w14:paraId="09C09387" w14:textId="7515EB50" w:rsidR="00BA31EA" w:rsidRPr="000E3A45" w:rsidRDefault="00BA31EA" w:rsidP="00BA31EA">
            <w:pPr>
              <w:ind w:right="227"/>
              <w:jc w:val="right"/>
              <w:rPr>
                <w:sz w:val="14"/>
                <w:szCs w:val="14"/>
              </w:rPr>
            </w:pPr>
            <w:r w:rsidRPr="000E3A45">
              <w:rPr>
                <w:sz w:val="14"/>
                <w:szCs w:val="14"/>
              </w:rPr>
              <w:t>91.75</w:t>
            </w:r>
          </w:p>
        </w:tc>
        <w:tc>
          <w:tcPr>
            <w:tcW w:w="1021" w:type="dxa"/>
            <w:tcBorders>
              <w:top w:val="nil"/>
              <w:left w:val="single" w:sz="4" w:space="0" w:color="auto"/>
              <w:bottom w:val="nil"/>
              <w:right w:val="single" w:sz="4" w:space="0" w:color="auto"/>
            </w:tcBorders>
          </w:tcPr>
          <w:p w14:paraId="3BE85572" w14:textId="64F140EA" w:rsidR="00BA31EA" w:rsidRPr="000E3A45" w:rsidRDefault="00BA31EA" w:rsidP="00BA31EA">
            <w:pPr>
              <w:ind w:right="227"/>
              <w:jc w:val="right"/>
              <w:rPr>
                <w:sz w:val="14"/>
                <w:szCs w:val="14"/>
              </w:rPr>
            </w:pPr>
            <w:r w:rsidRPr="000E3A45">
              <w:rPr>
                <w:sz w:val="14"/>
                <w:szCs w:val="14"/>
              </w:rPr>
              <w:t>99.12</w:t>
            </w:r>
          </w:p>
        </w:tc>
        <w:tc>
          <w:tcPr>
            <w:tcW w:w="1304" w:type="dxa"/>
            <w:tcBorders>
              <w:top w:val="nil"/>
              <w:left w:val="single" w:sz="4" w:space="0" w:color="auto"/>
              <w:bottom w:val="nil"/>
              <w:right w:val="single" w:sz="4" w:space="0" w:color="auto"/>
            </w:tcBorders>
          </w:tcPr>
          <w:p w14:paraId="5B22C11E" w14:textId="6E1FAA3C" w:rsidR="00BA31EA" w:rsidRPr="000E3A45" w:rsidRDefault="00BA31EA" w:rsidP="00BA31EA">
            <w:pPr>
              <w:rPr>
                <w:sz w:val="14"/>
                <w:szCs w:val="14"/>
              </w:rPr>
            </w:pPr>
            <w:r w:rsidRPr="000E3A45">
              <w:rPr>
                <w:sz w:val="14"/>
                <w:szCs w:val="14"/>
              </w:rPr>
              <w:t>Agosto</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5F577968" w14:textId="4FD2B4FC" w:rsidR="00BA31EA" w:rsidRPr="000E3A45" w:rsidRDefault="00BA31EA" w:rsidP="00BA31EA">
            <w:pPr>
              <w:ind w:right="170"/>
              <w:jc w:val="right"/>
              <w:rPr>
                <w:sz w:val="14"/>
                <w:szCs w:val="14"/>
              </w:rPr>
            </w:pPr>
            <w:r w:rsidRPr="000E3A45">
              <w:rPr>
                <w:sz w:val="14"/>
                <w:szCs w:val="14"/>
              </w:rPr>
              <w:t>101.55</w:t>
            </w:r>
          </w:p>
        </w:tc>
        <w:tc>
          <w:tcPr>
            <w:tcW w:w="1021" w:type="dxa"/>
            <w:tcBorders>
              <w:top w:val="nil"/>
              <w:left w:val="single" w:sz="4" w:space="0" w:color="auto"/>
              <w:bottom w:val="nil"/>
              <w:right w:val="single" w:sz="4" w:space="0" w:color="auto"/>
            </w:tcBorders>
            <w:vAlign w:val="center"/>
          </w:tcPr>
          <w:p w14:paraId="39D97EFF" w14:textId="617604AE" w:rsidR="00BA31EA" w:rsidRPr="000E3A45" w:rsidRDefault="00BA31EA" w:rsidP="00BA31EA">
            <w:pPr>
              <w:ind w:right="227"/>
              <w:jc w:val="right"/>
              <w:rPr>
                <w:sz w:val="14"/>
                <w:szCs w:val="14"/>
              </w:rPr>
            </w:pPr>
            <w:r w:rsidRPr="000E3A45">
              <w:rPr>
                <w:sz w:val="14"/>
                <w:szCs w:val="14"/>
              </w:rPr>
              <w:t>96.46</w:t>
            </w:r>
          </w:p>
        </w:tc>
        <w:tc>
          <w:tcPr>
            <w:tcW w:w="1021" w:type="dxa"/>
            <w:tcBorders>
              <w:top w:val="nil"/>
              <w:left w:val="single" w:sz="4" w:space="0" w:color="auto"/>
              <w:bottom w:val="nil"/>
              <w:right w:val="single" w:sz="4" w:space="0" w:color="auto"/>
            </w:tcBorders>
            <w:vAlign w:val="center"/>
          </w:tcPr>
          <w:p w14:paraId="67E9CBE9" w14:textId="079E7EF3" w:rsidR="00BA31EA" w:rsidRPr="000E3A45" w:rsidRDefault="00BA31EA" w:rsidP="00BA31EA">
            <w:pPr>
              <w:ind w:right="227"/>
              <w:jc w:val="right"/>
              <w:rPr>
                <w:sz w:val="14"/>
                <w:szCs w:val="14"/>
              </w:rPr>
            </w:pPr>
            <w:r w:rsidRPr="000E3A45">
              <w:rPr>
                <w:sz w:val="14"/>
                <w:szCs w:val="14"/>
              </w:rPr>
              <w:t>9</w:t>
            </w:r>
            <w:r>
              <w:rPr>
                <w:sz w:val="14"/>
                <w:szCs w:val="14"/>
              </w:rPr>
              <w:t>0.80</w:t>
            </w:r>
          </w:p>
        </w:tc>
      </w:tr>
      <w:tr w:rsidR="00BA31EA" w:rsidRPr="000E3A45" w14:paraId="694FCAC0" w14:textId="77777777" w:rsidTr="00202E4C">
        <w:trPr>
          <w:jc w:val="center"/>
        </w:trPr>
        <w:tc>
          <w:tcPr>
            <w:tcW w:w="1304" w:type="dxa"/>
            <w:tcBorders>
              <w:top w:val="nil"/>
              <w:left w:val="single" w:sz="4" w:space="0" w:color="auto"/>
              <w:bottom w:val="nil"/>
              <w:right w:val="single" w:sz="4" w:space="0" w:color="auto"/>
            </w:tcBorders>
          </w:tcPr>
          <w:p w14:paraId="3A03B214" w14:textId="16543DBB" w:rsidR="00BA31EA" w:rsidRPr="000E3A45" w:rsidRDefault="00BA31EA" w:rsidP="00BA31EA">
            <w:pPr>
              <w:rPr>
                <w:sz w:val="14"/>
                <w:szCs w:val="14"/>
              </w:rPr>
            </w:pPr>
            <w:r w:rsidRPr="000E3A45">
              <w:rPr>
                <w:sz w:val="14"/>
                <w:szCs w:val="14"/>
              </w:rPr>
              <w:t>Mayo 2013</w:t>
            </w:r>
          </w:p>
        </w:tc>
        <w:tc>
          <w:tcPr>
            <w:tcW w:w="851" w:type="dxa"/>
            <w:tcBorders>
              <w:top w:val="nil"/>
              <w:left w:val="single" w:sz="4" w:space="0" w:color="auto"/>
              <w:bottom w:val="nil"/>
              <w:right w:val="single" w:sz="4" w:space="0" w:color="auto"/>
            </w:tcBorders>
          </w:tcPr>
          <w:p w14:paraId="3AD38F65" w14:textId="38D0F7EA" w:rsidR="00BA31EA" w:rsidRPr="000E3A45" w:rsidRDefault="00BA31EA" w:rsidP="00BA31EA">
            <w:pPr>
              <w:ind w:right="170"/>
              <w:jc w:val="right"/>
              <w:rPr>
                <w:sz w:val="14"/>
                <w:szCs w:val="14"/>
              </w:rPr>
            </w:pPr>
            <w:r w:rsidRPr="000E3A45">
              <w:rPr>
                <w:sz w:val="14"/>
                <w:szCs w:val="14"/>
              </w:rPr>
              <w:t>103.02</w:t>
            </w:r>
          </w:p>
        </w:tc>
        <w:tc>
          <w:tcPr>
            <w:tcW w:w="1021" w:type="dxa"/>
            <w:tcBorders>
              <w:top w:val="nil"/>
              <w:left w:val="single" w:sz="4" w:space="0" w:color="auto"/>
              <w:bottom w:val="nil"/>
              <w:right w:val="single" w:sz="4" w:space="0" w:color="auto"/>
            </w:tcBorders>
          </w:tcPr>
          <w:p w14:paraId="6130DF45" w14:textId="43C3A2B3" w:rsidR="00BA31EA" w:rsidRPr="000E3A45" w:rsidRDefault="00BA31EA" w:rsidP="00BA31EA">
            <w:pPr>
              <w:ind w:right="227"/>
              <w:jc w:val="right"/>
              <w:rPr>
                <w:sz w:val="14"/>
                <w:szCs w:val="14"/>
              </w:rPr>
            </w:pPr>
            <w:r w:rsidRPr="000E3A45">
              <w:rPr>
                <w:sz w:val="14"/>
                <w:szCs w:val="14"/>
              </w:rPr>
              <w:t>94.63</w:t>
            </w:r>
          </w:p>
        </w:tc>
        <w:tc>
          <w:tcPr>
            <w:tcW w:w="1021" w:type="dxa"/>
            <w:tcBorders>
              <w:top w:val="nil"/>
              <w:left w:val="single" w:sz="4" w:space="0" w:color="auto"/>
              <w:bottom w:val="nil"/>
              <w:right w:val="single" w:sz="4" w:space="0" w:color="auto"/>
            </w:tcBorders>
          </w:tcPr>
          <w:p w14:paraId="2AF24225" w14:textId="43458CF0" w:rsidR="00BA31EA" w:rsidRPr="000E3A45" w:rsidRDefault="00BA31EA" w:rsidP="00BA31EA">
            <w:pPr>
              <w:ind w:right="227"/>
              <w:jc w:val="right"/>
              <w:rPr>
                <w:sz w:val="14"/>
                <w:szCs w:val="14"/>
              </w:rPr>
            </w:pPr>
            <w:r w:rsidRPr="000E3A45">
              <w:rPr>
                <w:sz w:val="14"/>
                <w:szCs w:val="14"/>
              </w:rPr>
              <w:t>98.67</w:t>
            </w:r>
          </w:p>
        </w:tc>
        <w:tc>
          <w:tcPr>
            <w:tcW w:w="1304" w:type="dxa"/>
            <w:tcBorders>
              <w:top w:val="nil"/>
              <w:left w:val="single" w:sz="4" w:space="0" w:color="auto"/>
              <w:bottom w:val="nil"/>
              <w:right w:val="single" w:sz="4" w:space="0" w:color="auto"/>
            </w:tcBorders>
          </w:tcPr>
          <w:p w14:paraId="2AE04462" w14:textId="6678EDCB" w:rsidR="00BA31EA" w:rsidRPr="000E3A45" w:rsidRDefault="00BA31EA" w:rsidP="00BA31EA">
            <w:pPr>
              <w:rPr>
                <w:sz w:val="14"/>
                <w:szCs w:val="14"/>
              </w:rPr>
            </w:pPr>
            <w:r w:rsidRPr="000E3A45">
              <w:rPr>
                <w:sz w:val="14"/>
                <w:szCs w:val="14"/>
              </w:rPr>
              <w:t>Septiembre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78AC2D41" w14:textId="48476375" w:rsidR="00BA31EA" w:rsidRPr="000E3A45" w:rsidRDefault="00BA31EA" w:rsidP="00BA31EA">
            <w:pPr>
              <w:ind w:right="170"/>
              <w:jc w:val="right"/>
              <w:rPr>
                <w:sz w:val="14"/>
                <w:szCs w:val="14"/>
              </w:rPr>
            </w:pPr>
            <w:r w:rsidRPr="000E3A45">
              <w:rPr>
                <w:sz w:val="14"/>
                <w:szCs w:val="14"/>
              </w:rPr>
              <w:t>97.05</w:t>
            </w:r>
          </w:p>
        </w:tc>
        <w:tc>
          <w:tcPr>
            <w:tcW w:w="1021" w:type="dxa"/>
            <w:tcBorders>
              <w:top w:val="nil"/>
              <w:left w:val="single" w:sz="4" w:space="0" w:color="auto"/>
              <w:bottom w:val="nil"/>
              <w:right w:val="single" w:sz="4" w:space="0" w:color="auto"/>
            </w:tcBorders>
            <w:vAlign w:val="center"/>
          </w:tcPr>
          <w:p w14:paraId="005105A9" w14:textId="75BF49C1" w:rsidR="00BA31EA" w:rsidRPr="000E3A45" w:rsidRDefault="00BA31EA" w:rsidP="00BA31EA">
            <w:pPr>
              <w:ind w:right="227"/>
              <w:jc w:val="right"/>
              <w:rPr>
                <w:sz w:val="14"/>
                <w:szCs w:val="14"/>
              </w:rPr>
            </w:pPr>
            <w:r w:rsidRPr="000E3A45">
              <w:rPr>
                <w:sz w:val="14"/>
                <w:szCs w:val="14"/>
              </w:rPr>
              <w:t>93.07</w:t>
            </w:r>
          </w:p>
        </w:tc>
        <w:tc>
          <w:tcPr>
            <w:tcW w:w="1021" w:type="dxa"/>
            <w:tcBorders>
              <w:top w:val="nil"/>
              <w:left w:val="single" w:sz="4" w:space="0" w:color="auto"/>
              <w:bottom w:val="nil"/>
              <w:right w:val="single" w:sz="4" w:space="0" w:color="auto"/>
            </w:tcBorders>
            <w:vAlign w:val="center"/>
          </w:tcPr>
          <w:p w14:paraId="3F52DF5D" w14:textId="467D718A" w:rsidR="00BA31EA" w:rsidRPr="000E3A45" w:rsidRDefault="00BA31EA" w:rsidP="00BA31EA">
            <w:pPr>
              <w:ind w:right="227"/>
              <w:jc w:val="right"/>
              <w:rPr>
                <w:sz w:val="14"/>
                <w:szCs w:val="14"/>
              </w:rPr>
            </w:pPr>
            <w:r w:rsidRPr="000E3A45">
              <w:rPr>
                <w:sz w:val="14"/>
                <w:szCs w:val="14"/>
              </w:rPr>
              <w:t>8</w:t>
            </w:r>
            <w:r>
              <w:rPr>
                <w:sz w:val="14"/>
                <w:szCs w:val="14"/>
              </w:rPr>
              <w:t>5.82</w:t>
            </w:r>
          </w:p>
        </w:tc>
      </w:tr>
      <w:tr w:rsidR="00BA31EA" w:rsidRPr="000E3A45" w14:paraId="72A88368" w14:textId="77777777" w:rsidTr="00202E4C">
        <w:trPr>
          <w:jc w:val="center"/>
        </w:trPr>
        <w:tc>
          <w:tcPr>
            <w:tcW w:w="1304" w:type="dxa"/>
            <w:tcBorders>
              <w:top w:val="nil"/>
              <w:left w:val="single" w:sz="4" w:space="0" w:color="auto"/>
              <w:bottom w:val="nil"/>
              <w:right w:val="single" w:sz="4" w:space="0" w:color="auto"/>
            </w:tcBorders>
          </w:tcPr>
          <w:p w14:paraId="3522196B" w14:textId="5E3C99D8" w:rsidR="00BA31EA" w:rsidRPr="000E3A45" w:rsidRDefault="00BA31EA" w:rsidP="00BA31EA">
            <w:pPr>
              <w:rPr>
                <w:sz w:val="14"/>
                <w:szCs w:val="14"/>
              </w:rPr>
            </w:pPr>
            <w:r w:rsidRPr="000E3A45">
              <w:rPr>
                <w:sz w:val="14"/>
                <w:szCs w:val="14"/>
              </w:rPr>
              <w:t>Junio 2013</w:t>
            </w:r>
          </w:p>
        </w:tc>
        <w:tc>
          <w:tcPr>
            <w:tcW w:w="851" w:type="dxa"/>
            <w:tcBorders>
              <w:top w:val="nil"/>
              <w:left w:val="single" w:sz="4" w:space="0" w:color="auto"/>
              <w:bottom w:val="nil"/>
              <w:right w:val="single" w:sz="4" w:space="0" w:color="auto"/>
            </w:tcBorders>
          </w:tcPr>
          <w:p w14:paraId="7835E666" w14:textId="55E6D852" w:rsidR="00BA31EA" w:rsidRPr="000E3A45" w:rsidRDefault="00BA31EA" w:rsidP="00BA31EA">
            <w:pPr>
              <w:ind w:right="170"/>
              <w:jc w:val="right"/>
              <w:rPr>
                <w:sz w:val="14"/>
                <w:szCs w:val="14"/>
              </w:rPr>
            </w:pPr>
            <w:r w:rsidRPr="000E3A45">
              <w:rPr>
                <w:sz w:val="14"/>
                <w:szCs w:val="14"/>
              </w:rPr>
              <w:t>103.14</w:t>
            </w:r>
          </w:p>
        </w:tc>
        <w:tc>
          <w:tcPr>
            <w:tcW w:w="1021" w:type="dxa"/>
            <w:tcBorders>
              <w:top w:val="nil"/>
              <w:left w:val="single" w:sz="4" w:space="0" w:color="auto"/>
              <w:bottom w:val="nil"/>
              <w:right w:val="single" w:sz="4" w:space="0" w:color="auto"/>
            </w:tcBorders>
          </w:tcPr>
          <w:p w14:paraId="46D4D0AA" w14:textId="1405AE5D" w:rsidR="00BA31EA" w:rsidRPr="000E3A45" w:rsidRDefault="00BA31EA" w:rsidP="00BA31EA">
            <w:pPr>
              <w:ind w:right="227"/>
              <w:jc w:val="right"/>
              <w:rPr>
                <w:sz w:val="14"/>
                <w:szCs w:val="14"/>
              </w:rPr>
            </w:pPr>
            <w:r w:rsidRPr="000E3A45">
              <w:rPr>
                <w:sz w:val="14"/>
                <w:szCs w:val="14"/>
              </w:rPr>
              <w:t>95.76</w:t>
            </w:r>
          </w:p>
        </w:tc>
        <w:tc>
          <w:tcPr>
            <w:tcW w:w="1021" w:type="dxa"/>
            <w:tcBorders>
              <w:top w:val="nil"/>
              <w:left w:val="single" w:sz="4" w:space="0" w:color="auto"/>
              <w:bottom w:val="nil"/>
              <w:right w:val="single" w:sz="4" w:space="0" w:color="auto"/>
            </w:tcBorders>
          </w:tcPr>
          <w:p w14:paraId="6D55DC1A" w14:textId="38FEE0D4" w:rsidR="00BA31EA" w:rsidRPr="000E3A45" w:rsidRDefault="00BA31EA" w:rsidP="00BA31EA">
            <w:pPr>
              <w:ind w:right="227"/>
              <w:jc w:val="right"/>
              <w:rPr>
                <w:sz w:val="14"/>
                <w:szCs w:val="14"/>
              </w:rPr>
            </w:pPr>
            <w:r w:rsidRPr="000E3A45">
              <w:rPr>
                <w:sz w:val="14"/>
                <w:szCs w:val="14"/>
              </w:rPr>
              <w:t>97.86</w:t>
            </w:r>
          </w:p>
        </w:tc>
        <w:tc>
          <w:tcPr>
            <w:tcW w:w="1304" w:type="dxa"/>
            <w:tcBorders>
              <w:top w:val="nil"/>
              <w:left w:val="single" w:sz="4" w:space="0" w:color="auto"/>
              <w:bottom w:val="nil"/>
              <w:right w:val="single" w:sz="4" w:space="0" w:color="auto"/>
            </w:tcBorders>
          </w:tcPr>
          <w:p w14:paraId="11E9C331" w14:textId="5579A1DC" w:rsidR="00BA31EA" w:rsidRPr="000E3A45" w:rsidRDefault="00BA31EA" w:rsidP="00BA31EA">
            <w:pPr>
              <w:rPr>
                <w:sz w:val="14"/>
                <w:szCs w:val="14"/>
              </w:rPr>
            </w:pPr>
            <w:r w:rsidRPr="000E3A45">
              <w:rPr>
                <w:sz w:val="14"/>
                <w:szCs w:val="14"/>
              </w:rPr>
              <w:t>Octubre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4FF1D816" w14:textId="36434FE3" w:rsidR="00BA31EA" w:rsidRPr="000E3A45" w:rsidRDefault="00BA31EA" w:rsidP="00BA31EA">
            <w:pPr>
              <w:ind w:right="170"/>
              <w:jc w:val="right"/>
              <w:rPr>
                <w:sz w:val="14"/>
                <w:szCs w:val="14"/>
              </w:rPr>
            </w:pPr>
            <w:r w:rsidRPr="000E3A45">
              <w:rPr>
                <w:sz w:val="14"/>
                <w:szCs w:val="14"/>
              </w:rPr>
              <w:t>90.84</w:t>
            </w:r>
          </w:p>
        </w:tc>
        <w:tc>
          <w:tcPr>
            <w:tcW w:w="1021" w:type="dxa"/>
            <w:tcBorders>
              <w:top w:val="nil"/>
              <w:left w:val="single" w:sz="4" w:space="0" w:color="auto"/>
              <w:bottom w:val="nil"/>
              <w:right w:val="single" w:sz="4" w:space="0" w:color="auto"/>
            </w:tcBorders>
            <w:vAlign w:val="center"/>
          </w:tcPr>
          <w:p w14:paraId="0BFBA10E" w14:textId="4F5C7E92" w:rsidR="00BA31EA" w:rsidRPr="000E3A45" w:rsidRDefault="00BA31EA" w:rsidP="00BA31EA">
            <w:pPr>
              <w:ind w:right="227"/>
              <w:jc w:val="right"/>
              <w:rPr>
                <w:sz w:val="14"/>
                <w:szCs w:val="14"/>
              </w:rPr>
            </w:pPr>
            <w:r w:rsidRPr="000E3A45">
              <w:rPr>
                <w:sz w:val="14"/>
                <w:szCs w:val="14"/>
              </w:rPr>
              <w:t>88.66</w:t>
            </w:r>
          </w:p>
        </w:tc>
        <w:tc>
          <w:tcPr>
            <w:tcW w:w="1021" w:type="dxa"/>
            <w:tcBorders>
              <w:top w:val="nil"/>
              <w:left w:val="single" w:sz="4" w:space="0" w:color="auto"/>
              <w:bottom w:val="nil"/>
              <w:right w:val="single" w:sz="4" w:space="0" w:color="auto"/>
            </w:tcBorders>
            <w:vAlign w:val="center"/>
          </w:tcPr>
          <w:p w14:paraId="4F5E607D" w14:textId="2A708F57" w:rsidR="00BA31EA" w:rsidRPr="000E3A45" w:rsidRDefault="00BA31EA" w:rsidP="00BA31EA">
            <w:pPr>
              <w:ind w:right="227"/>
              <w:jc w:val="right"/>
              <w:rPr>
                <w:sz w:val="14"/>
                <w:szCs w:val="14"/>
              </w:rPr>
            </w:pPr>
            <w:r>
              <w:rPr>
                <w:sz w:val="14"/>
                <w:szCs w:val="14"/>
              </w:rPr>
              <w:t>75.23</w:t>
            </w:r>
          </w:p>
        </w:tc>
      </w:tr>
      <w:tr w:rsidR="00BA31EA" w:rsidRPr="000E3A45" w14:paraId="2E1337B4" w14:textId="77777777" w:rsidTr="00202E4C">
        <w:trPr>
          <w:jc w:val="center"/>
        </w:trPr>
        <w:tc>
          <w:tcPr>
            <w:tcW w:w="1304" w:type="dxa"/>
            <w:tcBorders>
              <w:top w:val="nil"/>
              <w:left w:val="single" w:sz="4" w:space="0" w:color="auto"/>
              <w:bottom w:val="nil"/>
              <w:right w:val="single" w:sz="4" w:space="0" w:color="auto"/>
            </w:tcBorders>
          </w:tcPr>
          <w:p w14:paraId="45C6317B" w14:textId="250403F4" w:rsidR="00BA31EA" w:rsidRPr="000E3A45" w:rsidRDefault="00BA31EA" w:rsidP="00BA31EA">
            <w:pPr>
              <w:rPr>
                <w:sz w:val="14"/>
                <w:szCs w:val="14"/>
              </w:rPr>
            </w:pPr>
            <w:r w:rsidRPr="000E3A45">
              <w:rPr>
                <w:sz w:val="14"/>
                <w:szCs w:val="14"/>
              </w:rPr>
              <w:t>Julio 2013</w:t>
            </w:r>
          </w:p>
        </w:tc>
        <w:tc>
          <w:tcPr>
            <w:tcW w:w="851" w:type="dxa"/>
            <w:tcBorders>
              <w:top w:val="nil"/>
              <w:left w:val="single" w:sz="4" w:space="0" w:color="auto"/>
              <w:bottom w:val="nil"/>
              <w:right w:val="single" w:sz="4" w:space="0" w:color="auto"/>
            </w:tcBorders>
          </w:tcPr>
          <w:p w14:paraId="5F650988" w14:textId="26186070" w:rsidR="00BA31EA" w:rsidRPr="000E3A45" w:rsidRDefault="00BA31EA" w:rsidP="00BA31EA">
            <w:pPr>
              <w:ind w:right="170"/>
              <w:jc w:val="right"/>
              <w:rPr>
                <w:sz w:val="14"/>
                <w:szCs w:val="14"/>
              </w:rPr>
            </w:pPr>
            <w:r w:rsidRPr="000E3A45">
              <w:rPr>
                <w:sz w:val="14"/>
                <w:szCs w:val="14"/>
              </w:rPr>
              <w:t>108.26</w:t>
            </w:r>
          </w:p>
        </w:tc>
        <w:tc>
          <w:tcPr>
            <w:tcW w:w="1021" w:type="dxa"/>
            <w:tcBorders>
              <w:top w:val="nil"/>
              <w:left w:val="single" w:sz="4" w:space="0" w:color="auto"/>
              <w:bottom w:val="nil"/>
              <w:right w:val="single" w:sz="4" w:space="0" w:color="auto"/>
            </w:tcBorders>
          </w:tcPr>
          <w:p w14:paraId="422B9C0B" w14:textId="10387664" w:rsidR="00BA31EA" w:rsidRPr="000E3A45" w:rsidRDefault="00BA31EA" w:rsidP="00BA31EA">
            <w:pPr>
              <w:ind w:right="227"/>
              <w:jc w:val="right"/>
              <w:rPr>
                <w:sz w:val="14"/>
                <w:szCs w:val="14"/>
              </w:rPr>
            </w:pPr>
            <w:r w:rsidRPr="000E3A45">
              <w:rPr>
                <w:sz w:val="14"/>
                <w:szCs w:val="14"/>
              </w:rPr>
              <w:t>104.88</w:t>
            </w:r>
          </w:p>
        </w:tc>
        <w:tc>
          <w:tcPr>
            <w:tcW w:w="1021" w:type="dxa"/>
            <w:tcBorders>
              <w:top w:val="nil"/>
              <w:left w:val="single" w:sz="4" w:space="0" w:color="auto"/>
              <w:bottom w:val="nil"/>
              <w:right w:val="single" w:sz="4" w:space="0" w:color="auto"/>
            </w:tcBorders>
          </w:tcPr>
          <w:p w14:paraId="1E0E3295" w14:textId="61229BAA" w:rsidR="00BA31EA" w:rsidRPr="000E3A45" w:rsidRDefault="00BA31EA" w:rsidP="00BA31EA">
            <w:pPr>
              <w:ind w:right="227"/>
              <w:jc w:val="right"/>
              <w:rPr>
                <w:sz w:val="14"/>
                <w:szCs w:val="14"/>
              </w:rPr>
            </w:pPr>
            <w:r w:rsidRPr="000E3A45">
              <w:rPr>
                <w:sz w:val="14"/>
                <w:szCs w:val="14"/>
              </w:rPr>
              <w:t>101.00</w:t>
            </w:r>
          </w:p>
        </w:tc>
        <w:tc>
          <w:tcPr>
            <w:tcW w:w="1304" w:type="dxa"/>
            <w:tcBorders>
              <w:top w:val="nil"/>
              <w:left w:val="single" w:sz="4" w:space="0" w:color="auto"/>
              <w:bottom w:val="nil"/>
              <w:right w:val="single" w:sz="4" w:space="0" w:color="auto"/>
            </w:tcBorders>
          </w:tcPr>
          <w:p w14:paraId="21B736C7" w14:textId="3B37D073" w:rsidR="00BA31EA" w:rsidRPr="000E3A45" w:rsidRDefault="00BA31EA" w:rsidP="00BA31EA">
            <w:pPr>
              <w:rPr>
                <w:sz w:val="14"/>
                <w:szCs w:val="14"/>
              </w:rPr>
            </w:pPr>
            <w:r w:rsidRPr="000E3A45">
              <w:rPr>
                <w:sz w:val="14"/>
                <w:szCs w:val="14"/>
              </w:rPr>
              <w:t>Noviembre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0CBD300F" w14:textId="6744AF6E" w:rsidR="00BA31EA" w:rsidRPr="000E3A45" w:rsidRDefault="00BA31EA" w:rsidP="00BA31EA">
            <w:pPr>
              <w:ind w:right="170"/>
              <w:jc w:val="right"/>
              <w:rPr>
                <w:sz w:val="14"/>
                <w:szCs w:val="14"/>
              </w:rPr>
            </w:pPr>
            <w:r w:rsidRPr="000E3A45">
              <w:rPr>
                <w:sz w:val="14"/>
                <w:szCs w:val="14"/>
              </w:rPr>
              <w:t>7</w:t>
            </w:r>
            <w:r>
              <w:rPr>
                <w:sz w:val="14"/>
                <w:szCs w:val="14"/>
              </w:rPr>
              <w:t>9</w:t>
            </w:r>
            <w:r w:rsidRPr="000E3A45">
              <w:rPr>
                <w:sz w:val="14"/>
                <w:szCs w:val="14"/>
              </w:rPr>
              <w:t>.</w:t>
            </w:r>
            <w:r>
              <w:rPr>
                <w:sz w:val="14"/>
                <w:szCs w:val="14"/>
              </w:rPr>
              <w:t>21</w:t>
            </w:r>
          </w:p>
        </w:tc>
        <w:tc>
          <w:tcPr>
            <w:tcW w:w="1021" w:type="dxa"/>
            <w:tcBorders>
              <w:top w:val="nil"/>
              <w:left w:val="single" w:sz="4" w:space="0" w:color="auto"/>
              <w:bottom w:val="nil"/>
              <w:right w:val="single" w:sz="4" w:space="0" w:color="auto"/>
            </w:tcBorders>
            <w:vAlign w:val="center"/>
          </w:tcPr>
          <w:p w14:paraId="50E97907" w14:textId="510AFF21" w:rsidR="00BA31EA" w:rsidRPr="000E3A45" w:rsidRDefault="00BA31EA" w:rsidP="00BA31EA">
            <w:pPr>
              <w:ind w:right="227"/>
              <w:jc w:val="right"/>
              <w:rPr>
                <w:sz w:val="14"/>
                <w:szCs w:val="14"/>
              </w:rPr>
            </w:pPr>
            <w:r>
              <w:rPr>
                <w:sz w:val="14"/>
                <w:szCs w:val="14"/>
              </w:rPr>
              <w:t>75.21</w:t>
            </w:r>
          </w:p>
        </w:tc>
        <w:tc>
          <w:tcPr>
            <w:tcW w:w="1021" w:type="dxa"/>
            <w:tcBorders>
              <w:top w:val="nil"/>
              <w:left w:val="single" w:sz="4" w:space="0" w:color="auto"/>
              <w:bottom w:val="nil"/>
              <w:right w:val="single" w:sz="4" w:space="0" w:color="auto"/>
            </w:tcBorders>
            <w:vAlign w:val="center"/>
          </w:tcPr>
          <w:p w14:paraId="27D4E99F" w14:textId="2DEA6B9B" w:rsidR="00BA31EA" w:rsidRPr="000E3A45" w:rsidRDefault="00BA31EA" w:rsidP="00BA31EA">
            <w:pPr>
              <w:ind w:right="227"/>
              <w:jc w:val="right"/>
              <w:rPr>
                <w:sz w:val="14"/>
                <w:szCs w:val="14"/>
              </w:rPr>
            </w:pPr>
            <w:r w:rsidRPr="000E3A45">
              <w:rPr>
                <w:sz w:val="14"/>
                <w:szCs w:val="14"/>
              </w:rPr>
              <w:t>7</w:t>
            </w:r>
            <w:r>
              <w:rPr>
                <w:sz w:val="14"/>
                <w:szCs w:val="14"/>
              </w:rPr>
              <w:t>1.39</w:t>
            </w:r>
          </w:p>
        </w:tc>
      </w:tr>
      <w:tr w:rsidR="00BA31EA" w:rsidRPr="000E3A45" w14:paraId="0A45F358" w14:textId="77777777" w:rsidTr="00202E4C">
        <w:trPr>
          <w:jc w:val="center"/>
        </w:trPr>
        <w:tc>
          <w:tcPr>
            <w:tcW w:w="1304" w:type="dxa"/>
            <w:tcBorders>
              <w:top w:val="nil"/>
              <w:left w:val="single" w:sz="4" w:space="0" w:color="auto"/>
              <w:bottom w:val="nil"/>
              <w:right w:val="single" w:sz="4" w:space="0" w:color="auto"/>
            </w:tcBorders>
          </w:tcPr>
          <w:p w14:paraId="324CBE0C" w14:textId="07BAB196" w:rsidR="00BA31EA" w:rsidRPr="000E3A45" w:rsidRDefault="00BA31EA" w:rsidP="00BA31EA">
            <w:pPr>
              <w:rPr>
                <w:sz w:val="14"/>
                <w:szCs w:val="14"/>
              </w:rPr>
            </w:pPr>
            <w:r w:rsidRPr="000E3A45">
              <w:rPr>
                <w:sz w:val="14"/>
                <w:szCs w:val="14"/>
              </w:rPr>
              <w:t>Agosto 2013</w:t>
            </w:r>
          </w:p>
        </w:tc>
        <w:tc>
          <w:tcPr>
            <w:tcW w:w="851" w:type="dxa"/>
            <w:tcBorders>
              <w:top w:val="nil"/>
              <w:left w:val="single" w:sz="4" w:space="0" w:color="auto"/>
              <w:bottom w:val="nil"/>
              <w:right w:val="single" w:sz="4" w:space="0" w:color="auto"/>
            </w:tcBorders>
          </w:tcPr>
          <w:p w14:paraId="45239B0A" w14:textId="203B7F64" w:rsidR="00BA31EA" w:rsidRPr="000E3A45" w:rsidRDefault="00BA31EA" w:rsidP="00BA31EA">
            <w:pPr>
              <w:ind w:right="170"/>
              <w:jc w:val="right"/>
              <w:rPr>
                <w:sz w:val="14"/>
                <w:szCs w:val="14"/>
              </w:rPr>
            </w:pPr>
            <w:r w:rsidRPr="000E3A45">
              <w:rPr>
                <w:sz w:val="14"/>
                <w:szCs w:val="14"/>
              </w:rPr>
              <w:t>112.21</w:t>
            </w:r>
          </w:p>
        </w:tc>
        <w:tc>
          <w:tcPr>
            <w:tcW w:w="1021" w:type="dxa"/>
            <w:tcBorders>
              <w:top w:val="nil"/>
              <w:left w:val="single" w:sz="4" w:space="0" w:color="auto"/>
              <w:bottom w:val="nil"/>
              <w:right w:val="single" w:sz="4" w:space="0" w:color="auto"/>
            </w:tcBorders>
          </w:tcPr>
          <w:p w14:paraId="01FFAFD2" w14:textId="2592E623" w:rsidR="00BA31EA" w:rsidRPr="000E3A45" w:rsidRDefault="00BA31EA" w:rsidP="00BA31EA">
            <w:pPr>
              <w:ind w:right="227"/>
              <w:jc w:val="right"/>
              <w:rPr>
                <w:sz w:val="14"/>
                <w:szCs w:val="14"/>
              </w:rPr>
            </w:pPr>
            <w:r w:rsidRPr="000E3A45">
              <w:rPr>
                <w:sz w:val="14"/>
                <w:szCs w:val="14"/>
              </w:rPr>
              <w:t>106.20</w:t>
            </w:r>
          </w:p>
        </w:tc>
        <w:tc>
          <w:tcPr>
            <w:tcW w:w="1021" w:type="dxa"/>
            <w:tcBorders>
              <w:top w:val="nil"/>
              <w:left w:val="single" w:sz="4" w:space="0" w:color="auto"/>
              <w:bottom w:val="nil"/>
              <w:right w:val="single" w:sz="4" w:space="0" w:color="auto"/>
            </w:tcBorders>
          </w:tcPr>
          <w:p w14:paraId="4908AEF4" w14:textId="0F939925" w:rsidR="00BA31EA" w:rsidRPr="000E3A45" w:rsidRDefault="00BA31EA" w:rsidP="00BA31EA">
            <w:pPr>
              <w:ind w:right="227"/>
              <w:jc w:val="right"/>
              <w:rPr>
                <w:sz w:val="14"/>
                <w:szCs w:val="14"/>
              </w:rPr>
            </w:pPr>
            <w:r w:rsidRPr="000E3A45">
              <w:rPr>
                <w:sz w:val="14"/>
                <w:szCs w:val="14"/>
              </w:rPr>
              <w:t>100.84</w:t>
            </w:r>
          </w:p>
        </w:tc>
        <w:tc>
          <w:tcPr>
            <w:tcW w:w="1304" w:type="dxa"/>
            <w:tcBorders>
              <w:top w:val="nil"/>
              <w:left w:val="single" w:sz="4" w:space="0" w:color="auto"/>
              <w:bottom w:val="nil"/>
              <w:right w:val="single" w:sz="4" w:space="0" w:color="auto"/>
            </w:tcBorders>
          </w:tcPr>
          <w:p w14:paraId="6D2CB22A" w14:textId="152EF240" w:rsidR="00BA31EA" w:rsidRPr="000E3A45" w:rsidRDefault="00BA31EA" w:rsidP="00BA31EA">
            <w:pPr>
              <w:rPr>
                <w:sz w:val="14"/>
                <w:szCs w:val="14"/>
              </w:rPr>
            </w:pPr>
            <w:r>
              <w:rPr>
                <w:sz w:val="14"/>
                <w:szCs w:val="14"/>
              </w:rPr>
              <w:t>Diciembre 2014</w:t>
            </w:r>
          </w:p>
        </w:tc>
        <w:tc>
          <w:tcPr>
            <w:tcW w:w="851" w:type="dxa"/>
            <w:tcBorders>
              <w:top w:val="nil"/>
              <w:left w:val="single" w:sz="4" w:space="0" w:color="auto"/>
              <w:bottom w:val="nil"/>
              <w:right w:val="single" w:sz="4" w:space="0" w:color="auto"/>
            </w:tcBorders>
            <w:vAlign w:val="center"/>
          </w:tcPr>
          <w:p w14:paraId="66BBD8D6" w14:textId="45104C07" w:rsidR="00BA31EA" w:rsidRPr="000E3A45" w:rsidRDefault="00BA31EA" w:rsidP="00BA31EA">
            <w:pPr>
              <w:ind w:right="170"/>
              <w:jc w:val="right"/>
              <w:rPr>
                <w:sz w:val="14"/>
                <w:szCs w:val="14"/>
              </w:rPr>
            </w:pPr>
            <w:r>
              <w:rPr>
                <w:sz w:val="14"/>
                <w:szCs w:val="14"/>
              </w:rPr>
              <w:t>62.13</w:t>
            </w:r>
          </w:p>
        </w:tc>
        <w:tc>
          <w:tcPr>
            <w:tcW w:w="1021" w:type="dxa"/>
            <w:tcBorders>
              <w:top w:val="nil"/>
              <w:left w:val="single" w:sz="4" w:space="0" w:color="auto"/>
              <w:bottom w:val="nil"/>
              <w:right w:val="single" w:sz="4" w:space="0" w:color="auto"/>
            </w:tcBorders>
            <w:vAlign w:val="center"/>
          </w:tcPr>
          <w:p w14:paraId="4F7A7304" w14:textId="1D418D06" w:rsidR="00BA31EA" w:rsidRPr="000E3A45" w:rsidRDefault="00BA31EA" w:rsidP="00BA31EA">
            <w:pPr>
              <w:ind w:right="227"/>
              <w:jc w:val="right"/>
              <w:rPr>
                <w:sz w:val="14"/>
                <w:szCs w:val="14"/>
              </w:rPr>
            </w:pPr>
            <w:r>
              <w:rPr>
                <w:sz w:val="14"/>
                <w:szCs w:val="14"/>
              </w:rPr>
              <w:t>58.78</w:t>
            </w:r>
          </w:p>
        </w:tc>
        <w:tc>
          <w:tcPr>
            <w:tcW w:w="1021" w:type="dxa"/>
            <w:tcBorders>
              <w:top w:val="nil"/>
              <w:left w:val="single" w:sz="4" w:space="0" w:color="auto"/>
              <w:bottom w:val="nil"/>
              <w:right w:val="single" w:sz="4" w:space="0" w:color="auto"/>
            </w:tcBorders>
            <w:vAlign w:val="center"/>
          </w:tcPr>
          <w:p w14:paraId="279B4229" w14:textId="76CBE8E8" w:rsidR="00BA31EA" w:rsidRPr="000E3A45" w:rsidRDefault="00BA31EA" w:rsidP="00BA31EA">
            <w:pPr>
              <w:ind w:right="227"/>
              <w:jc w:val="right"/>
              <w:rPr>
                <w:sz w:val="14"/>
                <w:szCs w:val="14"/>
              </w:rPr>
            </w:pPr>
            <w:r>
              <w:rPr>
                <w:sz w:val="14"/>
                <w:szCs w:val="14"/>
              </w:rPr>
              <w:t>52.36</w:t>
            </w:r>
          </w:p>
        </w:tc>
      </w:tr>
      <w:tr w:rsidR="00BA31EA" w:rsidRPr="000E3A45" w14:paraId="413AE63E" w14:textId="77777777" w:rsidTr="00202E4C">
        <w:trPr>
          <w:jc w:val="center"/>
        </w:trPr>
        <w:tc>
          <w:tcPr>
            <w:tcW w:w="1304" w:type="dxa"/>
            <w:tcBorders>
              <w:top w:val="nil"/>
              <w:left w:val="single" w:sz="4" w:space="0" w:color="auto"/>
              <w:bottom w:val="nil"/>
              <w:right w:val="single" w:sz="4" w:space="0" w:color="auto"/>
            </w:tcBorders>
          </w:tcPr>
          <w:p w14:paraId="38951F48" w14:textId="2C66DE69" w:rsidR="00BA31EA" w:rsidRPr="000E3A45" w:rsidRDefault="00BA31EA" w:rsidP="00BA31EA">
            <w:pPr>
              <w:rPr>
                <w:sz w:val="14"/>
                <w:szCs w:val="14"/>
              </w:rPr>
            </w:pPr>
            <w:r w:rsidRPr="000E3A45">
              <w:rPr>
                <w:sz w:val="14"/>
                <w:szCs w:val="14"/>
              </w:rPr>
              <w:t>Septiembre 2013</w:t>
            </w:r>
          </w:p>
        </w:tc>
        <w:tc>
          <w:tcPr>
            <w:tcW w:w="851" w:type="dxa"/>
            <w:tcBorders>
              <w:top w:val="nil"/>
              <w:left w:val="single" w:sz="4" w:space="0" w:color="auto"/>
              <w:bottom w:val="nil"/>
              <w:right w:val="single" w:sz="4" w:space="0" w:color="auto"/>
            </w:tcBorders>
          </w:tcPr>
          <w:p w14:paraId="4BDDDC5B" w14:textId="016F1DF1" w:rsidR="00BA31EA" w:rsidRPr="000E3A45" w:rsidRDefault="00BA31EA" w:rsidP="00BA31EA">
            <w:pPr>
              <w:ind w:right="170"/>
              <w:jc w:val="right"/>
              <w:rPr>
                <w:sz w:val="14"/>
                <w:szCs w:val="14"/>
              </w:rPr>
            </w:pPr>
            <w:r w:rsidRPr="000E3A45">
              <w:rPr>
                <w:sz w:val="14"/>
                <w:szCs w:val="14"/>
              </w:rPr>
              <w:t>113.38</w:t>
            </w:r>
          </w:p>
        </w:tc>
        <w:tc>
          <w:tcPr>
            <w:tcW w:w="1021" w:type="dxa"/>
            <w:tcBorders>
              <w:top w:val="nil"/>
              <w:left w:val="single" w:sz="4" w:space="0" w:color="auto"/>
              <w:bottom w:val="nil"/>
              <w:right w:val="single" w:sz="4" w:space="0" w:color="auto"/>
            </w:tcBorders>
          </w:tcPr>
          <w:p w14:paraId="195B68AD" w14:textId="1EDC5815" w:rsidR="00BA31EA" w:rsidRPr="000E3A45" w:rsidRDefault="00BA31EA" w:rsidP="00BA31EA">
            <w:pPr>
              <w:ind w:right="227"/>
              <w:jc w:val="right"/>
              <w:rPr>
                <w:sz w:val="14"/>
                <w:szCs w:val="14"/>
              </w:rPr>
            </w:pPr>
            <w:r w:rsidRPr="000E3A45">
              <w:rPr>
                <w:sz w:val="14"/>
                <w:szCs w:val="14"/>
              </w:rPr>
              <w:t>106.33</w:t>
            </w:r>
          </w:p>
        </w:tc>
        <w:tc>
          <w:tcPr>
            <w:tcW w:w="1021" w:type="dxa"/>
            <w:tcBorders>
              <w:top w:val="nil"/>
              <w:left w:val="single" w:sz="4" w:space="0" w:color="auto"/>
              <w:bottom w:val="nil"/>
              <w:right w:val="single" w:sz="4" w:space="0" w:color="auto"/>
            </w:tcBorders>
          </w:tcPr>
          <w:p w14:paraId="62CB719D" w14:textId="062BD395" w:rsidR="00BA31EA" w:rsidRPr="000E3A45" w:rsidRDefault="00BA31EA" w:rsidP="00BA31EA">
            <w:pPr>
              <w:ind w:right="227"/>
              <w:jc w:val="right"/>
              <w:rPr>
                <w:sz w:val="14"/>
                <w:szCs w:val="14"/>
              </w:rPr>
            </w:pPr>
            <w:r w:rsidRPr="000E3A45">
              <w:rPr>
                <w:sz w:val="14"/>
                <w:szCs w:val="14"/>
              </w:rPr>
              <w:t>99.74</w:t>
            </w:r>
          </w:p>
        </w:tc>
        <w:tc>
          <w:tcPr>
            <w:tcW w:w="1304" w:type="dxa"/>
            <w:tcBorders>
              <w:top w:val="nil"/>
              <w:left w:val="single" w:sz="4" w:space="0" w:color="auto"/>
              <w:bottom w:val="nil"/>
              <w:right w:val="single" w:sz="4" w:space="0" w:color="auto"/>
            </w:tcBorders>
          </w:tcPr>
          <w:p w14:paraId="31D279CA" w14:textId="07B3024C" w:rsidR="00BA31EA" w:rsidRPr="000E3A45" w:rsidRDefault="00BA31EA" w:rsidP="00BA31EA">
            <w:pPr>
              <w:rPr>
                <w:sz w:val="14"/>
                <w:szCs w:val="14"/>
              </w:rPr>
            </w:pPr>
            <w:r>
              <w:rPr>
                <w:sz w:val="14"/>
                <w:szCs w:val="14"/>
              </w:rPr>
              <w:t>Enero 2015</w:t>
            </w:r>
          </w:p>
        </w:tc>
        <w:tc>
          <w:tcPr>
            <w:tcW w:w="851" w:type="dxa"/>
            <w:tcBorders>
              <w:top w:val="nil"/>
              <w:left w:val="single" w:sz="4" w:space="0" w:color="auto"/>
              <w:bottom w:val="nil"/>
              <w:right w:val="single" w:sz="4" w:space="0" w:color="auto"/>
            </w:tcBorders>
            <w:vAlign w:val="center"/>
          </w:tcPr>
          <w:p w14:paraId="7297077B" w14:textId="796BD461" w:rsidR="00BA31EA" w:rsidRPr="000E3A45" w:rsidRDefault="00BA31EA" w:rsidP="00BA31EA">
            <w:pPr>
              <w:ind w:right="170"/>
              <w:jc w:val="right"/>
              <w:rPr>
                <w:sz w:val="14"/>
                <w:szCs w:val="14"/>
              </w:rPr>
            </w:pPr>
            <w:r>
              <w:rPr>
                <w:sz w:val="14"/>
                <w:szCs w:val="14"/>
              </w:rPr>
              <w:t>47.84</w:t>
            </w:r>
          </w:p>
        </w:tc>
        <w:tc>
          <w:tcPr>
            <w:tcW w:w="1021" w:type="dxa"/>
            <w:tcBorders>
              <w:top w:val="nil"/>
              <w:left w:val="single" w:sz="4" w:space="0" w:color="auto"/>
              <w:bottom w:val="nil"/>
              <w:right w:val="single" w:sz="4" w:space="0" w:color="auto"/>
            </w:tcBorders>
            <w:vAlign w:val="center"/>
          </w:tcPr>
          <w:p w14:paraId="2706F65E" w14:textId="38BF84F9" w:rsidR="00BA31EA" w:rsidRPr="000E3A45" w:rsidRDefault="00BA31EA" w:rsidP="00BA31EA">
            <w:pPr>
              <w:ind w:right="227"/>
              <w:jc w:val="right"/>
              <w:rPr>
                <w:sz w:val="14"/>
                <w:szCs w:val="14"/>
              </w:rPr>
            </w:pPr>
            <w:r>
              <w:rPr>
                <w:sz w:val="14"/>
                <w:szCs w:val="14"/>
              </w:rPr>
              <w:t>47.14</w:t>
            </w:r>
          </w:p>
        </w:tc>
        <w:tc>
          <w:tcPr>
            <w:tcW w:w="1021" w:type="dxa"/>
            <w:tcBorders>
              <w:top w:val="nil"/>
              <w:left w:val="single" w:sz="4" w:space="0" w:color="auto"/>
              <w:bottom w:val="nil"/>
              <w:right w:val="single" w:sz="4" w:space="0" w:color="auto"/>
            </w:tcBorders>
            <w:vAlign w:val="center"/>
          </w:tcPr>
          <w:p w14:paraId="51263137" w14:textId="3B4D7820" w:rsidR="00BA31EA" w:rsidRPr="000E3A45" w:rsidRDefault="004C101E" w:rsidP="00BA31EA">
            <w:pPr>
              <w:ind w:right="227"/>
              <w:jc w:val="right"/>
              <w:rPr>
                <w:sz w:val="14"/>
                <w:szCs w:val="14"/>
              </w:rPr>
            </w:pPr>
            <w:r>
              <w:rPr>
                <w:sz w:val="14"/>
                <w:szCs w:val="14"/>
              </w:rPr>
              <w:t>40.15</w:t>
            </w:r>
          </w:p>
        </w:tc>
      </w:tr>
      <w:tr w:rsidR="00BA31EA" w:rsidRPr="000E3A45" w14:paraId="5D92EC65" w14:textId="77777777" w:rsidTr="00202E4C">
        <w:trPr>
          <w:jc w:val="center"/>
        </w:trPr>
        <w:tc>
          <w:tcPr>
            <w:tcW w:w="1304" w:type="dxa"/>
            <w:tcBorders>
              <w:top w:val="nil"/>
              <w:left w:val="single" w:sz="4" w:space="0" w:color="auto"/>
              <w:bottom w:val="nil"/>
              <w:right w:val="single" w:sz="4" w:space="0" w:color="auto"/>
            </w:tcBorders>
          </w:tcPr>
          <w:p w14:paraId="0B9FBB82" w14:textId="739A0465" w:rsidR="00BA31EA" w:rsidRPr="000E3A45" w:rsidRDefault="00BA31EA" w:rsidP="00BA31EA">
            <w:pPr>
              <w:rPr>
                <w:sz w:val="14"/>
                <w:szCs w:val="14"/>
              </w:rPr>
            </w:pPr>
            <w:r w:rsidRPr="000E3A45">
              <w:rPr>
                <w:sz w:val="14"/>
                <w:szCs w:val="14"/>
              </w:rPr>
              <w:t>Octubre 2013</w:t>
            </w:r>
          </w:p>
        </w:tc>
        <w:tc>
          <w:tcPr>
            <w:tcW w:w="851" w:type="dxa"/>
            <w:tcBorders>
              <w:top w:val="nil"/>
              <w:left w:val="single" w:sz="4" w:space="0" w:color="auto"/>
              <w:bottom w:val="nil"/>
              <w:right w:val="single" w:sz="4" w:space="0" w:color="auto"/>
            </w:tcBorders>
          </w:tcPr>
          <w:p w14:paraId="09E91BAF" w14:textId="76A79DA2" w:rsidR="00BA31EA" w:rsidRPr="000E3A45" w:rsidRDefault="00BA31EA" w:rsidP="00BA31EA">
            <w:pPr>
              <w:ind w:right="170"/>
              <w:jc w:val="right"/>
              <w:rPr>
                <w:sz w:val="14"/>
                <w:szCs w:val="14"/>
              </w:rPr>
            </w:pPr>
            <w:r w:rsidRPr="000E3A45">
              <w:rPr>
                <w:sz w:val="14"/>
                <w:szCs w:val="14"/>
              </w:rPr>
              <w:t>109.81</w:t>
            </w:r>
          </w:p>
        </w:tc>
        <w:tc>
          <w:tcPr>
            <w:tcW w:w="1021" w:type="dxa"/>
            <w:tcBorders>
              <w:top w:val="nil"/>
              <w:left w:val="single" w:sz="4" w:space="0" w:color="auto"/>
              <w:bottom w:val="nil"/>
              <w:right w:val="single" w:sz="4" w:space="0" w:color="auto"/>
            </w:tcBorders>
          </w:tcPr>
          <w:p w14:paraId="4ED7B78E" w14:textId="1757554D" w:rsidR="00BA31EA" w:rsidRPr="000E3A45" w:rsidRDefault="00BA31EA" w:rsidP="00BA31EA">
            <w:pPr>
              <w:ind w:right="227"/>
              <w:jc w:val="right"/>
              <w:rPr>
                <w:sz w:val="14"/>
                <w:szCs w:val="14"/>
              </w:rPr>
            </w:pPr>
            <w:r w:rsidRPr="000E3A45">
              <w:rPr>
                <w:sz w:val="14"/>
                <w:szCs w:val="14"/>
              </w:rPr>
              <w:t>100.50</w:t>
            </w:r>
          </w:p>
        </w:tc>
        <w:tc>
          <w:tcPr>
            <w:tcW w:w="1021" w:type="dxa"/>
            <w:tcBorders>
              <w:top w:val="nil"/>
              <w:left w:val="single" w:sz="4" w:space="0" w:color="auto"/>
              <w:bottom w:val="nil"/>
              <w:right w:val="single" w:sz="4" w:space="0" w:color="auto"/>
            </w:tcBorders>
          </w:tcPr>
          <w:p w14:paraId="44A99827" w14:textId="0C7031C9" w:rsidR="00BA31EA" w:rsidRPr="000E3A45" w:rsidRDefault="00BA31EA" w:rsidP="00BA31EA">
            <w:pPr>
              <w:ind w:right="227"/>
              <w:jc w:val="right"/>
              <w:rPr>
                <w:sz w:val="14"/>
                <w:szCs w:val="14"/>
              </w:rPr>
            </w:pPr>
            <w:r w:rsidRPr="000E3A45">
              <w:rPr>
                <w:sz w:val="14"/>
                <w:szCs w:val="14"/>
              </w:rPr>
              <w:t>94.95</w:t>
            </w:r>
          </w:p>
        </w:tc>
        <w:tc>
          <w:tcPr>
            <w:tcW w:w="1304" w:type="dxa"/>
            <w:tcBorders>
              <w:top w:val="nil"/>
              <w:left w:val="single" w:sz="4" w:space="0" w:color="auto"/>
              <w:bottom w:val="nil"/>
              <w:right w:val="single" w:sz="4" w:space="0" w:color="auto"/>
            </w:tcBorders>
          </w:tcPr>
          <w:p w14:paraId="393EFAA4" w14:textId="5EE709B1" w:rsidR="00BA31EA" w:rsidRPr="000E3A45" w:rsidRDefault="00BA31EA" w:rsidP="00BA31EA">
            <w:pPr>
              <w:rPr>
                <w:sz w:val="14"/>
                <w:szCs w:val="14"/>
              </w:rPr>
            </w:pPr>
            <w:r>
              <w:rPr>
                <w:sz w:val="14"/>
                <w:szCs w:val="14"/>
              </w:rPr>
              <w:t>Febrero 2015</w:t>
            </w:r>
          </w:p>
        </w:tc>
        <w:tc>
          <w:tcPr>
            <w:tcW w:w="851" w:type="dxa"/>
            <w:tcBorders>
              <w:top w:val="nil"/>
              <w:left w:val="single" w:sz="4" w:space="0" w:color="auto"/>
              <w:bottom w:val="nil"/>
              <w:right w:val="single" w:sz="4" w:space="0" w:color="auto"/>
            </w:tcBorders>
            <w:vAlign w:val="center"/>
          </w:tcPr>
          <w:p w14:paraId="402243B0" w14:textId="5A82D548" w:rsidR="00BA31EA" w:rsidRPr="000E3A45" w:rsidRDefault="00B83744" w:rsidP="00BA31EA">
            <w:pPr>
              <w:ind w:right="170"/>
              <w:jc w:val="right"/>
              <w:rPr>
                <w:sz w:val="14"/>
                <w:szCs w:val="14"/>
              </w:rPr>
            </w:pPr>
            <w:r>
              <w:rPr>
                <w:sz w:val="14"/>
                <w:szCs w:val="14"/>
              </w:rPr>
              <w:t>57.95</w:t>
            </w:r>
          </w:p>
        </w:tc>
        <w:tc>
          <w:tcPr>
            <w:tcW w:w="1021" w:type="dxa"/>
            <w:tcBorders>
              <w:top w:val="nil"/>
              <w:left w:val="single" w:sz="4" w:space="0" w:color="auto"/>
              <w:bottom w:val="nil"/>
              <w:right w:val="single" w:sz="4" w:space="0" w:color="auto"/>
            </w:tcBorders>
            <w:vAlign w:val="center"/>
          </w:tcPr>
          <w:p w14:paraId="7D8B962B" w14:textId="7CCDEF18" w:rsidR="00BA31EA" w:rsidRPr="000E3A45" w:rsidRDefault="00B83744" w:rsidP="004C101E">
            <w:pPr>
              <w:ind w:right="227"/>
              <w:jc w:val="right"/>
              <w:rPr>
                <w:sz w:val="14"/>
                <w:szCs w:val="14"/>
              </w:rPr>
            </w:pPr>
            <w:r>
              <w:rPr>
                <w:sz w:val="14"/>
                <w:szCs w:val="14"/>
              </w:rPr>
              <w:t>50.5</w:t>
            </w:r>
            <w:r w:rsidR="004C101E">
              <w:rPr>
                <w:sz w:val="14"/>
                <w:szCs w:val="14"/>
              </w:rPr>
              <w:t>7</w:t>
            </w:r>
          </w:p>
        </w:tc>
        <w:tc>
          <w:tcPr>
            <w:tcW w:w="1021" w:type="dxa"/>
            <w:tcBorders>
              <w:top w:val="nil"/>
              <w:left w:val="single" w:sz="4" w:space="0" w:color="auto"/>
              <w:bottom w:val="nil"/>
              <w:right w:val="single" w:sz="4" w:space="0" w:color="auto"/>
            </w:tcBorders>
            <w:vAlign w:val="center"/>
          </w:tcPr>
          <w:p w14:paraId="6F0CEAA7" w14:textId="5DDA61BC" w:rsidR="00BA31EA" w:rsidRPr="000E3A45" w:rsidRDefault="00B83744" w:rsidP="00BA31EA">
            <w:pPr>
              <w:ind w:right="227"/>
              <w:jc w:val="right"/>
              <w:rPr>
                <w:sz w:val="14"/>
                <w:szCs w:val="14"/>
              </w:rPr>
            </w:pPr>
            <w:r>
              <w:rPr>
                <w:sz w:val="14"/>
                <w:szCs w:val="14"/>
              </w:rPr>
              <w:t>47.45</w:t>
            </w:r>
          </w:p>
        </w:tc>
      </w:tr>
      <w:tr w:rsidR="00BA31EA" w:rsidRPr="000E3A45" w14:paraId="3A1C72B4" w14:textId="77777777" w:rsidTr="00202E4C">
        <w:trPr>
          <w:jc w:val="center"/>
        </w:trPr>
        <w:tc>
          <w:tcPr>
            <w:tcW w:w="1304" w:type="dxa"/>
            <w:tcBorders>
              <w:top w:val="nil"/>
              <w:left w:val="single" w:sz="4" w:space="0" w:color="auto"/>
              <w:bottom w:val="nil"/>
              <w:right w:val="single" w:sz="4" w:space="0" w:color="auto"/>
            </w:tcBorders>
          </w:tcPr>
          <w:p w14:paraId="6883D5E6" w14:textId="47329215" w:rsidR="00BA31EA" w:rsidRPr="000E3A45" w:rsidRDefault="00BA31EA" w:rsidP="00BA31EA">
            <w:pPr>
              <w:rPr>
                <w:sz w:val="14"/>
                <w:szCs w:val="14"/>
              </w:rPr>
            </w:pPr>
            <w:r w:rsidRPr="000E3A45">
              <w:rPr>
                <w:sz w:val="14"/>
                <w:szCs w:val="14"/>
              </w:rPr>
              <w:t>Noviembre 2013</w:t>
            </w:r>
          </w:p>
        </w:tc>
        <w:tc>
          <w:tcPr>
            <w:tcW w:w="851" w:type="dxa"/>
            <w:tcBorders>
              <w:top w:val="nil"/>
              <w:left w:val="single" w:sz="4" w:space="0" w:color="auto"/>
              <w:bottom w:val="nil"/>
              <w:right w:val="single" w:sz="4" w:space="0" w:color="auto"/>
            </w:tcBorders>
          </w:tcPr>
          <w:p w14:paraId="24B1D862" w14:textId="7A1B13F4" w:rsidR="00BA31EA" w:rsidRPr="000E3A45" w:rsidRDefault="00BA31EA" w:rsidP="00BA31EA">
            <w:pPr>
              <w:ind w:right="170"/>
              <w:jc w:val="right"/>
              <w:rPr>
                <w:sz w:val="14"/>
                <w:szCs w:val="14"/>
              </w:rPr>
            </w:pPr>
            <w:r w:rsidRPr="000E3A45">
              <w:rPr>
                <w:sz w:val="14"/>
                <w:szCs w:val="14"/>
              </w:rPr>
              <w:t>108.08</w:t>
            </w:r>
          </w:p>
        </w:tc>
        <w:tc>
          <w:tcPr>
            <w:tcW w:w="1021" w:type="dxa"/>
            <w:tcBorders>
              <w:top w:val="nil"/>
              <w:left w:val="single" w:sz="4" w:space="0" w:color="auto"/>
              <w:bottom w:val="nil"/>
              <w:right w:val="single" w:sz="4" w:space="0" w:color="auto"/>
            </w:tcBorders>
          </w:tcPr>
          <w:p w14:paraId="55C6FCCB" w14:textId="7BD98028" w:rsidR="00BA31EA" w:rsidRPr="000E3A45" w:rsidRDefault="00BA31EA" w:rsidP="00BA31EA">
            <w:pPr>
              <w:ind w:right="227"/>
              <w:jc w:val="right"/>
              <w:rPr>
                <w:sz w:val="14"/>
                <w:szCs w:val="14"/>
              </w:rPr>
            </w:pPr>
            <w:r w:rsidRPr="000E3A45">
              <w:rPr>
                <w:sz w:val="14"/>
                <w:szCs w:val="14"/>
              </w:rPr>
              <w:t>93.81</w:t>
            </w:r>
          </w:p>
        </w:tc>
        <w:tc>
          <w:tcPr>
            <w:tcW w:w="1021" w:type="dxa"/>
            <w:tcBorders>
              <w:top w:val="nil"/>
              <w:left w:val="single" w:sz="4" w:space="0" w:color="auto"/>
              <w:bottom w:val="nil"/>
              <w:right w:val="single" w:sz="4" w:space="0" w:color="auto"/>
            </w:tcBorders>
          </w:tcPr>
          <w:p w14:paraId="4DDCE5BE" w14:textId="62167CEF" w:rsidR="00BA31EA" w:rsidRPr="000E3A45" w:rsidRDefault="00BA31EA" w:rsidP="00BA31EA">
            <w:pPr>
              <w:ind w:right="227"/>
              <w:jc w:val="right"/>
              <w:rPr>
                <w:sz w:val="14"/>
                <w:szCs w:val="14"/>
              </w:rPr>
            </w:pPr>
            <w:r w:rsidRPr="000E3A45">
              <w:rPr>
                <w:sz w:val="14"/>
                <w:szCs w:val="14"/>
              </w:rPr>
              <w:t>89.</w:t>
            </w:r>
            <w:r>
              <w:rPr>
                <w:sz w:val="14"/>
                <w:szCs w:val="14"/>
              </w:rPr>
              <w:t>54</w:t>
            </w:r>
          </w:p>
        </w:tc>
        <w:tc>
          <w:tcPr>
            <w:tcW w:w="1304" w:type="dxa"/>
            <w:tcBorders>
              <w:top w:val="nil"/>
              <w:left w:val="single" w:sz="4" w:space="0" w:color="auto"/>
              <w:bottom w:val="nil"/>
              <w:right w:val="single" w:sz="4" w:space="0" w:color="auto"/>
            </w:tcBorders>
          </w:tcPr>
          <w:p w14:paraId="2E667660" w14:textId="606BB3AD" w:rsidR="00BA31EA" w:rsidRPr="000E3A45" w:rsidRDefault="00BA31EA" w:rsidP="00BA31EA">
            <w:pPr>
              <w:rPr>
                <w:sz w:val="14"/>
                <w:szCs w:val="14"/>
              </w:rPr>
            </w:pPr>
            <w:r>
              <w:rPr>
                <w:sz w:val="14"/>
                <w:szCs w:val="14"/>
              </w:rPr>
              <w:t>Marzo 2015*</w:t>
            </w:r>
          </w:p>
        </w:tc>
        <w:tc>
          <w:tcPr>
            <w:tcW w:w="851" w:type="dxa"/>
            <w:tcBorders>
              <w:top w:val="nil"/>
              <w:left w:val="single" w:sz="4" w:space="0" w:color="auto"/>
              <w:bottom w:val="nil"/>
              <w:right w:val="single" w:sz="4" w:space="0" w:color="auto"/>
            </w:tcBorders>
            <w:vAlign w:val="center"/>
          </w:tcPr>
          <w:p w14:paraId="2BD81E3D" w14:textId="1DE44DA1" w:rsidR="00BA31EA" w:rsidRPr="000E3A45" w:rsidRDefault="00B83744" w:rsidP="00BA31EA">
            <w:pPr>
              <w:ind w:right="170"/>
              <w:jc w:val="right"/>
              <w:rPr>
                <w:sz w:val="14"/>
                <w:szCs w:val="14"/>
              </w:rPr>
            </w:pPr>
            <w:r>
              <w:rPr>
                <w:sz w:val="14"/>
                <w:szCs w:val="14"/>
              </w:rPr>
              <w:t>58.95</w:t>
            </w:r>
          </w:p>
        </w:tc>
        <w:tc>
          <w:tcPr>
            <w:tcW w:w="1021" w:type="dxa"/>
            <w:tcBorders>
              <w:top w:val="nil"/>
              <w:left w:val="single" w:sz="4" w:space="0" w:color="auto"/>
              <w:bottom w:val="nil"/>
              <w:right w:val="single" w:sz="4" w:space="0" w:color="auto"/>
            </w:tcBorders>
            <w:vAlign w:val="center"/>
          </w:tcPr>
          <w:p w14:paraId="1D0CCA14" w14:textId="07AABFAD" w:rsidR="00BA31EA" w:rsidRPr="000E3A45" w:rsidRDefault="00B83744" w:rsidP="00BA31EA">
            <w:pPr>
              <w:ind w:right="227"/>
              <w:jc w:val="right"/>
              <w:rPr>
                <w:sz w:val="14"/>
                <w:szCs w:val="14"/>
              </w:rPr>
            </w:pPr>
            <w:r>
              <w:rPr>
                <w:sz w:val="14"/>
                <w:szCs w:val="14"/>
              </w:rPr>
              <w:t>48.99</w:t>
            </w:r>
          </w:p>
        </w:tc>
        <w:tc>
          <w:tcPr>
            <w:tcW w:w="1021" w:type="dxa"/>
            <w:tcBorders>
              <w:top w:val="nil"/>
              <w:left w:val="single" w:sz="4" w:space="0" w:color="auto"/>
              <w:bottom w:val="nil"/>
              <w:right w:val="single" w:sz="4" w:space="0" w:color="auto"/>
            </w:tcBorders>
            <w:vAlign w:val="center"/>
          </w:tcPr>
          <w:p w14:paraId="0EB1126C" w14:textId="79C035BC" w:rsidR="00BA31EA" w:rsidRPr="000E3A45" w:rsidRDefault="00B83744" w:rsidP="00BA31EA">
            <w:pPr>
              <w:ind w:right="227"/>
              <w:jc w:val="right"/>
              <w:rPr>
                <w:sz w:val="14"/>
                <w:szCs w:val="14"/>
              </w:rPr>
            </w:pPr>
            <w:r>
              <w:rPr>
                <w:sz w:val="14"/>
                <w:szCs w:val="14"/>
              </w:rPr>
              <w:t>47.79</w:t>
            </w:r>
          </w:p>
        </w:tc>
      </w:tr>
      <w:tr w:rsidR="00BA31EA" w:rsidRPr="000E3A45" w14:paraId="58A4FF9A" w14:textId="77777777" w:rsidTr="001E7D79">
        <w:trPr>
          <w:jc w:val="center"/>
        </w:trPr>
        <w:tc>
          <w:tcPr>
            <w:tcW w:w="1304" w:type="dxa"/>
            <w:tcBorders>
              <w:top w:val="nil"/>
              <w:left w:val="single" w:sz="4" w:space="0" w:color="auto"/>
              <w:bottom w:val="nil"/>
              <w:right w:val="single" w:sz="4" w:space="0" w:color="auto"/>
            </w:tcBorders>
          </w:tcPr>
          <w:p w14:paraId="70694971" w14:textId="13C3C727" w:rsidR="00BA31EA" w:rsidRPr="000E3A45" w:rsidRDefault="00BA31EA" w:rsidP="00BA31EA">
            <w:pPr>
              <w:rPr>
                <w:sz w:val="14"/>
                <w:szCs w:val="14"/>
              </w:rPr>
            </w:pPr>
            <w:r w:rsidRPr="000E3A45">
              <w:rPr>
                <w:sz w:val="14"/>
                <w:szCs w:val="14"/>
              </w:rPr>
              <w:t>Diciembre 2013</w:t>
            </w:r>
          </w:p>
        </w:tc>
        <w:tc>
          <w:tcPr>
            <w:tcW w:w="851" w:type="dxa"/>
            <w:tcBorders>
              <w:top w:val="nil"/>
              <w:left w:val="single" w:sz="4" w:space="0" w:color="auto"/>
              <w:bottom w:val="nil"/>
              <w:right w:val="single" w:sz="4" w:space="0" w:color="auto"/>
            </w:tcBorders>
            <w:vAlign w:val="center"/>
          </w:tcPr>
          <w:p w14:paraId="12335D07" w14:textId="58BBCCFA" w:rsidR="00BA31EA" w:rsidRPr="000E3A45" w:rsidRDefault="00BA31EA" w:rsidP="00BA31EA">
            <w:pPr>
              <w:ind w:right="170"/>
              <w:jc w:val="right"/>
              <w:rPr>
                <w:sz w:val="14"/>
                <w:szCs w:val="14"/>
              </w:rPr>
            </w:pPr>
            <w:r w:rsidRPr="000E3A45">
              <w:rPr>
                <w:sz w:val="14"/>
                <w:szCs w:val="14"/>
              </w:rPr>
              <w:t>110.63</w:t>
            </w:r>
          </w:p>
        </w:tc>
        <w:tc>
          <w:tcPr>
            <w:tcW w:w="1021" w:type="dxa"/>
            <w:tcBorders>
              <w:top w:val="nil"/>
              <w:left w:val="single" w:sz="4" w:space="0" w:color="auto"/>
              <w:bottom w:val="nil"/>
              <w:right w:val="single" w:sz="4" w:space="0" w:color="auto"/>
            </w:tcBorders>
            <w:vAlign w:val="center"/>
          </w:tcPr>
          <w:p w14:paraId="57849B73" w14:textId="37B37A4C" w:rsidR="00BA31EA" w:rsidRPr="000E3A45" w:rsidRDefault="00BA31EA" w:rsidP="00BA31EA">
            <w:pPr>
              <w:ind w:right="227"/>
              <w:jc w:val="right"/>
              <w:rPr>
                <w:sz w:val="14"/>
                <w:szCs w:val="14"/>
              </w:rPr>
            </w:pPr>
            <w:r w:rsidRPr="000E3A45">
              <w:rPr>
                <w:sz w:val="14"/>
                <w:szCs w:val="14"/>
              </w:rPr>
              <w:t>97.20</w:t>
            </w:r>
          </w:p>
        </w:tc>
        <w:tc>
          <w:tcPr>
            <w:tcW w:w="1021" w:type="dxa"/>
            <w:tcBorders>
              <w:top w:val="nil"/>
              <w:left w:val="single" w:sz="4" w:space="0" w:color="auto"/>
              <w:bottom w:val="nil"/>
              <w:right w:val="single" w:sz="4" w:space="0" w:color="auto"/>
            </w:tcBorders>
            <w:vAlign w:val="center"/>
          </w:tcPr>
          <w:p w14:paraId="154C76AD" w14:textId="7B678987" w:rsidR="00BA31EA" w:rsidRPr="000E3A45" w:rsidRDefault="00BA31EA" w:rsidP="00BA31EA">
            <w:pPr>
              <w:ind w:right="227"/>
              <w:jc w:val="right"/>
              <w:rPr>
                <w:sz w:val="14"/>
                <w:szCs w:val="14"/>
              </w:rPr>
            </w:pPr>
            <w:r w:rsidRPr="000E3A45">
              <w:rPr>
                <w:sz w:val="14"/>
                <w:szCs w:val="14"/>
              </w:rPr>
              <w:t>91.</w:t>
            </w:r>
            <w:r>
              <w:rPr>
                <w:sz w:val="14"/>
                <w:szCs w:val="14"/>
              </w:rPr>
              <w:t>65</w:t>
            </w:r>
          </w:p>
        </w:tc>
        <w:tc>
          <w:tcPr>
            <w:tcW w:w="1304" w:type="dxa"/>
            <w:tcBorders>
              <w:top w:val="nil"/>
              <w:left w:val="single" w:sz="4" w:space="0" w:color="auto"/>
              <w:bottom w:val="nil"/>
              <w:right w:val="single" w:sz="4" w:space="0" w:color="auto"/>
            </w:tcBorders>
          </w:tcPr>
          <w:p w14:paraId="317193E7" w14:textId="639FCD0E"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vAlign w:val="center"/>
          </w:tcPr>
          <w:p w14:paraId="6D43E293" w14:textId="5ABEC531"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vAlign w:val="center"/>
          </w:tcPr>
          <w:p w14:paraId="6058238D" w14:textId="262E56A5"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vAlign w:val="center"/>
          </w:tcPr>
          <w:p w14:paraId="3058C5B2" w14:textId="702DC012" w:rsidR="00BA31EA" w:rsidRPr="000E3A45" w:rsidRDefault="00BA31EA" w:rsidP="00BA31EA">
            <w:pPr>
              <w:ind w:right="227"/>
              <w:jc w:val="right"/>
              <w:rPr>
                <w:sz w:val="14"/>
                <w:szCs w:val="14"/>
              </w:rPr>
            </w:pPr>
          </w:p>
        </w:tc>
      </w:tr>
      <w:tr w:rsidR="00BA31EA" w:rsidRPr="000E3A45" w14:paraId="1E1EC2F0" w14:textId="77777777" w:rsidTr="00202E4C">
        <w:trPr>
          <w:jc w:val="center"/>
        </w:trPr>
        <w:tc>
          <w:tcPr>
            <w:tcW w:w="1304" w:type="dxa"/>
            <w:tcBorders>
              <w:top w:val="nil"/>
              <w:left w:val="single" w:sz="4" w:space="0" w:color="auto"/>
              <w:bottom w:val="nil"/>
              <w:right w:val="single" w:sz="4" w:space="0" w:color="auto"/>
            </w:tcBorders>
          </w:tcPr>
          <w:p w14:paraId="25EAFE30"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4326333B"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2B883653"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2398EA77" w14:textId="77777777"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3C67A8AE"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vAlign w:val="center"/>
          </w:tcPr>
          <w:p w14:paraId="6FBEDFB1"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vAlign w:val="center"/>
          </w:tcPr>
          <w:p w14:paraId="08988A42"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vAlign w:val="center"/>
          </w:tcPr>
          <w:p w14:paraId="5EFCAA51" w14:textId="77777777" w:rsidR="00BA31EA" w:rsidRPr="000E3A45" w:rsidRDefault="00BA31EA" w:rsidP="00BA31EA">
            <w:pPr>
              <w:ind w:right="227"/>
              <w:jc w:val="right"/>
              <w:rPr>
                <w:sz w:val="14"/>
                <w:szCs w:val="14"/>
              </w:rPr>
            </w:pPr>
          </w:p>
        </w:tc>
      </w:tr>
      <w:tr w:rsidR="00BA31EA" w:rsidRPr="000E3A45" w14:paraId="727CDDFD" w14:textId="77777777" w:rsidTr="00202E4C">
        <w:trPr>
          <w:jc w:val="center"/>
        </w:trPr>
        <w:tc>
          <w:tcPr>
            <w:tcW w:w="1304" w:type="dxa"/>
            <w:tcBorders>
              <w:top w:val="nil"/>
              <w:left w:val="single" w:sz="4" w:space="0" w:color="auto"/>
              <w:bottom w:val="nil"/>
              <w:right w:val="single" w:sz="4" w:space="0" w:color="auto"/>
            </w:tcBorders>
          </w:tcPr>
          <w:p w14:paraId="4CEE8ACA" w14:textId="494CBE7A" w:rsidR="00BA31EA" w:rsidRPr="000E3A45" w:rsidRDefault="00BA31EA" w:rsidP="00BA31EA">
            <w:pPr>
              <w:rPr>
                <w:sz w:val="14"/>
                <w:szCs w:val="14"/>
              </w:rPr>
            </w:pPr>
            <w:r>
              <w:rPr>
                <w:sz w:val="14"/>
                <w:szCs w:val="14"/>
              </w:rPr>
              <w:t>2</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764F4B09" w14:textId="2034246A" w:rsidR="00BA31EA" w:rsidRPr="000E3A45" w:rsidRDefault="00BA31EA" w:rsidP="00BA31EA">
            <w:pPr>
              <w:ind w:right="170"/>
              <w:jc w:val="right"/>
              <w:rPr>
                <w:sz w:val="14"/>
                <w:szCs w:val="14"/>
              </w:rPr>
            </w:pPr>
            <w:r>
              <w:rPr>
                <w:sz w:val="14"/>
                <w:szCs w:val="14"/>
              </w:rPr>
              <w:t>51.13</w:t>
            </w:r>
          </w:p>
        </w:tc>
        <w:tc>
          <w:tcPr>
            <w:tcW w:w="1021" w:type="dxa"/>
            <w:tcBorders>
              <w:top w:val="nil"/>
              <w:left w:val="single" w:sz="4" w:space="0" w:color="auto"/>
              <w:bottom w:val="nil"/>
              <w:right w:val="single" w:sz="4" w:space="0" w:color="auto"/>
            </w:tcBorders>
          </w:tcPr>
          <w:p w14:paraId="5AFE8870" w14:textId="570F3FCF" w:rsidR="00BA31EA" w:rsidRPr="000E3A45" w:rsidRDefault="00BA31EA" w:rsidP="004C101E">
            <w:pPr>
              <w:ind w:right="227"/>
              <w:jc w:val="right"/>
              <w:rPr>
                <w:sz w:val="14"/>
                <w:szCs w:val="14"/>
              </w:rPr>
            </w:pPr>
            <w:r>
              <w:rPr>
                <w:sz w:val="14"/>
                <w:szCs w:val="14"/>
              </w:rPr>
              <w:t>49.</w:t>
            </w:r>
            <w:r w:rsidR="004C101E">
              <w:rPr>
                <w:sz w:val="14"/>
                <w:szCs w:val="14"/>
              </w:rPr>
              <w:t>2</w:t>
            </w:r>
            <w:r>
              <w:rPr>
                <w:sz w:val="14"/>
                <w:szCs w:val="14"/>
              </w:rPr>
              <w:t>2</w:t>
            </w:r>
          </w:p>
        </w:tc>
        <w:tc>
          <w:tcPr>
            <w:tcW w:w="1021" w:type="dxa"/>
            <w:tcBorders>
              <w:top w:val="nil"/>
              <w:left w:val="single" w:sz="4" w:space="0" w:color="auto"/>
              <w:bottom w:val="nil"/>
              <w:right w:val="single" w:sz="4" w:space="0" w:color="auto"/>
            </w:tcBorders>
          </w:tcPr>
          <w:p w14:paraId="71C50760" w14:textId="5A44AB88" w:rsidR="00BA31EA" w:rsidRPr="000E3A45" w:rsidRDefault="00BA31EA" w:rsidP="00BA31EA">
            <w:pPr>
              <w:ind w:right="227"/>
              <w:jc w:val="right"/>
              <w:rPr>
                <w:sz w:val="14"/>
                <w:szCs w:val="14"/>
              </w:rPr>
            </w:pPr>
            <w:r>
              <w:rPr>
                <w:sz w:val="14"/>
                <w:szCs w:val="14"/>
              </w:rPr>
              <w:t>43.57</w:t>
            </w:r>
          </w:p>
        </w:tc>
        <w:tc>
          <w:tcPr>
            <w:tcW w:w="1304" w:type="dxa"/>
            <w:tcBorders>
              <w:top w:val="nil"/>
              <w:left w:val="single" w:sz="4" w:space="0" w:color="auto"/>
              <w:bottom w:val="nil"/>
              <w:right w:val="single" w:sz="4" w:space="0" w:color="auto"/>
            </w:tcBorders>
          </w:tcPr>
          <w:p w14:paraId="2EB8F426" w14:textId="5703770E" w:rsidR="00BA31EA" w:rsidRPr="000E3A45" w:rsidRDefault="00BA31EA" w:rsidP="00BA31EA">
            <w:pPr>
              <w:rPr>
                <w:sz w:val="14"/>
                <w:szCs w:val="14"/>
              </w:rPr>
            </w:pPr>
            <w:r>
              <w:rPr>
                <w:sz w:val="14"/>
                <w:szCs w:val="14"/>
              </w:rPr>
              <w:t>2</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087B1C77" w14:textId="076A568A" w:rsidR="00BA31EA" w:rsidRPr="000E3A45" w:rsidRDefault="00FA0056" w:rsidP="00BA31EA">
            <w:pPr>
              <w:ind w:right="170"/>
              <w:jc w:val="right"/>
              <w:rPr>
                <w:sz w:val="14"/>
                <w:szCs w:val="14"/>
              </w:rPr>
            </w:pPr>
            <w:r>
              <w:rPr>
                <w:sz w:val="14"/>
                <w:szCs w:val="14"/>
              </w:rPr>
              <w:t>61.39</w:t>
            </w:r>
          </w:p>
        </w:tc>
        <w:tc>
          <w:tcPr>
            <w:tcW w:w="1021" w:type="dxa"/>
            <w:tcBorders>
              <w:top w:val="nil"/>
              <w:left w:val="single" w:sz="4" w:space="0" w:color="auto"/>
              <w:bottom w:val="nil"/>
              <w:right w:val="single" w:sz="4" w:space="0" w:color="auto"/>
            </w:tcBorders>
          </w:tcPr>
          <w:p w14:paraId="75FFBFB8" w14:textId="27358FE5" w:rsidR="00BA31EA" w:rsidRPr="000E3A45" w:rsidRDefault="00FA0056" w:rsidP="00BA31EA">
            <w:pPr>
              <w:ind w:right="227"/>
              <w:jc w:val="right"/>
              <w:rPr>
                <w:sz w:val="14"/>
                <w:szCs w:val="14"/>
              </w:rPr>
            </w:pPr>
            <w:r>
              <w:rPr>
                <w:sz w:val="14"/>
                <w:szCs w:val="14"/>
              </w:rPr>
              <w:t>49.54</w:t>
            </w:r>
          </w:p>
        </w:tc>
        <w:tc>
          <w:tcPr>
            <w:tcW w:w="1021" w:type="dxa"/>
            <w:tcBorders>
              <w:top w:val="nil"/>
              <w:left w:val="single" w:sz="4" w:space="0" w:color="auto"/>
              <w:bottom w:val="nil"/>
              <w:right w:val="single" w:sz="4" w:space="0" w:color="auto"/>
            </w:tcBorders>
          </w:tcPr>
          <w:p w14:paraId="6F6AE26A" w14:textId="76F9D59D" w:rsidR="00BA31EA" w:rsidRPr="000E3A45" w:rsidRDefault="00FA0056" w:rsidP="00BA31EA">
            <w:pPr>
              <w:ind w:right="227"/>
              <w:jc w:val="right"/>
              <w:rPr>
                <w:sz w:val="14"/>
                <w:szCs w:val="14"/>
              </w:rPr>
            </w:pPr>
            <w:r>
              <w:rPr>
                <w:sz w:val="14"/>
                <w:szCs w:val="14"/>
              </w:rPr>
              <w:t>49.42</w:t>
            </w:r>
          </w:p>
        </w:tc>
      </w:tr>
      <w:tr w:rsidR="00BA31EA" w:rsidRPr="000E3A45" w14:paraId="2AEAE159" w14:textId="77777777" w:rsidTr="00202E4C">
        <w:trPr>
          <w:jc w:val="center"/>
        </w:trPr>
        <w:tc>
          <w:tcPr>
            <w:tcW w:w="1304" w:type="dxa"/>
            <w:tcBorders>
              <w:top w:val="nil"/>
              <w:left w:val="single" w:sz="4" w:space="0" w:color="auto"/>
              <w:bottom w:val="nil"/>
              <w:right w:val="single" w:sz="4" w:space="0" w:color="auto"/>
            </w:tcBorders>
          </w:tcPr>
          <w:p w14:paraId="3B5D18E3" w14:textId="17756244" w:rsidR="00BA31EA" w:rsidRPr="000E3A45" w:rsidRDefault="00BA31EA" w:rsidP="00BA31EA">
            <w:pPr>
              <w:rPr>
                <w:sz w:val="14"/>
                <w:szCs w:val="14"/>
              </w:rPr>
            </w:pPr>
            <w:r>
              <w:rPr>
                <w:sz w:val="14"/>
                <w:szCs w:val="14"/>
              </w:rPr>
              <w:t>3</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7D909E8B" w14:textId="0D4786B9" w:rsidR="00BA31EA" w:rsidRPr="000E3A45" w:rsidRDefault="00BA31EA" w:rsidP="00BA31EA">
            <w:pPr>
              <w:ind w:right="170"/>
              <w:jc w:val="right"/>
              <w:rPr>
                <w:sz w:val="14"/>
                <w:szCs w:val="14"/>
              </w:rPr>
            </w:pPr>
            <w:r>
              <w:rPr>
                <w:sz w:val="14"/>
                <w:szCs w:val="14"/>
              </w:rPr>
              <w:t>53.80</w:t>
            </w:r>
          </w:p>
        </w:tc>
        <w:tc>
          <w:tcPr>
            <w:tcW w:w="1021" w:type="dxa"/>
            <w:tcBorders>
              <w:top w:val="nil"/>
              <w:left w:val="single" w:sz="4" w:space="0" w:color="auto"/>
              <w:bottom w:val="nil"/>
              <w:right w:val="single" w:sz="4" w:space="0" w:color="auto"/>
            </w:tcBorders>
          </w:tcPr>
          <w:p w14:paraId="301F31C9" w14:textId="0C082DA5" w:rsidR="00BA31EA" w:rsidRPr="000E3A45" w:rsidRDefault="00BA31EA" w:rsidP="00BA31EA">
            <w:pPr>
              <w:ind w:right="227"/>
              <w:jc w:val="right"/>
              <w:rPr>
                <w:sz w:val="14"/>
                <w:szCs w:val="14"/>
              </w:rPr>
            </w:pPr>
            <w:r>
              <w:rPr>
                <w:sz w:val="14"/>
                <w:szCs w:val="14"/>
              </w:rPr>
              <w:t>52.99</w:t>
            </w:r>
          </w:p>
        </w:tc>
        <w:tc>
          <w:tcPr>
            <w:tcW w:w="1021" w:type="dxa"/>
            <w:tcBorders>
              <w:top w:val="nil"/>
              <w:left w:val="single" w:sz="4" w:space="0" w:color="auto"/>
              <w:bottom w:val="nil"/>
              <w:right w:val="single" w:sz="4" w:space="0" w:color="auto"/>
            </w:tcBorders>
          </w:tcPr>
          <w:p w14:paraId="37C5A617" w14:textId="30CBBC87" w:rsidR="00BA31EA" w:rsidRPr="000E3A45" w:rsidRDefault="00BA31EA" w:rsidP="00BA31EA">
            <w:pPr>
              <w:ind w:right="227"/>
              <w:jc w:val="right"/>
              <w:rPr>
                <w:sz w:val="14"/>
                <w:szCs w:val="14"/>
              </w:rPr>
            </w:pPr>
            <w:r>
              <w:rPr>
                <w:sz w:val="14"/>
                <w:szCs w:val="14"/>
              </w:rPr>
              <w:t>46.31</w:t>
            </w:r>
          </w:p>
        </w:tc>
        <w:tc>
          <w:tcPr>
            <w:tcW w:w="1304" w:type="dxa"/>
            <w:tcBorders>
              <w:top w:val="nil"/>
              <w:left w:val="single" w:sz="4" w:space="0" w:color="auto"/>
              <w:bottom w:val="nil"/>
              <w:right w:val="single" w:sz="4" w:space="0" w:color="auto"/>
            </w:tcBorders>
          </w:tcPr>
          <w:p w14:paraId="3481916E" w14:textId="3AFB4A2C" w:rsidR="00BA31EA" w:rsidRPr="000E3A45" w:rsidRDefault="00BA31EA" w:rsidP="00BA31EA">
            <w:pPr>
              <w:rPr>
                <w:sz w:val="14"/>
                <w:szCs w:val="14"/>
              </w:rPr>
            </w:pPr>
            <w:r>
              <w:rPr>
                <w:sz w:val="14"/>
                <w:szCs w:val="14"/>
              </w:rPr>
              <w:t>3</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69B4F0F7" w14:textId="15869499" w:rsidR="00BA31EA" w:rsidRPr="000E3A45" w:rsidRDefault="00FA0056" w:rsidP="00BA31EA">
            <w:pPr>
              <w:ind w:right="170"/>
              <w:jc w:val="right"/>
              <w:rPr>
                <w:sz w:val="14"/>
                <w:szCs w:val="14"/>
              </w:rPr>
            </w:pPr>
            <w:r>
              <w:rPr>
                <w:sz w:val="14"/>
                <w:szCs w:val="14"/>
              </w:rPr>
              <w:t>61.82</w:t>
            </w:r>
          </w:p>
        </w:tc>
        <w:tc>
          <w:tcPr>
            <w:tcW w:w="1021" w:type="dxa"/>
            <w:tcBorders>
              <w:top w:val="nil"/>
              <w:left w:val="single" w:sz="4" w:space="0" w:color="auto"/>
              <w:bottom w:val="nil"/>
              <w:right w:val="single" w:sz="4" w:space="0" w:color="auto"/>
            </w:tcBorders>
          </w:tcPr>
          <w:p w14:paraId="5D8D22EC" w14:textId="4CDE0813" w:rsidR="00BA31EA" w:rsidRPr="000E3A45" w:rsidRDefault="00FA0056" w:rsidP="00BA31EA">
            <w:pPr>
              <w:ind w:right="227"/>
              <w:jc w:val="right"/>
              <w:rPr>
                <w:sz w:val="14"/>
                <w:szCs w:val="14"/>
              </w:rPr>
            </w:pPr>
            <w:r>
              <w:rPr>
                <w:sz w:val="14"/>
                <w:szCs w:val="14"/>
              </w:rPr>
              <w:t>50.38</w:t>
            </w:r>
          </w:p>
        </w:tc>
        <w:tc>
          <w:tcPr>
            <w:tcW w:w="1021" w:type="dxa"/>
            <w:tcBorders>
              <w:top w:val="nil"/>
              <w:left w:val="single" w:sz="4" w:space="0" w:color="auto"/>
              <w:bottom w:val="nil"/>
              <w:right w:val="single" w:sz="4" w:space="0" w:color="auto"/>
            </w:tcBorders>
          </w:tcPr>
          <w:p w14:paraId="0A81A6DB" w14:textId="6984E5FD" w:rsidR="00BA31EA" w:rsidRPr="000E3A45" w:rsidRDefault="00FA0056" w:rsidP="00BA31EA">
            <w:pPr>
              <w:ind w:right="227"/>
              <w:jc w:val="right"/>
              <w:rPr>
                <w:sz w:val="14"/>
                <w:szCs w:val="14"/>
              </w:rPr>
            </w:pPr>
            <w:r>
              <w:rPr>
                <w:sz w:val="14"/>
                <w:szCs w:val="14"/>
              </w:rPr>
              <w:t>50.02</w:t>
            </w:r>
          </w:p>
        </w:tc>
      </w:tr>
      <w:tr w:rsidR="00BA31EA" w:rsidRPr="000E3A45" w14:paraId="3776F59D" w14:textId="77777777" w:rsidTr="00202E4C">
        <w:trPr>
          <w:jc w:val="center"/>
        </w:trPr>
        <w:tc>
          <w:tcPr>
            <w:tcW w:w="1304" w:type="dxa"/>
            <w:tcBorders>
              <w:top w:val="nil"/>
              <w:left w:val="single" w:sz="4" w:space="0" w:color="auto"/>
              <w:bottom w:val="nil"/>
              <w:right w:val="single" w:sz="4" w:space="0" w:color="auto"/>
            </w:tcBorders>
          </w:tcPr>
          <w:p w14:paraId="0FD3D93E" w14:textId="130C599E" w:rsidR="00BA31EA" w:rsidRPr="000E3A45" w:rsidRDefault="00BA31EA" w:rsidP="00BA31EA">
            <w:pPr>
              <w:rPr>
                <w:sz w:val="14"/>
                <w:szCs w:val="14"/>
              </w:rPr>
            </w:pPr>
            <w:r>
              <w:rPr>
                <w:sz w:val="14"/>
                <w:szCs w:val="14"/>
              </w:rPr>
              <w:t>4</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4D41E50E" w14:textId="5BD6BC51" w:rsidR="00BA31EA" w:rsidRPr="000E3A45" w:rsidRDefault="00BA31EA" w:rsidP="00BA31EA">
            <w:pPr>
              <w:ind w:right="170"/>
              <w:jc w:val="right"/>
              <w:rPr>
                <w:sz w:val="14"/>
                <w:szCs w:val="14"/>
              </w:rPr>
            </w:pPr>
            <w:r>
              <w:rPr>
                <w:sz w:val="14"/>
                <w:szCs w:val="14"/>
              </w:rPr>
              <w:t>54.46</w:t>
            </w:r>
          </w:p>
        </w:tc>
        <w:tc>
          <w:tcPr>
            <w:tcW w:w="1021" w:type="dxa"/>
            <w:tcBorders>
              <w:top w:val="nil"/>
              <w:left w:val="single" w:sz="4" w:space="0" w:color="auto"/>
              <w:bottom w:val="nil"/>
              <w:right w:val="single" w:sz="4" w:space="0" w:color="auto"/>
            </w:tcBorders>
          </w:tcPr>
          <w:p w14:paraId="73FD3980" w14:textId="580358EC" w:rsidR="00BA31EA" w:rsidRPr="000E3A45" w:rsidRDefault="00BA31EA" w:rsidP="00BA31EA">
            <w:pPr>
              <w:ind w:right="227"/>
              <w:jc w:val="right"/>
              <w:rPr>
                <w:sz w:val="14"/>
                <w:szCs w:val="14"/>
              </w:rPr>
            </w:pPr>
            <w:r>
              <w:rPr>
                <w:sz w:val="14"/>
                <w:szCs w:val="14"/>
              </w:rPr>
              <w:t>48.40</w:t>
            </w:r>
          </w:p>
        </w:tc>
        <w:tc>
          <w:tcPr>
            <w:tcW w:w="1021" w:type="dxa"/>
            <w:tcBorders>
              <w:top w:val="nil"/>
              <w:left w:val="single" w:sz="4" w:space="0" w:color="auto"/>
              <w:bottom w:val="nil"/>
              <w:right w:val="single" w:sz="4" w:space="0" w:color="auto"/>
            </w:tcBorders>
          </w:tcPr>
          <w:p w14:paraId="5493E786" w14:textId="13774C59" w:rsidR="00BA31EA" w:rsidRPr="000E3A45" w:rsidRDefault="00BA31EA" w:rsidP="00BA31EA">
            <w:pPr>
              <w:ind w:right="227"/>
              <w:jc w:val="right"/>
              <w:rPr>
                <w:sz w:val="14"/>
                <w:szCs w:val="14"/>
              </w:rPr>
            </w:pPr>
            <w:r>
              <w:rPr>
                <w:sz w:val="14"/>
                <w:szCs w:val="14"/>
              </w:rPr>
              <w:t>44.90</w:t>
            </w:r>
          </w:p>
        </w:tc>
        <w:tc>
          <w:tcPr>
            <w:tcW w:w="1304" w:type="dxa"/>
            <w:tcBorders>
              <w:top w:val="nil"/>
              <w:left w:val="single" w:sz="4" w:space="0" w:color="auto"/>
              <w:bottom w:val="nil"/>
              <w:right w:val="single" w:sz="4" w:space="0" w:color="auto"/>
            </w:tcBorders>
          </w:tcPr>
          <w:p w14:paraId="4925DB9E" w14:textId="55595E03" w:rsidR="00BA31EA" w:rsidRPr="000E3A45" w:rsidRDefault="00BA31EA" w:rsidP="00BA31EA">
            <w:pPr>
              <w:rPr>
                <w:sz w:val="14"/>
                <w:szCs w:val="14"/>
              </w:rPr>
            </w:pPr>
            <w:r>
              <w:rPr>
                <w:sz w:val="14"/>
                <w:szCs w:val="14"/>
              </w:rPr>
              <w:t>4</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4C67115E" w14:textId="66FF76BB" w:rsidR="00BA31EA" w:rsidRPr="000E3A45" w:rsidRDefault="00FA0056" w:rsidP="00BA31EA">
            <w:pPr>
              <w:ind w:right="170"/>
              <w:jc w:val="right"/>
              <w:rPr>
                <w:sz w:val="14"/>
                <w:szCs w:val="14"/>
              </w:rPr>
            </w:pPr>
            <w:r>
              <w:rPr>
                <w:sz w:val="14"/>
                <w:szCs w:val="14"/>
              </w:rPr>
              <w:t>59.82</w:t>
            </w:r>
          </w:p>
        </w:tc>
        <w:tc>
          <w:tcPr>
            <w:tcW w:w="1021" w:type="dxa"/>
            <w:tcBorders>
              <w:top w:val="nil"/>
              <w:left w:val="single" w:sz="4" w:space="0" w:color="auto"/>
              <w:bottom w:val="nil"/>
              <w:right w:val="single" w:sz="4" w:space="0" w:color="auto"/>
            </w:tcBorders>
          </w:tcPr>
          <w:p w14:paraId="29121C3D" w14:textId="7CE8B078" w:rsidR="00BA31EA" w:rsidRPr="000E3A45" w:rsidRDefault="00FA0056" w:rsidP="00BA31EA">
            <w:pPr>
              <w:ind w:right="227"/>
              <w:jc w:val="right"/>
              <w:rPr>
                <w:sz w:val="14"/>
                <w:szCs w:val="14"/>
              </w:rPr>
            </w:pPr>
            <w:r>
              <w:rPr>
                <w:sz w:val="14"/>
                <w:szCs w:val="14"/>
              </w:rPr>
              <w:t>51.48</w:t>
            </w:r>
          </w:p>
        </w:tc>
        <w:tc>
          <w:tcPr>
            <w:tcW w:w="1021" w:type="dxa"/>
            <w:tcBorders>
              <w:top w:val="nil"/>
              <w:left w:val="single" w:sz="4" w:space="0" w:color="auto"/>
              <w:bottom w:val="nil"/>
              <w:right w:val="single" w:sz="4" w:space="0" w:color="auto"/>
            </w:tcBorders>
          </w:tcPr>
          <w:p w14:paraId="36D228E0" w14:textId="2A7801CA" w:rsidR="00BA31EA" w:rsidRPr="000E3A45" w:rsidRDefault="00FA0056" w:rsidP="00BA31EA">
            <w:pPr>
              <w:ind w:right="227"/>
              <w:jc w:val="right"/>
              <w:rPr>
                <w:sz w:val="14"/>
                <w:szCs w:val="14"/>
              </w:rPr>
            </w:pPr>
            <w:r>
              <w:rPr>
                <w:sz w:val="14"/>
                <w:szCs w:val="14"/>
              </w:rPr>
              <w:t>49.41</w:t>
            </w:r>
          </w:p>
        </w:tc>
      </w:tr>
      <w:tr w:rsidR="00BA31EA" w:rsidRPr="000E3A45" w14:paraId="7AB24DBE" w14:textId="77777777" w:rsidTr="00202E4C">
        <w:trPr>
          <w:jc w:val="center"/>
        </w:trPr>
        <w:tc>
          <w:tcPr>
            <w:tcW w:w="1304" w:type="dxa"/>
            <w:tcBorders>
              <w:top w:val="nil"/>
              <w:left w:val="single" w:sz="4" w:space="0" w:color="auto"/>
              <w:bottom w:val="nil"/>
              <w:right w:val="single" w:sz="4" w:space="0" w:color="auto"/>
            </w:tcBorders>
          </w:tcPr>
          <w:p w14:paraId="69B95283" w14:textId="62B8BA69" w:rsidR="00BA31EA" w:rsidRPr="000E3A45" w:rsidRDefault="00BA31EA" w:rsidP="00BA31EA">
            <w:pPr>
              <w:rPr>
                <w:sz w:val="14"/>
                <w:szCs w:val="14"/>
              </w:rPr>
            </w:pPr>
            <w:r>
              <w:rPr>
                <w:sz w:val="14"/>
                <w:szCs w:val="14"/>
              </w:rPr>
              <w:t>5</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059F5A90" w14:textId="63D4444E" w:rsidR="00BA31EA" w:rsidRPr="000E3A45" w:rsidRDefault="00BA31EA" w:rsidP="00BA31EA">
            <w:pPr>
              <w:ind w:right="170"/>
              <w:jc w:val="right"/>
              <w:rPr>
                <w:sz w:val="14"/>
                <w:szCs w:val="14"/>
              </w:rPr>
            </w:pPr>
            <w:r>
              <w:rPr>
                <w:sz w:val="14"/>
                <w:szCs w:val="14"/>
              </w:rPr>
              <w:t>55.42</w:t>
            </w:r>
          </w:p>
        </w:tc>
        <w:tc>
          <w:tcPr>
            <w:tcW w:w="1021" w:type="dxa"/>
            <w:tcBorders>
              <w:top w:val="nil"/>
              <w:left w:val="single" w:sz="4" w:space="0" w:color="auto"/>
              <w:bottom w:val="nil"/>
              <w:right w:val="single" w:sz="4" w:space="0" w:color="auto"/>
            </w:tcBorders>
          </w:tcPr>
          <w:p w14:paraId="4D61FA2A" w14:textId="614D4F55" w:rsidR="00BA31EA" w:rsidRPr="000E3A45" w:rsidRDefault="00BA31EA" w:rsidP="00BA31EA">
            <w:pPr>
              <w:ind w:right="227"/>
              <w:jc w:val="right"/>
              <w:rPr>
                <w:sz w:val="14"/>
                <w:szCs w:val="14"/>
              </w:rPr>
            </w:pPr>
            <w:r>
              <w:rPr>
                <w:sz w:val="14"/>
                <w:szCs w:val="14"/>
              </w:rPr>
              <w:t>50.43</w:t>
            </w:r>
          </w:p>
        </w:tc>
        <w:tc>
          <w:tcPr>
            <w:tcW w:w="1021" w:type="dxa"/>
            <w:tcBorders>
              <w:top w:val="nil"/>
              <w:left w:val="single" w:sz="4" w:space="0" w:color="auto"/>
              <w:bottom w:val="nil"/>
              <w:right w:val="single" w:sz="4" w:space="0" w:color="auto"/>
            </w:tcBorders>
          </w:tcPr>
          <w:p w14:paraId="42C6EB68" w14:textId="6DE95867" w:rsidR="00BA31EA" w:rsidRPr="000E3A45" w:rsidRDefault="00BA31EA" w:rsidP="00BA31EA">
            <w:pPr>
              <w:ind w:right="227"/>
              <w:jc w:val="right"/>
              <w:rPr>
                <w:sz w:val="14"/>
                <w:szCs w:val="14"/>
              </w:rPr>
            </w:pPr>
            <w:r>
              <w:rPr>
                <w:sz w:val="14"/>
                <w:szCs w:val="14"/>
              </w:rPr>
              <w:t>46.10</w:t>
            </w:r>
          </w:p>
        </w:tc>
        <w:tc>
          <w:tcPr>
            <w:tcW w:w="1304" w:type="dxa"/>
            <w:tcBorders>
              <w:top w:val="nil"/>
              <w:left w:val="single" w:sz="4" w:space="0" w:color="auto"/>
              <w:bottom w:val="nil"/>
              <w:right w:val="single" w:sz="4" w:space="0" w:color="auto"/>
            </w:tcBorders>
          </w:tcPr>
          <w:p w14:paraId="6441DFED" w14:textId="607885BC" w:rsidR="00BA31EA" w:rsidRPr="000E3A45" w:rsidRDefault="00BA31EA" w:rsidP="00BA31EA">
            <w:pPr>
              <w:rPr>
                <w:sz w:val="14"/>
                <w:szCs w:val="14"/>
              </w:rPr>
            </w:pPr>
            <w:r>
              <w:rPr>
                <w:sz w:val="14"/>
                <w:szCs w:val="14"/>
              </w:rPr>
              <w:t>5</w:t>
            </w:r>
            <w:r w:rsidRPr="000E3A45">
              <w:rPr>
                <w:sz w:val="14"/>
                <w:szCs w:val="14"/>
              </w:rPr>
              <w:t>/I</w:t>
            </w:r>
            <w:r>
              <w:rPr>
                <w:sz w:val="14"/>
                <w:szCs w:val="14"/>
              </w:rPr>
              <w:t>II</w:t>
            </w:r>
            <w:r w:rsidRPr="000E3A45">
              <w:rPr>
                <w:sz w:val="14"/>
                <w:szCs w:val="14"/>
              </w:rPr>
              <w:t>/2015</w:t>
            </w:r>
          </w:p>
        </w:tc>
        <w:tc>
          <w:tcPr>
            <w:tcW w:w="851" w:type="dxa"/>
            <w:tcBorders>
              <w:top w:val="nil"/>
              <w:left w:val="single" w:sz="4" w:space="0" w:color="auto"/>
              <w:bottom w:val="nil"/>
              <w:right w:val="single" w:sz="4" w:space="0" w:color="auto"/>
            </w:tcBorders>
          </w:tcPr>
          <w:p w14:paraId="4E387D8F" w14:textId="717AC79F" w:rsidR="00BA31EA" w:rsidRPr="000E3A45" w:rsidRDefault="00FA0056" w:rsidP="00BA31EA">
            <w:pPr>
              <w:ind w:right="170"/>
              <w:jc w:val="right"/>
              <w:rPr>
                <w:sz w:val="14"/>
                <w:szCs w:val="14"/>
              </w:rPr>
            </w:pPr>
            <w:r>
              <w:rPr>
                <w:sz w:val="14"/>
                <w:szCs w:val="14"/>
              </w:rPr>
              <w:t>60.97</w:t>
            </w:r>
          </w:p>
        </w:tc>
        <w:tc>
          <w:tcPr>
            <w:tcW w:w="1021" w:type="dxa"/>
            <w:tcBorders>
              <w:top w:val="nil"/>
              <w:left w:val="single" w:sz="4" w:space="0" w:color="auto"/>
              <w:bottom w:val="nil"/>
              <w:right w:val="single" w:sz="4" w:space="0" w:color="auto"/>
            </w:tcBorders>
          </w:tcPr>
          <w:p w14:paraId="6835B774" w14:textId="05C6D732" w:rsidR="00BA31EA" w:rsidRPr="000E3A45" w:rsidRDefault="00FA0056" w:rsidP="00BA31EA">
            <w:pPr>
              <w:ind w:right="227"/>
              <w:jc w:val="right"/>
              <w:rPr>
                <w:sz w:val="14"/>
                <w:szCs w:val="14"/>
              </w:rPr>
            </w:pPr>
            <w:r>
              <w:rPr>
                <w:sz w:val="14"/>
                <w:szCs w:val="14"/>
              </w:rPr>
              <w:t>50.71</w:t>
            </w:r>
          </w:p>
        </w:tc>
        <w:tc>
          <w:tcPr>
            <w:tcW w:w="1021" w:type="dxa"/>
            <w:tcBorders>
              <w:top w:val="nil"/>
              <w:left w:val="single" w:sz="4" w:space="0" w:color="auto"/>
              <w:bottom w:val="nil"/>
              <w:right w:val="single" w:sz="4" w:space="0" w:color="auto"/>
            </w:tcBorders>
          </w:tcPr>
          <w:p w14:paraId="6FCBDB8B" w14:textId="58E964EB" w:rsidR="00BA31EA" w:rsidRPr="000E3A45" w:rsidRDefault="00FA0056" w:rsidP="00BA31EA">
            <w:pPr>
              <w:ind w:right="227"/>
              <w:jc w:val="right"/>
              <w:rPr>
                <w:sz w:val="14"/>
                <w:szCs w:val="14"/>
              </w:rPr>
            </w:pPr>
            <w:r>
              <w:rPr>
                <w:sz w:val="14"/>
                <w:szCs w:val="14"/>
              </w:rPr>
              <w:t>49.40</w:t>
            </w:r>
          </w:p>
        </w:tc>
      </w:tr>
      <w:tr w:rsidR="00BA31EA" w:rsidRPr="000E3A45" w14:paraId="5D94BC4D" w14:textId="77777777" w:rsidTr="00202E4C">
        <w:trPr>
          <w:jc w:val="center"/>
        </w:trPr>
        <w:tc>
          <w:tcPr>
            <w:tcW w:w="1304" w:type="dxa"/>
            <w:tcBorders>
              <w:top w:val="nil"/>
              <w:left w:val="single" w:sz="4" w:space="0" w:color="auto"/>
              <w:bottom w:val="nil"/>
              <w:right w:val="single" w:sz="4" w:space="0" w:color="auto"/>
            </w:tcBorders>
          </w:tcPr>
          <w:p w14:paraId="255D61BE" w14:textId="2BF1502B" w:rsidR="00BA31EA" w:rsidRPr="000E3A45" w:rsidRDefault="00BA31EA" w:rsidP="00BA31EA">
            <w:pPr>
              <w:rPr>
                <w:sz w:val="14"/>
                <w:szCs w:val="14"/>
              </w:rPr>
            </w:pPr>
            <w:r>
              <w:rPr>
                <w:sz w:val="14"/>
                <w:szCs w:val="14"/>
              </w:rPr>
              <w:t>6</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0A7B8946" w14:textId="639D5910" w:rsidR="00BA31EA" w:rsidRPr="000E3A45" w:rsidRDefault="00BA31EA" w:rsidP="00BA31EA">
            <w:pPr>
              <w:ind w:right="170"/>
              <w:jc w:val="right"/>
              <w:rPr>
                <w:sz w:val="14"/>
                <w:szCs w:val="14"/>
              </w:rPr>
            </w:pPr>
            <w:r>
              <w:rPr>
                <w:sz w:val="14"/>
                <w:szCs w:val="14"/>
              </w:rPr>
              <w:t>55.32</w:t>
            </w:r>
          </w:p>
        </w:tc>
        <w:tc>
          <w:tcPr>
            <w:tcW w:w="1021" w:type="dxa"/>
            <w:tcBorders>
              <w:top w:val="nil"/>
              <w:left w:val="single" w:sz="4" w:space="0" w:color="auto"/>
              <w:bottom w:val="nil"/>
              <w:right w:val="single" w:sz="4" w:space="0" w:color="auto"/>
            </w:tcBorders>
          </w:tcPr>
          <w:p w14:paraId="404DEE57" w14:textId="266E93AE" w:rsidR="00BA31EA" w:rsidRPr="000E3A45" w:rsidRDefault="00BA31EA" w:rsidP="00BA31EA">
            <w:pPr>
              <w:ind w:right="227"/>
              <w:jc w:val="right"/>
              <w:rPr>
                <w:sz w:val="14"/>
                <w:szCs w:val="14"/>
              </w:rPr>
            </w:pPr>
            <w:r>
              <w:rPr>
                <w:sz w:val="14"/>
                <w:szCs w:val="14"/>
              </w:rPr>
              <w:t>51.61</w:t>
            </w:r>
          </w:p>
        </w:tc>
        <w:tc>
          <w:tcPr>
            <w:tcW w:w="1021" w:type="dxa"/>
            <w:tcBorders>
              <w:top w:val="nil"/>
              <w:left w:val="single" w:sz="4" w:space="0" w:color="auto"/>
              <w:bottom w:val="nil"/>
              <w:right w:val="single" w:sz="4" w:space="0" w:color="auto"/>
            </w:tcBorders>
          </w:tcPr>
          <w:p w14:paraId="08BD4405" w14:textId="7B243E05" w:rsidR="00BA31EA" w:rsidRPr="000E3A45" w:rsidRDefault="00BA31EA" w:rsidP="00BA31EA">
            <w:pPr>
              <w:ind w:right="227"/>
              <w:jc w:val="right"/>
              <w:rPr>
                <w:sz w:val="14"/>
                <w:szCs w:val="14"/>
              </w:rPr>
            </w:pPr>
            <w:r>
              <w:rPr>
                <w:sz w:val="14"/>
                <w:szCs w:val="14"/>
              </w:rPr>
              <w:t>47.52</w:t>
            </w:r>
          </w:p>
        </w:tc>
        <w:tc>
          <w:tcPr>
            <w:tcW w:w="1304" w:type="dxa"/>
            <w:tcBorders>
              <w:top w:val="nil"/>
              <w:left w:val="single" w:sz="4" w:space="0" w:color="auto"/>
              <w:bottom w:val="nil"/>
              <w:right w:val="single" w:sz="4" w:space="0" w:color="auto"/>
            </w:tcBorders>
          </w:tcPr>
          <w:p w14:paraId="5FE72112" w14:textId="0AAF65AD" w:rsidR="00BA31EA" w:rsidRPr="000E3A45" w:rsidRDefault="00BA31EA" w:rsidP="00BA31EA">
            <w:pPr>
              <w:rPr>
                <w:sz w:val="14"/>
                <w:szCs w:val="14"/>
              </w:rPr>
            </w:pPr>
            <w:r>
              <w:rPr>
                <w:sz w:val="14"/>
                <w:szCs w:val="14"/>
              </w:rPr>
              <w:t>6</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40ECA4A7" w14:textId="0E4925A3" w:rsidR="00BA31EA" w:rsidRPr="000E3A45" w:rsidRDefault="00FA0056" w:rsidP="00BA31EA">
            <w:pPr>
              <w:ind w:right="170"/>
              <w:jc w:val="right"/>
              <w:rPr>
                <w:sz w:val="14"/>
                <w:szCs w:val="14"/>
              </w:rPr>
            </w:pPr>
            <w:r>
              <w:rPr>
                <w:sz w:val="14"/>
                <w:szCs w:val="14"/>
              </w:rPr>
              <w:t>59.79</w:t>
            </w:r>
          </w:p>
        </w:tc>
        <w:tc>
          <w:tcPr>
            <w:tcW w:w="1021" w:type="dxa"/>
            <w:tcBorders>
              <w:top w:val="nil"/>
              <w:left w:val="single" w:sz="4" w:space="0" w:color="auto"/>
              <w:bottom w:val="nil"/>
              <w:right w:val="single" w:sz="4" w:space="0" w:color="auto"/>
            </w:tcBorders>
          </w:tcPr>
          <w:p w14:paraId="517570D6" w14:textId="383A4659" w:rsidR="00BA31EA" w:rsidRPr="000E3A45" w:rsidRDefault="00FA0056" w:rsidP="00BA31EA">
            <w:pPr>
              <w:ind w:right="227"/>
              <w:jc w:val="right"/>
              <w:rPr>
                <w:sz w:val="14"/>
                <w:szCs w:val="14"/>
              </w:rPr>
            </w:pPr>
            <w:r>
              <w:rPr>
                <w:sz w:val="14"/>
                <w:szCs w:val="14"/>
              </w:rPr>
              <w:t>49.56</w:t>
            </w:r>
          </w:p>
        </w:tc>
        <w:tc>
          <w:tcPr>
            <w:tcW w:w="1021" w:type="dxa"/>
            <w:tcBorders>
              <w:top w:val="nil"/>
              <w:left w:val="single" w:sz="4" w:space="0" w:color="auto"/>
              <w:bottom w:val="nil"/>
              <w:right w:val="single" w:sz="4" w:space="0" w:color="auto"/>
            </w:tcBorders>
          </w:tcPr>
          <w:p w14:paraId="2176973D" w14:textId="0CD1709A" w:rsidR="00BA31EA" w:rsidRPr="000E3A45" w:rsidRDefault="00FA0056" w:rsidP="00BA31EA">
            <w:pPr>
              <w:ind w:right="227"/>
              <w:jc w:val="right"/>
              <w:rPr>
                <w:sz w:val="14"/>
                <w:szCs w:val="14"/>
              </w:rPr>
            </w:pPr>
            <w:r>
              <w:rPr>
                <w:sz w:val="14"/>
                <w:szCs w:val="14"/>
              </w:rPr>
              <w:t>48.56</w:t>
            </w:r>
          </w:p>
        </w:tc>
      </w:tr>
      <w:tr w:rsidR="00BA31EA" w:rsidRPr="000E3A45" w14:paraId="0A5A3361" w14:textId="77777777" w:rsidTr="00202E4C">
        <w:trPr>
          <w:jc w:val="center"/>
        </w:trPr>
        <w:tc>
          <w:tcPr>
            <w:tcW w:w="1304" w:type="dxa"/>
            <w:tcBorders>
              <w:top w:val="nil"/>
              <w:left w:val="single" w:sz="4" w:space="0" w:color="auto"/>
              <w:bottom w:val="nil"/>
              <w:right w:val="single" w:sz="4" w:space="0" w:color="auto"/>
            </w:tcBorders>
          </w:tcPr>
          <w:p w14:paraId="2E08B834" w14:textId="7A0C313F" w:rsidR="00BA31EA" w:rsidRPr="000E3A45" w:rsidRDefault="00BA31EA" w:rsidP="00BA31EA">
            <w:pPr>
              <w:rPr>
                <w:sz w:val="14"/>
                <w:szCs w:val="14"/>
              </w:rPr>
            </w:pPr>
            <w:bookmarkStart w:id="7" w:name="_Hlk265571258"/>
            <w:r>
              <w:rPr>
                <w:sz w:val="14"/>
                <w:szCs w:val="14"/>
              </w:rPr>
              <w:t>9/I</w:t>
            </w:r>
            <w:r w:rsidRPr="000E3A45">
              <w:rPr>
                <w:sz w:val="14"/>
                <w:szCs w:val="14"/>
              </w:rPr>
              <w:t>I/2015</w:t>
            </w:r>
          </w:p>
        </w:tc>
        <w:tc>
          <w:tcPr>
            <w:tcW w:w="851" w:type="dxa"/>
            <w:tcBorders>
              <w:top w:val="nil"/>
              <w:left w:val="single" w:sz="4" w:space="0" w:color="auto"/>
              <w:bottom w:val="nil"/>
              <w:right w:val="single" w:sz="4" w:space="0" w:color="auto"/>
            </w:tcBorders>
          </w:tcPr>
          <w:p w14:paraId="1F8F81C1" w14:textId="3EB78408" w:rsidR="00BA31EA" w:rsidRPr="000E3A45" w:rsidRDefault="00BA31EA" w:rsidP="00BA31EA">
            <w:pPr>
              <w:ind w:right="170"/>
              <w:jc w:val="right"/>
              <w:rPr>
                <w:sz w:val="14"/>
                <w:szCs w:val="14"/>
              </w:rPr>
            </w:pPr>
            <w:r>
              <w:rPr>
                <w:sz w:val="14"/>
                <w:szCs w:val="14"/>
              </w:rPr>
              <w:t>56.44</w:t>
            </w:r>
          </w:p>
        </w:tc>
        <w:tc>
          <w:tcPr>
            <w:tcW w:w="1021" w:type="dxa"/>
            <w:tcBorders>
              <w:top w:val="nil"/>
              <w:left w:val="single" w:sz="4" w:space="0" w:color="auto"/>
              <w:bottom w:val="nil"/>
              <w:right w:val="single" w:sz="4" w:space="0" w:color="auto"/>
            </w:tcBorders>
          </w:tcPr>
          <w:p w14:paraId="5F717AF0" w14:textId="7C3C3D8A" w:rsidR="00BA31EA" w:rsidRPr="000E3A45" w:rsidRDefault="00BA31EA" w:rsidP="00BA31EA">
            <w:pPr>
              <w:ind w:right="227"/>
              <w:jc w:val="right"/>
              <w:rPr>
                <w:sz w:val="14"/>
                <w:szCs w:val="14"/>
              </w:rPr>
            </w:pPr>
            <w:r>
              <w:rPr>
                <w:sz w:val="14"/>
                <w:szCs w:val="14"/>
              </w:rPr>
              <w:t>52.94</w:t>
            </w:r>
          </w:p>
        </w:tc>
        <w:tc>
          <w:tcPr>
            <w:tcW w:w="1021" w:type="dxa"/>
            <w:tcBorders>
              <w:top w:val="nil"/>
              <w:left w:val="single" w:sz="4" w:space="0" w:color="auto"/>
              <w:bottom w:val="nil"/>
              <w:right w:val="single" w:sz="4" w:space="0" w:color="auto"/>
            </w:tcBorders>
          </w:tcPr>
          <w:p w14:paraId="1F864160" w14:textId="55A3BEB6" w:rsidR="00BA31EA" w:rsidRPr="000E3A45" w:rsidRDefault="00BA31EA" w:rsidP="00BA31EA">
            <w:pPr>
              <w:ind w:right="227"/>
              <w:jc w:val="right"/>
              <w:rPr>
                <w:sz w:val="14"/>
                <w:szCs w:val="14"/>
              </w:rPr>
            </w:pPr>
            <w:r>
              <w:rPr>
                <w:sz w:val="14"/>
                <w:szCs w:val="14"/>
              </w:rPr>
              <w:t>48.01</w:t>
            </w:r>
          </w:p>
        </w:tc>
        <w:tc>
          <w:tcPr>
            <w:tcW w:w="1304" w:type="dxa"/>
            <w:tcBorders>
              <w:top w:val="nil"/>
              <w:left w:val="single" w:sz="4" w:space="0" w:color="auto"/>
              <w:bottom w:val="nil"/>
              <w:right w:val="single" w:sz="4" w:space="0" w:color="auto"/>
            </w:tcBorders>
          </w:tcPr>
          <w:p w14:paraId="7C86C0D6" w14:textId="6236FC43" w:rsidR="00BA31EA" w:rsidRPr="000E3A45" w:rsidRDefault="00343A56" w:rsidP="00343A56">
            <w:pPr>
              <w:rPr>
                <w:sz w:val="14"/>
                <w:szCs w:val="14"/>
              </w:rPr>
            </w:pPr>
            <w:r>
              <w:rPr>
                <w:sz w:val="14"/>
                <w:szCs w:val="14"/>
              </w:rPr>
              <w:t>9</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58A0BE16" w14:textId="727893EB" w:rsidR="00BA31EA" w:rsidRPr="000E3A45" w:rsidRDefault="00343A56" w:rsidP="00BA31EA">
            <w:pPr>
              <w:ind w:right="170"/>
              <w:jc w:val="right"/>
              <w:rPr>
                <w:sz w:val="14"/>
                <w:szCs w:val="14"/>
              </w:rPr>
            </w:pPr>
            <w:r>
              <w:rPr>
                <w:sz w:val="14"/>
                <w:szCs w:val="14"/>
              </w:rPr>
              <w:t>59.31</w:t>
            </w:r>
          </w:p>
        </w:tc>
        <w:tc>
          <w:tcPr>
            <w:tcW w:w="1021" w:type="dxa"/>
            <w:tcBorders>
              <w:top w:val="nil"/>
              <w:left w:val="single" w:sz="4" w:space="0" w:color="auto"/>
              <w:bottom w:val="nil"/>
              <w:right w:val="single" w:sz="4" w:space="0" w:color="auto"/>
            </w:tcBorders>
          </w:tcPr>
          <w:p w14:paraId="29A94502" w14:textId="2058923E" w:rsidR="00BA31EA" w:rsidRPr="000E3A45" w:rsidRDefault="00343A56" w:rsidP="00BA31EA">
            <w:pPr>
              <w:ind w:right="227"/>
              <w:jc w:val="right"/>
              <w:rPr>
                <w:sz w:val="14"/>
                <w:szCs w:val="14"/>
              </w:rPr>
            </w:pPr>
            <w:r>
              <w:rPr>
                <w:sz w:val="14"/>
                <w:szCs w:val="14"/>
              </w:rPr>
              <w:t>49.90</w:t>
            </w:r>
          </w:p>
        </w:tc>
        <w:tc>
          <w:tcPr>
            <w:tcW w:w="1021" w:type="dxa"/>
            <w:tcBorders>
              <w:top w:val="nil"/>
              <w:left w:val="single" w:sz="4" w:space="0" w:color="auto"/>
              <w:bottom w:val="nil"/>
              <w:right w:val="single" w:sz="4" w:space="0" w:color="auto"/>
            </w:tcBorders>
          </w:tcPr>
          <w:p w14:paraId="5DC93099" w14:textId="0CFFA480" w:rsidR="00BA31EA" w:rsidRPr="000E3A45" w:rsidRDefault="00343A56" w:rsidP="00BA31EA">
            <w:pPr>
              <w:ind w:right="227"/>
              <w:jc w:val="right"/>
              <w:rPr>
                <w:sz w:val="14"/>
                <w:szCs w:val="14"/>
              </w:rPr>
            </w:pPr>
            <w:r>
              <w:rPr>
                <w:sz w:val="14"/>
                <w:szCs w:val="14"/>
              </w:rPr>
              <w:t>47.95</w:t>
            </w:r>
          </w:p>
        </w:tc>
      </w:tr>
      <w:bookmarkEnd w:id="7"/>
      <w:tr w:rsidR="00BA31EA" w:rsidRPr="000E3A45" w14:paraId="3B5A62BD" w14:textId="77777777" w:rsidTr="00202E4C">
        <w:trPr>
          <w:jc w:val="center"/>
        </w:trPr>
        <w:tc>
          <w:tcPr>
            <w:tcW w:w="1304" w:type="dxa"/>
            <w:tcBorders>
              <w:top w:val="nil"/>
              <w:left w:val="single" w:sz="4" w:space="0" w:color="auto"/>
              <w:bottom w:val="nil"/>
              <w:right w:val="single" w:sz="4" w:space="0" w:color="auto"/>
            </w:tcBorders>
          </w:tcPr>
          <w:p w14:paraId="4171C2E4" w14:textId="2B74963E" w:rsidR="00BA31EA" w:rsidRPr="000E3A45" w:rsidRDefault="00BA31EA" w:rsidP="00BA31EA">
            <w:pPr>
              <w:rPr>
                <w:sz w:val="14"/>
                <w:szCs w:val="14"/>
              </w:rPr>
            </w:pPr>
            <w:r>
              <w:rPr>
                <w:sz w:val="14"/>
                <w:szCs w:val="14"/>
              </w:rPr>
              <w:t>10/</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444E7693" w14:textId="215106F7" w:rsidR="00BA31EA" w:rsidRPr="000E3A45" w:rsidRDefault="00BA31EA" w:rsidP="00BA31EA">
            <w:pPr>
              <w:ind w:right="170"/>
              <w:jc w:val="right"/>
              <w:rPr>
                <w:sz w:val="14"/>
                <w:szCs w:val="14"/>
              </w:rPr>
            </w:pPr>
            <w:r>
              <w:rPr>
                <w:sz w:val="14"/>
                <w:szCs w:val="14"/>
              </w:rPr>
              <w:t>55.23</w:t>
            </w:r>
          </w:p>
        </w:tc>
        <w:tc>
          <w:tcPr>
            <w:tcW w:w="1021" w:type="dxa"/>
            <w:tcBorders>
              <w:top w:val="nil"/>
              <w:left w:val="single" w:sz="4" w:space="0" w:color="auto"/>
              <w:bottom w:val="nil"/>
              <w:right w:val="single" w:sz="4" w:space="0" w:color="auto"/>
            </w:tcBorders>
          </w:tcPr>
          <w:p w14:paraId="1127C5C3" w14:textId="2E11C0C8" w:rsidR="00BA31EA" w:rsidRPr="000E3A45" w:rsidRDefault="00BA31EA" w:rsidP="00BA31EA">
            <w:pPr>
              <w:ind w:right="227"/>
              <w:jc w:val="right"/>
              <w:rPr>
                <w:sz w:val="14"/>
                <w:szCs w:val="14"/>
              </w:rPr>
            </w:pPr>
            <w:r>
              <w:rPr>
                <w:sz w:val="14"/>
                <w:szCs w:val="14"/>
              </w:rPr>
              <w:t>50.01</w:t>
            </w:r>
          </w:p>
        </w:tc>
        <w:tc>
          <w:tcPr>
            <w:tcW w:w="1021" w:type="dxa"/>
            <w:tcBorders>
              <w:top w:val="nil"/>
              <w:left w:val="single" w:sz="4" w:space="0" w:color="auto"/>
              <w:bottom w:val="nil"/>
              <w:right w:val="single" w:sz="4" w:space="0" w:color="auto"/>
            </w:tcBorders>
          </w:tcPr>
          <w:p w14:paraId="3DDA93F2" w14:textId="05D82A3B" w:rsidR="00BA31EA" w:rsidRPr="000E3A45" w:rsidRDefault="00BA31EA" w:rsidP="00BA31EA">
            <w:pPr>
              <w:ind w:right="227"/>
              <w:jc w:val="right"/>
              <w:rPr>
                <w:sz w:val="14"/>
                <w:szCs w:val="14"/>
              </w:rPr>
            </w:pPr>
            <w:r>
              <w:rPr>
                <w:sz w:val="14"/>
                <w:szCs w:val="14"/>
              </w:rPr>
              <w:t>46.57</w:t>
            </w:r>
          </w:p>
        </w:tc>
        <w:tc>
          <w:tcPr>
            <w:tcW w:w="1304" w:type="dxa"/>
            <w:tcBorders>
              <w:top w:val="nil"/>
              <w:left w:val="single" w:sz="4" w:space="0" w:color="auto"/>
              <w:bottom w:val="nil"/>
              <w:right w:val="single" w:sz="4" w:space="0" w:color="auto"/>
            </w:tcBorders>
          </w:tcPr>
          <w:p w14:paraId="056A770C" w14:textId="39E6B192" w:rsidR="00BA31EA" w:rsidRPr="000E3A45" w:rsidRDefault="00343A56" w:rsidP="00343A56">
            <w:pPr>
              <w:rPr>
                <w:sz w:val="14"/>
                <w:szCs w:val="14"/>
              </w:rPr>
            </w:pPr>
            <w:r>
              <w:rPr>
                <w:sz w:val="14"/>
                <w:szCs w:val="14"/>
              </w:rPr>
              <w:t>10</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6065A973" w14:textId="16CF88B2" w:rsidR="00BA31EA" w:rsidRPr="000E3A45" w:rsidRDefault="00343A56" w:rsidP="00BA31EA">
            <w:pPr>
              <w:ind w:right="170"/>
              <w:jc w:val="right"/>
              <w:rPr>
                <w:sz w:val="14"/>
                <w:szCs w:val="14"/>
              </w:rPr>
            </w:pPr>
            <w:r>
              <w:rPr>
                <w:sz w:val="14"/>
                <w:szCs w:val="14"/>
              </w:rPr>
              <w:t>56.59</w:t>
            </w:r>
          </w:p>
        </w:tc>
        <w:tc>
          <w:tcPr>
            <w:tcW w:w="1021" w:type="dxa"/>
            <w:tcBorders>
              <w:top w:val="nil"/>
              <w:left w:val="single" w:sz="4" w:space="0" w:color="auto"/>
              <w:bottom w:val="nil"/>
              <w:right w:val="single" w:sz="4" w:space="0" w:color="auto"/>
            </w:tcBorders>
          </w:tcPr>
          <w:p w14:paraId="3722936B" w14:textId="00EF1DA8" w:rsidR="00BA31EA" w:rsidRPr="000E3A45" w:rsidRDefault="00343A56" w:rsidP="00BA31EA">
            <w:pPr>
              <w:ind w:right="227"/>
              <w:jc w:val="right"/>
              <w:rPr>
                <w:sz w:val="14"/>
                <w:szCs w:val="14"/>
              </w:rPr>
            </w:pPr>
            <w:r>
              <w:rPr>
                <w:sz w:val="14"/>
                <w:szCs w:val="14"/>
              </w:rPr>
              <w:t>48.37</w:t>
            </w:r>
          </w:p>
        </w:tc>
        <w:tc>
          <w:tcPr>
            <w:tcW w:w="1021" w:type="dxa"/>
            <w:tcBorders>
              <w:top w:val="nil"/>
              <w:left w:val="single" w:sz="4" w:space="0" w:color="auto"/>
              <w:bottom w:val="nil"/>
              <w:right w:val="single" w:sz="4" w:space="0" w:color="auto"/>
            </w:tcBorders>
          </w:tcPr>
          <w:p w14:paraId="447E4643" w14:textId="46567800" w:rsidR="00BA31EA" w:rsidRPr="000E3A45" w:rsidRDefault="00343A56" w:rsidP="00BA31EA">
            <w:pPr>
              <w:ind w:right="227"/>
              <w:jc w:val="right"/>
              <w:rPr>
                <w:sz w:val="14"/>
                <w:szCs w:val="14"/>
              </w:rPr>
            </w:pPr>
            <w:r>
              <w:rPr>
                <w:sz w:val="14"/>
                <w:szCs w:val="14"/>
              </w:rPr>
              <w:t>45.96</w:t>
            </w:r>
          </w:p>
        </w:tc>
      </w:tr>
      <w:tr w:rsidR="00BA31EA" w:rsidRPr="000E3A45" w14:paraId="27402A13" w14:textId="77777777" w:rsidTr="00202E4C">
        <w:trPr>
          <w:jc w:val="center"/>
        </w:trPr>
        <w:tc>
          <w:tcPr>
            <w:tcW w:w="1304" w:type="dxa"/>
            <w:tcBorders>
              <w:top w:val="nil"/>
              <w:left w:val="single" w:sz="4" w:space="0" w:color="auto"/>
              <w:bottom w:val="nil"/>
              <w:right w:val="single" w:sz="4" w:space="0" w:color="auto"/>
            </w:tcBorders>
          </w:tcPr>
          <w:p w14:paraId="158AC3CE" w14:textId="54335912" w:rsidR="00BA31EA" w:rsidRPr="000E3A45" w:rsidRDefault="00BA31EA" w:rsidP="00BA31EA">
            <w:pPr>
              <w:rPr>
                <w:sz w:val="14"/>
                <w:szCs w:val="14"/>
              </w:rPr>
            </w:pPr>
            <w:r w:rsidRPr="000E3A45">
              <w:rPr>
                <w:sz w:val="14"/>
                <w:szCs w:val="14"/>
              </w:rPr>
              <w:t>1</w:t>
            </w:r>
            <w:r>
              <w:rPr>
                <w:sz w:val="14"/>
                <w:szCs w:val="14"/>
              </w:rPr>
              <w:t>1</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078672D5" w14:textId="3C850653" w:rsidR="00BA31EA" w:rsidRPr="000E3A45" w:rsidRDefault="00BA31EA" w:rsidP="00BA31EA">
            <w:pPr>
              <w:ind w:right="170"/>
              <w:jc w:val="right"/>
              <w:rPr>
                <w:sz w:val="14"/>
                <w:szCs w:val="14"/>
              </w:rPr>
            </w:pPr>
            <w:r>
              <w:rPr>
                <w:sz w:val="14"/>
                <w:szCs w:val="14"/>
              </w:rPr>
              <w:t>52.92</w:t>
            </w:r>
          </w:p>
        </w:tc>
        <w:tc>
          <w:tcPr>
            <w:tcW w:w="1021" w:type="dxa"/>
            <w:tcBorders>
              <w:top w:val="nil"/>
              <w:left w:val="single" w:sz="4" w:space="0" w:color="auto"/>
              <w:bottom w:val="nil"/>
              <w:right w:val="single" w:sz="4" w:space="0" w:color="auto"/>
            </w:tcBorders>
          </w:tcPr>
          <w:p w14:paraId="4BF0034F" w14:textId="7A1D96FD" w:rsidR="00BA31EA" w:rsidRPr="000E3A45" w:rsidRDefault="00BA31EA" w:rsidP="00BA31EA">
            <w:pPr>
              <w:ind w:right="227"/>
              <w:jc w:val="right"/>
              <w:rPr>
                <w:sz w:val="14"/>
                <w:szCs w:val="14"/>
              </w:rPr>
            </w:pPr>
            <w:r>
              <w:rPr>
                <w:sz w:val="14"/>
                <w:szCs w:val="14"/>
              </w:rPr>
              <w:t>48.75</w:t>
            </w:r>
          </w:p>
        </w:tc>
        <w:tc>
          <w:tcPr>
            <w:tcW w:w="1021" w:type="dxa"/>
            <w:tcBorders>
              <w:top w:val="nil"/>
              <w:left w:val="single" w:sz="4" w:space="0" w:color="auto"/>
              <w:bottom w:val="nil"/>
              <w:right w:val="single" w:sz="4" w:space="0" w:color="auto"/>
            </w:tcBorders>
          </w:tcPr>
          <w:p w14:paraId="51BBD4CD" w14:textId="50D8D24E" w:rsidR="00BA31EA" w:rsidRPr="000E3A45" w:rsidRDefault="00BA31EA" w:rsidP="00BA31EA">
            <w:pPr>
              <w:ind w:right="227"/>
              <w:jc w:val="right"/>
              <w:rPr>
                <w:sz w:val="14"/>
                <w:szCs w:val="14"/>
              </w:rPr>
            </w:pPr>
            <w:r>
              <w:rPr>
                <w:sz w:val="14"/>
                <w:szCs w:val="14"/>
              </w:rPr>
              <w:t>45.37</w:t>
            </w:r>
          </w:p>
        </w:tc>
        <w:tc>
          <w:tcPr>
            <w:tcW w:w="1304" w:type="dxa"/>
            <w:tcBorders>
              <w:top w:val="nil"/>
              <w:left w:val="single" w:sz="4" w:space="0" w:color="auto"/>
              <w:bottom w:val="nil"/>
              <w:right w:val="single" w:sz="4" w:space="0" w:color="auto"/>
            </w:tcBorders>
          </w:tcPr>
          <w:p w14:paraId="2DDF93EA" w14:textId="00899A07" w:rsidR="00BA31EA" w:rsidRPr="000E3A45" w:rsidRDefault="00343A56" w:rsidP="00343A56">
            <w:pPr>
              <w:rPr>
                <w:sz w:val="14"/>
                <w:szCs w:val="14"/>
              </w:rPr>
            </w:pPr>
            <w:r>
              <w:rPr>
                <w:sz w:val="14"/>
                <w:szCs w:val="14"/>
              </w:rPr>
              <w:t>11</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753A50DF" w14:textId="32BBE4EA" w:rsidR="00BA31EA" w:rsidRPr="000E3A45" w:rsidRDefault="00343A56" w:rsidP="00BA31EA">
            <w:pPr>
              <w:ind w:right="170"/>
              <w:jc w:val="right"/>
              <w:rPr>
                <w:sz w:val="14"/>
                <w:szCs w:val="14"/>
              </w:rPr>
            </w:pPr>
            <w:r>
              <w:rPr>
                <w:sz w:val="14"/>
                <w:szCs w:val="14"/>
              </w:rPr>
              <w:t>57.10</w:t>
            </w:r>
          </w:p>
        </w:tc>
        <w:tc>
          <w:tcPr>
            <w:tcW w:w="1021" w:type="dxa"/>
            <w:tcBorders>
              <w:top w:val="nil"/>
              <w:left w:val="single" w:sz="4" w:space="0" w:color="auto"/>
              <w:bottom w:val="nil"/>
              <w:right w:val="single" w:sz="4" w:space="0" w:color="auto"/>
            </w:tcBorders>
          </w:tcPr>
          <w:p w14:paraId="593D652F" w14:textId="7051744B" w:rsidR="00BA31EA" w:rsidRPr="000E3A45" w:rsidRDefault="00343A56" w:rsidP="00BA31EA">
            <w:pPr>
              <w:ind w:right="227"/>
              <w:jc w:val="right"/>
              <w:rPr>
                <w:sz w:val="14"/>
                <w:szCs w:val="14"/>
              </w:rPr>
            </w:pPr>
            <w:r>
              <w:rPr>
                <w:sz w:val="14"/>
                <w:szCs w:val="14"/>
              </w:rPr>
              <w:t>48.01</w:t>
            </w:r>
          </w:p>
        </w:tc>
        <w:tc>
          <w:tcPr>
            <w:tcW w:w="1021" w:type="dxa"/>
            <w:tcBorders>
              <w:top w:val="nil"/>
              <w:left w:val="single" w:sz="4" w:space="0" w:color="auto"/>
              <w:bottom w:val="nil"/>
              <w:right w:val="single" w:sz="4" w:space="0" w:color="auto"/>
            </w:tcBorders>
          </w:tcPr>
          <w:p w14:paraId="235FA4C0" w14:textId="7E4665FF" w:rsidR="00BA31EA" w:rsidRPr="000E3A45" w:rsidRDefault="00343A56" w:rsidP="00BA31EA">
            <w:pPr>
              <w:ind w:right="227"/>
              <w:jc w:val="right"/>
              <w:rPr>
                <w:sz w:val="14"/>
                <w:szCs w:val="14"/>
              </w:rPr>
            </w:pPr>
            <w:r>
              <w:rPr>
                <w:sz w:val="14"/>
                <w:szCs w:val="14"/>
              </w:rPr>
              <w:t>46.47</w:t>
            </w:r>
          </w:p>
        </w:tc>
      </w:tr>
      <w:tr w:rsidR="00BA31EA" w:rsidRPr="000E3A45" w14:paraId="34CBBD08" w14:textId="77777777" w:rsidTr="00202E4C">
        <w:trPr>
          <w:jc w:val="center"/>
        </w:trPr>
        <w:tc>
          <w:tcPr>
            <w:tcW w:w="1304" w:type="dxa"/>
            <w:tcBorders>
              <w:top w:val="nil"/>
              <w:left w:val="single" w:sz="4" w:space="0" w:color="auto"/>
              <w:bottom w:val="nil"/>
              <w:right w:val="single" w:sz="4" w:space="0" w:color="auto"/>
            </w:tcBorders>
          </w:tcPr>
          <w:p w14:paraId="639AE9F3" w14:textId="2DF050FC" w:rsidR="00BA31EA" w:rsidRPr="000E3A45" w:rsidRDefault="00BA31EA" w:rsidP="00BA31EA">
            <w:pPr>
              <w:rPr>
                <w:sz w:val="14"/>
                <w:szCs w:val="14"/>
              </w:rPr>
            </w:pPr>
            <w:r>
              <w:rPr>
                <w:sz w:val="14"/>
                <w:szCs w:val="14"/>
              </w:rPr>
              <w:t>12</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490E0151" w14:textId="56507AC3" w:rsidR="00BA31EA" w:rsidRPr="000E3A45" w:rsidRDefault="00BA31EA" w:rsidP="00BA31EA">
            <w:pPr>
              <w:ind w:right="170"/>
              <w:jc w:val="right"/>
              <w:rPr>
                <w:sz w:val="14"/>
                <w:szCs w:val="14"/>
              </w:rPr>
            </w:pPr>
            <w:r>
              <w:rPr>
                <w:sz w:val="14"/>
                <w:szCs w:val="14"/>
              </w:rPr>
              <w:t>55.82</w:t>
            </w:r>
          </w:p>
        </w:tc>
        <w:tc>
          <w:tcPr>
            <w:tcW w:w="1021" w:type="dxa"/>
            <w:tcBorders>
              <w:top w:val="nil"/>
              <w:left w:val="single" w:sz="4" w:space="0" w:color="auto"/>
              <w:bottom w:val="nil"/>
              <w:right w:val="single" w:sz="4" w:space="0" w:color="auto"/>
            </w:tcBorders>
          </w:tcPr>
          <w:p w14:paraId="39556BCC" w14:textId="5C365C0C" w:rsidR="00BA31EA" w:rsidRPr="000E3A45" w:rsidRDefault="00BA31EA" w:rsidP="00BA31EA">
            <w:pPr>
              <w:ind w:right="227"/>
              <w:jc w:val="right"/>
              <w:rPr>
                <w:sz w:val="14"/>
                <w:szCs w:val="14"/>
              </w:rPr>
            </w:pPr>
            <w:r>
              <w:rPr>
                <w:sz w:val="14"/>
                <w:szCs w:val="14"/>
              </w:rPr>
              <w:t>51.12</w:t>
            </w:r>
          </w:p>
        </w:tc>
        <w:tc>
          <w:tcPr>
            <w:tcW w:w="1021" w:type="dxa"/>
            <w:tcBorders>
              <w:top w:val="nil"/>
              <w:left w:val="single" w:sz="4" w:space="0" w:color="auto"/>
              <w:bottom w:val="nil"/>
              <w:right w:val="single" w:sz="4" w:space="0" w:color="auto"/>
            </w:tcBorders>
          </w:tcPr>
          <w:p w14:paraId="1D15561D" w14:textId="2908CF02" w:rsidR="00BA31EA" w:rsidRPr="000E3A45" w:rsidRDefault="00BA31EA" w:rsidP="00BA31EA">
            <w:pPr>
              <w:ind w:right="227"/>
              <w:jc w:val="right"/>
              <w:rPr>
                <w:sz w:val="14"/>
                <w:szCs w:val="14"/>
              </w:rPr>
            </w:pPr>
            <w:r>
              <w:rPr>
                <w:sz w:val="14"/>
                <w:szCs w:val="14"/>
              </w:rPr>
              <w:t>47.62</w:t>
            </w:r>
          </w:p>
        </w:tc>
        <w:tc>
          <w:tcPr>
            <w:tcW w:w="1304" w:type="dxa"/>
            <w:tcBorders>
              <w:top w:val="nil"/>
              <w:left w:val="single" w:sz="4" w:space="0" w:color="auto"/>
              <w:bottom w:val="nil"/>
              <w:right w:val="single" w:sz="4" w:space="0" w:color="auto"/>
            </w:tcBorders>
          </w:tcPr>
          <w:p w14:paraId="56956AAE" w14:textId="1E7B7022" w:rsidR="00BA31EA" w:rsidRPr="000E3A45" w:rsidRDefault="00343A56" w:rsidP="00343A56">
            <w:pPr>
              <w:rPr>
                <w:sz w:val="14"/>
                <w:szCs w:val="14"/>
              </w:rPr>
            </w:pPr>
            <w:r>
              <w:rPr>
                <w:sz w:val="14"/>
                <w:szCs w:val="14"/>
              </w:rPr>
              <w:t>12</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3D2A6E60" w14:textId="6D49AD16" w:rsidR="00BA31EA" w:rsidRPr="000E3A45" w:rsidRDefault="00343A56" w:rsidP="00BA31EA">
            <w:pPr>
              <w:ind w:right="170"/>
              <w:jc w:val="right"/>
              <w:rPr>
                <w:sz w:val="14"/>
                <w:szCs w:val="14"/>
              </w:rPr>
            </w:pPr>
            <w:r>
              <w:rPr>
                <w:sz w:val="14"/>
                <w:szCs w:val="14"/>
              </w:rPr>
              <w:t>57.30</w:t>
            </w:r>
          </w:p>
        </w:tc>
        <w:tc>
          <w:tcPr>
            <w:tcW w:w="1021" w:type="dxa"/>
            <w:tcBorders>
              <w:top w:val="nil"/>
              <w:left w:val="single" w:sz="4" w:space="0" w:color="auto"/>
              <w:bottom w:val="nil"/>
              <w:right w:val="single" w:sz="4" w:space="0" w:color="auto"/>
            </w:tcBorders>
          </w:tcPr>
          <w:p w14:paraId="1FD93890" w14:textId="7FE75F46" w:rsidR="00BA31EA" w:rsidRPr="000E3A45" w:rsidRDefault="00343A56" w:rsidP="00BA31EA">
            <w:pPr>
              <w:ind w:right="227"/>
              <w:jc w:val="right"/>
              <w:rPr>
                <w:sz w:val="14"/>
                <w:szCs w:val="14"/>
              </w:rPr>
            </w:pPr>
            <w:r>
              <w:rPr>
                <w:sz w:val="14"/>
                <w:szCs w:val="14"/>
              </w:rPr>
              <w:t>47.07</w:t>
            </w:r>
          </w:p>
        </w:tc>
        <w:tc>
          <w:tcPr>
            <w:tcW w:w="1021" w:type="dxa"/>
            <w:tcBorders>
              <w:top w:val="nil"/>
              <w:left w:val="single" w:sz="4" w:space="0" w:color="auto"/>
              <w:bottom w:val="nil"/>
              <w:right w:val="single" w:sz="4" w:space="0" w:color="auto"/>
            </w:tcBorders>
          </w:tcPr>
          <w:p w14:paraId="6B5B9E10" w14:textId="6DC3EB35" w:rsidR="00BA31EA" w:rsidRPr="000E3A45" w:rsidRDefault="00343A56" w:rsidP="00BA31EA">
            <w:pPr>
              <w:ind w:right="227"/>
              <w:jc w:val="right"/>
              <w:rPr>
                <w:sz w:val="14"/>
                <w:szCs w:val="14"/>
              </w:rPr>
            </w:pPr>
            <w:r>
              <w:rPr>
                <w:sz w:val="14"/>
                <w:szCs w:val="14"/>
              </w:rPr>
              <w:t>46.44</w:t>
            </w:r>
          </w:p>
        </w:tc>
      </w:tr>
      <w:tr w:rsidR="00BA31EA" w:rsidRPr="000E3A45" w14:paraId="39E0C98C" w14:textId="77777777" w:rsidTr="00202E4C">
        <w:trPr>
          <w:jc w:val="center"/>
        </w:trPr>
        <w:tc>
          <w:tcPr>
            <w:tcW w:w="1304" w:type="dxa"/>
            <w:tcBorders>
              <w:top w:val="nil"/>
              <w:left w:val="single" w:sz="4" w:space="0" w:color="auto"/>
              <w:bottom w:val="nil"/>
              <w:right w:val="single" w:sz="4" w:space="0" w:color="auto"/>
            </w:tcBorders>
          </w:tcPr>
          <w:p w14:paraId="071FA112" w14:textId="2A8EB787" w:rsidR="00BA31EA" w:rsidRPr="000E3A45" w:rsidRDefault="00BA31EA" w:rsidP="00BA31EA">
            <w:pPr>
              <w:rPr>
                <w:sz w:val="14"/>
                <w:szCs w:val="14"/>
              </w:rPr>
            </w:pPr>
            <w:r>
              <w:rPr>
                <w:sz w:val="14"/>
                <w:szCs w:val="14"/>
              </w:rPr>
              <w:t>13</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6372D5C0" w14:textId="68827828" w:rsidR="00BA31EA" w:rsidRPr="000E3A45" w:rsidRDefault="00BA31EA" w:rsidP="00BA31EA">
            <w:pPr>
              <w:ind w:right="170"/>
              <w:jc w:val="right"/>
              <w:rPr>
                <w:sz w:val="14"/>
                <w:szCs w:val="14"/>
              </w:rPr>
            </w:pPr>
            <w:r>
              <w:rPr>
                <w:sz w:val="14"/>
                <w:szCs w:val="14"/>
              </w:rPr>
              <w:t>59.92</w:t>
            </w:r>
          </w:p>
        </w:tc>
        <w:tc>
          <w:tcPr>
            <w:tcW w:w="1021" w:type="dxa"/>
            <w:tcBorders>
              <w:top w:val="nil"/>
              <w:left w:val="single" w:sz="4" w:space="0" w:color="auto"/>
              <w:bottom w:val="nil"/>
              <w:right w:val="single" w:sz="4" w:space="0" w:color="auto"/>
            </w:tcBorders>
          </w:tcPr>
          <w:p w14:paraId="477F1904" w14:textId="2C76272E" w:rsidR="00BA31EA" w:rsidRPr="000E3A45" w:rsidRDefault="00BA31EA" w:rsidP="00BA31EA">
            <w:pPr>
              <w:ind w:right="227"/>
              <w:jc w:val="right"/>
              <w:rPr>
                <w:sz w:val="14"/>
                <w:szCs w:val="14"/>
              </w:rPr>
            </w:pPr>
            <w:r>
              <w:rPr>
                <w:sz w:val="14"/>
                <w:szCs w:val="14"/>
              </w:rPr>
              <w:t>52.61</w:t>
            </w:r>
          </w:p>
        </w:tc>
        <w:tc>
          <w:tcPr>
            <w:tcW w:w="1021" w:type="dxa"/>
            <w:tcBorders>
              <w:top w:val="nil"/>
              <w:left w:val="single" w:sz="4" w:space="0" w:color="auto"/>
              <w:bottom w:val="nil"/>
              <w:right w:val="single" w:sz="4" w:space="0" w:color="auto"/>
            </w:tcBorders>
          </w:tcPr>
          <w:p w14:paraId="71EF885D" w14:textId="51FA3CF1" w:rsidR="00BA31EA" w:rsidRPr="000E3A45" w:rsidRDefault="00BA31EA" w:rsidP="00BA31EA">
            <w:pPr>
              <w:ind w:right="227"/>
              <w:jc w:val="right"/>
              <w:rPr>
                <w:sz w:val="14"/>
                <w:szCs w:val="14"/>
              </w:rPr>
            </w:pPr>
            <w:r>
              <w:rPr>
                <w:sz w:val="14"/>
                <w:szCs w:val="14"/>
              </w:rPr>
              <w:t>49.97</w:t>
            </w:r>
          </w:p>
        </w:tc>
        <w:tc>
          <w:tcPr>
            <w:tcW w:w="1304" w:type="dxa"/>
            <w:tcBorders>
              <w:top w:val="nil"/>
              <w:left w:val="single" w:sz="4" w:space="0" w:color="auto"/>
              <w:bottom w:val="nil"/>
              <w:right w:val="single" w:sz="4" w:space="0" w:color="auto"/>
            </w:tcBorders>
          </w:tcPr>
          <w:p w14:paraId="0D4F56CB" w14:textId="297F94C7" w:rsidR="00BA31EA" w:rsidRPr="000E3A45" w:rsidRDefault="00343A56" w:rsidP="00343A56">
            <w:pPr>
              <w:rPr>
                <w:sz w:val="14"/>
                <w:szCs w:val="14"/>
              </w:rPr>
            </w:pPr>
            <w:r>
              <w:rPr>
                <w:sz w:val="14"/>
                <w:szCs w:val="14"/>
              </w:rPr>
              <w:t>13</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37C158BA" w14:textId="3E821B28" w:rsidR="00BA31EA" w:rsidRPr="000E3A45" w:rsidRDefault="00343A56" w:rsidP="00BA31EA">
            <w:pPr>
              <w:ind w:right="170"/>
              <w:jc w:val="right"/>
              <w:rPr>
                <w:sz w:val="14"/>
                <w:szCs w:val="14"/>
              </w:rPr>
            </w:pPr>
            <w:r>
              <w:rPr>
                <w:sz w:val="14"/>
                <w:szCs w:val="14"/>
              </w:rPr>
              <w:t>55.44</w:t>
            </w:r>
          </w:p>
        </w:tc>
        <w:tc>
          <w:tcPr>
            <w:tcW w:w="1021" w:type="dxa"/>
            <w:tcBorders>
              <w:top w:val="nil"/>
              <w:left w:val="single" w:sz="4" w:space="0" w:color="auto"/>
              <w:bottom w:val="nil"/>
              <w:right w:val="single" w:sz="4" w:space="0" w:color="auto"/>
            </w:tcBorders>
          </w:tcPr>
          <w:p w14:paraId="0F75AD24" w14:textId="6A3EF9BD" w:rsidR="00BA31EA" w:rsidRPr="000E3A45" w:rsidRDefault="00343A56" w:rsidP="00BA31EA">
            <w:pPr>
              <w:ind w:right="227"/>
              <w:jc w:val="right"/>
              <w:rPr>
                <w:sz w:val="14"/>
                <w:szCs w:val="14"/>
              </w:rPr>
            </w:pPr>
            <w:r>
              <w:rPr>
                <w:sz w:val="14"/>
                <w:szCs w:val="14"/>
              </w:rPr>
              <w:t>44.83</w:t>
            </w:r>
          </w:p>
        </w:tc>
        <w:tc>
          <w:tcPr>
            <w:tcW w:w="1021" w:type="dxa"/>
            <w:tcBorders>
              <w:top w:val="nil"/>
              <w:left w:val="single" w:sz="4" w:space="0" w:color="auto"/>
              <w:bottom w:val="nil"/>
              <w:right w:val="single" w:sz="4" w:space="0" w:color="auto"/>
            </w:tcBorders>
          </w:tcPr>
          <w:p w14:paraId="30800230" w14:textId="10234EF6" w:rsidR="00BA31EA" w:rsidRPr="000E3A45" w:rsidRDefault="00343A56" w:rsidP="00BA31EA">
            <w:pPr>
              <w:ind w:right="227"/>
              <w:jc w:val="right"/>
              <w:rPr>
                <w:sz w:val="14"/>
                <w:szCs w:val="14"/>
              </w:rPr>
            </w:pPr>
            <w:r>
              <w:rPr>
                <w:sz w:val="14"/>
                <w:szCs w:val="14"/>
              </w:rPr>
              <w:t>44.31</w:t>
            </w:r>
          </w:p>
        </w:tc>
      </w:tr>
      <w:tr w:rsidR="00BA31EA" w:rsidRPr="000E3A45" w14:paraId="166AB7A0" w14:textId="77777777" w:rsidTr="00202E4C">
        <w:trPr>
          <w:jc w:val="center"/>
        </w:trPr>
        <w:tc>
          <w:tcPr>
            <w:tcW w:w="1304" w:type="dxa"/>
            <w:tcBorders>
              <w:top w:val="nil"/>
              <w:left w:val="single" w:sz="4" w:space="0" w:color="auto"/>
              <w:bottom w:val="nil"/>
              <w:right w:val="single" w:sz="4" w:space="0" w:color="auto"/>
            </w:tcBorders>
          </w:tcPr>
          <w:p w14:paraId="7FA0DF17" w14:textId="2F596284" w:rsidR="00BA31EA" w:rsidRPr="000E3A45" w:rsidRDefault="00BA31EA" w:rsidP="00BA31EA">
            <w:pPr>
              <w:rPr>
                <w:sz w:val="14"/>
                <w:szCs w:val="14"/>
              </w:rPr>
            </w:pPr>
            <w:r>
              <w:rPr>
                <w:sz w:val="14"/>
                <w:szCs w:val="14"/>
              </w:rPr>
              <w:t>16</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599B7063" w14:textId="70489741" w:rsidR="00BA31EA" w:rsidRPr="000E3A45" w:rsidRDefault="00BA31EA" w:rsidP="00BA31EA">
            <w:pPr>
              <w:ind w:right="170"/>
              <w:jc w:val="right"/>
              <w:rPr>
                <w:sz w:val="14"/>
                <w:szCs w:val="14"/>
              </w:rPr>
            </w:pPr>
            <w:r>
              <w:rPr>
                <w:sz w:val="14"/>
                <w:szCs w:val="14"/>
              </w:rPr>
              <w:t>61.56</w:t>
            </w:r>
          </w:p>
        </w:tc>
        <w:tc>
          <w:tcPr>
            <w:tcW w:w="1021" w:type="dxa"/>
            <w:tcBorders>
              <w:top w:val="nil"/>
              <w:left w:val="single" w:sz="4" w:space="0" w:color="auto"/>
              <w:bottom w:val="nil"/>
              <w:right w:val="single" w:sz="4" w:space="0" w:color="auto"/>
            </w:tcBorders>
          </w:tcPr>
          <w:p w14:paraId="3B3369B2" w14:textId="4BC9DBFD" w:rsidR="00BA31EA" w:rsidRPr="000E3A45" w:rsidRDefault="00BA31EA" w:rsidP="00BA31EA">
            <w:pPr>
              <w:ind w:right="227"/>
              <w:jc w:val="right"/>
              <w:rPr>
                <w:sz w:val="14"/>
                <w:szCs w:val="14"/>
              </w:rPr>
            </w:pPr>
            <w:r>
              <w:rPr>
                <w:sz w:val="14"/>
                <w:szCs w:val="14"/>
              </w:rPr>
              <w:t>n.c.</w:t>
            </w:r>
          </w:p>
        </w:tc>
        <w:tc>
          <w:tcPr>
            <w:tcW w:w="1021" w:type="dxa"/>
            <w:tcBorders>
              <w:top w:val="nil"/>
              <w:left w:val="single" w:sz="4" w:space="0" w:color="auto"/>
              <w:bottom w:val="nil"/>
              <w:right w:val="single" w:sz="4" w:space="0" w:color="auto"/>
            </w:tcBorders>
          </w:tcPr>
          <w:p w14:paraId="3E6AA270" w14:textId="6C9ECE7D" w:rsidR="00BA31EA" w:rsidRPr="000E3A45" w:rsidRDefault="00867100" w:rsidP="00BA31EA">
            <w:pPr>
              <w:ind w:right="227"/>
              <w:jc w:val="right"/>
              <w:rPr>
                <w:sz w:val="14"/>
                <w:szCs w:val="14"/>
              </w:rPr>
            </w:pPr>
            <w:r>
              <w:rPr>
                <w:sz w:val="14"/>
                <w:szCs w:val="14"/>
              </w:rPr>
              <w:t>n.c.</w:t>
            </w:r>
          </w:p>
        </w:tc>
        <w:tc>
          <w:tcPr>
            <w:tcW w:w="1304" w:type="dxa"/>
            <w:tcBorders>
              <w:top w:val="nil"/>
              <w:left w:val="single" w:sz="4" w:space="0" w:color="auto"/>
              <w:bottom w:val="nil"/>
              <w:right w:val="single" w:sz="4" w:space="0" w:color="auto"/>
            </w:tcBorders>
          </w:tcPr>
          <w:p w14:paraId="1BE67530"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732A6563"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3C807496"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27056E71" w14:textId="77777777" w:rsidR="00BA31EA" w:rsidRPr="000E3A45" w:rsidRDefault="00BA31EA" w:rsidP="00BA31EA">
            <w:pPr>
              <w:ind w:right="227"/>
              <w:jc w:val="right"/>
              <w:rPr>
                <w:sz w:val="14"/>
                <w:szCs w:val="14"/>
                <w:lang w:val="it-IT"/>
              </w:rPr>
            </w:pPr>
          </w:p>
        </w:tc>
      </w:tr>
      <w:tr w:rsidR="00BA31EA" w:rsidRPr="000E3A45" w14:paraId="1B5A1EA2" w14:textId="77777777" w:rsidTr="00202E4C">
        <w:trPr>
          <w:jc w:val="center"/>
        </w:trPr>
        <w:tc>
          <w:tcPr>
            <w:tcW w:w="1304" w:type="dxa"/>
            <w:tcBorders>
              <w:top w:val="nil"/>
              <w:left w:val="single" w:sz="4" w:space="0" w:color="auto"/>
              <w:bottom w:val="nil"/>
              <w:right w:val="single" w:sz="4" w:space="0" w:color="auto"/>
            </w:tcBorders>
          </w:tcPr>
          <w:p w14:paraId="17132F0C" w14:textId="15263B6C" w:rsidR="00BA31EA" w:rsidRPr="000E3A45" w:rsidRDefault="00BA31EA" w:rsidP="00BA31EA">
            <w:pPr>
              <w:rPr>
                <w:sz w:val="14"/>
                <w:szCs w:val="14"/>
              </w:rPr>
            </w:pPr>
            <w:r>
              <w:rPr>
                <w:sz w:val="14"/>
                <w:szCs w:val="14"/>
              </w:rPr>
              <w:t>17</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5600A27E" w14:textId="2BDF9B11" w:rsidR="00BA31EA" w:rsidRPr="000E3A45" w:rsidRDefault="00BA31EA" w:rsidP="00BA31EA">
            <w:pPr>
              <w:ind w:right="170"/>
              <w:jc w:val="right"/>
              <w:rPr>
                <w:sz w:val="14"/>
                <w:szCs w:val="14"/>
              </w:rPr>
            </w:pPr>
            <w:r>
              <w:rPr>
                <w:sz w:val="14"/>
                <w:szCs w:val="14"/>
              </w:rPr>
              <w:t>60.77</w:t>
            </w:r>
          </w:p>
        </w:tc>
        <w:tc>
          <w:tcPr>
            <w:tcW w:w="1021" w:type="dxa"/>
            <w:tcBorders>
              <w:top w:val="nil"/>
              <w:left w:val="single" w:sz="4" w:space="0" w:color="auto"/>
              <w:bottom w:val="nil"/>
              <w:right w:val="single" w:sz="4" w:space="0" w:color="auto"/>
            </w:tcBorders>
          </w:tcPr>
          <w:p w14:paraId="7166B262" w14:textId="1A094F4E" w:rsidR="00BA31EA" w:rsidRPr="000E3A45" w:rsidRDefault="00BA31EA" w:rsidP="00BA31EA">
            <w:pPr>
              <w:ind w:right="227"/>
              <w:jc w:val="right"/>
              <w:rPr>
                <w:sz w:val="14"/>
                <w:szCs w:val="14"/>
              </w:rPr>
            </w:pPr>
            <w:r>
              <w:rPr>
                <w:sz w:val="14"/>
                <w:szCs w:val="14"/>
              </w:rPr>
              <w:t>53.51</w:t>
            </w:r>
          </w:p>
        </w:tc>
        <w:tc>
          <w:tcPr>
            <w:tcW w:w="1021" w:type="dxa"/>
            <w:tcBorders>
              <w:top w:val="nil"/>
              <w:left w:val="single" w:sz="4" w:space="0" w:color="auto"/>
              <w:bottom w:val="nil"/>
              <w:right w:val="single" w:sz="4" w:space="0" w:color="auto"/>
            </w:tcBorders>
          </w:tcPr>
          <w:p w14:paraId="0BD6480D" w14:textId="23647358" w:rsidR="00BA31EA" w:rsidRPr="000E3A45" w:rsidRDefault="00867100" w:rsidP="00BA31EA">
            <w:pPr>
              <w:ind w:right="227"/>
              <w:jc w:val="right"/>
              <w:rPr>
                <w:sz w:val="14"/>
                <w:szCs w:val="14"/>
                <w:lang w:val="it-IT"/>
              </w:rPr>
            </w:pPr>
            <w:r>
              <w:rPr>
                <w:sz w:val="14"/>
                <w:szCs w:val="14"/>
                <w:lang w:val="it-IT"/>
              </w:rPr>
              <w:t>50.57</w:t>
            </w:r>
          </w:p>
        </w:tc>
        <w:tc>
          <w:tcPr>
            <w:tcW w:w="1304" w:type="dxa"/>
            <w:tcBorders>
              <w:top w:val="nil"/>
              <w:left w:val="single" w:sz="4" w:space="0" w:color="auto"/>
              <w:bottom w:val="nil"/>
              <w:right w:val="single" w:sz="4" w:space="0" w:color="auto"/>
            </w:tcBorders>
          </w:tcPr>
          <w:p w14:paraId="3696C44F"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50F5DD45" w14:textId="77777777" w:rsidR="00BA31EA" w:rsidRPr="000E3A45" w:rsidRDefault="00BA31EA" w:rsidP="00BA31EA">
            <w:pPr>
              <w:ind w:right="170"/>
              <w:jc w:val="right"/>
              <w:rPr>
                <w:sz w:val="14"/>
                <w:szCs w:val="14"/>
                <w:lang w:val="it-IT"/>
              </w:rPr>
            </w:pPr>
          </w:p>
        </w:tc>
        <w:tc>
          <w:tcPr>
            <w:tcW w:w="1021" w:type="dxa"/>
            <w:tcBorders>
              <w:top w:val="nil"/>
              <w:left w:val="single" w:sz="4" w:space="0" w:color="auto"/>
              <w:bottom w:val="nil"/>
              <w:right w:val="single" w:sz="4" w:space="0" w:color="auto"/>
            </w:tcBorders>
          </w:tcPr>
          <w:p w14:paraId="0336805A" w14:textId="77777777" w:rsidR="00BA31EA" w:rsidRPr="000E3A45" w:rsidRDefault="00BA31EA" w:rsidP="00BA31EA">
            <w:pPr>
              <w:ind w:right="227"/>
              <w:jc w:val="right"/>
              <w:rPr>
                <w:sz w:val="14"/>
                <w:szCs w:val="14"/>
                <w:lang w:val="it-IT"/>
              </w:rPr>
            </w:pPr>
          </w:p>
        </w:tc>
        <w:tc>
          <w:tcPr>
            <w:tcW w:w="1021" w:type="dxa"/>
            <w:tcBorders>
              <w:top w:val="nil"/>
              <w:left w:val="single" w:sz="4" w:space="0" w:color="auto"/>
              <w:bottom w:val="nil"/>
              <w:right w:val="single" w:sz="4" w:space="0" w:color="auto"/>
            </w:tcBorders>
          </w:tcPr>
          <w:p w14:paraId="5CE6BFD4" w14:textId="77777777" w:rsidR="00BA31EA" w:rsidRPr="000E3A45" w:rsidRDefault="00BA31EA" w:rsidP="00BA31EA">
            <w:pPr>
              <w:ind w:right="227"/>
              <w:jc w:val="right"/>
              <w:rPr>
                <w:sz w:val="14"/>
                <w:szCs w:val="14"/>
                <w:lang w:val="it-IT"/>
              </w:rPr>
            </w:pPr>
          </w:p>
        </w:tc>
      </w:tr>
      <w:tr w:rsidR="00BA31EA" w:rsidRPr="000E3A45" w14:paraId="36EE8F1A" w14:textId="77777777" w:rsidTr="00202E4C">
        <w:trPr>
          <w:jc w:val="center"/>
        </w:trPr>
        <w:tc>
          <w:tcPr>
            <w:tcW w:w="1304" w:type="dxa"/>
            <w:tcBorders>
              <w:top w:val="nil"/>
              <w:left w:val="single" w:sz="4" w:space="0" w:color="auto"/>
              <w:bottom w:val="nil"/>
              <w:right w:val="single" w:sz="4" w:space="0" w:color="auto"/>
            </w:tcBorders>
          </w:tcPr>
          <w:p w14:paraId="6B55E592" w14:textId="1A5AA70C" w:rsidR="00BA31EA" w:rsidRPr="000E3A45" w:rsidRDefault="00BA31EA" w:rsidP="00BA31EA">
            <w:pPr>
              <w:rPr>
                <w:sz w:val="14"/>
                <w:szCs w:val="14"/>
              </w:rPr>
            </w:pPr>
            <w:r>
              <w:rPr>
                <w:sz w:val="14"/>
                <w:szCs w:val="14"/>
              </w:rPr>
              <w:t>18/</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5954FF22" w14:textId="3C4C97CB" w:rsidR="00BA31EA" w:rsidRPr="000E3A45" w:rsidRDefault="00BA31EA" w:rsidP="00BA31EA">
            <w:pPr>
              <w:ind w:right="170"/>
              <w:jc w:val="right"/>
              <w:rPr>
                <w:sz w:val="14"/>
                <w:szCs w:val="14"/>
              </w:rPr>
            </w:pPr>
            <w:r>
              <w:rPr>
                <w:sz w:val="14"/>
                <w:szCs w:val="14"/>
              </w:rPr>
              <w:t>60.71</w:t>
            </w:r>
          </w:p>
        </w:tc>
        <w:tc>
          <w:tcPr>
            <w:tcW w:w="1021" w:type="dxa"/>
            <w:tcBorders>
              <w:top w:val="nil"/>
              <w:left w:val="single" w:sz="4" w:space="0" w:color="auto"/>
              <w:bottom w:val="nil"/>
              <w:right w:val="single" w:sz="4" w:space="0" w:color="auto"/>
            </w:tcBorders>
          </w:tcPr>
          <w:p w14:paraId="2CCCA72D" w14:textId="7234275E" w:rsidR="00BA31EA" w:rsidRPr="000E3A45" w:rsidRDefault="00BA31EA" w:rsidP="00BA31EA">
            <w:pPr>
              <w:ind w:right="227"/>
              <w:jc w:val="right"/>
              <w:rPr>
                <w:sz w:val="14"/>
                <w:szCs w:val="14"/>
              </w:rPr>
            </w:pPr>
            <w:r>
              <w:rPr>
                <w:sz w:val="14"/>
                <w:szCs w:val="14"/>
              </w:rPr>
              <w:t>52.08</w:t>
            </w:r>
          </w:p>
        </w:tc>
        <w:tc>
          <w:tcPr>
            <w:tcW w:w="1021" w:type="dxa"/>
            <w:tcBorders>
              <w:top w:val="nil"/>
              <w:left w:val="single" w:sz="4" w:space="0" w:color="auto"/>
              <w:bottom w:val="nil"/>
              <w:right w:val="single" w:sz="4" w:space="0" w:color="auto"/>
            </w:tcBorders>
          </w:tcPr>
          <w:p w14:paraId="42362B6F" w14:textId="5FA9BA07" w:rsidR="00BA31EA" w:rsidRPr="000E3A45" w:rsidRDefault="00867100" w:rsidP="00BA31EA">
            <w:pPr>
              <w:ind w:right="227"/>
              <w:jc w:val="right"/>
              <w:rPr>
                <w:sz w:val="14"/>
                <w:szCs w:val="14"/>
              </w:rPr>
            </w:pPr>
            <w:r>
              <w:rPr>
                <w:sz w:val="14"/>
                <w:szCs w:val="14"/>
              </w:rPr>
              <w:t>49.57</w:t>
            </w:r>
          </w:p>
        </w:tc>
        <w:tc>
          <w:tcPr>
            <w:tcW w:w="1304" w:type="dxa"/>
            <w:tcBorders>
              <w:top w:val="nil"/>
              <w:left w:val="single" w:sz="4" w:space="0" w:color="auto"/>
              <w:bottom w:val="nil"/>
              <w:right w:val="single" w:sz="4" w:space="0" w:color="auto"/>
            </w:tcBorders>
          </w:tcPr>
          <w:p w14:paraId="332D231B"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65A89E38"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10CABB44"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4C7EC8EA" w14:textId="77777777" w:rsidR="00BA31EA" w:rsidRPr="000E3A45" w:rsidRDefault="00BA31EA" w:rsidP="00BA31EA">
            <w:pPr>
              <w:ind w:right="227"/>
              <w:jc w:val="right"/>
              <w:rPr>
                <w:sz w:val="14"/>
                <w:szCs w:val="14"/>
              </w:rPr>
            </w:pPr>
          </w:p>
        </w:tc>
      </w:tr>
      <w:tr w:rsidR="00BA31EA" w:rsidRPr="000E3A45" w14:paraId="6506B104" w14:textId="77777777" w:rsidTr="00202E4C">
        <w:trPr>
          <w:jc w:val="center"/>
        </w:trPr>
        <w:tc>
          <w:tcPr>
            <w:tcW w:w="1304" w:type="dxa"/>
            <w:tcBorders>
              <w:top w:val="nil"/>
              <w:left w:val="single" w:sz="4" w:space="0" w:color="auto"/>
              <w:bottom w:val="nil"/>
              <w:right w:val="single" w:sz="4" w:space="0" w:color="auto"/>
            </w:tcBorders>
          </w:tcPr>
          <w:p w14:paraId="78F4A6F8" w14:textId="5A1ABD27" w:rsidR="00BA31EA" w:rsidRPr="000E3A45" w:rsidRDefault="00BA31EA" w:rsidP="00BA31EA">
            <w:pPr>
              <w:rPr>
                <w:sz w:val="14"/>
                <w:szCs w:val="14"/>
              </w:rPr>
            </w:pPr>
            <w:r>
              <w:rPr>
                <w:sz w:val="14"/>
                <w:szCs w:val="14"/>
              </w:rPr>
              <w:t>19/I</w:t>
            </w:r>
            <w:r w:rsidRPr="000E3A45">
              <w:rPr>
                <w:sz w:val="14"/>
                <w:szCs w:val="14"/>
              </w:rPr>
              <w:t>I/2015</w:t>
            </w:r>
          </w:p>
        </w:tc>
        <w:tc>
          <w:tcPr>
            <w:tcW w:w="851" w:type="dxa"/>
            <w:tcBorders>
              <w:top w:val="nil"/>
              <w:left w:val="single" w:sz="4" w:space="0" w:color="auto"/>
              <w:bottom w:val="nil"/>
              <w:right w:val="single" w:sz="4" w:space="0" w:color="auto"/>
            </w:tcBorders>
          </w:tcPr>
          <w:p w14:paraId="5CB65FB8" w14:textId="61681E8F" w:rsidR="00BA31EA" w:rsidRPr="000E3A45" w:rsidRDefault="00BA31EA" w:rsidP="00BA31EA">
            <w:pPr>
              <w:ind w:right="170"/>
              <w:jc w:val="right"/>
              <w:rPr>
                <w:sz w:val="14"/>
                <w:szCs w:val="14"/>
              </w:rPr>
            </w:pPr>
            <w:r>
              <w:rPr>
                <w:sz w:val="14"/>
                <w:szCs w:val="14"/>
              </w:rPr>
              <w:t>58.77</w:t>
            </w:r>
          </w:p>
        </w:tc>
        <w:tc>
          <w:tcPr>
            <w:tcW w:w="1021" w:type="dxa"/>
            <w:tcBorders>
              <w:top w:val="nil"/>
              <w:left w:val="single" w:sz="4" w:space="0" w:color="auto"/>
              <w:bottom w:val="nil"/>
              <w:right w:val="single" w:sz="4" w:space="0" w:color="auto"/>
            </w:tcBorders>
          </w:tcPr>
          <w:p w14:paraId="5B82F7C6" w14:textId="55D73EA7" w:rsidR="00BA31EA" w:rsidRPr="000E3A45" w:rsidRDefault="00BA31EA" w:rsidP="00BA31EA">
            <w:pPr>
              <w:ind w:right="227"/>
              <w:jc w:val="right"/>
              <w:rPr>
                <w:sz w:val="14"/>
                <w:szCs w:val="14"/>
              </w:rPr>
            </w:pPr>
            <w:r>
              <w:rPr>
                <w:sz w:val="14"/>
                <w:szCs w:val="14"/>
              </w:rPr>
              <w:t>51.07</w:t>
            </w:r>
          </w:p>
        </w:tc>
        <w:tc>
          <w:tcPr>
            <w:tcW w:w="1021" w:type="dxa"/>
            <w:tcBorders>
              <w:top w:val="nil"/>
              <w:left w:val="single" w:sz="4" w:space="0" w:color="auto"/>
              <w:bottom w:val="nil"/>
              <w:right w:val="single" w:sz="4" w:space="0" w:color="auto"/>
            </w:tcBorders>
          </w:tcPr>
          <w:p w14:paraId="4A685047" w14:textId="0D528E31" w:rsidR="00BA31EA" w:rsidRPr="000E3A45" w:rsidRDefault="00867100" w:rsidP="00BA31EA">
            <w:pPr>
              <w:ind w:right="227"/>
              <w:jc w:val="right"/>
              <w:rPr>
                <w:sz w:val="14"/>
                <w:szCs w:val="14"/>
              </w:rPr>
            </w:pPr>
            <w:r>
              <w:rPr>
                <w:sz w:val="14"/>
                <w:szCs w:val="14"/>
              </w:rPr>
              <w:t>n.c.</w:t>
            </w:r>
          </w:p>
        </w:tc>
        <w:tc>
          <w:tcPr>
            <w:tcW w:w="1304" w:type="dxa"/>
            <w:tcBorders>
              <w:top w:val="nil"/>
              <w:left w:val="single" w:sz="4" w:space="0" w:color="auto"/>
              <w:bottom w:val="nil"/>
              <w:right w:val="single" w:sz="4" w:space="0" w:color="auto"/>
            </w:tcBorders>
          </w:tcPr>
          <w:p w14:paraId="1EDC9C78"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106B77EC"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05E4416D"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20AE97EA" w14:textId="77777777" w:rsidR="00BA31EA" w:rsidRPr="000E3A45" w:rsidRDefault="00BA31EA" w:rsidP="00BA31EA">
            <w:pPr>
              <w:ind w:right="227"/>
              <w:jc w:val="right"/>
              <w:rPr>
                <w:sz w:val="14"/>
                <w:szCs w:val="14"/>
              </w:rPr>
            </w:pPr>
          </w:p>
        </w:tc>
      </w:tr>
      <w:tr w:rsidR="00BA31EA" w:rsidRPr="000E3A45" w14:paraId="4B48BB78" w14:textId="77777777" w:rsidTr="00202E4C">
        <w:trPr>
          <w:jc w:val="center"/>
        </w:trPr>
        <w:tc>
          <w:tcPr>
            <w:tcW w:w="1304" w:type="dxa"/>
            <w:tcBorders>
              <w:top w:val="nil"/>
              <w:left w:val="single" w:sz="4" w:space="0" w:color="auto"/>
              <w:bottom w:val="nil"/>
              <w:right w:val="single" w:sz="4" w:space="0" w:color="auto"/>
            </w:tcBorders>
          </w:tcPr>
          <w:p w14:paraId="4CC1CB75" w14:textId="3763868C" w:rsidR="00BA31EA" w:rsidRPr="000E3A45" w:rsidRDefault="00BA31EA" w:rsidP="00BA31EA">
            <w:pPr>
              <w:rPr>
                <w:sz w:val="14"/>
                <w:szCs w:val="14"/>
              </w:rPr>
            </w:pPr>
            <w:r>
              <w:rPr>
                <w:sz w:val="14"/>
                <w:szCs w:val="14"/>
              </w:rPr>
              <w:t>20</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41A71BA6" w14:textId="72694FA7" w:rsidR="00BA31EA" w:rsidRPr="000E3A45" w:rsidRDefault="00BA31EA" w:rsidP="00BA31EA">
            <w:pPr>
              <w:ind w:right="170"/>
              <w:jc w:val="right"/>
              <w:rPr>
                <w:sz w:val="14"/>
                <w:szCs w:val="14"/>
              </w:rPr>
            </w:pPr>
            <w:r>
              <w:rPr>
                <w:sz w:val="14"/>
                <w:szCs w:val="14"/>
              </w:rPr>
              <w:t>60.98</w:t>
            </w:r>
          </w:p>
        </w:tc>
        <w:tc>
          <w:tcPr>
            <w:tcW w:w="1021" w:type="dxa"/>
            <w:tcBorders>
              <w:top w:val="nil"/>
              <w:left w:val="single" w:sz="4" w:space="0" w:color="auto"/>
              <w:bottom w:val="nil"/>
              <w:right w:val="single" w:sz="4" w:space="0" w:color="auto"/>
            </w:tcBorders>
          </w:tcPr>
          <w:p w14:paraId="42DC8878" w14:textId="3D8B7019" w:rsidR="00BA31EA" w:rsidRPr="000E3A45" w:rsidRDefault="00BA31EA" w:rsidP="00BA31EA">
            <w:pPr>
              <w:ind w:right="227"/>
              <w:jc w:val="right"/>
              <w:rPr>
                <w:sz w:val="14"/>
                <w:szCs w:val="14"/>
              </w:rPr>
            </w:pPr>
            <w:r>
              <w:rPr>
                <w:sz w:val="14"/>
                <w:szCs w:val="14"/>
              </w:rPr>
              <w:t>49.90</w:t>
            </w:r>
          </w:p>
        </w:tc>
        <w:tc>
          <w:tcPr>
            <w:tcW w:w="1021" w:type="dxa"/>
            <w:tcBorders>
              <w:top w:val="nil"/>
              <w:left w:val="single" w:sz="4" w:space="0" w:color="auto"/>
              <w:bottom w:val="nil"/>
              <w:right w:val="single" w:sz="4" w:space="0" w:color="auto"/>
            </w:tcBorders>
          </w:tcPr>
          <w:p w14:paraId="216C4348" w14:textId="332593A4" w:rsidR="00BA31EA" w:rsidRPr="000E3A45" w:rsidRDefault="00867100" w:rsidP="00BA31EA">
            <w:pPr>
              <w:ind w:right="227"/>
              <w:jc w:val="right"/>
              <w:rPr>
                <w:sz w:val="14"/>
                <w:szCs w:val="14"/>
              </w:rPr>
            </w:pPr>
            <w:r>
              <w:rPr>
                <w:sz w:val="14"/>
                <w:szCs w:val="14"/>
              </w:rPr>
              <w:t>n.c.</w:t>
            </w:r>
          </w:p>
        </w:tc>
        <w:tc>
          <w:tcPr>
            <w:tcW w:w="1304" w:type="dxa"/>
            <w:tcBorders>
              <w:top w:val="nil"/>
              <w:left w:val="single" w:sz="4" w:space="0" w:color="auto"/>
              <w:bottom w:val="nil"/>
              <w:right w:val="single" w:sz="4" w:space="0" w:color="auto"/>
            </w:tcBorders>
          </w:tcPr>
          <w:p w14:paraId="515DD2E8"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1770FF80"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65069695"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48CBBE1A" w14:textId="77777777" w:rsidR="00BA31EA" w:rsidRPr="000E3A45" w:rsidRDefault="00BA31EA" w:rsidP="00BA31EA">
            <w:pPr>
              <w:ind w:right="227"/>
              <w:jc w:val="right"/>
              <w:rPr>
                <w:sz w:val="14"/>
                <w:szCs w:val="14"/>
              </w:rPr>
            </w:pPr>
          </w:p>
        </w:tc>
      </w:tr>
      <w:tr w:rsidR="00BA31EA" w:rsidRPr="000E3A45" w14:paraId="7E335F0A" w14:textId="77777777" w:rsidTr="00202E4C">
        <w:trPr>
          <w:jc w:val="center"/>
        </w:trPr>
        <w:tc>
          <w:tcPr>
            <w:tcW w:w="1304" w:type="dxa"/>
            <w:tcBorders>
              <w:top w:val="nil"/>
              <w:left w:val="single" w:sz="4" w:space="0" w:color="auto"/>
              <w:bottom w:val="nil"/>
              <w:right w:val="single" w:sz="4" w:space="0" w:color="auto"/>
            </w:tcBorders>
          </w:tcPr>
          <w:p w14:paraId="404CC422" w14:textId="68EE2D62" w:rsidR="00BA31EA" w:rsidRPr="000E3A45" w:rsidRDefault="00BA31EA" w:rsidP="00BA31EA">
            <w:pPr>
              <w:rPr>
                <w:sz w:val="14"/>
                <w:szCs w:val="14"/>
              </w:rPr>
            </w:pPr>
            <w:r>
              <w:rPr>
                <w:sz w:val="14"/>
                <w:szCs w:val="14"/>
              </w:rPr>
              <w:t>23</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5C0D2883" w14:textId="4D21B599" w:rsidR="00BA31EA" w:rsidRPr="000E3A45" w:rsidRDefault="00BA31EA" w:rsidP="00BA31EA">
            <w:pPr>
              <w:ind w:right="170"/>
              <w:jc w:val="right"/>
              <w:rPr>
                <w:sz w:val="14"/>
                <w:szCs w:val="14"/>
              </w:rPr>
            </w:pPr>
            <w:r>
              <w:rPr>
                <w:sz w:val="14"/>
                <w:szCs w:val="14"/>
              </w:rPr>
              <w:t>59.77</w:t>
            </w:r>
          </w:p>
        </w:tc>
        <w:tc>
          <w:tcPr>
            <w:tcW w:w="1021" w:type="dxa"/>
            <w:tcBorders>
              <w:top w:val="nil"/>
              <w:left w:val="single" w:sz="4" w:space="0" w:color="auto"/>
              <w:bottom w:val="nil"/>
              <w:right w:val="single" w:sz="4" w:space="0" w:color="auto"/>
            </w:tcBorders>
          </w:tcPr>
          <w:p w14:paraId="7FD81376" w14:textId="29584A59" w:rsidR="00BA31EA" w:rsidRPr="000E3A45" w:rsidRDefault="00BA31EA" w:rsidP="00BA31EA">
            <w:pPr>
              <w:ind w:right="227"/>
              <w:jc w:val="right"/>
              <w:rPr>
                <w:sz w:val="14"/>
                <w:szCs w:val="14"/>
              </w:rPr>
            </w:pPr>
            <w:r>
              <w:rPr>
                <w:sz w:val="14"/>
                <w:szCs w:val="14"/>
              </w:rPr>
              <w:t>49.51</w:t>
            </w:r>
          </w:p>
        </w:tc>
        <w:tc>
          <w:tcPr>
            <w:tcW w:w="1021" w:type="dxa"/>
            <w:tcBorders>
              <w:top w:val="nil"/>
              <w:left w:val="single" w:sz="4" w:space="0" w:color="auto"/>
              <w:bottom w:val="nil"/>
              <w:right w:val="single" w:sz="4" w:space="0" w:color="auto"/>
            </w:tcBorders>
          </w:tcPr>
          <w:p w14:paraId="1F6F88F6" w14:textId="439DCA01" w:rsidR="00BA31EA" w:rsidRPr="000E3A45" w:rsidRDefault="00867100" w:rsidP="00BA31EA">
            <w:pPr>
              <w:ind w:right="227"/>
              <w:jc w:val="right"/>
              <w:rPr>
                <w:sz w:val="14"/>
                <w:szCs w:val="14"/>
              </w:rPr>
            </w:pPr>
            <w:r>
              <w:rPr>
                <w:sz w:val="14"/>
                <w:szCs w:val="14"/>
              </w:rPr>
              <w:t>47.27</w:t>
            </w:r>
          </w:p>
        </w:tc>
        <w:tc>
          <w:tcPr>
            <w:tcW w:w="1304" w:type="dxa"/>
            <w:tcBorders>
              <w:top w:val="nil"/>
              <w:left w:val="single" w:sz="4" w:space="0" w:color="auto"/>
              <w:bottom w:val="nil"/>
              <w:right w:val="single" w:sz="4" w:space="0" w:color="auto"/>
            </w:tcBorders>
          </w:tcPr>
          <w:p w14:paraId="14E5F8D9"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55884824"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68446677"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231BD7D2" w14:textId="77777777" w:rsidR="00BA31EA" w:rsidRPr="000E3A45" w:rsidRDefault="00BA31EA" w:rsidP="00BA31EA">
            <w:pPr>
              <w:ind w:right="227"/>
              <w:jc w:val="right"/>
              <w:rPr>
                <w:sz w:val="14"/>
                <w:szCs w:val="14"/>
              </w:rPr>
            </w:pPr>
          </w:p>
        </w:tc>
      </w:tr>
      <w:tr w:rsidR="00BA31EA" w:rsidRPr="000E3A45" w14:paraId="09B2EC13" w14:textId="77777777" w:rsidTr="00202E4C">
        <w:trPr>
          <w:jc w:val="center"/>
        </w:trPr>
        <w:tc>
          <w:tcPr>
            <w:tcW w:w="1304" w:type="dxa"/>
            <w:tcBorders>
              <w:top w:val="nil"/>
              <w:left w:val="single" w:sz="4" w:space="0" w:color="auto"/>
              <w:bottom w:val="nil"/>
              <w:right w:val="single" w:sz="4" w:space="0" w:color="auto"/>
            </w:tcBorders>
          </w:tcPr>
          <w:p w14:paraId="13D1F4FA" w14:textId="5C189648" w:rsidR="00BA31EA" w:rsidRPr="000E3A45" w:rsidRDefault="00BA31EA" w:rsidP="00BA31EA">
            <w:pPr>
              <w:rPr>
                <w:sz w:val="14"/>
                <w:szCs w:val="14"/>
              </w:rPr>
            </w:pPr>
            <w:r>
              <w:rPr>
                <w:sz w:val="14"/>
                <w:szCs w:val="14"/>
              </w:rPr>
              <w:t>24</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78AFD57C" w14:textId="21409935" w:rsidR="00BA31EA" w:rsidRPr="000E3A45" w:rsidRDefault="00BA31EA" w:rsidP="00BA31EA">
            <w:pPr>
              <w:ind w:right="170"/>
              <w:jc w:val="right"/>
              <w:rPr>
                <w:sz w:val="14"/>
                <w:szCs w:val="14"/>
              </w:rPr>
            </w:pPr>
            <w:r>
              <w:rPr>
                <w:sz w:val="14"/>
                <w:szCs w:val="14"/>
              </w:rPr>
              <w:t>60.97</w:t>
            </w:r>
          </w:p>
        </w:tc>
        <w:tc>
          <w:tcPr>
            <w:tcW w:w="1021" w:type="dxa"/>
            <w:tcBorders>
              <w:top w:val="nil"/>
              <w:left w:val="single" w:sz="4" w:space="0" w:color="auto"/>
              <w:bottom w:val="nil"/>
              <w:right w:val="single" w:sz="4" w:space="0" w:color="auto"/>
            </w:tcBorders>
          </w:tcPr>
          <w:p w14:paraId="0C9DFEDF" w14:textId="3B28F4F3" w:rsidR="00BA31EA" w:rsidRPr="000E3A45" w:rsidRDefault="00BA31EA" w:rsidP="00BA31EA">
            <w:pPr>
              <w:ind w:right="227"/>
              <w:jc w:val="right"/>
              <w:rPr>
                <w:sz w:val="14"/>
                <w:szCs w:val="14"/>
              </w:rPr>
            </w:pPr>
            <w:r>
              <w:rPr>
                <w:sz w:val="14"/>
                <w:szCs w:val="14"/>
              </w:rPr>
              <w:t>48.40</w:t>
            </w:r>
          </w:p>
        </w:tc>
        <w:tc>
          <w:tcPr>
            <w:tcW w:w="1021" w:type="dxa"/>
            <w:tcBorders>
              <w:top w:val="nil"/>
              <w:left w:val="single" w:sz="4" w:space="0" w:color="auto"/>
              <w:bottom w:val="nil"/>
              <w:right w:val="single" w:sz="4" w:space="0" w:color="auto"/>
            </w:tcBorders>
          </w:tcPr>
          <w:p w14:paraId="24475834" w14:textId="175B5086" w:rsidR="00BA31EA" w:rsidRPr="000E3A45" w:rsidRDefault="00867100" w:rsidP="00BA31EA">
            <w:pPr>
              <w:ind w:right="227"/>
              <w:jc w:val="right"/>
              <w:rPr>
                <w:sz w:val="14"/>
                <w:szCs w:val="14"/>
              </w:rPr>
            </w:pPr>
            <w:r>
              <w:rPr>
                <w:sz w:val="14"/>
                <w:szCs w:val="14"/>
              </w:rPr>
              <w:t>47.19</w:t>
            </w:r>
          </w:p>
        </w:tc>
        <w:tc>
          <w:tcPr>
            <w:tcW w:w="1304" w:type="dxa"/>
            <w:tcBorders>
              <w:top w:val="nil"/>
              <w:left w:val="single" w:sz="4" w:space="0" w:color="auto"/>
              <w:bottom w:val="nil"/>
              <w:right w:val="single" w:sz="4" w:space="0" w:color="auto"/>
            </w:tcBorders>
          </w:tcPr>
          <w:p w14:paraId="600F764A"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4C39E5F3"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643778C9"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3F21AB3C" w14:textId="77777777" w:rsidR="00BA31EA" w:rsidRPr="000E3A45" w:rsidRDefault="00BA31EA" w:rsidP="00BA31EA">
            <w:pPr>
              <w:ind w:right="227"/>
              <w:jc w:val="right"/>
              <w:rPr>
                <w:sz w:val="14"/>
                <w:szCs w:val="14"/>
              </w:rPr>
            </w:pPr>
          </w:p>
        </w:tc>
      </w:tr>
      <w:tr w:rsidR="00BA31EA" w:rsidRPr="000E3A45" w14:paraId="586499F8" w14:textId="77777777" w:rsidTr="00202E4C">
        <w:trPr>
          <w:jc w:val="center"/>
        </w:trPr>
        <w:tc>
          <w:tcPr>
            <w:tcW w:w="1304" w:type="dxa"/>
            <w:tcBorders>
              <w:top w:val="nil"/>
              <w:left w:val="single" w:sz="4" w:space="0" w:color="auto"/>
              <w:bottom w:val="nil"/>
              <w:right w:val="single" w:sz="4" w:space="0" w:color="auto"/>
            </w:tcBorders>
          </w:tcPr>
          <w:p w14:paraId="30174F1F" w14:textId="58BE7A80" w:rsidR="00BA31EA" w:rsidRPr="000E3A45" w:rsidRDefault="00BA31EA" w:rsidP="00BA31EA">
            <w:pPr>
              <w:rPr>
                <w:sz w:val="14"/>
                <w:szCs w:val="14"/>
              </w:rPr>
            </w:pPr>
            <w:r>
              <w:rPr>
                <w:sz w:val="14"/>
                <w:szCs w:val="14"/>
              </w:rPr>
              <w:t>25</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09433746" w14:textId="46424BF0" w:rsidR="00BA31EA" w:rsidRPr="000E3A45" w:rsidRDefault="00BA31EA" w:rsidP="00BA31EA">
            <w:pPr>
              <w:ind w:right="170"/>
              <w:jc w:val="right"/>
              <w:rPr>
                <w:sz w:val="14"/>
                <w:szCs w:val="14"/>
              </w:rPr>
            </w:pPr>
            <w:r>
              <w:rPr>
                <w:sz w:val="14"/>
                <w:szCs w:val="14"/>
              </w:rPr>
              <w:t>60.41</w:t>
            </w:r>
          </w:p>
        </w:tc>
        <w:tc>
          <w:tcPr>
            <w:tcW w:w="1021" w:type="dxa"/>
            <w:tcBorders>
              <w:top w:val="nil"/>
              <w:left w:val="single" w:sz="4" w:space="0" w:color="auto"/>
              <w:bottom w:val="nil"/>
              <w:right w:val="single" w:sz="4" w:space="0" w:color="auto"/>
            </w:tcBorders>
          </w:tcPr>
          <w:p w14:paraId="72AC3831" w14:textId="2D49E618" w:rsidR="00BA31EA" w:rsidRPr="000E3A45" w:rsidRDefault="00BA31EA" w:rsidP="00BA31EA">
            <w:pPr>
              <w:ind w:right="227"/>
              <w:jc w:val="right"/>
              <w:rPr>
                <w:sz w:val="14"/>
                <w:szCs w:val="14"/>
              </w:rPr>
            </w:pPr>
            <w:r>
              <w:rPr>
                <w:sz w:val="14"/>
                <w:szCs w:val="14"/>
              </w:rPr>
              <w:t>50.15</w:t>
            </w:r>
          </w:p>
        </w:tc>
        <w:tc>
          <w:tcPr>
            <w:tcW w:w="1021" w:type="dxa"/>
            <w:tcBorders>
              <w:top w:val="nil"/>
              <w:left w:val="single" w:sz="4" w:space="0" w:color="auto"/>
              <w:bottom w:val="nil"/>
              <w:right w:val="single" w:sz="4" w:space="0" w:color="auto"/>
            </w:tcBorders>
          </w:tcPr>
          <w:p w14:paraId="53F49FBE" w14:textId="252CD516" w:rsidR="00BA31EA" w:rsidRPr="000E3A45" w:rsidRDefault="00867100" w:rsidP="00BA31EA">
            <w:pPr>
              <w:ind w:right="227"/>
              <w:jc w:val="right"/>
              <w:rPr>
                <w:sz w:val="14"/>
                <w:szCs w:val="14"/>
              </w:rPr>
            </w:pPr>
            <w:r>
              <w:rPr>
                <w:sz w:val="14"/>
                <w:szCs w:val="14"/>
              </w:rPr>
              <w:t>47.97</w:t>
            </w:r>
          </w:p>
        </w:tc>
        <w:tc>
          <w:tcPr>
            <w:tcW w:w="1304" w:type="dxa"/>
            <w:tcBorders>
              <w:top w:val="nil"/>
              <w:left w:val="single" w:sz="4" w:space="0" w:color="auto"/>
              <w:bottom w:val="nil"/>
              <w:right w:val="single" w:sz="4" w:space="0" w:color="auto"/>
            </w:tcBorders>
          </w:tcPr>
          <w:p w14:paraId="6AA1243F"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42F87820"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51254B66"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1ECA77DA" w14:textId="77777777" w:rsidR="00BA31EA" w:rsidRPr="000E3A45" w:rsidRDefault="00BA31EA" w:rsidP="00BA31EA">
            <w:pPr>
              <w:ind w:right="227"/>
              <w:jc w:val="right"/>
              <w:rPr>
                <w:sz w:val="14"/>
                <w:szCs w:val="14"/>
              </w:rPr>
            </w:pPr>
          </w:p>
        </w:tc>
      </w:tr>
      <w:tr w:rsidR="00BA31EA" w:rsidRPr="000E3A45" w14:paraId="4FEF86EE" w14:textId="77777777" w:rsidTr="00202E4C">
        <w:trPr>
          <w:jc w:val="center"/>
        </w:trPr>
        <w:tc>
          <w:tcPr>
            <w:tcW w:w="1304" w:type="dxa"/>
            <w:tcBorders>
              <w:top w:val="nil"/>
              <w:left w:val="single" w:sz="4" w:space="0" w:color="auto"/>
              <w:bottom w:val="nil"/>
              <w:right w:val="single" w:sz="4" w:space="0" w:color="auto"/>
            </w:tcBorders>
          </w:tcPr>
          <w:p w14:paraId="2673ACA4" w14:textId="0D07D0B3" w:rsidR="00BA31EA" w:rsidRPr="000E3A45" w:rsidRDefault="00BA31EA" w:rsidP="00BA31EA">
            <w:pPr>
              <w:rPr>
                <w:sz w:val="14"/>
                <w:szCs w:val="14"/>
              </w:rPr>
            </w:pPr>
            <w:r>
              <w:rPr>
                <w:sz w:val="14"/>
                <w:szCs w:val="14"/>
              </w:rPr>
              <w:t>26</w:t>
            </w:r>
            <w:r w:rsidRPr="000E3A45">
              <w:rPr>
                <w:sz w:val="14"/>
                <w:szCs w:val="14"/>
              </w:rPr>
              <w:t>/</w:t>
            </w:r>
            <w:r>
              <w:rPr>
                <w:sz w:val="14"/>
                <w:szCs w:val="14"/>
              </w:rPr>
              <w:t>I</w:t>
            </w:r>
            <w:r w:rsidRPr="000E3A45">
              <w:rPr>
                <w:sz w:val="14"/>
                <w:szCs w:val="14"/>
              </w:rPr>
              <w:t>I/2015</w:t>
            </w:r>
          </w:p>
        </w:tc>
        <w:tc>
          <w:tcPr>
            <w:tcW w:w="851" w:type="dxa"/>
            <w:tcBorders>
              <w:top w:val="nil"/>
              <w:left w:val="single" w:sz="4" w:space="0" w:color="auto"/>
              <w:bottom w:val="nil"/>
              <w:right w:val="single" w:sz="4" w:space="0" w:color="auto"/>
            </w:tcBorders>
          </w:tcPr>
          <w:p w14:paraId="3EB2D87C" w14:textId="78680D2D" w:rsidR="00BA31EA" w:rsidRPr="000E3A45" w:rsidRDefault="00BA31EA" w:rsidP="00BA31EA">
            <w:pPr>
              <w:ind w:right="170"/>
              <w:jc w:val="right"/>
              <w:rPr>
                <w:sz w:val="14"/>
                <w:szCs w:val="14"/>
              </w:rPr>
            </w:pPr>
            <w:r>
              <w:rPr>
                <w:sz w:val="14"/>
                <w:szCs w:val="14"/>
              </w:rPr>
              <w:t>62.03</w:t>
            </w:r>
          </w:p>
        </w:tc>
        <w:tc>
          <w:tcPr>
            <w:tcW w:w="1021" w:type="dxa"/>
            <w:tcBorders>
              <w:top w:val="nil"/>
              <w:left w:val="single" w:sz="4" w:space="0" w:color="auto"/>
              <w:bottom w:val="nil"/>
              <w:right w:val="single" w:sz="4" w:space="0" w:color="auto"/>
            </w:tcBorders>
          </w:tcPr>
          <w:p w14:paraId="6E27DCC5" w14:textId="070CFC11" w:rsidR="00BA31EA" w:rsidRPr="000E3A45" w:rsidRDefault="00BA31EA" w:rsidP="00BA31EA">
            <w:pPr>
              <w:ind w:right="227"/>
              <w:jc w:val="right"/>
              <w:rPr>
                <w:sz w:val="14"/>
                <w:szCs w:val="14"/>
              </w:rPr>
            </w:pPr>
            <w:r>
              <w:rPr>
                <w:sz w:val="14"/>
                <w:szCs w:val="14"/>
              </w:rPr>
              <w:t>47.60</w:t>
            </w:r>
          </w:p>
        </w:tc>
        <w:tc>
          <w:tcPr>
            <w:tcW w:w="1021" w:type="dxa"/>
            <w:tcBorders>
              <w:top w:val="nil"/>
              <w:left w:val="single" w:sz="4" w:space="0" w:color="auto"/>
              <w:bottom w:val="nil"/>
              <w:right w:val="single" w:sz="4" w:space="0" w:color="auto"/>
            </w:tcBorders>
          </w:tcPr>
          <w:p w14:paraId="0A4D5599" w14:textId="43F76D81" w:rsidR="00BA31EA" w:rsidRPr="000E3A45" w:rsidRDefault="00867100" w:rsidP="00BA31EA">
            <w:pPr>
              <w:ind w:right="227"/>
              <w:jc w:val="right"/>
              <w:rPr>
                <w:sz w:val="14"/>
                <w:szCs w:val="14"/>
              </w:rPr>
            </w:pPr>
            <w:r>
              <w:rPr>
                <w:sz w:val="14"/>
                <w:szCs w:val="14"/>
              </w:rPr>
              <w:t>48.55</w:t>
            </w:r>
          </w:p>
        </w:tc>
        <w:tc>
          <w:tcPr>
            <w:tcW w:w="1304" w:type="dxa"/>
            <w:tcBorders>
              <w:top w:val="nil"/>
              <w:left w:val="single" w:sz="4" w:space="0" w:color="auto"/>
              <w:bottom w:val="nil"/>
              <w:right w:val="single" w:sz="4" w:space="0" w:color="auto"/>
            </w:tcBorders>
          </w:tcPr>
          <w:p w14:paraId="53D994F0"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5D33AA88"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2221FA1A"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0C8470FE" w14:textId="77777777" w:rsidR="00BA31EA" w:rsidRPr="000E3A45" w:rsidRDefault="00BA31EA" w:rsidP="00BA31EA">
            <w:pPr>
              <w:ind w:right="227"/>
              <w:jc w:val="right"/>
              <w:rPr>
                <w:sz w:val="14"/>
                <w:szCs w:val="14"/>
              </w:rPr>
            </w:pPr>
          </w:p>
        </w:tc>
      </w:tr>
      <w:tr w:rsidR="00BA31EA" w:rsidRPr="000E3A45" w14:paraId="47D05335" w14:textId="77777777" w:rsidTr="00202E4C">
        <w:trPr>
          <w:jc w:val="center"/>
        </w:trPr>
        <w:tc>
          <w:tcPr>
            <w:tcW w:w="1304" w:type="dxa"/>
            <w:tcBorders>
              <w:top w:val="nil"/>
              <w:left w:val="single" w:sz="4" w:space="0" w:color="auto"/>
              <w:bottom w:val="nil"/>
              <w:right w:val="single" w:sz="4" w:space="0" w:color="auto"/>
            </w:tcBorders>
          </w:tcPr>
          <w:p w14:paraId="33183D51" w14:textId="077F341D" w:rsidR="00BA31EA" w:rsidRPr="000E3A45" w:rsidRDefault="00BA31EA" w:rsidP="00BA31EA">
            <w:pPr>
              <w:rPr>
                <w:sz w:val="14"/>
                <w:szCs w:val="14"/>
              </w:rPr>
            </w:pPr>
            <w:r>
              <w:rPr>
                <w:sz w:val="14"/>
                <w:szCs w:val="14"/>
              </w:rPr>
              <w:t>27/</w:t>
            </w:r>
            <w:r w:rsidRPr="000E3A45">
              <w:rPr>
                <w:sz w:val="14"/>
                <w:szCs w:val="14"/>
              </w:rPr>
              <w:t>I</w:t>
            </w:r>
            <w:r>
              <w:rPr>
                <w:sz w:val="14"/>
                <w:szCs w:val="14"/>
              </w:rPr>
              <w:t>I</w:t>
            </w:r>
            <w:r w:rsidRPr="000E3A45">
              <w:rPr>
                <w:sz w:val="14"/>
                <w:szCs w:val="14"/>
              </w:rPr>
              <w:t>/2015</w:t>
            </w:r>
          </w:p>
        </w:tc>
        <w:tc>
          <w:tcPr>
            <w:tcW w:w="851" w:type="dxa"/>
            <w:tcBorders>
              <w:top w:val="nil"/>
              <w:left w:val="single" w:sz="4" w:space="0" w:color="auto"/>
              <w:bottom w:val="nil"/>
              <w:right w:val="single" w:sz="4" w:space="0" w:color="auto"/>
            </w:tcBorders>
          </w:tcPr>
          <w:p w14:paraId="43F512A2" w14:textId="4ACE7321" w:rsidR="00BA31EA" w:rsidRPr="000E3A45" w:rsidRDefault="00BA31EA" w:rsidP="00BA31EA">
            <w:pPr>
              <w:ind w:right="170"/>
              <w:jc w:val="right"/>
              <w:rPr>
                <w:sz w:val="14"/>
                <w:szCs w:val="14"/>
              </w:rPr>
            </w:pPr>
            <w:r>
              <w:rPr>
                <w:sz w:val="14"/>
                <w:szCs w:val="14"/>
              </w:rPr>
              <w:t>62.53</w:t>
            </w:r>
          </w:p>
        </w:tc>
        <w:tc>
          <w:tcPr>
            <w:tcW w:w="1021" w:type="dxa"/>
            <w:tcBorders>
              <w:top w:val="nil"/>
              <w:left w:val="single" w:sz="4" w:space="0" w:color="auto"/>
              <w:bottom w:val="nil"/>
              <w:right w:val="single" w:sz="4" w:space="0" w:color="auto"/>
            </w:tcBorders>
          </w:tcPr>
          <w:p w14:paraId="2BD8B243" w14:textId="182EC762" w:rsidR="00BA31EA" w:rsidRPr="000E3A45" w:rsidRDefault="00BA31EA" w:rsidP="00BA31EA">
            <w:pPr>
              <w:ind w:right="227"/>
              <w:jc w:val="right"/>
              <w:rPr>
                <w:sz w:val="14"/>
                <w:szCs w:val="14"/>
              </w:rPr>
            </w:pPr>
            <w:r>
              <w:rPr>
                <w:sz w:val="14"/>
                <w:szCs w:val="14"/>
              </w:rPr>
              <w:t>49.79</w:t>
            </w:r>
          </w:p>
        </w:tc>
        <w:tc>
          <w:tcPr>
            <w:tcW w:w="1021" w:type="dxa"/>
            <w:tcBorders>
              <w:top w:val="nil"/>
              <w:left w:val="single" w:sz="4" w:space="0" w:color="auto"/>
              <w:bottom w:val="nil"/>
              <w:right w:val="single" w:sz="4" w:space="0" w:color="auto"/>
            </w:tcBorders>
          </w:tcPr>
          <w:p w14:paraId="333B6CE9" w14:textId="0630D6C4" w:rsidR="00BA31EA" w:rsidRPr="000E3A45" w:rsidRDefault="00867100" w:rsidP="00BA31EA">
            <w:pPr>
              <w:ind w:right="227"/>
              <w:jc w:val="right"/>
              <w:rPr>
                <w:sz w:val="14"/>
                <w:szCs w:val="14"/>
              </w:rPr>
            </w:pPr>
            <w:r>
              <w:rPr>
                <w:sz w:val="14"/>
                <w:szCs w:val="14"/>
              </w:rPr>
              <w:t>49.51</w:t>
            </w:r>
          </w:p>
        </w:tc>
        <w:tc>
          <w:tcPr>
            <w:tcW w:w="1304" w:type="dxa"/>
            <w:tcBorders>
              <w:top w:val="nil"/>
              <w:left w:val="single" w:sz="4" w:space="0" w:color="auto"/>
              <w:bottom w:val="nil"/>
              <w:right w:val="single" w:sz="4" w:space="0" w:color="auto"/>
            </w:tcBorders>
          </w:tcPr>
          <w:p w14:paraId="09CE05CF"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3FC17D89"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7CF9D878"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17F25C6C" w14:textId="77777777" w:rsidR="00BA31EA" w:rsidRPr="000E3A45" w:rsidRDefault="00BA31EA" w:rsidP="00BA31EA">
            <w:pPr>
              <w:ind w:right="227"/>
              <w:jc w:val="right"/>
              <w:rPr>
                <w:sz w:val="14"/>
                <w:szCs w:val="14"/>
              </w:rPr>
            </w:pPr>
          </w:p>
        </w:tc>
      </w:tr>
      <w:tr w:rsidR="00BA31EA" w:rsidRPr="000E3A45" w14:paraId="471FFC37" w14:textId="77777777" w:rsidTr="00202E4C">
        <w:trPr>
          <w:jc w:val="center"/>
        </w:trPr>
        <w:tc>
          <w:tcPr>
            <w:tcW w:w="1304" w:type="dxa"/>
            <w:tcBorders>
              <w:top w:val="nil"/>
              <w:left w:val="single" w:sz="4" w:space="0" w:color="auto"/>
              <w:bottom w:val="nil"/>
              <w:right w:val="single" w:sz="4" w:space="0" w:color="auto"/>
            </w:tcBorders>
          </w:tcPr>
          <w:p w14:paraId="1E14E608" w14:textId="35FEFD59"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22C98937" w14:textId="79F92D85"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28A1C153" w14:textId="7793BE51"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6082456C" w14:textId="4ED25F02"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00AE29E3"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3489A14A"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1EFD53BA"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7781BC41" w14:textId="77777777" w:rsidR="00BA31EA" w:rsidRPr="000E3A45" w:rsidRDefault="00BA31EA" w:rsidP="00BA31EA">
            <w:pPr>
              <w:ind w:right="227"/>
              <w:jc w:val="right"/>
              <w:rPr>
                <w:sz w:val="14"/>
                <w:szCs w:val="14"/>
              </w:rPr>
            </w:pPr>
          </w:p>
        </w:tc>
      </w:tr>
      <w:tr w:rsidR="00BA31EA" w:rsidRPr="000E3A45" w14:paraId="202B3257" w14:textId="77777777" w:rsidTr="009F75E2">
        <w:trPr>
          <w:jc w:val="center"/>
        </w:trPr>
        <w:tc>
          <w:tcPr>
            <w:tcW w:w="1304" w:type="dxa"/>
            <w:tcBorders>
              <w:top w:val="nil"/>
              <w:left w:val="single" w:sz="4" w:space="0" w:color="auto"/>
              <w:bottom w:val="nil"/>
              <w:right w:val="single" w:sz="4" w:space="0" w:color="auto"/>
            </w:tcBorders>
          </w:tcPr>
          <w:p w14:paraId="311BB01C" w14:textId="124A1DBF"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0E3FEBC1" w14:textId="560D680D"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45440CD3" w14:textId="28A17B8C"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5EACDFF4" w14:textId="67545082"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291883A9"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2C7FB314"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3A05C116"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09CD3306" w14:textId="77777777" w:rsidR="00BA31EA" w:rsidRPr="000E3A45" w:rsidRDefault="00BA31EA" w:rsidP="00BA31EA">
            <w:pPr>
              <w:ind w:right="227"/>
              <w:jc w:val="right"/>
              <w:rPr>
                <w:sz w:val="14"/>
                <w:szCs w:val="14"/>
              </w:rPr>
            </w:pPr>
          </w:p>
        </w:tc>
      </w:tr>
      <w:tr w:rsidR="00BA31EA" w:rsidRPr="000E3A45" w14:paraId="1F7B5AB5" w14:textId="77777777" w:rsidTr="009F75E2">
        <w:trPr>
          <w:jc w:val="center"/>
        </w:trPr>
        <w:tc>
          <w:tcPr>
            <w:tcW w:w="1304" w:type="dxa"/>
            <w:tcBorders>
              <w:top w:val="nil"/>
              <w:left w:val="single" w:sz="4" w:space="0" w:color="auto"/>
              <w:bottom w:val="nil"/>
              <w:right w:val="single" w:sz="4" w:space="0" w:color="auto"/>
            </w:tcBorders>
          </w:tcPr>
          <w:p w14:paraId="3437002F" w14:textId="7ED5B22D"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3D0ED6FA" w14:textId="6562153D"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7D5A0EBB" w14:textId="214B6B5A"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02F41AF1" w14:textId="1FE14CC9"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69BA3E87"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28FDBCFA"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29479DEF"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3B82AEDE" w14:textId="77777777" w:rsidR="00BA31EA" w:rsidRPr="000E3A45" w:rsidRDefault="00BA31EA" w:rsidP="00BA31EA">
            <w:pPr>
              <w:ind w:right="227"/>
              <w:jc w:val="right"/>
              <w:rPr>
                <w:sz w:val="14"/>
                <w:szCs w:val="14"/>
              </w:rPr>
            </w:pPr>
          </w:p>
        </w:tc>
      </w:tr>
      <w:tr w:rsidR="00BA31EA" w:rsidRPr="000E3A45" w14:paraId="3BE3192C" w14:textId="77777777" w:rsidTr="009F75E2">
        <w:trPr>
          <w:jc w:val="center"/>
        </w:trPr>
        <w:tc>
          <w:tcPr>
            <w:tcW w:w="1304" w:type="dxa"/>
            <w:tcBorders>
              <w:top w:val="nil"/>
              <w:left w:val="single" w:sz="4" w:space="0" w:color="auto"/>
              <w:bottom w:val="nil"/>
              <w:right w:val="single" w:sz="4" w:space="0" w:color="auto"/>
            </w:tcBorders>
          </w:tcPr>
          <w:p w14:paraId="5A53A659" w14:textId="5FBF358F"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562180F1"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5E5C8ADF"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1F486761" w14:textId="77777777"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37B2A9F6"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5C2F2545"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17B5BF48"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3277E042" w14:textId="77777777" w:rsidR="00BA31EA" w:rsidRPr="000E3A45" w:rsidRDefault="00BA31EA" w:rsidP="00BA31EA">
            <w:pPr>
              <w:ind w:right="227"/>
              <w:jc w:val="right"/>
              <w:rPr>
                <w:sz w:val="14"/>
                <w:szCs w:val="14"/>
              </w:rPr>
            </w:pPr>
          </w:p>
        </w:tc>
      </w:tr>
      <w:tr w:rsidR="00BA31EA" w:rsidRPr="000E3A45" w14:paraId="7F7E98D2" w14:textId="77777777" w:rsidTr="009F75E2">
        <w:trPr>
          <w:jc w:val="center"/>
        </w:trPr>
        <w:tc>
          <w:tcPr>
            <w:tcW w:w="1304" w:type="dxa"/>
            <w:tcBorders>
              <w:top w:val="nil"/>
              <w:left w:val="single" w:sz="4" w:space="0" w:color="auto"/>
              <w:bottom w:val="single" w:sz="4" w:space="0" w:color="auto"/>
              <w:right w:val="single" w:sz="4" w:space="0" w:color="auto"/>
            </w:tcBorders>
          </w:tcPr>
          <w:p w14:paraId="38E471CE" w14:textId="0496EA45" w:rsidR="00BA31EA" w:rsidRPr="000E3A45" w:rsidRDefault="00BA31EA" w:rsidP="00BA31EA">
            <w:pPr>
              <w:rPr>
                <w:sz w:val="14"/>
                <w:szCs w:val="14"/>
              </w:rPr>
            </w:pPr>
          </w:p>
        </w:tc>
        <w:tc>
          <w:tcPr>
            <w:tcW w:w="851" w:type="dxa"/>
            <w:tcBorders>
              <w:top w:val="nil"/>
              <w:left w:val="single" w:sz="4" w:space="0" w:color="auto"/>
              <w:bottom w:val="single" w:sz="4" w:space="0" w:color="auto"/>
              <w:right w:val="single" w:sz="4" w:space="0" w:color="auto"/>
            </w:tcBorders>
          </w:tcPr>
          <w:p w14:paraId="2EEEB8CA" w14:textId="77777777" w:rsidR="00BA31EA" w:rsidRPr="000E3A45" w:rsidRDefault="00BA31EA" w:rsidP="00BA31EA">
            <w:pPr>
              <w:ind w:right="170"/>
              <w:jc w:val="right"/>
              <w:rPr>
                <w:sz w:val="14"/>
                <w:szCs w:val="14"/>
              </w:rPr>
            </w:pPr>
          </w:p>
        </w:tc>
        <w:tc>
          <w:tcPr>
            <w:tcW w:w="1021" w:type="dxa"/>
            <w:tcBorders>
              <w:top w:val="nil"/>
              <w:left w:val="single" w:sz="4" w:space="0" w:color="auto"/>
              <w:bottom w:val="single" w:sz="4" w:space="0" w:color="auto"/>
              <w:right w:val="single" w:sz="4" w:space="0" w:color="auto"/>
            </w:tcBorders>
          </w:tcPr>
          <w:p w14:paraId="1733E5C4" w14:textId="77777777" w:rsidR="00BA31EA" w:rsidRPr="000E3A45" w:rsidRDefault="00BA31EA" w:rsidP="00BA31EA">
            <w:pPr>
              <w:ind w:right="227"/>
              <w:jc w:val="right"/>
              <w:rPr>
                <w:sz w:val="14"/>
                <w:szCs w:val="14"/>
              </w:rPr>
            </w:pPr>
          </w:p>
        </w:tc>
        <w:tc>
          <w:tcPr>
            <w:tcW w:w="1021" w:type="dxa"/>
            <w:tcBorders>
              <w:top w:val="nil"/>
              <w:left w:val="single" w:sz="4" w:space="0" w:color="auto"/>
              <w:bottom w:val="single" w:sz="4" w:space="0" w:color="auto"/>
              <w:right w:val="single" w:sz="4" w:space="0" w:color="auto"/>
            </w:tcBorders>
          </w:tcPr>
          <w:p w14:paraId="3D025583" w14:textId="77777777" w:rsidR="00BA31EA" w:rsidRPr="000E3A45" w:rsidRDefault="00BA31EA" w:rsidP="00BA31EA">
            <w:pPr>
              <w:ind w:right="227"/>
              <w:jc w:val="right"/>
              <w:rPr>
                <w:sz w:val="14"/>
                <w:szCs w:val="14"/>
              </w:rPr>
            </w:pPr>
          </w:p>
        </w:tc>
        <w:tc>
          <w:tcPr>
            <w:tcW w:w="1304" w:type="dxa"/>
            <w:tcBorders>
              <w:top w:val="nil"/>
              <w:left w:val="single" w:sz="4" w:space="0" w:color="auto"/>
              <w:bottom w:val="single" w:sz="4" w:space="0" w:color="auto"/>
              <w:right w:val="single" w:sz="4" w:space="0" w:color="auto"/>
            </w:tcBorders>
          </w:tcPr>
          <w:p w14:paraId="1D975D1B" w14:textId="77777777" w:rsidR="00BA31EA" w:rsidRPr="000E3A45" w:rsidRDefault="00BA31EA" w:rsidP="00BA31EA">
            <w:pPr>
              <w:rPr>
                <w:sz w:val="14"/>
                <w:szCs w:val="14"/>
              </w:rPr>
            </w:pPr>
          </w:p>
        </w:tc>
        <w:tc>
          <w:tcPr>
            <w:tcW w:w="851" w:type="dxa"/>
            <w:tcBorders>
              <w:top w:val="nil"/>
              <w:left w:val="single" w:sz="4" w:space="0" w:color="auto"/>
              <w:bottom w:val="single" w:sz="4" w:space="0" w:color="auto"/>
              <w:right w:val="single" w:sz="4" w:space="0" w:color="auto"/>
            </w:tcBorders>
          </w:tcPr>
          <w:p w14:paraId="52DB9878" w14:textId="77777777" w:rsidR="00BA31EA" w:rsidRPr="000E3A45" w:rsidRDefault="00BA31EA" w:rsidP="00BA31EA">
            <w:pPr>
              <w:ind w:right="170"/>
              <w:jc w:val="right"/>
              <w:rPr>
                <w:sz w:val="14"/>
                <w:szCs w:val="14"/>
              </w:rPr>
            </w:pPr>
          </w:p>
        </w:tc>
        <w:tc>
          <w:tcPr>
            <w:tcW w:w="1021" w:type="dxa"/>
            <w:tcBorders>
              <w:top w:val="nil"/>
              <w:left w:val="single" w:sz="4" w:space="0" w:color="auto"/>
              <w:bottom w:val="single" w:sz="4" w:space="0" w:color="auto"/>
              <w:right w:val="single" w:sz="4" w:space="0" w:color="auto"/>
            </w:tcBorders>
          </w:tcPr>
          <w:p w14:paraId="4D750E42" w14:textId="77777777" w:rsidR="00BA31EA" w:rsidRPr="000E3A45" w:rsidRDefault="00BA31EA" w:rsidP="00BA31EA">
            <w:pPr>
              <w:ind w:right="227"/>
              <w:jc w:val="right"/>
              <w:rPr>
                <w:sz w:val="14"/>
                <w:szCs w:val="14"/>
              </w:rPr>
            </w:pPr>
          </w:p>
        </w:tc>
        <w:tc>
          <w:tcPr>
            <w:tcW w:w="1021" w:type="dxa"/>
            <w:tcBorders>
              <w:top w:val="nil"/>
              <w:left w:val="single" w:sz="4" w:space="0" w:color="auto"/>
              <w:bottom w:val="single" w:sz="4" w:space="0" w:color="auto"/>
              <w:right w:val="single" w:sz="4" w:space="0" w:color="auto"/>
            </w:tcBorders>
          </w:tcPr>
          <w:p w14:paraId="1EB0CB93" w14:textId="77777777" w:rsidR="00BA31EA" w:rsidRPr="000E3A45" w:rsidRDefault="00BA31EA" w:rsidP="00BA31EA">
            <w:pPr>
              <w:ind w:right="227"/>
              <w:jc w:val="right"/>
              <w:rPr>
                <w:sz w:val="14"/>
                <w:szCs w:val="14"/>
              </w:rPr>
            </w:pPr>
          </w:p>
        </w:tc>
      </w:tr>
      <w:tr w:rsidR="00BA31EA" w:rsidRPr="000E3A45" w14:paraId="44377640" w14:textId="77777777" w:rsidTr="00202E4C">
        <w:trPr>
          <w:jc w:val="center"/>
        </w:trPr>
        <w:tc>
          <w:tcPr>
            <w:tcW w:w="1304" w:type="dxa"/>
            <w:tcBorders>
              <w:top w:val="single" w:sz="4" w:space="0" w:color="auto"/>
              <w:left w:val="single" w:sz="4" w:space="0" w:color="auto"/>
              <w:bottom w:val="single" w:sz="4" w:space="0" w:color="auto"/>
              <w:right w:val="single" w:sz="4" w:space="0" w:color="auto"/>
            </w:tcBorders>
          </w:tcPr>
          <w:p w14:paraId="1249749E" w14:textId="33043D09" w:rsidR="00BA31EA" w:rsidRPr="000E3A45" w:rsidRDefault="00BA31EA" w:rsidP="00BA31EA">
            <w:pPr>
              <w:rPr>
                <w:b/>
                <w:sz w:val="14"/>
                <w:szCs w:val="14"/>
              </w:rPr>
            </w:pPr>
            <w:r w:rsidRPr="000E3A45">
              <w:rPr>
                <w:b/>
                <w:sz w:val="14"/>
                <w:szCs w:val="14"/>
              </w:rPr>
              <w:t xml:space="preserve">Promedio de </w:t>
            </w:r>
            <w:r>
              <w:rPr>
                <w:b/>
                <w:sz w:val="14"/>
                <w:szCs w:val="14"/>
              </w:rPr>
              <w:t>febrero</w:t>
            </w:r>
            <w:r w:rsidRPr="000E3A45">
              <w:rPr>
                <w:b/>
                <w:sz w:val="14"/>
                <w:szCs w:val="14"/>
              </w:rPr>
              <w:t xml:space="preserve"> de 201</w:t>
            </w:r>
            <w:r>
              <w:rPr>
                <w:b/>
                <w:sz w:val="14"/>
                <w:szCs w:val="14"/>
              </w:rPr>
              <w:t>5</w:t>
            </w:r>
          </w:p>
        </w:tc>
        <w:tc>
          <w:tcPr>
            <w:tcW w:w="851" w:type="dxa"/>
            <w:tcBorders>
              <w:top w:val="single" w:sz="4" w:space="0" w:color="auto"/>
              <w:left w:val="single" w:sz="4" w:space="0" w:color="auto"/>
              <w:bottom w:val="single" w:sz="4" w:space="0" w:color="auto"/>
              <w:right w:val="single" w:sz="4" w:space="0" w:color="auto"/>
            </w:tcBorders>
            <w:vAlign w:val="center"/>
          </w:tcPr>
          <w:p w14:paraId="270B9DC1" w14:textId="4063D6C5" w:rsidR="00BA31EA" w:rsidRPr="000E3A45" w:rsidRDefault="00BA31EA" w:rsidP="00BA31EA">
            <w:pPr>
              <w:ind w:right="170"/>
              <w:jc w:val="right"/>
              <w:rPr>
                <w:b/>
                <w:sz w:val="14"/>
                <w:szCs w:val="14"/>
              </w:rPr>
            </w:pPr>
            <w:r>
              <w:rPr>
                <w:b/>
                <w:sz w:val="14"/>
                <w:szCs w:val="14"/>
              </w:rPr>
              <w:t>57.95</w:t>
            </w:r>
          </w:p>
        </w:tc>
        <w:tc>
          <w:tcPr>
            <w:tcW w:w="1021" w:type="dxa"/>
            <w:tcBorders>
              <w:top w:val="single" w:sz="4" w:space="0" w:color="auto"/>
              <w:left w:val="single" w:sz="4" w:space="0" w:color="auto"/>
              <w:bottom w:val="single" w:sz="4" w:space="0" w:color="auto"/>
              <w:right w:val="single" w:sz="4" w:space="0" w:color="auto"/>
            </w:tcBorders>
            <w:vAlign w:val="center"/>
          </w:tcPr>
          <w:p w14:paraId="03AFAC1D" w14:textId="2DBD35D4" w:rsidR="00BA31EA" w:rsidRPr="000E3A45" w:rsidRDefault="00BA31EA" w:rsidP="00BA31EA">
            <w:pPr>
              <w:ind w:right="227"/>
              <w:jc w:val="right"/>
              <w:rPr>
                <w:b/>
                <w:sz w:val="14"/>
                <w:szCs w:val="14"/>
              </w:rPr>
            </w:pPr>
            <w:r>
              <w:rPr>
                <w:b/>
                <w:sz w:val="14"/>
                <w:szCs w:val="14"/>
              </w:rPr>
              <w:t>50.53</w:t>
            </w:r>
          </w:p>
        </w:tc>
        <w:tc>
          <w:tcPr>
            <w:tcW w:w="1021" w:type="dxa"/>
            <w:tcBorders>
              <w:top w:val="single" w:sz="4" w:space="0" w:color="auto"/>
              <w:left w:val="single" w:sz="4" w:space="0" w:color="auto"/>
              <w:bottom w:val="single" w:sz="4" w:space="0" w:color="auto"/>
              <w:right w:val="single" w:sz="4" w:space="0" w:color="auto"/>
            </w:tcBorders>
            <w:vAlign w:val="center"/>
          </w:tcPr>
          <w:p w14:paraId="056A9474" w14:textId="1AABDC12" w:rsidR="00BA31EA" w:rsidRPr="000E3A45" w:rsidRDefault="00867100" w:rsidP="00BA31EA">
            <w:pPr>
              <w:ind w:right="227"/>
              <w:jc w:val="right"/>
              <w:rPr>
                <w:b/>
                <w:sz w:val="14"/>
                <w:szCs w:val="14"/>
              </w:rPr>
            </w:pPr>
            <w:r>
              <w:rPr>
                <w:b/>
                <w:sz w:val="14"/>
                <w:szCs w:val="14"/>
              </w:rPr>
              <w:t>47.45</w:t>
            </w:r>
          </w:p>
        </w:tc>
        <w:tc>
          <w:tcPr>
            <w:tcW w:w="1304" w:type="dxa"/>
            <w:tcBorders>
              <w:top w:val="single" w:sz="4" w:space="0" w:color="auto"/>
              <w:left w:val="single" w:sz="4" w:space="0" w:color="auto"/>
              <w:bottom w:val="single" w:sz="4" w:space="0" w:color="auto"/>
              <w:right w:val="single" w:sz="4" w:space="0" w:color="auto"/>
            </w:tcBorders>
          </w:tcPr>
          <w:p w14:paraId="64CDD74B" w14:textId="414F44F3" w:rsidR="00BA31EA" w:rsidRPr="000E3A45" w:rsidRDefault="00BA31EA" w:rsidP="00BA31EA">
            <w:pPr>
              <w:rPr>
                <w:b/>
                <w:sz w:val="14"/>
                <w:szCs w:val="14"/>
              </w:rPr>
            </w:pPr>
            <w:r w:rsidRPr="000E3A45">
              <w:rPr>
                <w:b/>
                <w:sz w:val="14"/>
                <w:szCs w:val="14"/>
              </w:rPr>
              <w:t xml:space="preserve">Promedio de </w:t>
            </w:r>
            <w:r>
              <w:rPr>
                <w:b/>
                <w:sz w:val="14"/>
                <w:szCs w:val="14"/>
              </w:rPr>
              <w:t>marzo</w:t>
            </w:r>
            <w:r w:rsidRPr="000E3A45">
              <w:rPr>
                <w:b/>
                <w:sz w:val="14"/>
                <w:szCs w:val="14"/>
              </w:rPr>
              <w:t xml:space="preserve"> de 2015*</w:t>
            </w:r>
          </w:p>
        </w:tc>
        <w:tc>
          <w:tcPr>
            <w:tcW w:w="851" w:type="dxa"/>
            <w:tcBorders>
              <w:top w:val="single" w:sz="4" w:space="0" w:color="auto"/>
              <w:left w:val="single" w:sz="4" w:space="0" w:color="auto"/>
              <w:bottom w:val="single" w:sz="4" w:space="0" w:color="auto"/>
              <w:right w:val="single" w:sz="4" w:space="0" w:color="auto"/>
            </w:tcBorders>
            <w:vAlign w:val="center"/>
          </w:tcPr>
          <w:p w14:paraId="47C93814" w14:textId="2435337E" w:rsidR="00BA31EA" w:rsidRPr="000E3A45" w:rsidRDefault="00343A56" w:rsidP="00343A56">
            <w:pPr>
              <w:ind w:right="170"/>
              <w:jc w:val="right"/>
              <w:rPr>
                <w:b/>
                <w:sz w:val="14"/>
                <w:szCs w:val="14"/>
              </w:rPr>
            </w:pPr>
            <w:r>
              <w:rPr>
                <w:b/>
                <w:sz w:val="14"/>
                <w:szCs w:val="14"/>
              </w:rPr>
              <w:t>58.95</w:t>
            </w:r>
          </w:p>
        </w:tc>
        <w:tc>
          <w:tcPr>
            <w:tcW w:w="1021" w:type="dxa"/>
            <w:tcBorders>
              <w:top w:val="single" w:sz="4" w:space="0" w:color="auto"/>
              <w:left w:val="single" w:sz="4" w:space="0" w:color="auto"/>
              <w:bottom w:val="single" w:sz="4" w:space="0" w:color="auto"/>
              <w:right w:val="single" w:sz="4" w:space="0" w:color="auto"/>
            </w:tcBorders>
            <w:vAlign w:val="center"/>
          </w:tcPr>
          <w:p w14:paraId="0D793D52" w14:textId="169FFAA7" w:rsidR="00BA31EA" w:rsidRPr="000E3A45" w:rsidRDefault="00343A56" w:rsidP="00343A56">
            <w:pPr>
              <w:ind w:right="227"/>
              <w:jc w:val="right"/>
              <w:rPr>
                <w:b/>
                <w:sz w:val="14"/>
                <w:szCs w:val="14"/>
              </w:rPr>
            </w:pPr>
            <w:r>
              <w:rPr>
                <w:b/>
                <w:sz w:val="14"/>
                <w:szCs w:val="14"/>
              </w:rPr>
              <w:t>48.99</w:t>
            </w:r>
          </w:p>
        </w:tc>
        <w:tc>
          <w:tcPr>
            <w:tcW w:w="1021" w:type="dxa"/>
            <w:tcBorders>
              <w:top w:val="single" w:sz="4" w:space="0" w:color="auto"/>
              <w:left w:val="single" w:sz="4" w:space="0" w:color="auto"/>
              <w:bottom w:val="single" w:sz="4" w:space="0" w:color="auto"/>
              <w:right w:val="single" w:sz="4" w:space="0" w:color="auto"/>
            </w:tcBorders>
            <w:vAlign w:val="center"/>
          </w:tcPr>
          <w:p w14:paraId="7F323566" w14:textId="77363A22" w:rsidR="00BA31EA" w:rsidRPr="000E3A45" w:rsidRDefault="00FA0056" w:rsidP="00343A56">
            <w:pPr>
              <w:ind w:right="227"/>
              <w:jc w:val="right"/>
              <w:rPr>
                <w:b/>
                <w:sz w:val="14"/>
                <w:szCs w:val="14"/>
              </w:rPr>
            </w:pPr>
            <w:r>
              <w:rPr>
                <w:b/>
                <w:sz w:val="14"/>
                <w:szCs w:val="14"/>
              </w:rPr>
              <w:t>4</w:t>
            </w:r>
            <w:r w:rsidR="00343A56">
              <w:rPr>
                <w:b/>
                <w:sz w:val="14"/>
                <w:szCs w:val="14"/>
              </w:rPr>
              <w:t>7.79</w:t>
            </w:r>
          </w:p>
        </w:tc>
      </w:tr>
      <w:tr w:rsidR="00BA31EA" w:rsidRPr="000E3A45" w14:paraId="656BDB0B" w14:textId="77777777" w:rsidTr="00202E4C">
        <w:trPr>
          <w:jc w:val="center"/>
        </w:trPr>
        <w:tc>
          <w:tcPr>
            <w:tcW w:w="1304" w:type="dxa"/>
            <w:tcBorders>
              <w:top w:val="single" w:sz="4" w:space="0" w:color="auto"/>
              <w:left w:val="single" w:sz="4" w:space="0" w:color="auto"/>
              <w:bottom w:val="single" w:sz="4" w:space="0" w:color="auto"/>
              <w:right w:val="single" w:sz="4" w:space="0" w:color="auto"/>
            </w:tcBorders>
          </w:tcPr>
          <w:p w14:paraId="1EC05A2E" w14:textId="7C19D995" w:rsidR="00BA31EA" w:rsidRPr="000E3A45" w:rsidRDefault="00BA31EA" w:rsidP="00BA31EA">
            <w:pPr>
              <w:ind w:right="-57"/>
              <w:rPr>
                <w:b/>
                <w:sz w:val="14"/>
                <w:szCs w:val="14"/>
              </w:rPr>
            </w:pPr>
            <w:r w:rsidRPr="000E3A45">
              <w:rPr>
                <w:b/>
                <w:sz w:val="14"/>
                <w:szCs w:val="14"/>
              </w:rPr>
              <w:t xml:space="preserve">Desviación estándar de </w:t>
            </w:r>
            <w:r>
              <w:rPr>
                <w:b/>
                <w:sz w:val="14"/>
                <w:szCs w:val="14"/>
              </w:rPr>
              <w:t>febrero de 2015</w:t>
            </w:r>
          </w:p>
        </w:tc>
        <w:tc>
          <w:tcPr>
            <w:tcW w:w="851" w:type="dxa"/>
            <w:tcBorders>
              <w:top w:val="single" w:sz="4" w:space="0" w:color="auto"/>
              <w:left w:val="single" w:sz="4" w:space="0" w:color="auto"/>
              <w:bottom w:val="single" w:sz="4" w:space="0" w:color="auto"/>
              <w:right w:val="single" w:sz="4" w:space="0" w:color="auto"/>
            </w:tcBorders>
            <w:vAlign w:val="center"/>
          </w:tcPr>
          <w:p w14:paraId="545063E3" w14:textId="092C1C09" w:rsidR="00BA31EA" w:rsidRPr="000E3A45" w:rsidRDefault="00BA31EA" w:rsidP="00BA31EA">
            <w:pPr>
              <w:ind w:right="170"/>
              <w:jc w:val="right"/>
              <w:rPr>
                <w:b/>
                <w:sz w:val="14"/>
                <w:szCs w:val="14"/>
              </w:rPr>
            </w:pPr>
            <w:r>
              <w:rPr>
                <w:b/>
                <w:sz w:val="14"/>
                <w:szCs w:val="14"/>
              </w:rPr>
              <w:t>3.46</w:t>
            </w:r>
          </w:p>
        </w:tc>
        <w:tc>
          <w:tcPr>
            <w:tcW w:w="1021" w:type="dxa"/>
            <w:tcBorders>
              <w:top w:val="single" w:sz="4" w:space="0" w:color="auto"/>
              <w:left w:val="single" w:sz="4" w:space="0" w:color="auto"/>
              <w:bottom w:val="single" w:sz="4" w:space="0" w:color="auto"/>
              <w:right w:val="single" w:sz="4" w:space="0" w:color="auto"/>
            </w:tcBorders>
            <w:vAlign w:val="center"/>
          </w:tcPr>
          <w:p w14:paraId="2B14D8C1" w14:textId="4EC6E121" w:rsidR="00BA31EA" w:rsidRPr="000E3A45" w:rsidRDefault="00BA31EA" w:rsidP="00BA31EA">
            <w:pPr>
              <w:ind w:right="227"/>
              <w:jc w:val="right"/>
              <w:rPr>
                <w:b/>
                <w:sz w:val="14"/>
                <w:szCs w:val="14"/>
              </w:rPr>
            </w:pPr>
            <w:r>
              <w:rPr>
                <w:b/>
                <w:sz w:val="14"/>
                <w:szCs w:val="14"/>
              </w:rPr>
              <w:t>1.74</w:t>
            </w:r>
          </w:p>
        </w:tc>
        <w:tc>
          <w:tcPr>
            <w:tcW w:w="1021" w:type="dxa"/>
            <w:tcBorders>
              <w:top w:val="single" w:sz="4" w:space="0" w:color="auto"/>
              <w:left w:val="single" w:sz="4" w:space="0" w:color="auto"/>
              <w:bottom w:val="single" w:sz="4" w:space="0" w:color="auto"/>
              <w:right w:val="single" w:sz="4" w:space="0" w:color="auto"/>
            </w:tcBorders>
            <w:vAlign w:val="center"/>
          </w:tcPr>
          <w:p w14:paraId="59CC1D0F" w14:textId="4E26613A" w:rsidR="00BA31EA" w:rsidRPr="000E3A45" w:rsidRDefault="00867100" w:rsidP="00BA31EA">
            <w:pPr>
              <w:ind w:right="227"/>
              <w:jc w:val="right"/>
              <w:rPr>
                <w:b/>
                <w:sz w:val="14"/>
                <w:szCs w:val="14"/>
              </w:rPr>
            </w:pPr>
            <w:r>
              <w:rPr>
                <w:b/>
                <w:sz w:val="14"/>
                <w:szCs w:val="14"/>
              </w:rPr>
              <w:t>1.88</w:t>
            </w:r>
          </w:p>
        </w:tc>
        <w:tc>
          <w:tcPr>
            <w:tcW w:w="1304" w:type="dxa"/>
            <w:tcBorders>
              <w:top w:val="single" w:sz="4" w:space="0" w:color="auto"/>
              <w:left w:val="single" w:sz="4" w:space="0" w:color="auto"/>
              <w:bottom w:val="single" w:sz="4" w:space="0" w:color="auto"/>
              <w:right w:val="single" w:sz="4" w:space="0" w:color="auto"/>
            </w:tcBorders>
          </w:tcPr>
          <w:p w14:paraId="0683A417" w14:textId="6F492B2B" w:rsidR="00BA31EA" w:rsidRPr="000E3A45" w:rsidRDefault="00BA31EA" w:rsidP="00BA31EA">
            <w:pPr>
              <w:ind w:right="-57"/>
              <w:rPr>
                <w:b/>
                <w:sz w:val="14"/>
                <w:szCs w:val="14"/>
              </w:rPr>
            </w:pPr>
            <w:r w:rsidRPr="000E3A45">
              <w:rPr>
                <w:b/>
                <w:sz w:val="14"/>
                <w:szCs w:val="14"/>
              </w:rPr>
              <w:t xml:space="preserve">Desviación estándar de </w:t>
            </w:r>
            <w:r>
              <w:rPr>
                <w:b/>
                <w:sz w:val="14"/>
                <w:szCs w:val="14"/>
              </w:rPr>
              <w:t>marzo</w:t>
            </w:r>
            <w:r w:rsidRPr="000E3A45">
              <w:rPr>
                <w:b/>
                <w:sz w:val="14"/>
                <w:szCs w:val="14"/>
              </w:rPr>
              <w:t xml:space="preserve"> de 2015*</w:t>
            </w:r>
          </w:p>
        </w:tc>
        <w:tc>
          <w:tcPr>
            <w:tcW w:w="851" w:type="dxa"/>
            <w:tcBorders>
              <w:top w:val="single" w:sz="4" w:space="0" w:color="auto"/>
              <w:left w:val="single" w:sz="4" w:space="0" w:color="auto"/>
              <w:bottom w:val="single" w:sz="4" w:space="0" w:color="auto"/>
              <w:right w:val="single" w:sz="4" w:space="0" w:color="auto"/>
            </w:tcBorders>
            <w:vAlign w:val="center"/>
          </w:tcPr>
          <w:p w14:paraId="033ABF74" w14:textId="2D00F8DB" w:rsidR="00BA31EA" w:rsidRPr="000E3A45" w:rsidRDefault="00343A56" w:rsidP="00343A56">
            <w:pPr>
              <w:ind w:right="170"/>
              <w:jc w:val="right"/>
              <w:rPr>
                <w:b/>
                <w:sz w:val="14"/>
                <w:szCs w:val="14"/>
              </w:rPr>
            </w:pPr>
            <w:r>
              <w:rPr>
                <w:b/>
                <w:sz w:val="14"/>
                <w:szCs w:val="14"/>
              </w:rPr>
              <w:t>2.21</w:t>
            </w:r>
          </w:p>
        </w:tc>
        <w:tc>
          <w:tcPr>
            <w:tcW w:w="1021" w:type="dxa"/>
            <w:tcBorders>
              <w:top w:val="single" w:sz="4" w:space="0" w:color="auto"/>
              <w:left w:val="single" w:sz="4" w:space="0" w:color="auto"/>
              <w:bottom w:val="single" w:sz="4" w:space="0" w:color="auto"/>
              <w:right w:val="single" w:sz="4" w:space="0" w:color="auto"/>
            </w:tcBorders>
            <w:vAlign w:val="center"/>
          </w:tcPr>
          <w:p w14:paraId="7FCF8859" w14:textId="2277D47F" w:rsidR="00BA31EA" w:rsidRPr="000E3A45" w:rsidRDefault="00343A56" w:rsidP="00343A56">
            <w:pPr>
              <w:ind w:right="227"/>
              <w:jc w:val="right"/>
              <w:rPr>
                <w:b/>
                <w:sz w:val="14"/>
                <w:szCs w:val="14"/>
              </w:rPr>
            </w:pPr>
            <w:r>
              <w:rPr>
                <w:b/>
                <w:sz w:val="14"/>
                <w:szCs w:val="14"/>
              </w:rPr>
              <w:t>1.97</w:t>
            </w:r>
          </w:p>
        </w:tc>
        <w:tc>
          <w:tcPr>
            <w:tcW w:w="1021" w:type="dxa"/>
            <w:tcBorders>
              <w:top w:val="single" w:sz="4" w:space="0" w:color="auto"/>
              <w:left w:val="single" w:sz="4" w:space="0" w:color="auto"/>
              <w:bottom w:val="single" w:sz="4" w:space="0" w:color="auto"/>
              <w:right w:val="single" w:sz="4" w:space="0" w:color="auto"/>
            </w:tcBorders>
            <w:vAlign w:val="center"/>
          </w:tcPr>
          <w:p w14:paraId="57AEBBEA" w14:textId="705F14D8" w:rsidR="00BA31EA" w:rsidRPr="000E3A45" w:rsidRDefault="00343A56" w:rsidP="00343A56">
            <w:pPr>
              <w:ind w:right="227"/>
              <w:jc w:val="right"/>
              <w:rPr>
                <w:b/>
                <w:sz w:val="14"/>
                <w:szCs w:val="14"/>
              </w:rPr>
            </w:pPr>
            <w:r>
              <w:rPr>
                <w:b/>
                <w:sz w:val="14"/>
                <w:szCs w:val="14"/>
              </w:rPr>
              <w:t>1.90</w:t>
            </w:r>
          </w:p>
        </w:tc>
      </w:tr>
      <w:tr w:rsidR="00BA31EA" w:rsidRPr="000E3A45" w14:paraId="51CA0E4C" w14:textId="77777777" w:rsidTr="00202E4C">
        <w:trPr>
          <w:jc w:val="center"/>
        </w:trPr>
        <w:tc>
          <w:tcPr>
            <w:tcW w:w="8394" w:type="dxa"/>
            <w:gridSpan w:val="8"/>
            <w:tcBorders>
              <w:top w:val="single" w:sz="4" w:space="0" w:color="auto"/>
              <w:left w:val="nil"/>
              <w:bottom w:val="nil"/>
              <w:right w:val="nil"/>
            </w:tcBorders>
          </w:tcPr>
          <w:p w14:paraId="75BF296F" w14:textId="77777777" w:rsidR="00BA31EA" w:rsidRPr="000E3A45" w:rsidRDefault="00BA31EA" w:rsidP="00BA31EA">
            <w:pPr>
              <w:jc w:val="both"/>
              <w:rPr>
                <w:sz w:val="16"/>
                <w:szCs w:val="16"/>
              </w:rPr>
            </w:pPr>
            <w:r w:rsidRPr="000E3A45">
              <w:rPr>
                <w:sz w:val="16"/>
                <w:szCs w:val="16"/>
                <w:u w:val="single"/>
              </w:rPr>
              <w:t>1</w:t>
            </w:r>
            <w:r w:rsidRPr="000E3A45">
              <w:rPr>
                <w:sz w:val="16"/>
                <w:szCs w:val="16"/>
              </w:rPr>
              <w:t>/ Petróleos Mexicanos y Secretaría de Energía.</w:t>
            </w:r>
          </w:p>
          <w:p w14:paraId="41A56B81" w14:textId="77777777" w:rsidR="00BA31EA" w:rsidRPr="000E3A45" w:rsidRDefault="00BA31EA" w:rsidP="00BA31EA">
            <w:pPr>
              <w:jc w:val="both"/>
              <w:rPr>
                <w:sz w:val="16"/>
                <w:szCs w:val="16"/>
              </w:rPr>
            </w:pPr>
            <w:r w:rsidRPr="000E3A45">
              <w:rPr>
                <w:sz w:val="16"/>
                <w:szCs w:val="16"/>
                <w:u w:val="single"/>
              </w:rPr>
              <w:t>2</w:t>
            </w:r>
            <w:r w:rsidRPr="000E3A45">
              <w:rPr>
                <w:sz w:val="16"/>
                <w:szCs w:val="16"/>
              </w:rPr>
              <w:t>/ Precio informativo proporcionado por Petróleos Mexicanos Internacional (PMI) y Secretaría de Energía.</w:t>
            </w:r>
          </w:p>
          <w:p w14:paraId="021A0829" w14:textId="077F10A1" w:rsidR="00BA31EA" w:rsidRPr="000E3A45" w:rsidRDefault="00BA31EA" w:rsidP="00BA31EA">
            <w:pPr>
              <w:jc w:val="both"/>
              <w:rPr>
                <w:sz w:val="16"/>
                <w:szCs w:val="16"/>
              </w:rPr>
            </w:pPr>
            <w:r w:rsidRPr="000E3A45">
              <w:rPr>
                <w:sz w:val="16"/>
                <w:szCs w:val="16"/>
              </w:rPr>
              <w:t xml:space="preserve">*  Cálculos de las cotizaciones promedio del </w:t>
            </w:r>
            <w:r>
              <w:rPr>
                <w:sz w:val="16"/>
                <w:szCs w:val="16"/>
              </w:rPr>
              <w:t>2</w:t>
            </w:r>
            <w:r w:rsidRPr="000E3A45">
              <w:rPr>
                <w:sz w:val="16"/>
                <w:szCs w:val="16"/>
              </w:rPr>
              <w:t xml:space="preserve"> al </w:t>
            </w:r>
            <w:r w:rsidR="00E017B6">
              <w:rPr>
                <w:sz w:val="16"/>
                <w:szCs w:val="16"/>
              </w:rPr>
              <w:t>13</w:t>
            </w:r>
            <w:r w:rsidRPr="000E3A45">
              <w:rPr>
                <w:sz w:val="16"/>
                <w:szCs w:val="16"/>
              </w:rPr>
              <w:t>.</w:t>
            </w:r>
          </w:p>
          <w:p w14:paraId="3BB7CDA2" w14:textId="77777777" w:rsidR="00BA31EA" w:rsidRPr="000E3A45" w:rsidRDefault="00BA31EA" w:rsidP="00BA31EA">
            <w:pPr>
              <w:jc w:val="both"/>
              <w:rPr>
                <w:sz w:val="16"/>
                <w:szCs w:val="16"/>
              </w:rPr>
            </w:pPr>
            <w:r w:rsidRPr="000E3A45">
              <w:rPr>
                <w:sz w:val="16"/>
                <w:szCs w:val="16"/>
              </w:rPr>
              <w:t>n.c. = no cotizó.</w:t>
            </w:r>
          </w:p>
          <w:p w14:paraId="1558974C" w14:textId="77777777" w:rsidR="00BA31EA" w:rsidRPr="000E3A45" w:rsidRDefault="00BA31EA" w:rsidP="00BA31EA">
            <w:pPr>
              <w:ind w:left="397" w:hanging="397"/>
              <w:jc w:val="both"/>
              <w:rPr>
                <w:sz w:val="16"/>
                <w:szCs w:val="16"/>
              </w:rPr>
            </w:pPr>
            <w:r w:rsidRPr="000E3A45">
              <w:rPr>
                <w:sz w:val="16"/>
                <w:szCs w:val="16"/>
              </w:rPr>
              <w:t>Nota: PMI Comercio Internacional, S.A. de C.V. surgió en 1989, producto de la estrategia comercial de Pemex para competir en el mercado internacional de petróleo y productos derivados; con autonomía patrimonial, técnica y administrativa. Es una Entidad constituida bajo el régimen de empresa de participación estatal mayoritaria, de control presupuestario indirecto que opera a través de recursos propios, estableciendo dentro de sus objetivos y metas el asegurar la colocación en el mercado exterior de las exportaciones de petróleo crudo de Pemex, así como proporcionar servicios comerciales y administrativos a empresas del Grupo Pemex que realizan actividades relacionadas con el comercio de hidrocarburos.</w:t>
            </w:r>
          </w:p>
          <w:p w14:paraId="02B1081E" w14:textId="77777777" w:rsidR="00BA31EA" w:rsidRPr="000E3A45" w:rsidRDefault="00BA31EA" w:rsidP="00BA31EA">
            <w:pPr>
              <w:jc w:val="both"/>
              <w:rPr>
                <w:sz w:val="16"/>
                <w:szCs w:val="16"/>
              </w:rPr>
            </w:pPr>
            <w:r w:rsidRPr="000E3A45">
              <w:rPr>
                <w:sz w:val="16"/>
                <w:szCs w:val="16"/>
              </w:rPr>
              <w:t>FUENTE: Secretaría de Energía con información del PMI Internacional.</w:t>
            </w:r>
          </w:p>
          <w:tbl>
            <w:tblPr>
              <w:tblW w:w="7340" w:type="dxa"/>
              <w:tblLayout w:type="fixed"/>
              <w:tblCellMar>
                <w:left w:w="70" w:type="dxa"/>
                <w:right w:w="70" w:type="dxa"/>
              </w:tblCellMar>
              <w:tblLook w:val="04A0" w:firstRow="1" w:lastRow="0" w:firstColumn="1" w:lastColumn="0" w:noHBand="0" w:noVBand="1"/>
            </w:tblPr>
            <w:tblGrid>
              <w:gridCol w:w="300"/>
              <w:gridCol w:w="7040"/>
            </w:tblGrid>
            <w:tr w:rsidR="00BA31EA" w:rsidRPr="000E3A45" w14:paraId="7A8958A5" w14:textId="77777777" w:rsidTr="00202E4C">
              <w:trPr>
                <w:trHeight w:val="300"/>
              </w:trPr>
              <w:tc>
                <w:tcPr>
                  <w:tcW w:w="300" w:type="dxa"/>
                  <w:tcBorders>
                    <w:top w:val="nil"/>
                    <w:left w:val="nil"/>
                    <w:bottom w:val="nil"/>
                    <w:right w:val="nil"/>
                  </w:tcBorders>
                  <w:shd w:val="clear" w:color="auto" w:fill="auto"/>
                  <w:noWrap/>
                  <w:vAlign w:val="bottom"/>
                  <w:hideMark/>
                </w:tcPr>
                <w:p w14:paraId="5C9121A4" w14:textId="77777777" w:rsidR="00BA31EA" w:rsidRPr="000E3A45" w:rsidRDefault="00BA31EA" w:rsidP="00BA31EA">
                  <w:pPr>
                    <w:rPr>
                      <w:rFonts w:eastAsia="Times New Roman"/>
                      <w:sz w:val="16"/>
                      <w:szCs w:val="16"/>
                      <w:lang w:eastAsia="es-MX"/>
                    </w:rPr>
                  </w:pPr>
                </w:p>
              </w:tc>
              <w:tc>
                <w:tcPr>
                  <w:tcW w:w="7040" w:type="dxa"/>
                  <w:tcBorders>
                    <w:top w:val="nil"/>
                    <w:left w:val="nil"/>
                    <w:bottom w:val="nil"/>
                    <w:right w:val="nil"/>
                  </w:tcBorders>
                  <w:shd w:val="clear" w:color="auto" w:fill="auto"/>
                  <w:noWrap/>
                  <w:vAlign w:val="bottom"/>
                  <w:hideMark/>
                </w:tcPr>
                <w:p w14:paraId="46C47A01" w14:textId="77777777" w:rsidR="00BA31EA" w:rsidRPr="000E3A45" w:rsidRDefault="00BA31EA" w:rsidP="00BA31EA">
                  <w:pPr>
                    <w:rPr>
                      <w:rFonts w:eastAsia="Times New Roman"/>
                      <w:sz w:val="16"/>
                      <w:szCs w:val="16"/>
                      <w:u w:val="single"/>
                      <w:lang w:eastAsia="es-MX"/>
                    </w:rPr>
                  </w:pPr>
                </w:p>
              </w:tc>
            </w:tr>
          </w:tbl>
          <w:p w14:paraId="021A9B72" w14:textId="77777777" w:rsidR="00BA31EA" w:rsidRPr="000E3A45" w:rsidRDefault="00BA31EA" w:rsidP="00BA31EA">
            <w:pPr>
              <w:jc w:val="both"/>
              <w:rPr>
                <w:sz w:val="22"/>
                <w:szCs w:val="22"/>
              </w:rPr>
            </w:pPr>
          </w:p>
        </w:tc>
      </w:tr>
    </w:tbl>
    <w:p w14:paraId="4F93680E" w14:textId="77777777" w:rsidR="00B473F5" w:rsidRPr="000E3A45" w:rsidRDefault="00B473F5" w:rsidP="00B473F5">
      <w:pPr>
        <w:ind w:right="-159"/>
        <w:jc w:val="both"/>
        <w:rPr>
          <w:rFonts w:eastAsiaTheme="minorHAnsi"/>
          <w:b/>
          <w:sz w:val="20"/>
          <w:szCs w:val="20"/>
          <w:lang w:eastAsia="en-US"/>
        </w:rPr>
      </w:pPr>
    </w:p>
    <w:p w14:paraId="650BC7E3" w14:textId="77777777" w:rsidR="00B473F5" w:rsidRPr="000E3A45" w:rsidRDefault="00B473F5" w:rsidP="00B473F5">
      <w:pPr>
        <w:ind w:right="-159"/>
        <w:jc w:val="both"/>
        <w:rPr>
          <w:rFonts w:eastAsiaTheme="minorHAnsi"/>
          <w:b/>
          <w:sz w:val="20"/>
          <w:szCs w:val="20"/>
          <w:lang w:eastAsia="en-US"/>
        </w:rPr>
      </w:pPr>
      <w:r w:rsidRPr="000E3A45">
        <w:rPr>
          <w:rFonts w:eastAsiaTheme="minorHAnsi"/>
          <w:b/>
          <w:sz w:val="20"/>
          <w:szCs w:val="20"/>
          <w:lang w:eastAsia="en-US"/>
        </w:rPr>
        <w:t>Fuente de información:</w:t>
      </w:r>
    </w:p>
    <w:p w14:paraId="10003166" w14:textId="77777777" w:rsidR="00B473F5" w:rsidRPr="004C101E" w:rsidRDefault="00872B0E" w:rsidP="00B473F5">
      <w:pPr>
        <w:jc w:val="both"/>
        <w:rPr>
          <w:rFonts w:eastAsia="Calibri"/>
          <w:color w:val="0000FF"/>
          <w:sz w:val="20"/>
          <w:szCs w:val="20"/>
          <w:u w:val="single"/>
          <w:lang w:eastAsia="en-US"/>
        </w:rPr>
      </w:pPr>
      <w:hyperlink r:id="rId27" w:history="1">
        <w:r w:rsidR="00B473F5" w:rsidRPr="004C101E">
          <w:rPr>
            <w:rFonts w:eastAsia="Calibri"/>
            <w:color w:val="0000FF"/>
            <w:sz w:val="20"/>
            <w:szCs w:val="20"/>
            <w:u w:val="single"/>
            <w:lang w:eastAsia="en-US"/>
          </w:rPr>
          <w:t>http://www.sener.gob.mx/webSener/portal/Default.aspx?id=1518</w:t>
        </w:r>
      </w:hyperlink>
    </w:p>
    <w:p w14:paraId="7273D90A" w14:textId="77777777" w:rsidR="00B473F5" w:rsidRPr="004C101E" w:rsidRDefault="00872B0E" w:rsidP="00B473F5">
      <w:pPr>
        <w:ind w:right="-159"/>
        <w:jc w:val="both"/>
        <w:rPr>
          <w:rFonts w:eastAsiaTheme="minorHAnsi"/>
          <w:color w:val="0000FF"/>
          <w:sz w:val="20"/>
          <w:szCs w:val="20"/>
          <w:lang w:eastAsia="en-US"/>
        </w:rPr>
      </w:pPr>
      <w:hyperlink r:id="rId28" w:history="1">
        <w:r w:rsidR="00B473F5" w:rsidRPr="004C101E">
          <w:rPr>
            <w:rFonts w:eastAsiaTheme="minorHAnsi"/>
            <w:color w:val="0000FF"/>
            <w:sz w:val="20"/>
            <w:szCs w:val="20"/>
            <w:u w:val="single"/>
            <w:lang w:eastAsia="en-US"/>
          </w:rPr>
          <w:t>http://www.ri.pemex.com/files/dcpe/petro/epreciopromedio_esp.pdf</w:t>
        </w:r>
      </w:hyperlink>
      <w:r w:rsidR="00B473F5" w:rsidRPr="004C101E">
        <w:rPr>
          <w:rFonts w:eastAsiaTheme="minorHAnsi"/>
          <w:color w:val="0000FF"/>
          <w:sz w:val="20"/>
          <w:szCs w:val="20"/>
          <w:lang w:eastAsia="en-US"/>
        </w:rPr>
        <w:t xml:space="preserve"> </w:t>
      </w:r>
    </w:p>
    <w:p w14:paraId="576C736B" w14:textId="52824F90" w:rsidR="0028288C" w:rsidRPr="004C101E" w:rsidRDefault="00872B0E" w:rsidP="0028288C">
      <w:pPr>
        <w:spacing w:after="360" w:line="360" w:lineRule="auto"/>
        <w:ind w:right="-159"/>
        <w:jc w:val="both"/>
        <w:rPr>
          <w:rFonts w:eastAsia="Calibri"/>
          <w:color w:val="0000FF"/>
          <w:sz w:val="20"/>
          <w:szCs w:val="20"/>
          <w:u w:val="single"/>
          <w:lang w:eastAsia="en-US"/>
        </w:rPr>
      </w:pPr>
      <w:hyperlink r:id="rId29" w:history="1">
        <w:r w:rsidR="00B473F5" w:rsidRPr="004C101E">
          <w:rPr>
            <w:rFonts w:eastAsiaTheme="minorHAnsi"/>
            <w:color w:val="0000FF"/>
            <w:sz w:val="20"/>
            <w:szCs w:val="20"/>
            <w:u w:val="single"/>
            <w:lang w:eastAsia="en-US"/>
          </w:rPr>
          <w:t>http://www.ri.pemex.com/files/dcpe/petro/evalorexporta_esp.pdf</w:t>
        </w:r>
      </w:hyperlink>
      <w:r w:rsidR="00B473F5" w:rsidRPr="004C101E">
        <w:rPr>
          <w:rFonts w:eastAsiaTheme="minorHAnsi"/>
          <w:color w:val="0000FF"/>
          <w:sz w:val="20"/>
          <w:szCs w:val="20"/>
          <w:lang w:eastAsia="en-US"/>
        </w:rPr>
        <w:t xml:space="preserve"> </w:t>
      </w:r>
      <w:r w:rsidR="00B473F5" w:rsidRPr="004C101E">
        <w:rPr>
          <w:rFonts w:eastAsia="Calibri"/>
          <w:color w:val="0000FF"/>
          <w:sz w:val="20"/>
          <w:szCs w:val="20"/>
          <w:u w:val="single"/>
          <w:lang w:eastAsia="en-US"/>
        </w:rPr>
        <w:cr/>
      </w:r>
    </w:p>
    <w:p w14:paraId="2337C134" w14:textId="77777777" w:rsidR="00937636" w:rsidRPr="006A1483" w:rsidRDefault="00937636" w:rsidP="006A1483">
      <w:pPr>
        <w:ind w:right="-159"/>
        <w:jc w:val="both"/>
        <w:rPr>
          <w:rFonts w:eastAsia="Calibri"/>
          <w:b/>
          <w:sz w:val="26"/>
          <w:szCs w:val="26"/>
          <w:lang w:eastAsia="en-US"/>
        </w:rPr>
      </w:pPr>
      <w:r w:rsidRPr="006A1483">
        <w:rPr>
          <w:rFonts w:eastAsia="Calibri"/>
          <w:b/>
          <w:sz w:val="26"/>
          <w:szCs w:val="26"/>
          <w:lang w:eastAsia="en-US"/>
        </w:rPr>
        <w:lastRenderedPageBreak/>
        <w:t>Existe disposición de empresas nacionales y</w:t>
      </w:r>
    </w:p>
    <w:p w14:paraId="2DAE9E07" w14:textId="77777777" w:rsidR="006A1483" w:rsidRDefault="00937636" w:rsidP="006A1483">
      <w:pPr>
        <w:ind w:right="-159"/>
        <w:jc w:val="both"/>
        <w:rPr>
          <w:rFonts w:eastAsia="Calibri"/>
          <w:b/>
          <w:sz w:val="26"/>
          <w:szCs w:val="26"/>
          <w:lang w:eastAsia="en-US"/>
        </w:rPr>
      </w:pPr>
      <w:r w:rsidRPr="006A1483">
        <w:rPr>
          <w:rFonts w:eastAsia="Calibri"/>
          <w:b/>
          <w:sz w:val="26"/>
          <w:szCs w:val="26"/>
          <w:lang w:eastAsia="en-US"/>
        </w:rPr>
        <w:t>extranjeras en participar en la Ronda Uno</w:t>
      </w:r>
    </w:p>
    <w:p w14:paraId="4C1F6FD6" w14:textId="1EF139E1" w:rsidR="00937636" w:rsidRPr="006A1483" w:rsidRDefault="00937636" w:rsidP="00937636">
      <w:pPr>
        <w:spacing w:after="360" w:line="360" w:lineRule="auto"/>
        <w:ind w:right="-159"/>
        <w:jc w:val="both"/>
        <w:rPr>
          <w:rFonts w:eastAsia="Calibri"/>
          <w:b/>
          <w:sz w:val="26"/>
          <w:szCs w:val="26"/>
          <w:lang w:eastAsia="en-US"/>
        </w:rPr>
      </w:pPr>
      <w:r w:rsidRPr="006A1483">
        <w:rPr>
          <w:rFonts w:eastAsia="Calibri"/>
          <w:b/>
          <w:sz w:val="26"/>
          <w:szCs w:val="26"/>
          <w:lang w:eastAsia="en-US"/>
        </w:rPr>
        <w:t>(SENER)</w:t>
      </w:r>
    </w:p>
    <w:p w14:paraId="6D1245C6" w14:textId="77777777" w:rsidR="00937636" w:rsidRPr="006A1483" w:rsidRDefault="00937636" w:rsidP="00937636">
      <w:pPr>
        <w:spacing w:after="360" w:line="360" w:lineRule="auto"/>
        <w:ind w:right="-159"/>
        <w:jc w:val="both"/>
        <w:rPr>
          <w:rFonts w:eastAsia="Calibri"/>
          <w:sz w:val="26"/>
          <w:szCs w:val="26"/>
          <w:lang w:eastAsia="en-US"/>
        </w:rPr>
      </w:pPr>
      <w:r w:rsidRPr="006A1483">
        <w:rPr>
          <w:rFonts w:eastAsia="Calibri"/>
          <w:sz w:val="26"/>
          <w:szCs w:val="26"/>
          <w:lang w:eastAsia="en-US"/>
        </w:rPr>
        <w:t xml:space="preserve">El 12 de marzo de 2015, </w:t>
      </w:r>
      <w:r w:rsidRPr="00937636">
        <w:rPr>
          <w:rFonts w:eastAsia="Calibri"/>
          <w:sz w:val="26"/>
          <w:szCs w:val="26"/>
          <w:lang w:eastAsia="en-US"/>
        </w:rPr>
        <w:t>Durante su ponencia en el XXVIII Congreso Mexicano de la Industria de la Construcción (CMIC), el Titular de la Secretaría de Energía (SENER) indicó que la Reforma avanza y se percibirán cada vez más los beneficios de este cambio estructural que promovió el Presidente de la República.</w:t>
      </w:r>
    </w:p>
    <w:p w14:paraId="710B9F62"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Existe disposición de las empresas nacionales e internacionales por participar en la primera convocatoria de la Ronda Uno, donde 47 compañías declararon su interés, 33 ya pagaron los derechos para ingresar al cuarto de datos y al 11 de marzo, 24 serían inscritos al proceso de precalificación para acreditar la experiencia tecnología y solvencia financiera, a fin de invertir en esta nueva etapa de la industria de hidrocarburos en México, afirmó el Secretario de Energía.</w:t>
      </w:r>
    </w:p>
    <w:p w14:paraId="65EE6683"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Durante su ponencia en el XXVIII Congreso Mexicano de la Industria de la Construcción (CMIC), el Titular de la SENER indicó que la Reforma avanza y se percibirán cada vez más los beneficios de este cambio estructural promovido por la Presidencia de la República.</w:t>
      </w:r>
    </w:p>
    <w:p w14:paraId="05DFAFCC"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Explicó que como parte del proceso de implementación, se creó el Fondo Público para Promover el Desarrollo de Proveedores y Contratistas Nacionales de la Industria Energética, la cual tendrá un presupuesto de 500 millones de pesos.</w:t>
      </w:r>
    </w:p>
    <w:p w14:paraId="7167D06A"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Agregó que dicho Fondo jugará un papel crucial ya que apoyará la capacitación y dará créditos a las pequeñas y medianas empresas mexicanas para que puedan actuar como proveedoras en la industria energética del país, para generar cadenas de valor que permitan el desarrollo a partir del impulso que va dar la reforma al sector energético y las inversiones que lleguen al país.</w:t>
      </w:r>
    </w:p>
    <w:p w14:paraId="36B37243"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lastRenderedPageBreak/>
        <w:t>En materia de electricidad, el Secretario de Energía manifestó que se estima que en los próximos tres años, se invertirán 23 mil 700 millones de dólares en la instalación de nuevas centrales de generación eléctrica en todo el país, y cuatro mil 450 millones de dólares en modernización y ampliación de la Red Nacional de Transmisión Eléctrica en los próximos cuatro años.</w:t>
      </w:r>
    </w:p>
    <w:p w14:paraId="1D3342A4" w14:textId="5D85E0C6"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En su oportunidad, el Director General de la Comisión Federal de Electricidad (CFE) destacó que el Programa Nacional de Infraestructura impulsa el incremento en 75% de la arquitectura de transporte de gas natural en el país de aquí al 2018. Dijo que los proyectos –en fase de construcción o licitación– que actualmente llevan a cabo CFE y P</w:t>
      </w:r>
      <w:r w:rsidR="006A1483">
        <w:rPr>
          <w:rFonts w:eastAsia="Calibri"/>
          <w:sz w:val="26"/>
          <w:szCs w:val="26"/>
          <w:lang w:eastAsia="en-US"/>
        </w:rPr>
        <w:t>emex</w:t>
      </w:r>
      <w:r w:rsidRPr="00937636">
        <w:rPr>
          <w:rFonts w:eastAsia="Calibri"/>
          <w:sz w:val="26"/>
          <w:szCs w:val="26"/>
          <w:lang w:eastAsia="en-US"/>
        </w:rPr>
        <w:t xml:space="preserve"> equivalen al aumento en 54% de la infraestructura de gasoductos.</w:t>
      </w:r>
    </w:p>
    <w:p w14:paraId="5290604C"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En el evento estuvieron presentes el Director General de Pemex Exploración y Producción, el Presidente de Grupo Diavaz y el Presidente de la Delegación en Ciudad del Carmen, Campeche, de la CMCI.</w:t>
      </w:r>
    </w:p>
    <w:p w14:paraId="07CB31D5" w14:textId="77777777" w:rsidR="00937636" w:rsidRPr="00937636" w:rsidRDefault="00937636" w:rsidP="00937636">
      <w:pPr>
        <w:ind w:right="-159"/>
        <w:jc w:val="both"/>
        <w:rPr>
          <w:rFonts w:eastAsia="Calibri"/>
          <w:sz w:val="20"/>
          <w:szCs w:val="20"/>
          <w:lang w:eastAsia="en-US"/>
        </w:rPr>
      </w:pPr>
      <w:r w:rsidRPr="00937636">
        <w:rPr>
          <w:rFonts w:eastAsia="Calibri"/>
          <w:b/>
          <w:sz w:val="20"/>
          <w:szCs w:val="20"/>
          <w:lang w:eastAsia="en-US"/>
        </w:rPr>
        <w:t>Fuente de información</w:t>
      </w:r>
      <w:r w:rsidRPr="00937636">
        <w:rPr>
          <w:rFonts w:eastAsia="Calibri"/>
          <w:sz w:val="20"/>
          <w:szCs w:val="20"/>
          <w:lang w:eastAsia="en-US"/>
        </w:rPr>
        <w:t>:</w:t>
      </w:r>
    </w:p>
    <w:p w14:paraId="19437346" w14:textId="77777777" w:rsidR="00937636" w:rsidRPr="004C101E" w:rsidRDefault="00872B0E" w:rsidP="004C101E">
      <w:pPr>
        <w:spacing w:after="720"/>
        <w:ind w:right="-159"/>
        <w:jc w:val="both"/>
        <w:rPr>
          <w:rFonts w:eastAsia="Calibri"/>
          <w:color w:val="0000FF"/>
          <w:sz w:val="20"/>
          <w:szCs w:val="20"/>
          <w:lang w:eastAsia="en-US"/>
        </w:rPr>
      </w:pPr>
      <w:hyperlink r:id="rId30" w:history="1">
        <w:r w:rsidR="00937636" w:rsidRPr="004C101E">
          <w:rPr>
            <w:rFonts w:eastAsia="Calibri"/>
            <w:color w:val="0000FF"/>
            <w:sz w:val="20"/>
            <w:szCs w:val="20"/>
            <w:u w:val="single"/>
            <w:lang w:eastAsia="en-US"/>
          </w:rPr>
          <w:t>http://sener.gob.mx/portal/Default_blt.aspx?id=3142</w:t>
        </w:r>
      </w:hyperlink>
    </w:p>
    <w:p w14:paraId="302EDAFB"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Petróleos   Mexicanos   y   el   STPRM</w:t>
      </w:r>
    </w:p>
    <w:p w14:paraId="1093A9A0" w14:textId="77777777" w:rsidR="0071728B" w:rsidRPr="0071728B" w:rsidRDefault="0071728B" w:rsidP="0071728B">
      <w:pPr>
        <w:ind w:right="-159"/>
        <w:jc w:val="both"/>
        <w:rPr>
          <w:rFonts w:eastAsia="Calibri"/>
          <w:b/>
          <w:sz w:val="26"/>
          <w:szCs w:val="26"/>
          <w:lang w:eastAsia="en-US"/>
        </w:rPr>
      </w:pPr>
      <w:r w:rsidRPr="0071728B">
        <w:rPr>
          <w:rFonts w:eastAsia="Calibri"/>
          <w:b/>
          <w:sz w:val="26"/>
          <w:szCs w:val="26"/>
          <w:lang w:eastAsia="en-US"/>
        </w:rPr>
        <w:t>acuerdan   medidas   para   reducir  el</w:t>
      </w:r>
    </w:p>
    <w:p w14:paraId="0BDF1BD2" w14:textId="77777777" w:rsidR="0071728B" w:rsidRPr="0071728B" w:rsidRDefault="0071728B" w:rsidP="0071728B">
      <w:pPr>
        <w:spacing w:after="360" w:line="360" w:lineRule="auto"/>
        <w:ind w:right="-159"/>
        <w:jc w:val="both"/>
        <w:rPr>
          <w:rFonts w:eastAsia="Calibri"/>
          <w:b/>
          <w:sz w:val="26"/>
          <w:szCs w:val="26"/>
          <w:lang w:eastAsia="en-US"/>
        </w:rPr>
      </w:pPr>
      <w:r w:rsidRPr="0071728B">
        <w:rPr>
          <w:rFonts w:eastAsia="Calibri"/>
          <w:b/>
          <w:sz w:val="26"/>
          <w:szCs w:val="26"/>
          <w:lang w:eastAsia="en-US"/>
        </w:rPr>
        <w:t>gasto corriente de la empresa (Pemex)</w:t>
      </w:r>
    </w:p>
    <w:p w14:paraId="093AFFB7" w14:textId="77777777"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El 27 de febrero de 2015, Petróleos Mexicanos (Pemex) y el Sindicato de Trabajadores Petroleros de la República Mexicana (STPRM) acordaron implementar un programa extraordinario para reducir el gasto corriente en servicios personales en 10 mil millones de pesos, equivalente a 16% del ajuste al presupuesto de Pemex recientemente anunciado que asciende a 62 mil millones de pesos.</w:t>
      </w:r>
    </w:p>
    <w:p w14:paraId="3770BA57" w14:textId="77777777"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 xml:space="preserve">Entre las acciones que se implementarán a lo largo del presente año para lograr este ahorro se incluyen medidas de productividad, eficiencia y manejo de personal que </w:t>
      </w:r>
      <w:r w:rsidRPr="0071728B">
        <w:rPr>
          <w:rFonts w:eastAsia="Calibri"/>
          <w:sz w:val="26"/>
          <w:szCs w:val="26"/>
          <w:lang w:eastAsia="en-US"/>
        </w:rPr>
        <w:lastRenderedPageBreak/>
        <w:t>impactarán directamente el gasto en servicios personales de todos los trabajadores de Pemex.</w:t>
      </w:r>
    </w:p>
    <w:p w14:paraId="7AA9718C" w14:textId="77777777" w:rsidR="0071728B" w:rsidRPr="0071728B" w:rsidRDefault="0071728B" w:rsidP="0071728B">
      <w:pPr>
        <w:spacing w:after="360" w:line="360" w:lineRule="auto"/>
        <w:ind w:right="-159"/>
        <w:jc w:val="both"/>
        <w:rPr>
          <w:rFonts w:eastAsia="Calibri"/>
          <w:sz w:val="26"/>
          <w:szCs w:val="26"/>
          <w:lang w:eastAsia="en-US"/>
        </w:rPr>
      </w:pPr>
      <w:r w:rsidRPr="0071728B">
        <w:rPr>
          <w:rFonts w:eastAsia="Calibri"/>
          <w:sz w:val="26"/>
          <w:szCs w:val="26"/>
          <w:lang w:eastAsia="en-US"/>
        </w:rPr>
        <w:t>Pemex reconoce el decidido apoyo del Sindicato ante el entorno adverso por el que atraviesan las finanzas de la empresa, derivado en buena medida por la drástica y rápida reducción que se ha observado en los ingresos de Pemex ante la caída en los precios internacionales del petróleo.</w:t>
      </w:r>
    </w:p>
    <w:p w14:paraId="5175EECF" w14:textId="77777777" w:rsidR="0071728B" w:rsidRPr="0071728B" w:rsidRDefault="0071728B" w:rsidP="0071728B">
      <w:pPr>
        <w:ind w:right="-159"/>
        <w:jc w:val="both"/>
        <w:rPr>
          <w:rFonts w:eastAsia="Calibri"/>
          <w:b/>
          <w:sz w:val="20"/>
          <w:szCs w:val="20"/>
          <w:lang w:eastAsia="en-US"/>
        </w:rPr>
      </w:pPr>
      <w:r w:rsidRPr="0071728B">
        <w:rPr>
          <w:rFonts w:eastAsia="Calibri"/>
          <w:b/>
          <w:sz w:val="20"/>
          <w:szCs w:val="20"/>
          <w:lang w:eastAsia="en-US"/>
        </w:rPr>
        <w:t>Fuente de información:</w:t>
      </w:r>
    </w:p>
    <w:p w14:paraId="34576B38" w14:textId="77777777" w:rsidR="0071728B" w:rsidRPr="004C101E" w:rsidRDefault="00872B0E" w:rsidP="004C101E">
      <w:pPr>
        <w:spacing w:after="720"/>
        <w:ind w:right="-159"/>
        <w:jc w:val="both"/>
        <w:rPr>
          <w:rFonts w:eastAsia="Calibri"/>
          <w:color w:val="0000FF"/>
          <w:sz w:val="20"/>
          <w:szCs w:val="20"/>
          <w:lang w:eastAsia="en-US"/>
        </w:rPr>
      </w:pPr>
      <w:hyperlink r:id="rId31" w:history="1">
        <w:r w:rsidR="0071728B" w:rsidRPr="004C101E">
          <w:rPr>
            <w:rFonts w:eastAsia="Calibri"/>
            <w:color w:val="0000FF"/>
            <w:sz w:val="20"/>
            <w:szCs w:val="20"/>
            <w:u w:val="single"/>
            <w:lang w:eastAsia="en-US"/>
          </w:rPr>
          <w:t>http://www.pemex.com/prensa/boletines_nacionales/Paginas/2015-018-nacional.aspx</w:t>
        </w:r>
      </w:hyperlink>
      <w:r w:rsidR="0071728B" w:rsidRPr="004C101E">
        <w:rPr>
          <w:rFonts w:eastAsia="Calibri"/>
          <w:color w:val="0000FF"/>
          <w:sz w:val="20"/>
          <w:szCs w:val="20"/>
          <w:lang w:eastAsia="en-US"/>
        </w:rPr>
        <w:t xml:space="preserve"> </w:t>
      </w:r>
    </w:p>
    <w:p w14:paraId="7F740C48" w14:textId="77777777" w:rsidR="00BE2877" w:rsidRDefault="00BE2877" w:rsidP="00BE2877">
      <w:pPr>
        <w:ind w:right="-159"/>
        <w:jc w:val="both"/>
        <w:rPr>
          <w:rFonts w:eastAsia="Calibri"/>
          <w:b/>
          <w:sz w:val="26"/>
          <w:szCs w:val="26"/>
          <w:lang w:eastAsia="en-US"/>
        </w:rPr>
      </w:pPr>
      <w:r w:rsidRPr="00BE2877">
        <w:rPr>
          <w:rFonts w:eastAsia="Calibri"/>
          <w:b/>
          <w:sz w:val="26"/>
          <w:szCs w:val="26"/>
          <w:lang w:eastAsia="en-US"/>
        </w:rPr>
        <w:t>Pemex pierde 10 mil empleos por</w:t>
      </w:r>
    </w:p>
    <w:p w14:paraId="65FD2C0C" w14:textId="7A1652A0" w:rsidR="00BE2877" w:rsidRPr="00BE2877" w:rsidRDefault="00BE2877" w:rsidP="00BE2877">
      <w:pPr>
        <w:spacing w:after="360" w:line="360" w:lineRule="auto"/>
        <w:ind w:right="-159"/>
        <w:jc w:val="both"/>
        <w:rPr>
          <w:rFonts w:eastAsia="Calibri"/>
          <w:b/>
          <w:sz w:val="26"/>
          <w:szCs w:val="26"/>
          <w:lang w:eastAsia="en-US"/>
        </w:rPr>
      </w:pPr>
      <w:r w:rsidRPr="00BE2877">
        <w:rPr>
          <w:rFonts w:eastAsia="Calibri"/>
          <w:b/>
          <w:sz w:val="26"/>
          <w:szCs w:val="26"/>
          <w:lang w:eastAsia="en-US"/>
        </w:rPr>
        <w:t xml:space="preserve">caída </w:t>
      </w:r>
      <w:r w:rsidR="00723844">
        <w:rPr>
          <w:rFonts w:eastAsia="Calibri"/>
          <w:b/>
          <w:sz w:val="26"/>
          <w:szCs w:val="26"/>
          <w:lang w:eastAsia="en-US"/>
        </w:rPr>
        <w:t xml:space="preserve"> </w:t>
      </w:r>
      <w:r w:rsidRPr="00BE2877">
        <w:rPr>
          <w:rFonts w:eastAsia="Calibri"/>
          <w:b/>
          <w:sz w:val="26"/>
          <w:szCs w:val="26"/>
          <w:lang w:eastAsia="en-US"/>
        </w:rPr>
        <w:t xml:space="preserve">del </w:t>
      </w:r>
      <w:r w:rsidR="00723844">
        <w:rPr>
          <w:rFonts w:eastAsia="Calibri"/>
          <w:b/>
          <w:sz w:val="26"/>
          <w:szCs w:val="26"/>
          <w:lang w:eastAsia="en-US"/>
        </w:rPr>
        <w:t xml:space="preserve"> </w:t>
      </w:r>
      <w:r w:rsidRPr="00BE2877">
        <w:rPr>
          <w:rFonts w:eastAsia="Calibri"/>
          <w:b/>
          <w:sz w:val="26"/>
          <w:szCs w:val="26"/>
          <w:lang w:eastAsia="en-US"/>
        </w:rPr>
        <w:t>crudo (Forbes México)</w:t>
      </w:r>
    </w:p>
    <w:p w14:paraId="3C8FBE5F"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El 18 de marzo de 2015, la edición online de la revista de negocios Forbes México señaló que la caída en el precio del petróleo ha motivado el despido de unas 74 mil personas de la industria en todo el mundo, 10 mil de ellas en la paraestatal mexicana, de acuerdo con fuentes del sector.</w:t>
      </w:r>
    </w:p>
    <w:p w14:paraId="71871F92"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La caída en el precio del petróleo ha hecho que para los estadounidenses sea más barato llenar sus tanques de gasolina, pero está diezmando la fuerza de trabajo de la industria del petróleo y el gas a nivel mundial, ya que las empresas recortan sus gastos con la esperanza de sobrevivir a la crisis.</w:t>
      </w:r>
    </w:p>
    <w:p w14:paraId="67D314CE"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Recibí un documento muy completo de unos amigos bien colocados en la industria, el cual muestra con gran precisión los datos sobre cómo las empresas han recortado puestos de trabajo, y cuántos. La conclusión: la industria del petróleo y el gas en todo el mundo, incluidas las empresas de servicios petroleros, los fabricantes de piezas y los fabricantes de tubos de acero, ha despedido a 74 mil hasta el momento.</w:t>
      </w:r>
    </w:p>
    <w:p w14:paraId="27D20AEA"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lastRenderedPageBreak/>
        <w:t>Teniendo en cuenta que hay cerca de 600 mil trabajos en el sector de petróleo y gas de Estados Unidos de Norteamérica, se trata de un impacto considerable. Es importante señalar que la mayoría de éstos son empleos de clase media. No hay muchos sectores en los que alguien con poco más que la preparatoria pueda ganar 100 mil dólares al año, pero ése es un paquete de compensación común para los trabajadores de una plataforma de perforación. Gente que opera una gran cantidad de equipos de perforación me ha dicho que por cada plataforma que suspende su actividad alrededor de 40 personas pierden su empleo. El número de equipos de Estados Unidos de Norteamérica se ha reducido en más de 700 de estas fechas el año pasado.</w:t>
      </w:r>
    </w:p>
    <w:p w14:paraId="3FF971F3"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De hecho, el trabajador del petróleo y el gas promedio en Estados Unidos de Norteamérica gana 108 mil dólares anuales, según cifras del gobierno. El enorme crecimiento de estos puestos de trabajo de petróleo y gas ha sido vital para ayudar a Estados Unidos de Norteamérica a salir de la Gran Recesión.</w:t>
      </w:r>
    </w:p>
    <w:p w14:paraId="5F9540EE"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En el caso de México, el documento indica que Petróleos Mexicanos ha despedido a 10 mil trabajadores, un número considerable tomando en cuenta que la plantilla de la paraestatal ronda los 150 mil empleados. En febrero, Pemex informó que recortaría 10 mil millones de pesos de gasto en servicios profesionales, aunque no detalló el número de trabajadores que serían despedidos.</w:t>
      </w:r>
    </w:p>
    <w:p w14:paraId="7BE8D980"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En cuanto a la remuneración de los trabajadores petroleros, la última cifra publicada por Pemex sobre los ingresos promedio de sus trabajadores data de 2010 y era de 37 mil pesos mensuales.</w:t>
      </w:r>
    </w:p>
    <w:p w14:paraId="2EED0B0C"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En todos los casos, además, es necesario tener en cuenta el efecto adicional de cada despido, pues significa que mucho menos dinero será gastado en comida, ropa, autos, casas, y así sucesivamente.</w:t>
      </w:r>
    </w:p>
    <w:p w14:paraId="56CD9576"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lastRenderedPageBreak/>
        <w:t>Las empresas de servicios han llevado la peor parte, con cerca de 59 mil despidos, incluyendo 9 mil de Schlumberger y 8 mil en Weatherford, casi 7 mil de Baker Hughes y 6 mil 600 en Halliburton.</w:t>
      </w:r>
    </w:p>
    <w:p w14:paraId="27EBC25C"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Luego están las empresas de exploración y producción, con más de 10 mil despidos. Esto incluye 2 mil en Total, 1 mil 500 en Sasol y 1 mil en Suncor.</w:t>
      </w:r>
    </w:p>
    <w:p w14:paraId="1A8C0BE1"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Las empresas de manufactura han recortado a cerca de 5 mil, con 3 mil 800 despidos en US Steel. Las compañías de tuberías han despedido a casi 2 mil 800, con la mayoría de los cortes procedentes de Tenaris con 1 mil 440, MRC Global con 700 y Vallourec Stars con 300.</w:t>
      </w:r>
    </w:p>
    <w:p w14:paraId="09B08305"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Aunque detallada, dudo que la lista publicada al final de este post sea exhaustiva. Si sabes de otros recortes que no estén en ella (o discrepas con los números), por favor deja un comentario en el espacio reservado para tal fin.</w:t>
      </w:r>
    </w:p>
    <w:p w14:paraId="539F06D8"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La mayor parte de estos recortes se ha concentrado en Estados Unidos de Norteamérica, y si Washington quiere ayudar a detener esos despidos antes de que la situación empeore, sólo hay una cosa que puede hacer: votar para que se derogue la anticuada prohibición de las exportaciones petroleras puesta en marcha por el presidente Nixon en la década de 1970.</w:t>
      </w:r>
    </w:p>
    <w:p w14:paraId="16D676DF"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Los perforadores de Estados Unidos de Norteamérica actualmente están extrayendo más crudo ligero y dulce de las formaciones de esquisto del que las refinerías pueden manejar. No es que haya demasiado; después de todo, Estados Unidos de Norteamérica sigue importando cerca de 5 millones de barriles por día del resto del mundo, pero esas importaciones son casi en su totalidad crudo más pesado y más agrio, del tipo que las refinerías estadounidenses fueron construidas para procesar antes del boom de shale.</w:t>
      </w:r>
    </w:p>
    <w:p w14:paraId="3C9AF9CA" w14:textId="77777777" w:rsidR="00BE2877" w:rsidRP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lastRenderedPageBreak/>
        <w:t>Si las compañías petroleras estadounidenses pudieran exportar su crudo ligero podrían cobrar más por él que lo que los refinadores estadounidenses están dispuestos a pagar (y por lo tanto reducir el diferencial de precios WTI-Brent). Eso ayudaría mucho a mejorar la economía del petróleo estadounidense, y ayudar a mantener estos puestos de trabajo bien remunerados en Estados Unidos de Norteamérica. Y debido a que el crudo estadounidense ligero competiría directamente con el petróleo de la Organización de Países Exportadores de Petróleo (OPEP), sus exportaciones ayudarían también a bajar el precio mundial del crudo.</w:t>
      </w:r>
    </w:p>
    <w:p w14:paraId="206D9DBD" w14:textId="77777777" w:rsidR="00BE2877" w:rsidRDefault="00BE2877" w:rsidP="00BE2877">
      <w:pPr>
        <w:spacing w:after="360" w:line="360" w:lineRule="auto"/>
        <w:ind w:right="-159"/>
        <w:jc w:val="both"/>
        <w:rPr>
          <w:rFonts w:eastAsia="Calibri"/>
          <w:sz w:val="26"/>
          <w:szCs w:val="26"/>
          <w:lang w:val="es-ES" w:eastAsia="en-US"/>
        </w:rPr>
      </w:pPr>
      <w:r w:rsidRPr="00BE2877">
        <w:rPr>
          <w:rFonts w:eastAsia="Calibri"/>
          <w:sz w:val="26"/>
          <w:szCs w:val="26"/>
          <w:lang w:val="es-ES" w:eastAsia="en-US"/>
        </w:rPr>
        <w:t>¿Y si todo lo demás falla? Algunos de estos trabajadores despedidos podrían encontrar un nuevo futuro en Arabia Saudita, donde se reporta que Aramco busca trabajadores con experiencia en extracción de petróleo gas shale para “unirse” a su equipo.</w:t>
      </w:r>
    </w:p>
    <w:p w14:paraId="5708144C" w14:textId="77777777" w:rsidR="00304A53" w:rsidRDefault="00304A53" w:rsidP="00BE2877">
      <w:pPr>
        <w:spacing w:after="360" w:line="360" w:lineRule="auto"/>
        <w:ind w:right="-159"/>
        <w:jc w:val="both"/>
        <w:rPr>
          <w:rFonts w:eastAsia="Calibri"/>
          <w:sz w:val="26"/>
          <w:szCs w:val="26"/>
          <w:lang w:val="es-ES" w:eastAsia="en-US"/>
        </w:rPr>
      </w:pPr>
    </w:p>
    <w:p w14:paraId="32ED04A4" w14:textId="77777777" w:rsidR="00304A53" w:rsidRDefault="00304A53" w:rsidP="00BE2877">
      <w:pPr>
        <w:spacing w:after="360" w:line="360" w:lineRule="auto"/>
        <w:ind w:right="-159"/>
        <w:jc w:val="both"/>
        <w:rPr>
          <w:rFonts w:eastAsia="Calibri"/>
          <w:sz w:val="26"/>
          <w:szCs w:val="26"/>
          <w:lang w:val="es-ES" w:eastAsia="en-US"/>
        </w:rPr>
      </w:pPr>
    </w:p>
    <w:p w14:paraId="49D7CC10" w14:textId="77777777" w:rsidR="00304A53" w:rsidRDefault="00304A53" w:rsidP="00BE2877">
      <w:pPr>
        <w:spacing w:after="360" w:line="360" w:lineRule="auto"/>
        <w:ind w:right="-159"/>
        <w:jc w:val="both"/>
        <w:rPr>
          <w:rFonts w:eastAsia="Calibri"/>
          <w:sz w:val="26"/>
          <w:szCs w:val="26"/>
          <w:lang w:val="es-ES" w:eastAsia="en-US"/>
        </w:rPr>
      </w:pPr>
    </w:p>
    <w:p w14:paraId="76BC5C66" w14:textId="77777777" w:rsidR="00304A53" w:rsidRDefault="00304A53" w:rsidP="00BE2877">
      <w:pPr>
        <w:spacing w:after="360" w:line="360" w:lineRule="auto"/>
        <w:ind w:right="-159"/>
        <w:jc w:val="both"/>
        <w:rPr>
          <w:rFonts w:eastAsia="Calibri"/>
          <w:sz w:val="26"/>
          <w:szCs w:val="26"/>
          <w:lang w:val="es-ES" w:eastAsia="en-US"/>
        </w:rPr>
      </w:pPr>
    </w:p>
    <w:p w14:paraId="3331A60C" w14:textId="77777777" w:rsidR="00304A53" w:rsidRDefault="00304A53" w:rsidP="00BE2877">
      <w:pPr>
        <w:spacing w:after="360" w:line="360" w:lineRule="auto"/>
        <w:ind w:right="-159"/>
        <w:jc w:val="both"/>
        <w:rPr>
          <w:rFonts w:eastAsia="Calibri"/>
          <w:sz w:val="26"/>
          <w:szCs w:val="26"/>
          <w:lang w:val="es-ES" w:eastAsia="en-US"/>
        </w:rPr>
      </w:pPr>
    </w:p>
    <w:p w14:paraId="12BBF0E8" w14:textId="77777777" w:rsidR="00304A53" w:rsidRDefault="00304A53" w:rsidP="00BE2877">
      <w:pPr>
        <w:spacing w:after="360" w:line="360" w:lineRule="auto"/>
        <w:ind w:right="-159"/>
        <w:jc w:val="both"/>
        <w:rPr>
          <w:rFonts w:eastAsia="Calibri"/>
          <w:sz w:val="26"/>
          <w:szCs w:val="26"/>
          <w:lang w:val="es-ES" w:eastAsia="en-US"/>
        </w:rPr>
      </w:pPr>
    </w:p>
    <w:p w14:paraId="4F159FE4" w14:textId="77777777" w:rsidR="00304A53" w:rsidRDefault="00304A53" w:rsidP="00BE2877">
      <w:pPr>
        <w:spacing w:after="360" w:line="360" w:lineRule="auto"/>
        <w:ind w:right="-159"/>
        <w:jc w:val="both"/>
        <w:rPr>
          <w:rFonts w:eastAsia="Calibri"/>
          <w:sz w:val="26"/>
          <w:szCs w:val="26"/>
          <w:lang w:val="es-ES" w:eastAsia="en-US"/>
        </w:rPr>
      </w:pPr>
    </w:p>
    <w:p w14:paraId="0BA3BCBB" w14:textId="77777777" w:rsidR="00304A53" w:rsidRDefault="00304A53" w:rsidP="00BE2877">
      <w:pPr>
        <w:spacing w:after="360" w:line="360" w:lineRule="auto"/>
        <w:ind w:right="-159"/>
        <w:jc w:val="both"/>
        <w:rPr>
          <w:rFonts w:eastAsia="Calibri"/>
          <w:sz w:val="26"/>
          <w:szCs w:val="26"/>
          <w:lang w:val="es-ES" w:eastAsia="en-US"/>
        </w:rPr>
      </w:pPr>
    </w:p>
    <w:p w14:paraId="238C0FAD" w14:textId="77777777" w:rsidR="00304A53" w:rsidRPr="00BE2877" w:rsidRDefault="00304A53" w:rsidP="00BE2877">
      <w:pPr>
        <w:spacing w:after="360" w:line="360" w:lineRule="auto"/>
        <w:ind w:right="-159"/>
        <w:jc w:val="both"/>
        <w:rPr>
          <w:rFonts w:eastAsia="Calibri"/>
          <w:sz w:val="26"/>
          <w:szCs w:val="26"/>
          <w:lang w:val="es-ES" w:eastAsia="en-US"/>
        </w:rPr>
      </w:pPr>
    </w:p>
    <w:tbl>
      <w:tblPr>
        <w:tblW w:w="9072" w:type="dxa"/>
        <w:jc w:val="center"/>
        <w:tblLook w:val="04A0" w:firstRow="1" w:lastRow="0" w:firstColumn="1" w:lastColumn="0" w:noHBand="0" w:noVBand="1"/>
      </w:tblPr>
      <w:tblGrid>
        <w:gridCol w:w="2694"/>
        <w:gridCol w:w="1984"/>
        <w:gridCol w:w="2561"/>
        <w:gridCol w:w="1833"/>
      </w:tblGrid>
      <w:tr w:rsidR="00BE2877" w:rsidRPr="00BE2877" w14:paraId="1AC18ABF" w14:textId="77777777" w:rsidTr="00BE2877">
        <w:trPr>
          <w:jc w:val="center"/>
        </w:trPr>
        <w:tc>
          <w:tcPr>
            <w:tcW w:w="9072" w:type="dxa"/>
            <w:gridSpan w:val="4"/>
            <w:tcBorders>
              <w:top w:val="nil"/>
              <w:left w:val="nil"/>
              <w:bottom w:val="single" w:sz="4" w:space="0" w:color="auto"/>
              <w:right w:val="nil"/>
            </w:tcBorders>
          </w:tcPr>
          <w:p w14:paraId="28492FF5" w14:textId="77777777" w:rsidR="00BE2877" w:rsidRPr="00BE2877" w:rsidRDefault="00BE2877" w:rsidP="00BE2877">
            <w:pPr>
              <w:jc w:val="center"/>
              <w:rPr>
                <w:rFonts w:eastAsia="Calibri"/>
                <w:b/>
                <w:sz w:val="22"/>
                <w:szCs w:val="22"/>
                <w:lang w:val="es-ES" w:eastAsia="en-US"/>
              </w:rPr>
            </w:pPr>
            <w:r w:rsidRPr="00BE2877">
              <w:rPr>
                <w:rFonts w:eastAsia="Calibri"/>
                <w:b/>
                <w:sz w:val="22"/>
                <w:szCs w:val="22"/>
                <w:lang w:val="es-ES" w:eastAsia="en-US"/>
              </w:rPr>
              <w:lastRenderedPageBreak/>
              <w:t>DESPIDOS POR SECTOR</w:t>
            </w:r>
          </w:p>
        </w:tc>
      </w:tr>
      <w:tr w:rsidR="00BE2877" w:rsidRPr="00BE2877" w14:paraId="4DF49643" w14:textId="77777777" w:rsidTr="00BE2877">
        <w:trPr>
          <w:jc w:val="center"/>
        </w:trPr>
        <w:tc>
          <w:tcPr>
            <w:tcW w:w="2694" w:type="dxa"/>
            <w:tcBorders>
              <w:top w:val="single" w:sz="4" w:space="0" w:color="auto"/>
              <w:bottom w:val="single" w:sz="4" w:space="0" w:color="auto"/>
              <w:right w:val="single" w:sz="4" w:space="0" w:color="auto"/>
            </w:tcBorders>
          </w:tcPr>
          <w:p w14:paraId="0DF47278" w14:textId="77777777" w:rsidR="00BE2877" w:rsidRPr="00BE2877" w:rsidRDefault="00BE2877" w:rsidP="00BE2877">
            <w:pPr>
              <w:jc w:val="center"/>
              <w:rPr>
                <w:rFonts w:eastAsia="Calibri"/>
                <w:b/>
                <w:sz w:val="18"/>
                <w:szCs w:val="18"/>
                <w:lang w:val="es-ES" w:eastAsia="en-US"/>
              </w:rPr>
            </w:pPr>
            <w:r w:rsidRPr="00BE2877">
              <w:rPr>
                <w:rFonts w:eastAsia="Calibri"/>
                <w:b/>
                <w:sz w:val="18"/>
                <w:szCs w:val="18"/>
                <w:lang w:val="es-ES" w:eastAsia="en-US"/>
              </w:rPr>
              <w:t>Sector</w:t>
            </w:r>
          </w:p>
        </w:tc>
        <w:tc>
          <w:tcPr>
            <w:tcW w:w="1984" w:type="dxa"/>
            <w:tcBorders>
              <w:top w:val="single" w:sz="4" w:space="0" w:color="auto"/>
              <w:left w:val="single" w:sz="4" w:space="0" w:color="auto"/>
              <w:bottom w:val="single" w:sz="4" w:space="0" w:color="auto"/>
              <w:right w:val="single" w:sz="4" w:space="0" w:color="auto"/>
            </w:tcBorders>
          </w:tcPr>
          <w:p w14:paraId="75D81818" w14:textId="77777777" w:rsidR="00BE2877" w:rsidRPr="00BE2877" w:rsidRDefault="00BE2877" w:rsidP="00BE2877">
            <w:pPr>
              <w:jc w:val="center"/>
              <w:rPr>
                <w:rFonts w:eastAsia="Calibri"/>
                <w:b/>
                <w:sz w:val="18"/>
                <w:szCs w:val="18"/>
                <w:lang w:val="es-ES" w:eastAsia="en-US"/>
              </w:rPr>
            </w:pPr>
            <w:r w:rsidRPr="00BE2877">
              <w:rPr>
                <w:rFonts w:eastAsia="Calibri"/>
                <w:b/>
                <w:sz w:val="18"/>
                <w:szCs w:val="18"/>
                <w:lang w:val="es-ES" w:eastAsia="en-US"/>
              </w:rPr>
              <w:t>Despidos</w:t>
            </w:r>
          </w:p>
        </w:tc>
        <w:tc>
          <w:tcPr>
            <w:tcW w:w="2561" w:type="dxa"/>
            <w:tcBorders>
              <w:top w:val="single" w:sz="4" w:space="0" w:color="auto"/>
              <w:left w:val="single" w:sz="4" w:space="0" w:color="auto"/>
              <w:bottom w:val="single" w:sz="4" w:space="0" w:color="auto"/>
              <w:right w:val="single" w:sz="4" w:space="0" w:color="auto"/>
            </w:tcBorders>
          </w:tcPr>
          <w:p w14:paraId="7E213AE4" w14:textId="77777777" w:rsidR="00BE2877" w:rsidRPr="00BE2877" w:rsidRDefault="00BE2877" w:rsidP="00BE2877">
            <w:pPr>
              <w:jc w:val="center"/>
              <w:rPr>
                <w:rFonts w:eastAsia="Calibri"/>
                <w:b/>
                <w:sz w:val="18"/>
                <w:szCs w:val="18"/>
                <w:lang w:val="es-ES" w:eastAsia="en-US"/>
              </w:rPr>
            </w:pPr>
            <w:r w:rsidRPr="00BE2877">
              <w:rPr>
                <w:rFonts w:eastAsia="Calibri"/>
                <w:b/>
                <w:sz w:val="18"/>
                <w:szCs w:val="18"/>
                <w:lang w:val="es-ES" w:eastAsia="en-US"/>
              </w:rPr>
              <w:t>Sector</w:t>
            </w:r>
          </w:p>
        </w:tc>
        <w:tc>
          <w:tcPr>
            <w:tcW w:w="1833" w:type="dxa"/>
            <w:tcBorders>
              <w:top w:val="single" w:sz="4" w:space="0" w:color="auto"/>
              <w:left w:val="single" w:sz="4" w:space="0" w:color="auto"/>
              <w:bottom w:val="single" w:sz="4" w:space="0" w:color="auto"/>
            </w:tcBorders>
          </w:tcPr>
          <w:p w14:paraId="5BDD2580" w14:textId="77777777" w:rsidR="00BE2877" w:rsidRPr="00BE2877" w:rsidRDefault="00BE2877" w:rsidP="00BE2877">
            <w:pPr>
              <w:jc w:val="center"/>
              <w:rPr>
                <w:rFonts w:eastAsia="Calibri"/>
                <w:b/>
                <w:sz w:val="18"/>
                <w:szCs w:val="18"/>
                <w:lang w:val="es-ES" w:eastAsia="en-US"/>
              </w:rPr>
            </w:pPr>
            <w:r w:rsidRPr="00BE2877">
              <w:rPr>
                <w:rFonts w:eastAsia="Calibri"/>
                <w:b/>
                <w:sz w:val="18"/>
                <w:szCs w:val="18"/>
                <w:lang w:val="es-ES" w:eastAsia="en-US"/>
              </w:rPr>
              <w:t>Despidos</w:t>
            </w:r>
          </w:p>
        </w:tc>
      </w:tr>
      <w:tr w:rsidR="00BE2877" w:rsidRPr="00BE2877" w14:paraId="4C1F106F" w14:textId="77777777" w:rsidTr="00BE2877">
        <w:trPr>
          <w:jc w:val="center"/>
        </w:trPr>
        <w:tc>
          <w:tcPr>
            <w:tcW w:w="2694" w:type="dxa"/>
            <w:tcBorders>
              <w:top w:val="single" w:sz="4" w:space="0" w:color="auto"/>
              <w:left w:val="single" w:sz="4" w:space="0" w:color="auto"/>
              <w:bottom w:val="nil"/>
              <w:right w:val="single" w:sz="4" w:space="0" w:color="auto"/>
            </w:tcBorders>
            <w:vAlign w:val="center"/>
          </w:tcPr>
          <w:p w14:paraId="3B355E5C" w14:textId="77777777" w:rsidR="00BE2877" w:rsidRPr="00BE2877" w:rsidRDefault="00BE2877" w:rsidP="00BE2877">
            <w:pPr>
              <w:jc w:val="both"/>
              <w:rPr>
                <w:rFonts w:eastAsia="Calibri"/>
                <w:b/>
                <w:sz w:val="18"/>
                <w:szCs w:val="18"/>
                <w:lang w:val="es-ES" w:eastAsia="en-US"/>
              </w:rPr>
            </w:pPr>
            <w:r w:rsidRPr="00BE2877">
              <w:rPr>
                <w:rFonts w:eastAsia="Calibri"/>
                <w:b/>
                <w:sz w:val="18"/>
                <w:szCs w:val="18"/>
                <w:lang w:val="es-ES" w:eastAsia="en-US"/>
              </w:rPr>
              <w:t xml:space="preserve">Servicios </w:t>
            </w:r>
          </w:p>
        </w:tc>
        <w:tc>
          <w:tcPr>
            <w:tcW w:w="1984" w:type="dxa"/>
            <w:tcBorders>
              <w:top w:val="single" w:sz="4" w:space="0" w:color="auto"/>
              <w:left w:val="single" w:sz="4" w:space="0" w:color="auto"/>
              <w:bottom w:val="nil"/>
              <w:right w:val="single" w:sz="4" w:space="0" w:color="auto"/>
            </w:tcBorders>
            <w:vAlign w:val="center"/>
          </w:tcPr>
          <w:p w14:paraId="0971B6FB" w14:textId="77777777" w:rsidR="00BE2877" w:rsidRPr="00BE2877" w:rsidRDefault="00BE2877" w:rsidP="00BE2877">
            <w:pPr>
              <w:ind w:right="601"/>
              <w:jc w:val="right"/>
              <w:rPr>
                <w:rFonts w:eastAsia="Calibri"/>
                <w:b/>
                <w:sz w:val="18"/>
                <w:szCs w:val="18"/>
                <w:lang w:val="es-ES" w:eastAsia="en-US"/>
              </w:rPr>
            </w:pPr>
            <w:r w:rsidRPr="00BE2877">
              <w:rPr>
                <w:rFonts w:eastAsia="Calibri"/>
                <w:b/>
                <w:sz w:val="18"/>
                <w:szCs w:val="18"/>
                <w:lang w:val="es-ES" w:eastAsia="en-US"/>
              </w:rPr>
              <w:t>58 624</w:t>
            </w:r>
          </w:p>
        </w:tc>
        <w:tc>
          <w:tcPr>
            <w:tcW w:w="2561" w:type="dxa"/>
            <w:tcBorders>
              <w:top w:val="single" w:sz="4" w:space="0" w:color="auto"/>
              <w:left w:val="single" w:sz="4" w:space="0" w:color="auto"/>
              <w:bottom w:val="nil"/>
              <w:right w:val="single" w:sz="4" w:space="0" w:color="auto"/>
            </w:tcBorders>
            <w:vAlign w:val="center"/>
          </w:tcPr>
          <w:p w14:paraId="6A858091" w14:textId="77777777" w:rsidR="00BE2877" w:rsidRPr="00BE2877" w:rsidRDefault="00BE2877" w:rsidP="00BE2877">
            <w:pPr>
              <w:jc w:val="both"/>
              <w:rPr>
                <w:rFonts w:eastAsia="Calibri"/>
                <w:b/>
                <w:sz w:val="18"/>
                <w:szCs w:val="18"/>
                <w:lang w:val="es-ES" w:eastAsia="en-US"/>
              </w:rPr>
            </w:pPr>
            <w:r w:rsidRPr="00BE2877">
              <w:rPr>
                <w:rFonts w:eastAsia="Calibri"/>
                <w:b/>
                <w:sz w:val="18"/>
                <w:szCs w:val="18"/>
                <w:lang w:val="es-ES" w:eastAsia="en-US"/>
              </w:rPr>
              <w:t>Exploración y producción</w:t>
            </w:r>
          </w:p>
        </w:tc>
        <w:tc>
          <w:tcPr>
            <w:tcW w:w="1833" w:type="dxa"/>
            <w:tcBorders>
              <w:top w:val="single" w:sz="4" w:space="0" w:color="auto"/>
              <w:left w:val="single" w:sz="4" w:space="0" w:color="auto"/>
              <w:bottom w:val="nil"/>
              <w:right w:val="single" w:sz="4" w:space="0" w:color="auto"/>
            </w:tcBorders>
            <w:vAlign w:val="center"/>
          </w:tcPr>
          <w:p w14:paraId="1EA21C29" w14:textId="566AFBF5" w:rsidR="00BE2877" w:rsidRPr="00BE2877" w:rsidRDefault="004C101E" w:rsidP="00BE2877">
            <w:pPr>
              <w:ind w:right="601"/>
              <w:jc w:val="right"/>
              <w:rPr>
                <w:rFonts w:eastAsia="Calibri"/>
                <w:sz w:val="18"/>
                <w:szCs w:val="18"/>
                <w:lang w:val="es-ES" w:eastAsia="en-US"/>
              </w:rPr>
            </w:pPr>
            <w:r>
              <w:rPr>
                <w:rFonts w:eastAsia="Calibri"/>
                <w:sz w:val="18"/>
                <w:szCs w:val="18"/>
                <w:lang w:val="es-ES" w:eastAsia="en-US"/>
              </w:rPr>
              <w:t>7 712</w:t>
            </w:r>
          </w:p>
        </w:tc>
      </w:tr>
      <w:tr w:rsidR="00BE2877" w:rsidRPr="00BE2877" w14:paraId="3D2DB8C3" w14:textId="77777777" w:rsidTr="00BE2877">
        <w:trPr>
          <w:jc w:val="center"/>
        </w:trPr>
        <w:tc>
          <w:tcPr>
            <w:tcW w:w="2694" w:type="dxa"/>
            <w:tcBorders>
              <w:top w:val="nil"/>
              <w:left w:val="single" w:sz="4" w:space="0" w:color="auto"/>
              <w:bottom w:val="nil"/>
              <w:right w:val="single" w:sz="4" w:space="0" w:color="auto"/>
            </w:tcBorders>
            <w:vAlign w:val="center"/>
          </w:tcPr>
          <w:p w14:paraId="5EC64D5C"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Acme</w:t>
            </w:r>
          </w:p>
        </w:tc>
        <w:tc>
          <w:tcPr>
            <w:tcW w:w="1984" w:type="dxa"/>
            <w:tcBorders>
              <w:top w:val="nil"/>
              <w:left w:val="single" w:sz="4" w:space="0" w:color="auto"/>
              <w:bottom w:val="nil"/>
              <w:right w:val="single" w:sz="4" w:space="0" w:color="auto"/>
            </w:tcBorders>
            <w:vAlign w:val="center"/>
          </w:tcPr>
          <w:p w14:paraId="7892B6DB"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99</w:t>
            </w:r>
          </w:p>
        </w:tc>
        <w:tc>
          <w:tcPr>
            <w:tcW w:w="2561" w:type="dxa"/>
            <w:tcBorders>
              <w:top w:val="nil"/>
              <w:left w:val="single" w:sz="4" w:space="0" w:color="auto"/>
              <w:bottom w:val="nil"/>
              <w:right w:val="single" w:sz="4" w:space="0" w:color="auto"/>
            </w:tcBorders>
            <w:vAlign w:val="center"/>
          </w:tcPr>
          <w:p w14:paraId="2F7DFA1A"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Apache</w:t>
            </w:r>
          </w:p>
        </w:tc>
        <w:tc>
          <w:tcPr>
            <w:tcW w:w="1833" w:type="dxa"/>
            <w:tcBorders>
              <w:top w:val="nil"/>
              <w:left w:val="single" w:sz="4" w:space="0" w:color="auto"/>
              <w:bottom w:val="nil"/>
              <w:right w:val="single" w:sz="4" w:space="0" w:color="auto"/>
            </w:tcBorders>
            <w:vAlign w:val="center"/>
          </w:tcPr>
          <w:p w14:paraId="0EF08BBE"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250</w:t>
            </w:r>
          </w:p>
        </w:tc>
      </w:tr>
      <w:tr w:rsidR="00BE2877" w:rsidRPr="00BE2877" w14:paraId="2A49FCF2" w14:textId="77777777" w:rsidTr="00BE2877">
        <w:trPr>
          <w:jc w:val="center"/>
        </w:trPr>
        <w:tc>
          <w:tcPr>
            <w:tcW w:w="2694" w:type="dxa"/>
            <w:tcBorders>
              <w:top w:val="nil"/>
              <w:left w:val="single" w:sz="4" w:space="0" w:color="auto"/>
              <w:bottom w:val="nil"/>
              <w:right w:val="single" w:sz="4" w:space="0" w:color="auto"/>
            </w:tcBorders>
            <w:vAlign w:val="center"/>
          </w:tcPr>
          <w:p w14:paraId="1E15E849"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Advanced ST</w:t>
            </w:r>
          </w:p>
        </w:tc>
        <w:tc>
          <w:tcPr>
            <w:tcW w:w="1984" w:type="dxa"/>
            <w:tcBorders>
              <w:top w:val="nil"/>
              <w:left w:val="single" w:sz="4" w:space="0" w:color="auto"/>
              <w:bottom w:val="nil"/>
              <w:right w:val="single" w:sz="4" w:space="0" w:color="auto"/>
            </w:tcBorders>
            <w:vAlign w:val="center"/>
          </w:tcPr>
          <w:p w14:paraId="497CEB05"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69</w:t>
            </w:r>
          </w:p>
        </w:tc>
        <w:tc>
          <w:tcPr>
            <w:tcW w:w="2561" w:type="dxa"/>
            <w:tcBorders>
              <w:top w:val="nil"/>
              <w:left w:val="single" w:sz="4" w:space="0" w:color="auto"/>
              <w:bottom w:val="nil"/>
              <w:right w:val="single" w:sz="4" w:space="0" w:color="auto"/>
            </w:tcBorders>
            <w:vAlign w:val="center"/>
          </w:tcPr>
          <w:p w14:paraId="585108F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BP</w:t>
            </w:r>
          </w:p>
        </w:tc>
        <w:tc>
          <w:tcPr>
            <w:tcW w:w="1833" w:type="dxa"/>
            <w:tcBorders>
              <w:top w:val="nil"/>
              <w:left w:val="single" w:sz="4" w:space="0" w:color="auto"/>
              <w:bottom w:val="nil"/>
              <w:right w:val="single" w:sz="4" w:space="0" w:color="auto"/>
            </w:tcBorders>
            <w:vAlign w:val="center"/>
          </w:tcPr>
          <w:p w14:paraId="37D2BA83"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555</w:t>
            </w:r>
          </w:p>
        </w:tc>
      </w:tr>
      <w:tr w:rsidR="00BE2877" w:rsidRPr="00BE2877" w14:paraId="2AF01651" w14:textId="77777777" w:rsidTr="00BE2877">
        <w:trPr>
          <w:jc w:val="center"/>
        </w:trPr>
        <w:tc>
          <w:tcPr>
            <w:tcW w:w="2694" w:type="dxa"/>
            <w:tcBorders>
              <w:top w:val="nil"/>
              <w:left w:val="single" w:sz="4" w:space="0" w:color="auto"/>
              <w:bottom w:val="nil"/>
              <w:right w:val="single" w:sz="4" w:space="0" w:color="auto"/>
            </w:tcBorders>
            <w:vAlign w:val="center"/>
          </w:tcPr>
          <w:p w14:paraId="7379A315"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Alberta Innovates</w:t>
            </w:r>
          </w:p>
        </w:tc>
        <w:tc>
          <w:tcPr>
            <w:tcW w:w="1984" w:type="dxa"/>
            <w:tcBorders>
              <w:top w:val="nil"/>
              <w:left w:val="single" w:sz="4" w:space="0" w:color="auto"/>
              <w:bottom w:val="nil"/>
              <w:right w:val="single" w:sz="4" w:space="0" w:color="auto"/>
            </w:tcBorders>
            <w:vAlign w:val="center"/>
          </w:tcPr>
          <w:p w14:paraId="1C724E4C"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28</w:t>
            </w:r>
          </w:p>
        </w:tc>
        <w:tc>
          <w:tcPr>
            <w:tcW w:w="2561" w:type="dxa"/>
            <w:tcBorders>
              <w:top w:val="nil"/>
              <w:left w:val="single" w:sz="4" w:space="0" w:color="auto"/>
              <w:bottom w:val="nil"/>
              <w:right w:val="single" w:sz="4" w:space="0" w:color="auto"/>
            </w:tcBorders>
            <w:vAlign w:val="center"/>
          </w:tcPr>
          <w:p w14:paraId="68328236"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Chaparral energy</w:t>
            </w:r>
          </w:p>
        </w:tc>
        <w:tc>
          <w:tcPr>
            <w:tcW w:w="1833" w:type="dxa"/>
            <w:tcBorders>
              <w:top w:val="nil"/>
              <w:left w:val="single" w:sz="4" w:space="0" w:color="auto"/>
              <w:bottom w:val="nil"/>
              <w:right w:val="single" w:sz="4" w:space="0" w:color="auto"/>
            </w:tcBorders>
            <w:vAlign w:val="center"/>
          </w:tcPr>
          <w:p w14:paraId="74BA523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121</w:t>
            </w:r>
          </w:p>
        </w:tc>
      </w:tr>
      <w:tr w:rsidR="00BE2877" w:rsidRPr="00BE2877" w14:paraId="3CA23DE5" w14:textId="77777777" w:rsidTr="00BE2877">
        <w:trPr>
          <w:jc w:val="center"/>
        </w:trPr>
        <w:tc>
          <w:tcPr>
            <w:tcW w:w="2694" w:type="dxa"/>
            <w:tcBorders>
              <w:top w:val="nil"/>
              <w:left w:val="single" w:sz="4" w:space="0" w:color="auto"/>
              <w:bottom w:val="nil"/>
              <w:right w:val="single" w:sz="4" w:space="0" w:color="auto"/>
            </w:tcBorders>
            <w:vAlign w:val="center"/>
          </w:tcPr>
          <w:p w14:paraId="5794E649"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Archer Ltd.</w:t>
            </w:r>
          </w:p>
        </w:tc>
        <w:tc>
          <w:tcPr>
            <w:tcW w:w="1984" w:type="dxa"/>
            <w:tcBorders>
              <w:top w:val="nil"/>
              <w:left w:val="single" w:sz="4" w:space="0" w:color="auto"/>
              <w:bottom w:val="nil"/>
              <w:right w:val="single" w:sz="4" w:space="0" w:color="auto"/>
            </w:tcBorders>
            <w:vAlign w:val="center"/>
          </w:tcPr>
          <w:p w14:paraId="06535597"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1 000</w:t>
            </w:r>
          </w:p>
        </w:tc>
        <w:tc>
          <w:tcPr>
            <w:tcW w:w="2561" w:type="dxa"/>
            <w:tcBorders>
              <w:top w:val="nil"/>
              <w:left w:val="single" w:sz="4" w:space="0" w:color="auto"/>
              <w:bottom w:val="nil"/>
              <w:right w:val="single" w:sz="4" w:space="0" w:color="auto"/>
            </w:tcBorders>
            <w:vAlign w:val="center"/>
          </w:tcPr>
          <w:p w14:paraId="460737E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Chevron</w:t>
            </w:r>
          </w:p>
        </w:tc>
        <w:tc>
          <w:tcPr>
            <w:tcW w:w="1833" w:type="dxa"/>
            <w:tcBorders>
              <w:top w:val="nil"/>
              <w:left w:val="single" w:sz="4" w:space="0" w:color="auto"/>
              <w:bottom w:val="nil"/>
              <w:right w:val="single" w:sz="4" w:space="0" w:color="auto"/>
            </w:tcBorders>
            <w:vAlign w:val="center"/>
          </w:tcPr>
          <w:p w14:paraId="1DF78B2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162</w:t>
            </w:r>
          </w:p>
        </w:tc>
      </w:tr>
      <w:tr w:rsidR="00BE2877" w:rsidRPr="00BE2877" w14:paraId="1191BFD8" w14:textId="77777777" w:rsidTr="00BE2877">
        <w:trPr>
          <w:jc w:val="center"/>
        </w:trPr>
        <w:tc>
          <w:tcPr>
            <w:tcW w:w="2694" w:type="dxa"/>
            <w:tcBorders>
              <w:top w:val="nil"/>
              <w:left w:val="single" w:sz="4" w:space="0" w:color="auto"/>
              <w:bottom w:val="nil"/>
              <w:right w:val="single" w:sz="4" w:space="0" w:color="auto"/>
            </w:tcBorders>
            <w:vAlign w:val="center"/>
          </w:tcPr>
          <w:p w14:paraId="372D5528"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Baker Hughes</w:t>
            </w:r>
          </w:p>
        </w:tc>
        <w:tc>
          <w:tcPr>
            <w:tcW w:w="1984" w:type="dxa"/>
            <w:tcBorders>
              <w:top w:val="nil"/>
              <w:left w:val="single" w:sz="4" w:space="0" w:color="auto"/>
              <w:bottom w:val="nil"/>
              <w:right w:val="single" w:sz="4" w:space="0" w:color="auto"/>
            </w:tcBorders>
            <w:vAlign w:val="center"/>
          </w:tcPr>
          <w:p w14:paraId="6128A6A3"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6 991</w:t>
            </w:r>
          </w:p>
        </w:tc>
        <w:tc>
          <w:tcPr>
            <w:tcW w:w="2561" w:type="dxa"/>
            <w:tcBorders>
              <w:top w:val="nil"/>
              <w:left w:val="single" w:sz="4" w:space="0" w:color="auto"/>
              <w:bottom w:val="nil"/>
              <w:right w:val="single" w:sz="4" w:space="0" w:color="auto"/>
            </w:tcBorders>
            <w:vAlign w:val="center"/>
          </w:tcPr>
          <w:p w14:paraId="6F8DA383" w14:textId="7706D95C" w:rsidR="00BE2877" w:rsidRPr="00BE2877" w:rsidRDefault="004C101E" w:rsidP="00BE2877">
            <w:pPr>
              <w:jc w:val="both"/>
              <w:rPr>
                <w:rFonts w:eastAsia="Calibri"/>
                <w:sz w:val="18"/>
                <w:szCs w:val="18"/>
                <w:lang w:val="es-ES" w:eastAsia="en-US"/>
              </w:rPr>
            </w:pPr>
            <w:r>
              <w:rPr>
                <w:rFonts w:eastAsia="Calibri"/>
                <w:sz w:val="18"/>
                <w:szCs w:val="18"/>
                <w:lang w:val="es-ES" w:eastAsia="en-US"/>
              </w:rPr>
              <w:t>C</w:t>
            </w:r>
            <w:r w:rsidR="00BE2877" w:rsidRPr="00BE2877">
              <w:rPr>
                <w:rFonts w:eastAsia="Calibri"/>
                <w:sz w:val="18"/>
                <w:szCs w:val="18"/>
                <w:lang w:val="es-ES" w:eastAsia="en-US"/>
              </w:rPr>
              <w:t>onocoPhillips</w:t>
            </w:r>
          </w:p>
        </w:tc>
        <w:tc>
          <w:tcPr>
            <w:tcW w:w="1833" w:type="dxa"/>
            <w:tcBorders>
              <w:top w:val="nil"/>
              <w:left w:val="single" w:sz="4" w:space="0" w:color="auto"/>
              <w:bottom w:val="nil"/>
              <w:right w:val="single" w:sz="4" w:space="0" w:color="auto"/>
            </w:tcBorders>
            <w:vAlign w:val="center"/>
          </w:tcPr>
          <w:p w14:paraId="27C6D2CD"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230</w:t>
            </w:r>
          </w:p>
        </w:tc>
      </w:tr>
      <w:tr w:rsidR="00BE2877" w:rsidRPr="00BE2877" w14:paraId="55C45A9E" w14:textId="77777777" w:rsidTr="00BE2877">
        <w:trPr>
          <w:jc w:val="center"/>
        </w:trPr>
        <w:tc>
          <w:tcPr>
            <w:tcW w:w="2694" w:type="dxa"/>
            <w:tcBorders>
              <w:top w:val="nil"/>
              <w:left w:val="single" w:sz="4" w:space="0" w:color="auto"/>
              <w:bottom w:val="nil"/>
              <w:right w:val="single" w:sz="4" w:space="0" w:color="auto"/>
            </w:tcBorders>
            <w:vAlign w:val="center"/>
          </w:tcPr>
          <w:p w14:paraId="1F796BE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Cajun Cutters</w:t>
            </w:r>
          </w:p>
        </w:tc>
        <w:tc>
          <w:tcPr>
            <w:tcW w:w="1984" w:type="dxa"/>
            <w:tcBorders>
              <w:top w:val="nil"/>
              <w:left w:val="single" w:sz="4" w:space="0" w:color="auto"/>
              <w:bottom w:val="nil"/>
              <w:right w:val="single" w:sz="4" w:space="0" w:color="auto"/>
            </w:tcBorders>
            <w:vAlign w:val="center"/>
          </w:tcPr>
          <w:p w14:paraId="102C693D"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w:t>
            </w:r>
          </w:p>
        </w:tc>
        <w:tc>
          <w:tcPr>
            <w:tcW w:w="2561" w:type="dxa"/>
            <w:tcBorders>
              <w:top w:val="nil"/>
              <w:left w:val="single" w:sz="4" w:space="0" w:color="auto"/>
              <w:bottom w:val="nil"/>
              <w:right w:val="single" w:sz="4" w:space="0" w:color="auto"/>
            </w:tcBorders>
            <w:vAlign w:val="center"/>
          </w:tcPr>
          <w:p w14:paraId="12CDFC1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EOG Resources</w:t>
            </w:r>
          </w:p>
        </w:tc>
        <w:tc>
          <w:tcPr>
            <w:tcW w:w="1833" w:type="dxa"/>
            <w:tcBorders>
              <w:top w:val="nil"/>
              <w:left w:val="single" w:sz="4" w:space="0" w:color="auto"/>
              <w:bottom w:val="nil"/>
              <w:right w:val="single" w:sz="4" w:space="0" w:color="auto"/>
            </w:tcBorders>
            <w:vAlign w:val="center"/>
          </w:tcPr>
          <w:p w14:paraId="034DABCC"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150</w:t>
            </w:r>
          </w:p>
        </w:tc>
      </w:tr>
      <w:tr w:rsidR="00BE2877" w:rsidRPr="00BE2877" w14:paraId="4962A790" w14:textId="77777777" w:rsidTr="00BE2877">
        <w:trPr>
          <w:jc w:val="center"/>
        </w:trPr>
        <w:tc>
          <w:tcPr>
            <w:tcW w:w="2694" w:type="dxa"/>
            <w:tcBorders>
              <w:top w:val="nil"/>
              <w:left w:val="single" w:sz="4" w:space="0" w:color="auto"/>
              <w:bottom w:val="nil"/>
              <w:right w:val="single" w:sz="4" w:space="0" w:color="auto"/>
            </w:tcBorders>
            <w:vAlign w:val="center"/>
          </w:tcPr>
          <w:p w14:paraId="68D5515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Caterpillar</w:t>
            </w:r>
          </w:p>
        </w:tc>
        <w:tc>
          <w:tcPr>
            <w:tcW w:w="1984" w:type="dxa"/>
            <w:tcBorders>
              <w:top w:val="nil"/>
              <w:left w:val="single" w:sz="4" w:space="0" w:color="auto"/>
              <w:bottom w:val="nil"/>
              <w:right w:val="single" w:sz="4" w:space="0" w:color="auto"/>
            </w:tcBorders>
            <w:vAlign w:val="center"/>
          </w:tcPr>
          <w:p w14:paraId="5A9F583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200</w:t>
            </w:r>
          </w:p>
        </w:tc>
        <w:tc>
          <w:tcPr>
            <w:tcW w:w="2561" w:type="dxa"/>
            <w:tcBorders>
              <w:top w:val="nil"/>
              <w:left w:val="single" w:sz="4" w:space="0" w:color="auto"/>
              <w:bottom w:val="nil"/>
              <w:right w:val="single" w:sz="4" w:space="0" w:color="auto"/>
            </w:tcBorders>
            <w:vAlign w:val="center"/>
          </w:tcPr>
          <w:p w14:paraId="2E072FDC"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Laredo Petroleum</w:t>
            </w:r>
          </w:p>
        </w:tc>
        <w:tc>
          <w:tcPr>
            <w:tcW w:w="1833" w:type="dxa"/>
            <w:tcBorders>
              <w:top w:val="nil"/>
              <w:left w:val="single" w:sz="4" w:space="0" w:color="auto"/>
              <w:bottom w:val="nil"/>
              <w:right w:val="single" w:sz="4" w:space="0" w:color="auto"/>
            </w:tcBorders>
            <w:vAlign w:val="center"/>
          </w:tcPr>
          <w:p w14:paraId="64C3DF84"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75</w:t>
            </w:r>
          </w:p>
        </w:tc>
      </w:tr>
      <w:tr w:rsidR="00BE2877" w:rsidRPr="00BE2877" w14:paraId="4275447A" w14:textId="77777777" w:rsidTr="00BE2877">
        <w:trPr>
          <w:jc w:val="center"/>
        </w:trPr>
        <w:tc>
          <w:tcPr>
            <w:tcW w:w="2694" w:type="dxa"/>
            <w:tcBorders>
              <w:top w:val="nil"/>
              <w:left w:val="single" w:sz="4" w:space="0" w:color="auto"/>
              <w:bottom w:val="nil"/>
              <w:right w:val="single" w:sz="4" w:space="0" w:color="auto"/>
            </w:tcBorders>
            <w:vAlign w:val="center"/>
          </w:tcPr>
          <w:p w14:paraId="68C32CA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Civeo </w:t>
            </w:r>
          </w:p>
        </w:tc>
        <w:tc>
          <w:tcPr>
            <w:tcW w:w="1984" w:type="dxa"/>
            <w:tcBorders>
              <w:top w:val="nil"/>
              <w:left w:val="single" w:sz="4" w:space="0" w:color="auto"/>
              <w:bottom w:val="nil"/>
              <w:right w:val="single" w:sz="4" w:space="0" w:color="auto"/>
            </w:tcBorders>
            <w:vAlign w:val="center"/>
          </w:tcPr>
          <w:p w14:paraId="22941D3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1 000</w:t>
            </w:r>
          </w:p>
        </w:tc>
        <w:tc>
          <w:tcPr>
            <w:tcW w:w="2561" w:type="dxa"/>
            <w:tcBorders>
              <w:top w:val="nil"/>
              <w:left w:val="single" w:sz="4" w:space="0" w:color="auto"/>
              <w:bottom w:val="nil"/>
              <w:right w:val="single" w:sz="4" w:space="0" w:color="auto"/>
            </w:tcBorders>
            <w:vAlign w:val="center"/>
          </w:tcPr>
          <w:p w14:paraId="2731A312"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Maratón Oil </w:t>
            </w:r>
          </w:p>
        </w:tc>
        <w:tc>
          <w:tcPr>
            <w:tcW w:w="1833" w:type="dxa"/>
            <w:tcBorders>
              <w:top w:val="nil"/>
              <w:left w:val="single" w:sz="4" w:space="0" w:color="auto"/>
              <w:bottom w:val="nil"/>
              <w:right w:val="single" w:sz="4" w:space="0" w:color="auto"/>
            </w:tcBorders>
            <w:vAlign w:val="center"/>
          </w:tcPr>
          <w:p w14:paraId="3649A615"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400</w:t>
            </w:r>
          </w:p>
        </w:tc>
      </w:tr>
      <w:tr w:rsidR="00BE2877" w:rsidRPr="00BE2877" w14:paraId="38797054" w14:textId="77777777" w:rsidTr="00BE2877">
        <w:trPr>
          <w:jc w:val="center"/>
        </w:trPr>
        <w:tc>
          <w:tcPr>
            <w:tcW w:w="2694" w:type="dxa"/>
            <w:tcBorders>
              <w:top w:val="nil"/>
              <w:left w:val="single" w:sz="4" w:space="0" w:color="auto"/>
              <w:bottom w:val="nil"/>
              <w:right w:val="single" w:sz="4" w:space="0" w:color="auto"/>
            </w:tcBorders>
            <w:vAlign w:val="center"/>
          </w:tcPr>
          <w:p w14:paraId="27D0D5C9"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Dresser-Rand</w:t>
            </w:r>
          </w:p>
        </w:tc>
        <w:tc>
          <w:tcPr>
            <w:tcW w:w="1984" w:type="dxa"/>
            <w:tcBorders>
              <w:top w:val="nil"/>
              <w:left w:val="single" w:sz="4" w:space="0" w:color="auto"/>
              <w:bottom w:val="nil"/>
              <w:right w:val="single" w:sz="4" w:space="0" w:color="auto"/>
            </w:tcBorders>
            <w:vAlign w:val="center"/>
          </w:tcPr>
          <w:p w14:paraId="11A65537"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648</w:t>
            </w:r>
          </w:p>
        </w:tc>
        <w:tc>
          <w:tcPr>
            <w:tcW w:w="2561" w:type="dxa"/>
            <w:tcBorders>
              <w:top w:val="nil"/>
              <w:left w:val="single" w:sz="4" w:space="0" w:color="auto"/>
              <w:bottom w:val="nil"/>
              <w:right w:val="single" w:sz="4" w:space="0" w:color="auto"/>
            </w:tcBorders>
            <w:vAlign w:val="center"/>
          </w:tcPr>
          <w:p w14:paraId="351FE69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Newfield Exploration Co.</w:t>
            </w:r>
          </w:p>
        </w:tc>
        <w:tc>
          <w:tcPr>
            <w:tcW w:w="1833" w:type="dxa"/>
            <w:tcBorders>
              <w:top w:val="nil"/>
              <w:left w:val="single" w:sz="4" w:space="0" w:color="auto"/>
              <w:bottom w:val="nil"/>
              <w:right w:val="single" w:sz="4" w:space="0" w:color="auto"/>
            </w:tcBorders>
            <w:vAlign w:val="center"/>
          </w:tcPr>
          <w:p w14:paraId="23DEE164"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200</w:t>
            </w:r>
          </w:p>
        </w:tc>
      </w:tr>
      <w:tr w:rsidR="00BE2877" w:rsidRPr="00BE2877" w14:paraId="5E774051" w14:textId="77777777" w:rsidTr="00BE2877">
        <w:trPr>
          <w:jc w:val="center"/>
        </w:trPr>
        <w:tc>
          <w:tcPr>
            <w:tcW w:w="2694" w:type="dxa"/>
            <w:tcBorders>
              <w:top w:val="nil"/>
              <w:left w:val="single" w:sz="4" w:space="0" w:color="auto"/>
              <w:bottom w:val="nil"/>
              <w:right w:val="single" w:sz="4" w:space="0" w:color="auto"/>
            </w:tcBorders>
            <w:vAlign w:val="center"/>
          </w:tcPr>
          <w:p w14:paraId="25D7066E"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Ensign Energy Services</w:t>
            </w:r>
          </w:p>
        </w:tc>
        <w:tc>
          <w:tcPr>
            <w:tcW w:w="1984" w:type="dxa"/>
            <w:tcBorders>
              <w:top w:val="nil"/>
              <w:left w:val="single" w:sz="4" w:space="0" w:color="auto"/>
              <w:bottom w:val="nil"/>
              <w:right w:val="single" w:sz="4" w:space="0" w:color="auto"/>
            </w:tcBorders>
            <w:vAlign w:val="center"/>
          </w:tcPr>
          <w:p w14:paraId="451E817A"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700</w:t>
            </w:r>
          </w:p>
        </w:tc>
        <w:tc>
          <w:tcPr>
            <w:tcW w:w="2561" w:type="dxa"/>
            <w:tcBorders>
              <w:top w:val="nil"/>
              <w:left w:val="single" w:sz="4" w:space="0" w:color="auto"/>
              <w:bottom w:val="nil"/>
              <w:right w:val="single" w:sz="4" w:space="0" w:color="auto"/>
            </w:tcBorders>
            <w:vAlign w:val="center"/>
          </w:tcPr>
          <w:p w14:paraId="3E5A0527"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PostRock Energy</w:t>
            </w:r>
          </w:p>
        </w:tc>
        <w:tc>
          <w:tcPr>
            <w:tcW w:w="1833" w:type="dxa"/>
            <w:tcBorders>
              <w:top w:val="nil"/>
              <w:left w:val="single" w:sz="4" w:space="0" w:color="auto"/>
              <w:bottom w:val="nil"/>
              <w:right w:val="single" w:sz="4" w:space="0" w:color="auto"/>
            </w:tcBorders>
            <w:vAlign w:val="center"/>
          </w:tcPr>
          <w:p w14:paraId="1E848F39"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14</w:t>
            </w:r>
          </w:p>
        </w:tc>
      </w:tr>
      <w:tr w:rsidR="00BE2877" w:rsidRPr="00BE2877" w14:paraId="5775CC9E" w14:textId="77777777" w:rsidTr="00BE2877">
        <w:trPr>
          <w:jc w:val="center"/>
        </w:trPr>
        <w:tc>
          <w:tcPr>
            <w:tcW w:w="2694" w:type="dxa"/>
            <w:tcBorders>
              <w:top w:val="nil"/>
              <w:left w:val="single" w:sz="4" w:space="0" w:color="auto"/>
              <w:bottom w:val="nil"/>
              <w:right w:val="single" w:sz="4" w:space="0" w:color="auto"/>
            </w:tcBorders>
            <w:vAlign w:val="center"/>
          </w:tcPr>
          <w:p w14:paraId="1FEB4FA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FMC Technologies</w:t>
            </w:r>
          </w:p>
        </w:tc>
        <w:tc>
          <w:tcPr>
            <w:tcW w:w="1984" w:type="dxa"/>
            <w:tcBorders>
              <w:top w:val="nil"/>
              <w:left w:val="single" w:sz="4" w:space="0" w:color="auto"/>
              <w:bottom w:val="nil"/>
              <w:right w:val="single" w:sz="4" w:space="0" w:color="auto"/>
            </w:tcBorders>
            <w:vAlign w:val="center"/>
          </w:tcPr>
          <w:p w14:paraId="215A6BB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2 079</w:t>
            </w:r>
          </w:p>
        </w:tc>
        <w:tc>
          <w:tcPr>
            <w:tcW w:w="2561" w:type="dxa"/>
            <w:tcBorders>
              <w:top w:val="nil"/>
              <w:left w:val="single" w:sz="4" w:space="0" w:color="auto"/>
              <w:bottom w:val="nil"/>
              <w:right w:val="single" w:sz="4" w:space="0" w:color="auto"/>
            </w:tcBorders>
            <w:vAlign w:val="center"/>
          </w:tcPr>
          <w:p w14:paraId="24E2327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Quicksilver Resources</w:t>
            </w:r>
          </w:p>
        </w:tc>
        <w:tc>
          <w:tcPr>
            <w:tcW w:w="1833" w:type="dxa"/>
            <w:tcBorders>
              <w:top w:val="nil"/>
              <w:left w:val="single" w:sz="4" w:space="0" w:color="auto"/>
              <w:bottom w:val="nil"/>
              <w:right w:val="single" w:sz="4" w:space="0" w:color="auto"/>
            </w:tcBorders>
            <w:vAlign w:val="center"/>
          </w:tcPr>
          <w:p w14:paraId="14B74F9C"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N/A</w:t>
            </w:r>
          </w:p>
        </w:tc>
      </w:tr>
      <w:tr w:rsidR="00BE2877" w:rsidRPr="00BE2877" w14:paraId="7AA24F5A" w14:textId="77777777" w:rsidTr="00BE2877">
        <w:trPr>
          <w:jc w:val="center"/>
        </w:trPr>
        <w:tc>
          <w:tcPr>
            <w:tcW w:w="2694" w:type="dxa"/>
            <w:tcBorders>
              <w:top w:val="nil"/>
              <w:left w:val="single" w:sz="4" w:space="0" w:color="auto"/>
              <w:bottom w:val="nil"/>
              <w:right w:val="single" w:sz="4" w:space="0" w:color="auto"/>
            </w:tcBorders>
            <w:vAlign w:val="center"/>
          </w:tcPr>
          <w:p w14:paraId="5D37A509"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General Electric</w:t>
            </w:r>
          </w:p>
        </w:tc>
        <w:tc>
          <w:tcPr>
            <w:tcW w:w="1984" w:type="dxa"/>
            <w:tcBorders>
              <w:top w:val="nil"/>
              <w:left w:val="single" w:sz="4" w:space="0" w:color="auto"/>
              <w:bottom w:val="nil"/>
              <w:right w:val="single" w:sz="4" w:space="0" w:color="auto"/>
            </w:tcBorders>
            <w:vAlign w:val="center"/>
          </w:tcPr>
          <w:p w14:paraId="3AC329BB"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500</w:t>
            </w:r>
          </w:p>
        </w:tc>
        <w:tc>
          <w:tcPr>
            <w:tcW w:w="2561" w:type="dxa"/>
            <w:tcBorders>
              <w:top w:val="nil"/>
              <w:left w:val="single" w:sz="4" w:space="0" w:color="auto"/>
              <w:bottom w:val="nil"/>
              <w:right w:val="single" w:sz="4" w:space="0" w:color="auto"/>
            </w:tcBorders>
            <w:vAlign w:val="center"/>
          </w:tcPr>
          <w:p w14:paraId="6C24AE24"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Range Resources</w:t>
            </w:r>
          </w:p>
        </w:tc>
        <w:tc>
          <w:tcPr>
            <w:tcW w:w="1833" w:type="dxa"/>
            <w:tcBorders>
              <w:top w:val="nil"/>
              <w:left w:val="single" w:sz="4" w:space="0" w:color="auto"/>
              <w:bottom w:val="nil"/>
              <w:right w:val="single" w:sz="4" w:space="0" w:color="auto"/>
            </w:tcBorders>
            <w:vAlign w:val="center"/>
          </w:tcPr>
          <w:p w14:paraId="563998A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60</w:t>
            </w:r>
          </w:p>
        </w:tc>
      </w:tr>
      <w:tr w:rsidR="00BE2877" w:rsidRPr="00BE2877" w14:paraId="24CDCD05" w14:textId="77777777" w:rsidTr="00BE2877">
        <w:trPr>
          <w:jc w:val="center"/>
        </w:trPr>
        <w:tc>
          <w:tcPr>
            <w:tcW w:w="2694" w:type="dxa"/>
            <w:tcBorders>
              <w:top w:val="nil"/>
              <w:left w:val="single" w:sz="4" w:space="0" w:color="auto"/>
              <w:bottom w:val="nil"/>
              <w:right w:val="single" w:sz="4" w:space="0" w:color="auto"/>
            </w:tcBorders>
            <w:vAlign w:val="center"/>
          </w:tcPr>
          <w:p w14:paraId="3FCB263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Halliburton</w:t>
            </w:r>
          </w:p>
        </w:tc>
        <w:tc>
          <w:tcPr>
            <w:tcW w:w="1984" w:type="dxa"/>
            <w:tcBorders>
              <w:top w:val="nil"/>
              <w:left w:val="single" w:sz="4" w:space="0" w:color="auto"/>
              <w:bottom w:val="nil"/>
              <w:right w:val="single" w:sz="4" w:space="0" w:color="auto"/>
            </w:tcBorders>
            <w:vAlign w:val="center"/>
          </w:tcPr>
          <w:p w14:paraId="6F868D0F"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6 620</w:t>
            </w:r>
          </w:p>
        </w:tc>
        <w:tc>
          <w:tcPr>
            <w:tcW w:w="2561" w:type="dxa"/>
            <w:tcBorders>
              <w:top w:val="nil"/>
              <w:left w:val="single" w:sz="4" w:space="0" w:color="auto"/>
              <w:bottom w:val="nil"/>
              <w:right w:val="single" w:sz="4" w:space="0" w:color="auto"/>
            </w:tcBorders>
            <w:vAlign w:val="center"/>
          </w:tcPr>
          <w:p w14:paraId="17DE5A4F" w14:textId="5CCD98C7" w:rsidR="00BE2877" w:rsidRPr="00BE2877" w:rsidRDefault="00BE2877" w:rsidP="004C101E">
            <w:pPr>
              <w:jc w:val="both"/>
              <w:rPr>
                <w:rFonts w:eastAsia="Calibri"/>
                <w:sz w:val="18"/>
                <w:szCs w:val="18"/>
                <w:lang w:val="es-ES" w:eastAsia="en-US"/>
              </w:rPr>
            </w:pPr>
            <w:r w:rsidRPr="00BE2877">
              <w:rPr>
                <w:rFonts w:eastAsia="Calibri"/>
                <w:sz w:val="18"/>
                <w:szCs w:val="18"/>
                <w:lang w:val="es-ES" w:eastAsia="en-US"/>
              </w:rPr>
              <w:t>Sasol</w:t>
            </w:r>
          </w:p>
        </w:tc>
        <w:tc>
          <w:tcPr>
            <w:tcW w:w="1833" w:type="dxa"/>
            <w:tcBorders>
              <w:top w:val="nil"/>
              <w:left w:val="single" w:sz="4" w:space="0" w:color="auto"/>
              <w:bottom w:val="nil"/>
              <w:right w:val="single" w:sz="4" w:space="0" w:color="auto"/>
            </w:tcBorders>
            <w:vAlign w:val="center"/>
          </w:tcPr>
          <w:p w14:paraId="483B44DE"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1 500</w:t>
            </w:r>
          </w:p>
        </w:tc>
      </w:tr>
      <w:tr w:rsidR="00BE2877" w:rsidRPr="00BE2877" w14:paraId="3F488A8F" w14:textId="77777777" w:rsidTr="00BE2877">
        <w:trPr>
          <w:jc w:val="center"/>
        </w:trPr>
        <w:tc>
          <w:tcPr>
            <w:tcW w:w="2694" w:type="dxa"/>
            <w:tcBorders>
              <w:top w:val="nil"/>
              <w:left w:val="single" w:sz="4" w:space="0" w:color="auto"/>
              <w:bottom w:val="nil"/>
              <w:right w:val="single" w:sz="4" w:space="0" w:color="auto"/>
            </w:tcBorders>
            <w:vAlign w:val="center"/>
          </w:tcPr>
          <w:p w14:paraId="063F0087"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Helmerich &amp; Payne</w:t>
            </w:r>
          </w:p>
        </w:tc>
        <w:tc>
          <w:tcPr>
            <w:tcW w:w="1984" w:type="dxa"/>
            <w:tcBorders>
              <w:top w:val="nil"/>
              <w:left w:val="single" w:sz="4" w:space="0" w:color="auto"/>
              <w:bottom w:val="nil"/>
              <w:right w:val="single" w:sz="4" w:space="0" w:color="auto"/>
            </w:tcBorders>
            <w:vAlign w:val="center"/>
          </w:tcPr>
          <w:p w14:paraId="3A03E800"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2 130</w:t>
            </w:r>
          </w:p>
        </w:tc>
        <w:tc>
          <w:tcPr>
            <w:tcW w:w="2561" w:type="dxa"/>
            <w:tcBorders>
              <w:top w:val="nil"/>
              <w:left w:val="single" w:sz="4" w:space="0" w:color="auto"/>
              <w:bottom w:val="nil"/>
              <w:right w:val="single" w:sz="4" w:space="0" w:color="auto"/>
            </w:tcBorders>
            <w:vAlign w:val="center"/>
          </w:tcPr>
          <w:p w14:paraId="42E8213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Shell</w:t>
            </w:r>
          </w:p>
        </w:tc>
        <w:tc>
          <w:tcPr>
            <w:tcW w:w="1833" w:type="dxa"/>
            <w:tcBorders>
              <w:top w:val="nil"/>
              <w:left w:val="single" w:sz="4" w:space="0" w:color="auto"/>
              <w:bottom w:val="nil"/>
              <w:right w:val="single" w:sz="4" w:space="0" w:color="auto"/>
            </w:tcBorders>
            <w:vAlign w:val="center"/>
          </w:tcPr>
          <w:p w14:paraId="5E5007CF"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600</w:t>
            </w:r>
          </w:p>
        </w:tc>
      </w:tr>
      <w:tr w:rsidR="00BE2877" w:rsidRPr="00BE2877" w14:paraId="7B6EE5A8" w14:textId="77777777" w:rsidTr="00BE2877">
        <w:trPr>
          <w:jc w:val="center"/>
        </w:trPr>
        <w:tc>
          <w:tcPr>
            <w:tcW w:w="2694" w:type="dxa"/>
            <w:tcBorders>
              <w:top w:val="nil"/>
              <w:left w:val="single" w:sz="4" w:space="0" w:color="auto"/>
              <w:bottom w:val="nil"/>
              <w:right w:val="single" w:sz="4" w:space="0" w:color="auto"/>
            </w:tcBorders>
            <w:vAlign w:val="center"/>
          </w:tcPr>
          <w:p w14:paraId="5CF85B2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Hercules Offshore</w:t>
            </w:r>
          </w:p>
        </w:tc>
        <w:tc>
          <w:tcPr>
            <w:tcW w:w="1984" w:type="dxa"/>
            <w:tcBorders>
              <w:top w:val="nil"/>
              <w:left w:val="single" w:sz="4" w:space="0" w:color="auto"/>
              <w:bottom w:val="nil"/>
              <w:right w:val="single" w:sz="4" w:space="0" w:color="auto"/>
            </w:tcBorders>
            <w:vAlign w:val="center"/>
          </w:tcPr>
          <w:p w14:paraId="3ECEB546"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324</w:t>
            </w:r>
          </w:p>
        </w:tc>
        <w:tc>
          <w:tcPr>
            <w:tcW w:w="2561" w:type="dxa"/>
            <w:tcBorders>
              <w:top w:val="nil"/>
              <w:left w:val="single" w:sz="4" w:space="0" w:color="auto"/>
              <w:bottom w:val="nil"/>
              <w:right w:val="single" w:sz="4" w:space="0" w:color="auto"/>
            </w:tcBorders>
            <w:vAlign w:val="center"/>
          </w:tcPr>
          <w:p w14:paraId="1B0D15CC"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Suncor Energy</w:t>
            </w:r>
          </w:p>
        </w:tc>
        <w:tc>
          <w:tcPr>
            <w:tcW w:w="1833" w:type="dxa"/>
            <w:tcBorders>
              <w:top w:val="nil"/>
              <w:left w:val="single" w:sz="4" w:space="0" w:color="auto"/>
              <w:bottom w:val="nil"/>
              <w:right w:val="single" w:sz="4" w:space="0" w:color="auto"/>
            </w:tcBorders>
            <w:vAlign w:val="center"/>
          </w:tcPr>
          <w:p w14:paraId="600A050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1 000</w:t>
            </w:r>
          </w:p>
        </w:tc>
      </w:tr>
      <w:tr w:rsidR="00BE2877" w:rsidRPr="00BE2877" w14:paraId="22477BCF" w14:textId="77777777" w:rsidTr="00BE2877">
        <w:trPr>
          <w:jc w:val="center"/>
        </w:trPr>
        <w:tc>
          <w:tcPr>
            <w:tcW w:w="2694" w:type="dxa"/>
            <w:tcBorders>
              <w:top w:val="nil"/>
              <w:left w:val="single" w:sz="4" w:space="0" w:color="auto"/>
              <w:bottom w:val="nil"/>
              <w:right w:val="single" w:sz="4" w:space="0" w:color="auto"/>
            </w:tcBorders>
            <w:vAlign w:val="center"/>
          </w:tcPr>
          <w:p w14:paraId="686D464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Husky Oil Sands</w:t>
            </w:r>
          </w:p>
        </w:tc>
        <w:tc>
          <w:tcPr>
            <w:tcW w:w="1984" w:type="dxa"/>
            <w:tcBorders>
              <w:top w:val="nil"/>
              <w:left w:val="single" w:sz="4" w:space="0" w:color="auto"/>
              <w:bottom w:val="nil"/>
              <w:right w:val="single" w:sz="4" w:space="0" w:color="auto"/>
            </w:tcBorders>
            <w:vAlign w:val="center"/>
          </w:tcPr>
          <w:p w14:paraId="432D1EEE"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1 000</w:t>
            </w:r>
          </w:p>
        </w:tc>
        <w:tc>
          <w:tcPr>
            <w:tcW w:w="2561" w:type="dxa"/>
            <w:tcBorders>
              <w:top w:val="nil"/>
              <w:left w:val="single" w:sz="4" w:space="0" w:color="auto"/>
              <w:bottom w:val="nil"/>
              <w:right w:val="single" w:sz="4" w:space="0" w:color="auto"/>
            </w:tcBorders>
            <w:vAlign w:val="center"/>
          </w:tcPr>
          <w:p w14:paraId="350858D8"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Talismán Sinopec</w:t>
            </w:r>
          </w:p>
        </w:tc>
        <w:tc>
          <w:tcPr>
            <w:tcW w:w="1833" w:type="dxa"/>
            <w:tcBorders>
              <w:top w:val="nil"/>
              <w:left w:val="single" w:sz="4" w:space="0" w:color="auto"/>
              <w:bottom w:val="nil"/>
              <w:right w:val="single" w:sz="4" w:space="0" w:color="auto"/>
            </w:tcBorders>
            <w:vAlign w:val="center"/>
          </w:tcPr>
          <w:p w14:paraId="1C451BC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300</w:t>
            </w:r>
          </w:p>
        </w:tc>
      </w:tr>
      <w:tr w:rsidR="00BE2877" w:rsidRPr="00BE2877" w14:paraId="76AD2582" w14:textId="77777777" w:rsidTr="00BE2877">
        <w:trPr>
          <w:jc w:val="center"/>
        </w:trPr>
        <w:tc>
          <w:tcPr>
            <w:tcW w:w="2694" w:type="dxa"/>
            <w:tcBorders>
              <w:top w:val="nil"/>
              <w:left w:val="single" w:sz="4" w:space="0" w:color="auto"/>
              <w:bottom w:val="nil"/>
              <w:right w:val="single" w:sz="4" w:space="0" w:color="auto"/>
            </w:tcBorders>
            <w:vAlign w:val="center"/>
          </w:tcPr>
          <w:p w14:paraId="2B6577DC"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Key energy Service</w:t>
            </w:r>
          </w:p>
        </w:tc>
        <w:tc>
          <w:tcPr>
            <w:tcW w:w="1984" w:type="dxa"/>
            <w:tcBorders>
              <w:top w:val="nil"/>
              <w:left w:val="single" w:sz="4" w:space="0" w:color="auto"/>
              <w:bottom w:val="nil"/>
              <w:right w:val="single" w:sz="4" w:space="0" w:color="auto"/>
            </w:tcBorders>
            <w:vAlign w:val="center"/>
          </w:tcPr>
          <w:p w14:paraId="6EB40D95"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2 000</w:t>
            </w:r>
          </w:p>
        </w:tc>
        <w:tc>
          <w:tcPr>
            <w:tcW w:w="2561" w:type="dxa"/>
            <w:tcBorders>
              <w:top w:val="nil"/>
              <w:left w:val="single" w:sz="4" w:space="0" w:color="auto"/>
              <w:bottom w:val="nil"/>
              <w:right w:val="single" w:sz="4" w:space="0" w:color="auto"/>
            </w:tcBorders>
            <w:vAlign w:val="center"/>
          </w:tcPr>
          <w:p w14:paraId="0C7A0518"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Total </w:t>
            </w:r>
          </w:p>
        </w:tc>
        <w:tc>
          <w:tcPr>
            <w:tcW w:w="1833" w:type="dxa"/>
            <w:tcBorders>
              <w:top w:val="nil"/>
              <w:left w:val="single" w:sz="4" w:space="0" w:color="auto"/>
              <w:bottom w:val="nil"/>
              <w:right w:val="single" w:sz="4" w:space="0" w:color="auto"/>
            </w:tcBorders>
            <w:vAlign w:val="center"/>
          </w:tcPr>
          <w:p w14:paraId="402215DA"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2 000</w:t>
            </w:r>
          </w:p>
        </w:tc>
      </w:tr>
      <w:tr w:rsidR="00BE2877" w:rsidRPr="00BE2877" w14:paraId="7D7BAD15" w14:textId="77777777" w:rsidTr="00BE2877">
        <w:trPr>
          <w:jc w:val="center"/>
        </w:trPr>
        <w:tc>
          <w:tcPr>
            <w:tcW w:w="2694" w:type="dxa"/>
            <w:tcBorders>
              <w:top w:val="nil"/>
              <w:left w:val="single" w:sz="4" w:space="0" w:color="auto"/>
              <w:bottom w:val="nil"/>
              <w:right w:val="single" w:sz="4" w:space="0" w:color="auto"/>
            </w:tcBorders>
            <w:vAlign w:val="center"/>
          </w:tcPr>
          <w:p w14:paraId="6B84D9D8"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Lariat Services Inc.</w:t>
            </w:r>
          </w:p>
        </w:tc>
        <w:tc>
          <w:tcPr>
            <w:tcW w:w="1984" w:type="dxa"/>
            <w:tcBorders>
              <w:top w:val="nil"/>
              <w:left w:val="single" w:sz="4" w:space="0" w:color="auto"/>
              <w:bottom w:val="nil"/>
              <w:right w:val="single" w:sz="4" w:space="0" w:color="auto"/>
            </w:tcBorders>
            <w:vAlign w:val="center"/>
          </w:tcPr>
          <w:p w14:paraId="62A629C7"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265</w:t>
            </w:r>
          </w:p>
        </w:tc>
        <w:tc>
          <w:tcPr>
            <w:tcW w:w="2561" w:type="dxa"/>
            <w:tcBorders>
              <w:top w:val="nil"/>
              <w:left w:val="single" w:sz="4" w:space="0" w:color="auto"/>
              <w:bottom w:val="nil"/>
              <w:right w:val="single" w:sz="4" w:space="0" w:color="auto"/>
            </w:tcBorders>
            <w:vAlign w:val="center"/>
          </w:tcPr>
          <w:p w14:paraId="1B9DB04E"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WPX Energy</w:t>
            </w:r>
          </w:p>
        </w:tc>
        <w:tc>
          <w:tcPr>
            <w:tcW w:w="1833" w:type="dxa"/>
            <w:tcBorders>
              <w:top w:val="nil"/>
              <w:left w:val="single" w:sz="4" w:space="0" w:color="auto"/>
              <w:bottom w:val="nil"/>
              <w:right w:val="single" w:sz="4" w:space="0" w:color="auto"/>
            </w:tcBorders>
            <w:vAlign w:val="center"/>
          </w:tcPr>
          <w:p w14:paraId="0B81613A"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80</w:t>
            </w:r>
          </w:p>
        </w:tc>
      </w:tr>
      <w:tr w:rsidR="00BE2877" w:rsidRPr="00BE2877" w14:paraId="3A1F9335" w14:textId="77777777" w:rsidTr="00BE2877">
        <w:trPr>
          <w:jc w:val="center"/>
        </w:trPr>
        <w:tc>
          <w:tcPr>
            <w:tcW w:w="2694" w:type="dxa"/>
            <w:tcBorders>
              <w:top w:val="nil"/>
              <w:left w:val="single" w:sz="4" w:space="0" w:color="auto"/>
              <w:bottom w:val="nil"/>
              <w:right w:val="single" w:sz="4" w:space="0" w:color="auto"/>
            </w:tcBorders>
            <w:vAlign w:val="center"/>
          </w:tcPr>
          <w:p w14:paraId="0CABF59E"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Nabors Industries</w:t>
            </w:r>
          </w:p>
        </w:tc>
        <w:tc>
          <w:tcPr>
            <w:tcW w:w="1984" w:type="dxa"/>
            <w:tcBorders>
              <w:top w:val="nil"/>
              <w:left w:val="single" w:sz="4" w:space="0" w:color="auto"/>
              <w:bottom w:val="nil"/>
              <w:right w:val="single" w:sz="4" w:space="0" w:color="auto"/>
            </w:tcBorders>
            <w:vAlign w:val="center"/>
          </w:tcPr>
          <w:p w14:paraId="3BFA72F5"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3 480</w:t>
            </w:r>
          </w:p>
        </w:tc>
        <w:tc>
          <w:tcPr>
            <w:tcW w:w="2561" w:type="dxa"/>
            <w:tcBorders>
              <w:top w:val="nil"/>
              <w:left w:val="single" w:sz="4" w:space="0" w:color="auto"/>
              <w:bottom w:val="nil"/>
              <w:right w:val="single" w:sz="4" w:space="0" w:color="auto"/>
            </w:tcBorders>
            <w:vAlign w:val="center"/>
          </w:tcPr>
          <w:p w14:paraId="1219029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Yates Petroleum</w:t>
            </w:r>
          </w:p>
        </w:tc>
        <w:tc>
          <w:tcPr>
            <w:tcW w:w="1833" w:type="dxa"/>
            <w:tcBorders>
              <w:top w:val="nil"/>
              <w:left w:val="single" w:sz="4" w:space="0" w:color="auto"/>
              <w:bottom w:val="nil"/>
              <w:right w:val="single" w:sz="4" w:space="0" w:color="auto"/>
            </w:tcBorders>
            <w:vAlign w:val="center"/>
          </w:tcPr>
          <w:p w14:paraId="648414D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15</w:t>
            </w:r>
          </w:p>
        </w:tc>
      </w:tr>
      <w:tr w:rsidR="00BE2877" w:rsidRPr="00BE2877" w14:paraId="42B3FC34" w14:textId="77777777" w:rsidTr="00BE2877">
        <w:trPr>
          <w:jc w:val="center"/>
        </w:trPr>
        <w:tc>
          <w:tcPr>
            <w:tcW w:w="2694" w:type="dxa"/>
            <w:tcBorders>
              <w:top w:val="nil"/>
              <w:left w:val="single" w:sz="4" w:space="0" w:color="auto"/>
              <w:bottom w:val="nil"/>
              <w:right w:val="single" w:sz="4" w:space="0" w:color="auto"/>
            </w:tcBorders>
            <w:vAlign w:val="center"/>
          </w:tcPr>
          <w:p w14:paraId="685F26B4"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OFS Energy Fund</w:t>
            </w:r>
          </w:p>
        </w:tc>
        <w:tc>
          <w:tcPr>
            <w:tcW w:w="1984" w:type="dxa"/>
            <w:tcBorders>
              <w:top w:val="nil"/>
              <w:left w:val="single" w:sz="4" w:space="0" w:color="auto"/>
              <w:bottom w:val="nil"/>
              <w:right w:val="single" w:sz="4" w:space="0" w:color="auto"/>
            </w:tcBorders>
            <w:vAlign w:val="center"/>
          </w:tcPr>
          <w:p w14:paraId="255CA80D"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150</w:t>
            </w:r>
          </w:p>
        </w:tc>
        <w:tc>
          <w:tcPr>
            <w:tcW w:w="2561" w:type="dxa"/>
            <w:tcBorders>
              <w:top w:val="nil"/>
              <w:left w:val="single" w:sz="4" w:space="0" w:color="auto"/>
              <w:bottom w:val="nil"/>
              <w:right w:val="single" w:sz="4" w:space="0" w:color="auto"/>
            </w:tcBorders>
            <w:vAlign w:val="center"/>
          </w:tcPr>
          <w:p w14:paraId="6EA7BA56"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Manufacturing </w:t>
            </w:r>
          </w:p>
        </w:tc>
        <w:tc>
          <w:tcPr>
            <w:tcW w:w="1833" w:type="dxa"/>
            <w:tcBorders>
              <w:top w:val="nil"/>
              <w:left w:val="single" w:sz="4" w:space="0" w:color="auto"/>
              <w:bottom w:val="nil"/>
              <w:right w:val="single" w:sz="4" w:space="0" w:color="auto"/>
            </w:tcBorders>
            <w:vAlign w:val="center"/>
          </w:tcPr>
          <w:p w14:paraId="33A45740"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4 855</w:t>
            </w:r>
          </w:p>
        </w:tc>
      </w:tr>
      <w:tr w:rsidR="00BE2877" w:rsidRPr="00BE2877" w14:paraId="70DEA221" w14:textId="77777777" w:rsidTr="00BE2877">
        <w:trPr>
          <w:jc w:val="center"/>
        </w:trPr>
        <w:tc>
          <w:tcPr>
            <w:tcW w:w="2694" w:type="dxa"/>
            <w:tcBorders>
              <w:top w:val="nil"/>
              <w:left w:val="single" w:sz="4" w:space="0" w:color="auto"/>
              <w:bottom w:val="nil"/>
              <w:right w:val="single" w:sz="4" w:space="0" w:color="auto"/>
            </w:tcBorders>
            <w:vAlign w:val="center"/>
          </w:tcPr>
          <w:p w14:paraId="0DDF3B73"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Oil States International</w:t>
            </w:r>
          </w:p>
        </w:tc>
        <w:tc>
          <w:tcPr>
            <w:tcW w:w="1984" w:type="dxa"/>
            <w:tcBorders>
              <w:top w:val="nil"/>
              <w:left w:val="single" w:sz="4" w:space="0" w:color="auto"/>
              <w:bottom w:val="nil"/>
              <w:right w:val="single" w:sz="4" w:space="0" w:color="auto"/>
            </w:tcBorders>
            <w:vAlign w:val="center"/>
          </w:tcPr>
          <w:p w14:paraId="47F8551D"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N/A</w:t>
            </w:r>
          </w:p>
        </w:tc>
        <w:tc>
          <w:tcPr>
            <w:tcW w:w="2561" w:type="dxa"/>
            <w:tcBorders>
              <w:top w:val="nil"/>
              <w:left w:val="single" w:sz="4" w:space="0" w:color="auto"/>
              <w:bottom w:val="nil"/>
              <w:right w:val="single" w:sz="4" w:space="0" w:color="auto"/>
            </w:tcBorders>
            <w:vAlign w:val="center"/>
          </w:tcPr>
          <w:p w14:paraId="1CE6051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Atlas Tube Inc.</w:t>
            </w:r>
          </w:p>
        </w:tc>
        <w:tc>
          <w:tcPr>
            <w:tcW w:w="1833" w:type="dxa"/>
            <w:tcBorders>
              <w:top w:val="nil"/>
              <w:left w:val="single" w:sz="4" w:space="0" w:color="auto"/>
              <w:bottom w:val="nil"/>
              <w:right w:val="single" w:sz="4" w:space="0" w:color="auto"/>
            </w:tcBorders>
            <w:vAlign w:val="center"/>
          </w:tcPr>
          <w:p w14:paraId="3F5D1440"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35</w:t>
            </w:r>
          </w:p>
        </w:tc>
      </w:tr>
      <w:tr w:rsidR="00BE2877" w:rsidRPr="00BE2877" w14:paraId="4B64B02C" w14:textId="77777777" w:rsidTr="00BE2877">
        <w:trPr>
          <w:jc w:val="center"/>
        </w:trPr>
        <w:tc>
          <w:tcPr>
            <w:tcW w:w="2694" w:type="dxa"/>
            <w:tcBorders>
              <w:top w:val="nil"/>
              <w:left w:val="single" w:sz="4" w:space="0" w:color="auto"/>
              <w:bottom w:val="nil"/>
              <w:right w:val="single" w:sz="4" w:space="0" w:color="auto"/>
            </w:tcBorders>
            <w:vAlign w:val="center"/>
          </w:tcPr>
          <w:p w14:paraId="27FEC5C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Oilfield Trucking Solutions</w:t>
            </w:r>
          </w:p>
        </w:tc>
        <w:tc>
          <w:tcPr>
            <w:tcW w:w="1984" w:type="dxa"/>
            <w:tcBorders>
              <w:top w:val="nil"/>
              <w:left w:val="single" w:sz="4" w:space="0" w:color="auto"/>
              <w:bottom w:val="nil"/>
              <w:right w:val="single" w:sz="4" w:space="0" w:color="auto"/>
            </w:tcBorders>
            <w:vAlign w:val="center"/>
          </w:tcPr>
          <w:p w14:paraId="73F510AB"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93</w:t>
            </w:r>
          </w:p>
        </w:tc>
        <w:tc>
          <w:tcPr>
            <w:tcW w:w="2561" w:type="dxa"/>
            <w:tcBorders>
              <w:top w:val="nil"/>
              <w:left w:val="single" w:sz="4" w:space="0" w:color="auto"/>
              <w:bottom w:val="nil"/>
              <w:right w:val="single" w:sz="4" w:space="0" w:color="auto"/>
            </w:tcBorders>
            <w:vAlign w:val="center"/>
          </w:tcPr>
          <w:p w14:paraId="1B8D599F"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Doepker Industries</w:t>
            </w:r>
          </w:p>
        </w:tc>
        <w:tc>
          <w:tcPr>
            <w:tcW w:w="1833" w:type="dxa"/>
            <w:tcBorders>
              <w:top w:val="nil"/>
              <w:left w:val="single" w:sz="4" w:space="0" w:color="auto"/>
              <w:bottom w:val="nil"/>
              <w:right w:val="single" w:sz="4" w:space="0" w:color="auto"/>
            </w:tcBorders>
            <w:vAlign w:val="center"/>
          </w:tcPr>
          <w:p w14:paraId="18B3F903"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58</w:t>
            </w:r>
          </w:p>
        </w:tc>
      </w:tr>
      <w:tr w:rsidR="00BE2877" w:rsidRPr="00BE2877" w14:paraId="5F2655AA" w14:textId="77777777" w:rsidTr="00BE2877">
        <w:trPr>
          <w:jc w:val="center"/>
        </w:trPr>
        <w:tc>
          <w:tcPr>
            <w:tcW w:w="2694" w:type="dxa"/>
            <w:tcBorders>
              <w:top w:val="nil"/>
              <w:left w:val="single" w:sz="4" w:space="0" w:color="auto"/>
              <w:bottom w:val="nil"/>
              <w:right w:val="single" w:sz="4" w:space="0" w:color="auto"/>
            </w:tcBorders>
            <w:vAlign w:val="center"/>
          </w:tcPr>
          <w:p w14:paraId="70C757C8"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Parker Drilling Company</w:t>
            </w:r>
          </w:p>
        </w:tc>
        <w:tc>
          <w:tcPr>
            <w:tcW w:w="1984" w:type="dxa"/>
            <w:tcBorders>
              <w:top w:val="nil"/>
              <w:left w:val="single" w:sz="4" w:space="0" w:color="auto"/>
              <w:bottom w:val="nil"/>
              <w:right w:val="single" w:sz="4" w:space="0" w:color="auto"/>
            </w:tcBorders>
            <w:vAlign w:val="center"/>
          </w:tcPr>
          <w:p w14:paraId="2A7F7EA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270</w:t>
            </w:r>
          </w:p>
        </w:tc>
        <w:tc>
          <w:tcPr>
            <w:tcW w:w="2561" w:type="dxa"/>
            <w:tcBorders>
              <w:top w:val="nil"/>
              <w:left w:val="single" w:sz="4" w:space="0" w:color="auto"/>
              <w:bottom w:val="nil"/>
              <w:right w:val="single" w:sz="4" w:space="0" w:color="auto"/>
            </w:tcBorders>
            <w:vAlign w:val="center"/>
          </w:tcPr>
          <w:p w14:paraId="782AB53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ERVAZ</w:t>
            </w:r>
          </w:p>
        </w:tc>
        <w:tc>
          <w:tcPr>
            <w:tcW w:w="1833" w:type="dxa"/>
            <w:tcBorders>
              <w:top w:val="nil"/>
              <w:left w:val="single" w:sz="4" w:space="0" w:color="auto"/>
              <w:bottom w:val="nil"/>
              <w:right w:val="single" w:sz="4" w:space="0" w:color="auto"/>
            </w:tcBorders>
            <w:vAlign w:val="center"/>
          </w:tcPr>
          <w:p w14:paraId="1976018E"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200</w:t>
            </w:r>
          </w:p>
        </w:tc>
      </w:tr>
      <w:tr w:rsidR="00BE2877" w:rsidRPr="00BE2877" w14:paraId="7A9EDECF" w14:textId="77777777" w:rsidTr="00BE2877">
        <w:trPr>
          <w:jc w:val="center"/>
        </w:trPr>
        <w:tc>
          <w:tcPr>
            <w:tcW w:w="2694" w:type="dxa"/>
            <w:tcBorders>
              <w:top w:val="nil"/>
              <w:left w:val="single" w:sz="4" w:space="0" w:color="auto"/>
              <w:bottom w:val="nil"/>
              <w:right w:val="single" w:sz="4" w:space="0" w:color="auto"/>
            </w:tcBorders>
            <w:vAlign w:val="center"/>
          </w:tcPr>
          <w:p w14:paraId="5CB1339F"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Petróleos Mexicanos</w:t>
            </w:r>
          </w:p>
        </w:tc>
        <w:tc>
          <w:tcPr>
            <w:tcW w:w="1984" w:type="dxa"/>
            <w:tcBorders>
              <w:top w:val="nil"/>
              <w:left w:val="single" w:sz="4" w:space="0" w:color="auto"/>
              <w:bottom w:val="nil"/>
              <w:right w:val="single" w:sz="4" w:space="0" w:color="auto"/>
            </w:tcBorders>
            <w:vAlign w:val="center"/>
          </w:tcPr>
          <w:p w14:paraId="151644F0"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10 000</w:t>
            </w:r>
          </w:p>
        </w:tc>
        <w:tc>
          <w:tcPr>
            <w:tcW w:w="2561" w:type="dxa"/>
            <w:tcBorders>
              <w:top w:val="nil"/>
              <w:left w:val="single" w:sz="4" w:space="0" w:color="auto"/>
              <w:bottom w:val="nil"/>
              <w:right w:val="single" w:sz="4" w:space="0" w:color="auto"/>
            </w:tcBorders>
            <w:vAlign w:val="center"/>
          </w:tcPr>
          <w:p w14:paraId="125F6D6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PTC Seamless Tube Corp.</w:t>
            </w:r>
          </w:p>
        </w:tc>
        <w:tc>
          <w:tcPr>
            <w:tcW w:w="1833" w:type="dxa"/>
            <w:tcBorders>
              <w:top w:val="nil"/>
              <w:left w:val="single" w:sz="4" w:space="0" w:color="auto"/>
              <w:bottom w:val="nil"/>
              <w:right w:val="single" w:sz="4" w:space="0" w:color="auto"/>
            </w:tcBorders>
            <w:vAlign w:val="center"/>
          </w:tcPr>
          <w:p w14:paraId="71F5B7F3"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71</w:t>
            </w:r>
          </w:p>
        </w:tc>
      </w:tr>
      <w:tr w:rsidR="00BE2877" w:rsidRPr="00BE2877" w14:paraId="2C977838" w14:textId="77777777" w:rsidTr="00BE2877">
        <w:trPr>
          <w:jc w:val="center"/>
        </w:trPr>
        <w:tc>
          <w:tcPr>
            <w:tcW w:w="2694" w:type="dxa"/>
            <w:tcBorders>
              <w:top w:val="nil"/>
              <w:left w:val="single" w:sz="4" w:space="0" w:color="auto"/>
              <w:bottom w:val="nil"/>
              <w:right w:val="single" w:sz="4" w:space="0" w:color="auto"/>
            </w:tcBorders>
            <w:vAlign w:val="center"/>
          </w:tcPr>
          <w:p w14:paraId="3BD69D04"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Precisión Drilling</w:t>
            </w:r>
          </w:p>
        </w:tc>
        <w:tc>
          <w:tcPr>
            <w:tcW w:w="1984" w:type="dxa"/>
            <w:tcBorders>
              <w:top w:val="nil"/>
              <w:left w:val="single" w:sz="4" w:space="0" w:color="auto"/>
              <w:bottom w:val="nil"/>
              <w:right w:val="single" w:sz="4" w:space="0" w:color="auto"/>
            </w:tcBorders>
            <w:vAlign w:val="center"/>
          </w:tcPr>
          <w:p w14:paraId="335278FF"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1 000</w:t>
            </w:r>
          </w:p>
        </w:tc>
        <w:tc>
          <w:tcPr>
            <w:tcW w:w="2561" w:type="dxa"/>
            <w:tcBorders>
              <w:top w:val="nil"/>
              <w:left w:val="single" w:sz="4" w:space="0" w:color="auto"/>
              <w:bottom w:val="nil"/>
              <w:right w:val="single" w:sz="4" w:space="0" w:color="auto"/>
            </w:tcBorders>
            <w:vAlign w:val="center"/>
          </w:tcPr>
          <w:p w14:paraId="7DF8A09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TimkenSteel</w:t>
            </w:r>
          </w:p>
        </w:tc>
        <w:tc>
          <w:tcPr>
            <w:tcW w:w="1833" w:type="dxa"/>
            <w:tcBorders>
              <w:top w:val="nil"/>
              <w:left w:val="single" w:sz="4" w:space="0" w:color="auto"/>
              <w:bottom w:val="nil"/>
              <w:right w:val="single" w:sz="4" w:space="0" w:color="auto"/>
            </w:tcBorders>
            <w:vAlign w:val="center"/>
          </w:tcPr>
          <w:p w14:paraId="46364F92"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52</w:t>
            </w:r>
          </w:p>
        </w:tc>
      </w:tr>
      <w:tr w:rsidR="00BE2877" w:rsidRPr="00BE2877" w14:paraId="3151BB23" w14:textId="77777777" w:rsidTr="00BE2877">
        <w:trPr>
          <w:jc w:val="center"/>
        </w:trPr>
        <w:tc>
          <w:tcPr>
            <w:tcW w:w="2694" w:type="dxa"/>
            <w:tcBorders>
              <w:top w:val="nil"/>
              <w:left w:val="single" w:sz="4" w:space="0" w:color="auto"/>
              <w:bottom w:val="nil"/>
              <w:right w:val="single" w:sz="4" w:space="0" w:color="auto"/>
            </w:tcBorders>
            <w:vAlign w:val="center"/>
          </w:tcPr>
          <w:p w14:paraId="49EBD09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Sanjel</w:t>
            </w:r>
          </w:p>
        </w:tc>
        <w:tc>
          <w:tcPr>
            <w:tcW w:w="1984" w:type="dxa"/>
            <w:tcBorders>
              <w:top w:val="nil"/>
              <w:left w:val="single" w:sz="4" w:space="0" w:color="auto"/>
              <w:bottom w:val="nil"/>
              <w:right w:val="single" w:sz="4" w:space="0" w:color="auto"/>
            </w:tcBorders>
            <w:vAlign w:val="center"/>
          </w:tcPr>
          <w:p w14:paraId="76AD047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58</w:t>
            </w:r>
          </w:p>
        </w:tc>
        <w:tc>
          <w:tcPr>
            <w:tcW w:w="2561" w:type="dxa"/>
            <w:tcBorders>
              <w:top w:val="nil"/>
              <w:left w:val="single" w:sz="4" w:space="0" w:color="auto"/>
              <w:bottom w:val="nil"/>
              <w:right w:val="single" w:sz="4" w:space="0" w:color="auto"/>
            </w:tcBorders>
            <w:vAlign w:val="center"/>
          </w:tcPr>
          <w:p w14:paraId="669064F9"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TMK IPSCO</w:t>
            </w:r>
          </w:p>
        </w:tc>
        <w:tc>
          <w:tcPr>
            <w:tcW w:w="1833" w:type="dxa"/>
            <w:tcBorders>
              <w:top w:val="nil"/>
              <w:left w:val="single" w:sz="4" w:space="0" w:color="auto"/>
              <w:bottom w:val="nil"/>
              <w:right w:val="single" w:sz="4" w:space="0" w:color="auto"/>
            </w:tcBorders>
            <w:vAlign w:val="center"/>
          </w:tcPr>
          <w:p w14:paraId="4C7EA376"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582</w:t>
            </w:r>
          </w:p>
        </w:tc>
      </w:tr>
      <w:tr w:rsidR="00BE2877" w:rsidRPr="00BE2877" w14:paraId="107B6A48" w14:textId="77777777" w:rsidTr="00BE2877">
        <w:trPr>
          <w:jc w:val="center"/>
        </w:trPr>
        <w:tc>
          <w:tcPr>
            <w:tcW w:w="2694" w:type="dxa"/>
            <w:tcBorders>
              <w:top w:val="nil"/>
              <w:left w:val="single" w:sz="4" w:space="0" w:color="auto"/>
              <w:bottom w:val="nil"/>
              <w:right w:val="single" w:sz="4" w:space="0" w:color="auto"/>
            </w:tcBorders>
            <w:vAlign w:val="center"/>
          </w:tcPr>
          <w:p w14:paraId="2784FC5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SBM Offshore</w:t>
            </w:r>
          </w:p>
        </w:tc>
        <w:tc>
          <w:tcPr>
            <w:tcW w:w="1984" w:type="dxa"/>
            <w:tcBorders>
              <w:top w:val="nil"/>
              <w:left w:val="single" w:sz="4" w:space="0" w:color="auto"/>
              <w:bottom w:val="nil"/>
              <w:right w:val="single" w:sz="4" w:space="0" w:color="auto"/>
            </w:tcBorders>
            <w:vAlign w:val="center"/>
          </w:tcPr>
          <w:p w14:paraId="33D077A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600</w:t>
            </w:r>
          </w:p>
        </w:tc>
        <w:tc>
          <w:tcPr>
            <w:tcW w:w="2561" w:type="dxa"/>
            <w:tcBorders>
              <w:top w:val="nil"/>
              <w:left w:val="single" w:sz="4" w:space="0" w:color="auto"/>
              <w:bottom w:val="nil"/>
              <w:right w:val="single" w:sz="4" w:space="0" w:color="auto"/>
            </w:tcBorders>
            <w:vAlign w:val="center"/>
          </w:tcPr>
          <w:p w14:paraId="5F8B45C4"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US Steel</w:t>
            </w:r>
          </w:p>
        </w:tc>
        <w:tc>
          <w:tcPr>
            <w:tcW w:w="1833" w:type="dxa"/>
            <w:tcBorders>
              <w:top w:val="nil"/>
              <w:left w:val="single" w:sz="4" w:space="0" w:color="auto"/>
              <w:bottom w:val="nil"/>
              <w:right w:val="single" w:sz="4" w:space="0" w:color="auto"/>
            </w:tcBorders>
            <w:vAlign w:val="center"/>
          </w:tcPr>
          <w:p w14:paraId="7D0052F5"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3 827</w:t>
            </w:r>
          </w:p>
        </w:tc>
      </w:tr>
      <w:tr w:rsidR="00BE2877" w:rsidRPr="00BE2877" w14:paraId="16005D12" w14:textId="77777777" w:rsidTr="00BE2877">
        <w:trPr>
          <w:jc w:val="center"/>
        </w:trPr>
        <w:tc>
          <w:tcPr>
            <w:tcW w:w="2694" w:type="dxa"/>
            <w:tcBorders>
              <w:top w:val="nil"/>
              <w:left w:val="single" w:sz="4" w:space="0" w:color="auto"/>
              <w:bottom w:val="nil"/>
              <w:right w:val="single" w:sz="4" w:space="0" w:color="auto"/>
            </w:tcBorders>
            <w:vAlign w:val="center"/>
          </w:tcPr>
          <w:p w14:paraId="69A90792"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Sclumberger </w:t>
            </w:r>
          </w:p>
        </w:tc>
        <w:tc>
          <w:tcPr>
            <w:tcW w:w="1984" w:type="dxa"/>
            <w:tcBorders>
              <w:top w:val="nil"/>
              <w:left w:val="single" w:sz="4" w:space="0" w:color="auto"/>
              <w:bottom w:val="nil"/>
              <w:right w:val="single" w:sz="4" w:space="0" w:color="auto"/>
            </w:tcBorders>
            <w:vAlign w:val="center"/>
          </w:tcPr>
          <w:p w14:paraId="14946DD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9 000</w:t>
            </w:r>
          </w:p>
        </w:tc>
        <w:tc>
          <w:tcPr>
            <w:tcW w:w="2561" w:type="dxa"/>
            <w:tcBorders>
              <w:top w:val="nil"/>
              <w:left w:val="single" w:sz="4" w:space="0" w:color="auto"/>
              <w:bottom w:val="nil"/>
              <w:right w:val="single" w:sz="4" w:space="0" w:color="auto"/>
            </w:tcBorders>
            <w:vAlign w:val="center"/>
          </w:tcPr>
          <w:p w14:paraId="1D45B57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WireCo World Group</w:t>
            </w:r>
          </w:p>
        </w:tc>
        <w:tc>
          <w:tcPr>
            <w:tcW w:w="1833" w:type="dxa"/>
            <w:tcBorders>
              <w:top w:val="nil"/>
              <w:left w:val="single" w:sz="4" w:space="0" w:color="auto"/>
              <w:bottom w:val="nil"/>
              <w:right w:val="single" w:sz="4" w:space="0" w:color="auto"/>
            </w:tcBorders>
            <w:vAlign w:val="center"/>
          </w:tcPr>
          <w:p w14:paraId="164FFF43"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30</w:t>
            </w:r>
          </w:p>
        </w:tc>
      </w:tr>
      <w:tr w:rsidR="00BE2877" w:rsidRPr="00BE2877" w14:paraId="3DE4012C" w14:textId="77777777" w:rsidTr="00BE2877">
        <w:trPr>
          <w:jc w:val="center"/>
        </w:trPr>
        <w:tc>
          <w:tcPr>
            <w:tcW w:w="2694" w:type="dxa"/>
            <w:tcBorders>
              <w:top w:val="nil"/>
              <w:left w:val="single" w:sz="4" w:space="0" w:color="auto"/>
              <w:bottom w:val="nil"/>
              <w:right w:val="single" w:sz="4" w:space="0" w:color="auto"/>
            </w:tcBorders>
            <w:vAlign w:val="center"/>
          </w:tcPr>
          <w:p w14:paraId="26FF4A11"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T&amp;B Construction</w:t>
            </w:r>
          </w:p>
        </w:tc>
        <w:tc>
          <w:tcPr>
            <w:tcW w:w="1984" w:type="dxa"/>
            <w:tcBorders>
              <w:top w:val="nil"/>
              <w:left w:val="single" w:sz="4" w:space="0" w:color="auto"/>
              <w:bottom w:val="nil"/>
              <w:right w:val="single" w:sz="4" w:space="0" w:color="auto"/>
            </w:tcBorders>
            <w:vAlign w:val="center"/>
          </w:tcPr>
          <w:p w14:paraId="2AC92F71"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20</w:t>
            </w:r>
          </w:p>
        </w:tc>
        <w:tc>
          <w:tcPr>
            <w:tcW w:w="2561" w:type="dxa"/>
            <w:tcBorders>
              <w:top w:val="nil"/>
              <w:left w:val="single" w:sz="4" w:space="0" w:color="auto"/>
              <w:bottom w:val="nil"/>
              <w:right w:val="single" w:sz="4" w:space="0" w:color="auto"/>
            </w:tcBorders>
            <w:vAlign w:val="center"/>
          </w:tcPr>
          <w:p w14:paraId="032DBD8C" w14:textId="77777777" w:rsidR="00BE2877" w:rsidRPr="00BE2877" w:rsidRDefault="00BE2877" w:rsidP="00BE2877">
            <w:pPr>
              <w:jc w:val="both"/>
              <w:rPr>
                <w:rFonts w:eastAsia="Calibri"/>
                <w:b/>
                <w:sz w:val="18"/>
                <w:szCs w:val="18"/>
                <w:lang w:val="es-ES" w:eastAsia="en-US"/>
              </w:rPr>
            </w:pPr>
            <w:r w:rsidRPr="00BE2877">
              <w:rPr>
                <w:rFonts w:eastAsia="Calibri"/>
                <w:b/>
                <w:sz w:val="18"/>
                <w:szCs w:val="18"/>
                <w:lang w:val="es-ES" w:eastAsia="en-US"/>
              </w:rPr>
              <w:t xml:space="preserve">Tuberías </w:t>
            </w:r>
          </w:p>
        </w:tc>
        <w:tc>
          <w:tcPr>
            <w:tcW w:w="1833" w:type="dxa"/>
            <w:tcBorders>
              <w:top w:val="nil"/>
              <w:left w:val="single" w:sz="4" w:space="0" w:color="auto"/>
              <w:bottom w:val="nil"/>
              <w:right w:val="single" w:sz="4" w:space="0" w:color="auto"/>
            </w:tcBorders>
            <w:vAlign w:val="center"/>
          </w:tcPr>
          <w:p w14:paraId="0CCD5FE1" w14:textId="77777777" w:rsidR="00BE2877" w:rsidRPr="00BE2877" w:rsidRDefault="00BE2877" w:rsidP="00BE2877">
            <w:pPr>
              <w:ind w:right="601"/>
              <w:jc w:val="right"/>
              <w:rPr>
                <w:rFonts w:eastAsia="Calibri"/>
                <w:b/>
                <w:sz w:val="18"/>
                <w:szCs w:val="18"/>
                <w:lang w:val="es-ES" w:eastAsia="en-US"/>
              </w:rPr>
            </w:pPr>
            <w:r w:rsidRPr="00BE2877">
              <w:rPr>
                <w:rFonts w:eastAsia="Calibri"/>
                <w:b/>
                <w:sz w:val="18"/>
                <w:szCs w:val="18"/>
                <w:lang w:val="es-ES" w:eastAsia="en-US"/>
              </w:rPr>
              <w:t>2 758</w:t>
            </w:r>
          </w:p>
        </w:tc>
      </w:tr>
      <w:tr w:rsidR="00BE2877" w:rsidRPr="00BE2877" w14:paraId="08DA0F82" w14:textId="77777777" w:rsidTr="00BE2877">
        <w:trPr>
          <w:jc w:val="center"/>
        </w:trPr>
        <w:tc>
          <w:tcPr>
            <w:tcW w:w="2694" w:type="dxa"/>
            <w:tcBorders>
              <w:top w:val="nil"/>
              <w:left w:val="single" w:sz="4" w:space="0" w:color="auto"/>
              <w:bottom w:val="nil"/>
              <w:right w:val="single" w:sz="4" w:space="0" w:color="auto"/>
            </w:tcBorders>
            <w:vAlign w:val="center"/>
          </w:tcPr>
          <w:p w14:paraId="6F0DDBED"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Team TISI -0.88% Oils Tools</w:t>
            </w:r>
          </w:p>
        </w:tc>
        <w:tc>
          <w:tcPr>
            <w:tcW w:w="1984" w:type="dxa"/>
            <w:tcBorders>
              <w:top w:val="nil"/>
              <w:left w:val="single" w:sz="4" w:space="0" w:color="auto"/>
              <w:bottom w:val="nil"/>
              <w:right w:val="single" w:sz="4" w:space="0" w:color="auto"/>
            </w:tcBorders>
            <w:vAlign w:val="center"/>
          </w:tcPr>
          <w:p w14:paraId="01BAF3AF"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95</w:t>
            </w:r>
          </w:p>
        </w:tc>
        <w:tc>
          <w:tcPr>
            <w:tcW w:w="2561" w:type="dxa"/>
            <w:tcBorders>
              <w:top w:val="nil"/>
              <w:left w:val="single" w:sz="4" w:space="0" w:color="auto"/>
              <w:bottom w:val="nil"/>
              <w:right w:val="single" w:sz="4" w:space="0" w:color="auto"/>
            </w:tcBorders>
            <w:vAlign w:val="center"/>
          </w:tcPr>
          <w:p w14:paraId="7C23394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Enable Midstream</w:t>
            </w:r>
          </w:p>
        </w:tc>
        <w:tc>
          <w:tcPr>
            <w:tcW w:w="1833" w:type="dxa"/>
            <w:tcBorders>
              <w:top w:val="nil"/>
              <w:left w:val="single" w:sz="4" w:space="0" w:color="auto"/>
              <w:bottom w:val="nil"/>
              <w:right w:val="single" w:sz="4" w:space="0" w:color="auto"/>
            </w:tcBorders>
            <w:vAlign w:val="center"/>
          </w:tcPr>
          <w:p w14:paraId="6E59DF57"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200</w:t>
            </w:r>
          </w:p>
        </w:tc>
      </w:tr>
      <w:tr w:rsidR="00BE2877" w:rsidRPr="00BE2877" w14:paraId="295614A5" w14:textId="77777777" w:rsidTr="00BE2877">
        <w:trPr>
          <w:jc w:val="center"/>
        </w:trPr>
        <w:tc>
          <w:tcPr>
            <w:tcW w:w="2694" w:type="dxa"/>
            <w:tcBorders>
              <w:top w:val="nil"/>
              <w:left w:val="single" w:sz="4" w:space="0" w:color="auto"/>
              <w:bottom w:val="nil"/>
              <w:right w:val="single" w:sz="4" w:space="0" w:color="auto"/>
            </w:tcBorders>
            <w:vAlign w:val="center"/>
          </w:tcPr>
          <w:p w14:paraId="3091AE4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Trican WellServices</w:t>
            </w:r>
          </w:p>
        </w:tc>
        <w:tc>
          <w:tcPr>
            <w:tcW w:w="1984" w:type="dxa"/>
            <w:tcBorders>
              <w:top w:val="nil"/>
              <w:left w:val="single" w:sz="4" w:space="0" w:color="auto"/>
              <w:bottom w:val="nil"/>
              <w:right w:val="single" w:sz="4" w:space="0" w:color="auto"/>
            </w:tcBorders>
            <w:vAlign w:val="center"/>
          </w:tcPr>
          <w:p w14:paraId="5FD83256"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125</w:t>
            </w:r>
          </w:p>
        </w:tc>
        <w:tc>
          <w:tcPr>
            <w:tcW w:w="2561" w:type="dxa"/>
            <w:tcBorders>
              <w:top w:val="nil"/>
              <w:left w:val="single" w:sz="4" w:space="0" w:color="auto"/>
              <w:bottom w:val="nil"/>
              <w:right w:val="single" w:sz="4" w:space="0" w:color="auto"/>
            </w:tcBorders>
            <w:vAlign w:val="center"/>
          </w:tcPr>
          <w:p w14:paraId="040FE4D6"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 xml:space="preserve">Enbridge </w:t>
            </w:r>
          </w:p>
        </w:tc>
        <w:tc>
          <w:tcPr>
            <w:tcW w:w="1833" w:type="dxa"/>
            <w:tcBorders>
              <w:top w:val="nil"/>
              <w:left w:val="single" w:sz="4" w:space="0" w:color="auto"/>
              <w:bottom w:val="nil"/>
              <w:right w:val="single" w:sz="4" w:space="0" w:color="auto"/>
            </w:tcBorders>
            <w:vAlign w:val="center"/>
          </w:tcPr>
          <w:p w14:paraId="70CAA62E"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100</w:t>
            </w:r>
          </w:p>
        </w:tc>
      </w:tr>
      <w:tr w:rsidR="00BE2877" w:rsidRPr="00BE2877" w14:paraId="39DB10AD" w14:textId="77777777" w:rsidTr="00BE2877">
        <w:trPr>
          <w:jc w:val="center"/>
        </w:trPr>
        <w:tc>
          <w:tcPr>
            <w:tcW w:w="2694" w:type="dxa"/>
            <w:tcBorders>
              <w:top w:val="nil"/>
              <w:left w:val="single" w:sz="4" w:space="0" w:color="auto"/>
              <w:bottom w:val="nil"/>
              <w:right w:val="single" w:sz="4" w:space="0" w:color="auto"/>
            </w:tcBorders>
            <w:vAlign w:val="center"/>
          </w:tcPr>
          <w:p w14:paraId="6662C10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Trinidad Drilling Ltd.</w:t>
            </w:r>
          </w:p>
        </w:tc>
        <w:tc>
          <w:tcPr>
            <w:tcW w:w="1984" w:type="dxa"/>
            <w:tcBorders>
              <w:top w:val="nil"/>
              <w:left w:val="single" w:sz="4" w:space="0" w:color="auto"/>
              <w:bottom w:val="nil"/>
              <w:right w:val="single" w:sz="4" w:space="0" w:color="auto"/>
            </w:tcBorders>
            <w:vAlign w:val="center"/>
          </w:tcPr>
          <w:p w14:paraId="75930CA4"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N/A</w:t>
            </w:r>
          </w:p>
        </w:tc>
        <w:tc>
          <w:tcPr>
            <w:tcW w:w="2561" w:type="dxa"/>
            <w:tcBorders>
              <w:top w:val="nil"/>
              <w:left w:val="single" w:sz="4" w:space="0" w:color="auto"/>
              <w:bottom w:val="nil"/>
              <w:right w:val="single" w:sz="4" w:space="0" w:color="auto"/>
            </w:tcBorders>
            <w:vAlign w:val="center"/>
          </w:tcPr>
          <w:p w14:paraId="2558E225"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MRC Global</w:t>
            </w:r>
          </w:p>
        </w:tc>
        <w:tc>
          <w:tcPr>
            <w:tcW w:w="1833" w:type="dxa"/>
            <w:tcBorders>
              <w:top w:val="nil"/>
              <w:left w:val="single" w:sz="4" w:space="0" w:color="auto"/>
              <w:bottom w:val="nil"/>
              <w:right w:val="single" w:sz="4" w:space="0" w:color="auto"/>
            </w:tcBorders>
            <w:vAlign w:val="center"/>
          </w:tcPr>
          <w:p w14:paraId="5DE874F0"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700</w:t>
            </w:r>
          </w:p>
        </w:tc>
      </w:tr>
      <w:tr w:rsidR="00BE2877" w:rsidRPr="00BE2877" w14:paraId="662A60F6" w14:textId="77777777" w:rsidTr="00BE2877">
        <w:trPr>
          <w:jc w:val="center"/>
        </w:trPr>
        <w:tc>
          <w:tcPr>
            <w:tcW w:w="2694" w:type="dxa"/>
            <w:tcBorders>
              <w:top w:val="nil"/>
              <w:left w:val="single" w:sz="4" w:space="0" w:color="auto"/>
              <w:bottom w:val="nil"/>
              <w:right w:val="single" w:sz="4" w:space="0" w:color="auto"/>
            </w:tcBorders>
            <w:vAlign w:val="center"/>
          </w:tcPr>
          <w:p w14:paraId="241B8F7F"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Ultra Premium Oilfield Services</w:t>
            </w:r>
          </w:p>
        </w:tc>
        <w:tc>
          <w:tcPr>
            <w:tcW w:w="1984" w:type="dxa"/>
            <w:tcBorders>
              <w:top w:val="nil"/>
              <w:left w:val="single" w:sz="4" w:space="0" w:color="auto"/>
              <w:bottom w:val="nil"/>
              <w:right w:val="single" w:sz="4" w:space="0" w:color="auto"/>
            </w:tcBorders>
            <w:vAlign w:val="center"/>
          </w:tcPr>
          <w:p w14:paraId="505CBC06"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78</w:t>
            </w:r>
          </w:p>
        </w:tc>
        <w:tc>
          <w:tcPr>
            <w:tcW w:w="2561" w:type="dxa"/>
            <w:tcBorders>
              <w:top w:val="nil"/>
              <w:left w:val="single" w:sz="4" w:space="0" w:color="auto"/>
              <w:bottom w:val="nil"/>
              <w:right w:val="single" w:sz="4" w:space="0" w:color="auto"/>
            </w:tcBorders>
            <w:vAlign w:val="center"/>
          </w:tcPr>
          <w:p w14:paraId="10A61790"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Tenaris</w:t>
            </w:r>
          </w:p>
        </w:tc>
        <w:tc>
          <w:tcPr>
            <w:tcW w:w="1833" w:type="dxa"/>
            <w:tcBorders>
              <w:top w:val="nil"/>
              <w:left w:val="single" w:sz="4" w:space="0" w:color="auto"/>
              <w:bottom w:val="nil"/>
              <w:right w:val="single" w:sz="4" w:space="0" w:color="auto"/>
            </w:tcBorders>
            <w:vAlign w:val="center"/>
          </w:tcPr>
          <w:p w14:paraId="4EE29992"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1 440</w:t>
            </w:r>
          </w:p>
        </w:tc>
      </w:tr>
      <w:tr w:rsidR="00BE2877" w:rsidRPr="00BE2877" w14:paraId="6FA81324" w14:textId="77777777" w:rsidTr="00BE2877">
        <w:trPr>
          <w:jc w:val="center"/>
        </w:trPr>
        <w:tc>
          <w:tcPr>
            <w:tcW w:w="2694" w:type="dxa"/>
            <w:tcBorders>
              <w:top w:val="nil"/>
              <w:left w:val="single" w:sz="4" w:space="0" w:color="auto"/>
              <w:bottom w:val="nil"/>
              <w:right w:val="single" w:sz="4" w:space="0" w:color="auto"/>
            </w:tcBorders>
            <w:vAlign w:val="center"/>
          </w:tcPr>
          <w:p w14:paraId="02D69EEE"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Weatherford</w:t>
            </w:r>
          </w:p>
        </w:tc>
        <w:tc>
          <w:tcPr>
            <w:tcW w:w="1984" w:type="dxa"/>
            <w:tcBorders>
              <w:top w:val="nil"/>
              <w:left w:val="single" w:sz="4" w:space="0" w:color="auto"/>
              <w:bottom w:val="nil"/>
              <w:right w:val="single" w:sz="4" w:space="0" w:color="auto"/>
            </w:tcBorders>
            <w:vAlign w:val="center"/>
          </w:tcPr>
          <w:p w14:paraId="7E9BB09A"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8 000</w:t>
            </w:r>
          </w:p>
        </w:tc>
        <w:tc>
          <w:tcPr>
            <w:tcW w:w="2561" w:type="dxa"/>
            <w:tcBorders>
              <w:top w:val="nil"/>
              <w:left w:val="single" w:sz="4" w:space="0" w:color="auto"/>
              <w:bottom w:val="nil"/>
              <w:right w:val="single" w:sz="4" w:space="0" w:color="auto"/>
            </w:tcBorders>
            <w:vAlign w:val="center"/>
          </w:tcPr>
          <w:p w14:paraId="35D3013B" w14:textId="77777777" w:rsidR="00BE2877" w:rsidRPr="00BE2877" w:rsidRDefault="00BE2877" w:rsidP="00BE2877">
            <w:pPr>
              <w:jc w:val="both"/>
              <w:rPr>
                <w:rFonts w:eastAsia="Calibri"/>
                <w:sz w:val="18"/>
                <w:szCs w:val="18"/>
                <w:lang w:val="es-ES" w:eastAsia="en-US"/>
              </w:rPr>
            </w:pPr>
            <w:r w:rsidRPr="00BE2877">
              <w:rPr>
                <w:rFonts w:eastAsia="Calibri"/>
                <w:sz w:val="18"/>
                <w:szCs w:val="18"/>
                <w:lang w:val="es-ES" w:eastAsia="en-US"/>
              </w:rPr>
              <w:t>Vallourec Star</w:t>
            </w:r>
          </w:p>
        </w:tc>
        <w:tc>
          <w:tcPr>
            <w:tcW w:w="1833" w:type="dxa"/>
            <w:tcBorders>
              <w:top w:val="nil"/>
              <w:left w:val="single" w:sz="4" w:space="0" w:color="auto"/>
              <w:bottom w:val="nil"/>
              <w:right w:val="single" w:sz="4" w:space="0" w:color="auto"/>
            </w:tcBorders>
            <w:vAlign w:val="center"/>
          </w:tcPr>
          <w:p w14:paraId="7AE2F398" w14:textId="77777777" w:rsidR="00BE2877" w:rsidRPr="00BE2877" w:rsidRDefault="00BE2877" w:rsidP="00BE2877">
            <w:pPr>
              <w:ind w:right="601"/>
              <w:jc w:val="right"/>
              <w:rPr>
                <w:rFonts w:eastAsia="Calibri"/>
                <w:sz w:val="18"/>
                <w:szCs w:val="18"/>
                <w:lang w:val="es-ES" w:eastAsia="en-US"/>
              </w:rPr>
            </w:pPr>
            <w:r w:rsidRPr="00BE2877">
              <w:rPr>
                <w:rFonts w:eastAsia="Calibri"/>
                <w:sz w:val="18"/>
                <w:szCs w:val="18"/>
                <w:lang w:val="es-ES" w:eastAsia="en-US"/>
              </w:rPr>
              <w:t>318</w:t>
            </w:r>
          </w:p>
        </w:tc>
      </w:tr>
      <w:tr w:rsidR="00BE2877" w:rsidRPr="00BE2877" w14:paraId="41A9151C" w14:textId="77777777" w:rsidTr="00BE2877">
        <w:trPr>
          <w:jc w:val="center"/>
        </w:trPr>
        <w:tc>
          <w:tcPr>
            <w:tcW w:w="2694" w:type="dxa"/>
            <w:tcBorders>
              <w:top w:val="nil"/>
              <w:left w:val="single" w:sz="4" w:space="0" w:color="auto"/>
              <w:bottom w:val="single" w:sz="4" w:space="0" w:color="auto"/>
              <w:right w:val="single" w:sz="4" w:space="0" w:color="auto"/>
            </w:tcBorders>
            <w:vAlign w:val="center"/>
          </w:tcPr>
          <w:p w14:paraId="1DF32EE9" w14:textId="77777777" w:rsidR="00BE2877" w:rsidRPr="00BE2877" w:rsidRDefault="00BE2877" w:rsidP="00BE2877">
            <w:pPr>
              <w:jc w:val="both"/>
              <w:rPr>
                <w:rFonts w:eastAsia="Calibri"/>
                <w:b/>
                <w:sz w:val="18"/>
                <w:szCs w:val="18"/>
                <w:lang w:val="es-ES" w:eastAsia="en-US"/>
              </w:rPr>
            </w:pPr>
            <w:r w:rsidRPr="00BE2877">
              <w:rPr>
                <w:rFonts w:eastAsia="Calibri"/>
                <w:b/>
                <w:sz w:val="18"/>
                <w:szCs w:val="18"/>
                <w:lang w:val="es-ES" w:eastAsia="en-US"/>
              </w:rPr>
              <w:t xml:space="preserve">Total </w:t>
            </w:r>
          </w:p>
        </w:tc>
        <w:tc>
          <w:tcPr>
            <w:tcW w:w="1984" w:type="dxa"/>
            <w:tcBorders>
              <w:top w:val="nil"/>
              <w:left w:val="single" w:sz="4" w:space="0" w:color="auto"/>
              <w:bottom w:val="single" w:sz="4" w:space="0" w:color="auto"/>
              <w:right w:val="single" w:sz="4" w:space="0" w:color="auto"/>
            </w:tcBorders>
            <w:vAlign w:val="center"/>
          </w:tcPr>
          <w:p w14:paraId="155B6A9A" w14:textId="77777777" w:rsidR="00BE2877" w:rsidRPr="00BE2877" w:rsidRDefault="00BE2877" w:rsidP="00BE2877">
            <w:pPr>
              <w:ind w:right="601"/>
              <w:jc w:val="right"/>
              <w:rPr>
                <w:rFonts w:eastAsia="Calibri"/>
                <w:b/>
                <w:sz w:val="18"/>
                <w:szCs w:val="18"/>
                <w:lang w:val="es-ES" w:eastAsia="en-US"/>
              </w:rPr>
            </w:pPr>
            <w:r w:rsidRPr="00BE2877">
              <w:rPr>
                <w:rFonts w:eastAsia="Calibri"/>
                <w:b/>
                <w:sz w:val="18"/>
                <w:szCs w:val="18"/>
                <w:lang w:val="es-ES" w:eastAsia="en-US"/>
              </w:rPr>
              <w:t>73 949</w:t>
            </w:r>
          </w:p>
        </w:tc>
        <w:tc>
          <w:tcPr>
            <w:tcW w:w="2561" w:type="dxa"/>
            <w:tcBorders>
              <w:top w:val="nil"/>
              <w:left w:val="single" w:sz="4" w:space="0" w:color="auto"/>
              <w:bottom w:val="single" w:sz="4" w:space="0" w:color="auto"/>
              <w:right w:val="single" w:sz="4" w:space="0" w:color="auto"/>
            </w:tcBorders>
            <w:vAlign w:val="center"/>
          </w:tcPr>
          <w:p w14:paraId="6F155422" w14:textId="77777777" w:rsidR="00BE2877" w:rsidRPr="00BE2877" w:rsidRDefault="00BE2877" w:rsidP="00BE2877">
            <w:pPr>
              <w:ind w:right="601"/>
              <w:jc w:val="right"/>
              <w:rPr>
                <w:rFonts w:eastAsia="Calibri"/>
                <w:b/>
                <w:sz w:val="18"/>
                <w:szCs w:val="18"/>
                <w:lang w:val="es-ES" w:eastAsia="en-US"/>
              </w:rPr>
            </w:pPr>
          </w:p>
        </w:tc>
        <w:tc>
          <w:tcPr>
            <w:tcW w:w="1833" w:type="dxa"/>
            <w:tcBorders>
              <w:top w:val="nil"/>
              <w:left w:val="single" w:sz="4" w:space="0" w:color="auto"/>
              <w:bottom w:val="single" w:sz="4" w:space="0" w:color="auto"/>
              <w:right w:val="single" w:sz="4" w:space="0" w:color="auto"/>
            </w:tcBorders>
            <w:vAlign w:val="center"/>
          </w:tcPr>
          <w:p w14:paraId="2049936A" w14:textId="77777777" w:rsidR="00BE2877" w:rsidRPr="00BE2877" w:rsidRDefault="00BE2877" w:rsidP="00BE2877">
            <w:pPr>
              <w:ind w:right="601"/>
              <w:jc w:val="right"/>
              <w:rPr>
                <w:rFonts w:eastAsia="Calibri"/>
                <w:b/>
                <w:sz w:val="18"/>
                <w:szCs w:val="18"/>
                <w:lang w:val="es-ES" w:eastAsia="en-US"/>
              </w:rPr>
            </w:pPr>
          </w:p>
        </w:tc>
      </w:tr>
      <w:tr w:rsidR="00BE2877" w:rsidRPr="00BE2877" w14:paraId="407F622D" w14:textId="77777777" w:rsidTr="003F4CB4">
        <w:trPr>
          <w:jc w:val="center"/>
        </w:trPr>
        <w:tc>
          <w:tcPr>
            <w:tcW w:w="2694" w:type="dxa"/>
            <w:tcBorders>
              <w:top w:val="single" w:sz="4" w:space="0" w:color="auto"/>
              <w:left w:val="nil"/>
              <w:bottom w:val="nil"/>
              <w:right w:val="nil"/>
            </w:tcBorders>
          </w:tcPr>
          <w:p w14:paraId="0E9BB794" w14:textId="77777777" w:rsidR="00BE2877" w:rsidRPr="00BE2877" w:rsidRDefault="00BE2877" w:rsidP="00BE2877">
            <w:pPr>
              <w:jc w:val="both"/>
              <w:rPr>
                <w:rFonts w:eastAsia="Calibri"/>
                <w:sz w:val="20"/>
                <w:szCs w:val="20"/>
                <w:lang w:val="es-ES" w:eastAsia="en-US"/>
              </w:rPr>
            </w:pPr>
            <w:r w:rsidRPr="00BE2877">
              <w:rPr>
                <w:rFonts w:eastAsia="Calibri"/>
                <w:sz w:val="20"/>
                <w:szCs w:val="20"/>
                <w:lang w:val="es-ES" w:eastAsia="en-US"/>
              </w:rPr>
              <w:t xml:space="preserve">FUENTE: Forbes México. </w:t>
            </w:r>
          </w:p>
        </w:tc>
        <w:tc>
          <w:tcPr>
            <w:tcW w:w="1984" w:type="dxa"/>
            <w:tcBorders>
              <w:top w:val="single" w:sz="4" w:space="0" w:color="auto"/>
              <w:left w:val="nil"/>
              <w:bottom w:val="nil"/>
              <w:right w:val="nil"/>
            </w:tcBorders>
          </w:tcPr>
          <w:p w14:paraId="06DE6B88" w14:textId="77777777" w:rsidR="00BE2877" w:rsidRPr="00BE2877" w:rsidRDefault="00BE2877" w:rsidP="00BE2877">
            <w:pPr>
              <w:ind w:right="601"/>
              <w:jc w:val="right"/>
              <w:rPr>
                <w:rFonts w:eastAsia="Calibri"/>
                <w:sz w:val="18"/>
                <w:szCs w:val="18"/>
                <w:lang w:val="es-ES" w:eastAsia="en-US"/>
              </w:rPr>
            </w:pPr>
          </w:p>
        </w:tc>
        <w:tc>
          <w:tcPr>
            <w:tcW w:w="2561" w:type="dxa"/>
            <w:tcBorders>
              <w:top w:val="single" w:sz="4" w:space="0" w:color="auto"/>
              <w:left w:val="nil"/>
              <w:bottom w:val="nil"/>
              <w:right w:val="nil"/>
            </w:tcBorders>
          </w:tcPr>
          <w:p w14:paraId="1DCFEDD1" w14:textId="77777777" w:rsidR="00BE2877" w:rsidRPr="00BE2877" w:rsidRDefault="00BE2877" w:rsidP="00BE2877">
            <w:pPr>
              <w:ind w:right="601"/>
              <w:jc w:val="right"/>
              <w:rPr>
                <w:rFonts w:eastAsia="Calibri"/>
                <w:sz w:val="18"/>
                <w:szCs w:val="18"/>
                <w:lang w:val="es-ES" w:eastAsia="en-US"/>
              </w:rPr>
            </w:pPr>
          </w:p>
        </w:tc>
        <w:tc>
          <w:tcPr>
            <w:tcW w:w="1833" w:type="dxa"/>
            <w:tcBorders>
              <w:top w:val="single" w:sz="4" w:space="0" w:color="auto"/>
              <w:left w:val="nil"/>
              <w:bottom w:val="nil"/>
              <w:right w:val="nil"/>
            </w:tcBorders>
          </w:tcPr>
          <w:p w14:paraId="4CE32140" w14:textId="77777777" w:rsidR="00BE2877" w:rsidRPr="00BE2877" w:rsidRDefault="00BE2877" w:rsidP="00BE2877">
            <w:pPr>
              <w:ind w:right="601"/>
              <w:jc w:val="right"/>
              <w:rPr>
                <w:rFonts w:eastAsia="Calibri"/>
                <w:sz w:val="18"/>
                <w:szCs w:val="18"/>
                <w:lang w:val="es-ES" w:eastAsia="en-US"/>
              </w:rPr>
            </w:pPr>
          </w:p>
        </w:tc>
      </w:tr>
    </w:tbl>
    <w:p w14:paraId="71E62E96" w14:textId="77777777" w:rsidR="00BE2877" w:rsidRPr="00BE2877" w:rsidRDefault="00BE2877" w:rsidP="00BE2877">
      <w:pPr>
        <w:spacing w:after="360" w:line="360" w:lineRule="auto"/>
        <w:ind w:right="-159"/>
        <w:jc w:val="both"/>
        <w:rPr>
          <w:rFonts w:eastAsia="Calibri"/>
          <w:sz w:val="26"/>
          <w:szCs w:val="26"/>
          <w:lang w:val="es-ES" w:eastAsia="en-US"/>
        </w:rPr>
      </w:pPr>
    </w:p>
    <w:p w14:paraId="26963352" w14:textId="77777777" w:rsidR="00BE2877" w:rsidRPr="00BE2877" w:rsidRDefault="00BE2877" w:rsidP="00BE2877">
      <w:pPr>
        <w:ind w:right="-159"/>
        <w:jc w:val="both"/>
        <w:rPr>
          <w:rFonts w:eastAsia="Calibri"/>
          <w:b/>
          <w:sz w:val="20"/>
          <w:szCs w:val="20"/>
          <w:lang w:eastAsia="en-US"/>
        </w:rPr>
      </w:pPr>
      <w:r w:rsidRPr="00BE2877">
        <w:rPr>
          <w:rFonts w:eastAsia="Calibri"/>
          <w:b/>
          <w:sz w:val="20"/>
          <w:szCs w:val="20"/>
          <w:lang w:eastAsia="en-US"/>
        </w:rPr>
        <w:t>Fuente de información:</w:t>
      </w:r>
    </w:p>
    <w:p w14:paraId="6B3B89F5" w14:textId="77777777" w:rsidR="00BE2877" w:rsidRPr="004C101E" w:rsidRDefault="00872B0E" w:rsidP="004C101E">
      <w:pPr>
        <w:spacing w:after="720"/>
        <w:ind w:right="-159"/>
        <w:jc w:val="both"/>
        <w:rPr>
          <w:rFonts w:eastAsia="Calibri"/>
          <w:color w:val="0000FF"/>
          <w:sz w:val="20"/>
          <w:szCs w:val="20"/>
          <w:lang w:val="es-ES" w:eastAsia="en-US"/>
        </w:rPr>
      </w:pPr>
      <w:hyperlink r:id="rId32" w:history="1">
        <w:r w:rsidR="00BE2877" w:rsidRPr="004C101E">
          <w:rPr>
            <w:rFonts w:eastAsia="Calibri"/>
            <w:color w:val="0000FF"/>
            <w:sz w:val="20"/>
            <w:szCs w:val="20"/>
            <w:u w:val="single"/>
            <w:lang w:val="es-ES" w:eastAsia="en-US"/>
          </w:rPr>
          <w:t>http://www.forbes.com.mx/pemex-pierde-10000-empleos-por-caida-del-crudo/</w:t>
        </w:r>
      </w:hyperlink>
    </w:p>
    <w:p w14:paraId="178FB643" w14:textId="77777777" w:rsidR="00937636" w:rsidRPr="00937636" w:rsidRDefault="00937636" w:rsidP="00937636">
      <w:pPr>
        <w:rPr>
          <w:rFonts w:eastAsia="Calibri"/>
          <w:b/>
          <w:sz w:val="26"/>
          <w:szCs w:val="26"/>
          <w:lang w:eastAsia="en-US"/>
        </w:rPr>
      </w:pPr>
      <w:r w:rsidRPr="00937636">
        <w:rPr>
          <w:rFonts w:eastAsia="Calibri"/>
          <w:b/>
          <w:sz w:val="26"/>
          <w:szCs w:val="26"/>
          <w:lang w:eastAsia="en-US"/>
        </w:rPr>
        <w:t>ProMéxico firma dos convenios de</w:t>
      </w:r>
    </w:p>
    <w:p w14:paraId="7F4FD85E" w14:textId="77777777" w:rsidR="00937636" w:rsidRPr="00937636" w:rsidRDefault="00937636" w:rsidP="00937636">
      <w:pPr>
        <w:rPr>
          <w:rFonts w:eastAsia="Calibri"/>
          <w:b/>
          <w:sz w:val="26"/>
          <w:szCs w:val="26"/>
          <w:lang w:eastAsia="en-US"/>
        </w:rPr>
      </w:pPr>
      <w:r w:rsidRPr="00937636">
        <w:rPr>
          <w:rFonts w:eastAsia="Calibri"/>
          <w:b/>
          <w:sz w:val="26"/>
          <w:szCs w:val="26"/>
          <w:lang w:eastAsia="en-US"/>
        </w:rPr>
        <w:t>colaboración  con  Shell  y  British</w:t>
      </w:r>
    </w:p>
    <w:p w14:paraId="352C788C" w14:textId="77777777" w:rsidR="00937636" w:rsidRPr="00937636" w:rsidRDefault="00937636" w:rsidP="00937636">
      <w:pPr>
        <w:spacing w:after="360" w:line="360" w:lineRule="auto"/>
        <w:ind w:right="-159"/>
        <w:jc w:val="both"/>
        <w:rPr>
          <w:rFonts w:eastAsia="Calibri"/>
          <w:b/>
          <w:sz w:val="26"/>
          <w:szCs w:val="26"/>
          <w:lang w:eastAsia="en-US"/>
        </w:rPr>
      </w:pPr>
      <w:r w:rsidRPr="00937636">
        <w:rPr>
          <w:rFonts w:eastAsia="Calibri"/>
          <w:b/>
          <w:sz w:val="26"/>
          <w:szCs w:val="26"/>
          <w:lang w:eastAsia="en-US"/>
        </w:rPr>
        <w:t>Petroleum (PROMEXICO)</w:t>
      </w:r>
    </w:p>
    <w:p w14:paraId="06196A01"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 xml:space="preserve">El 2 de marzo de 2015, el Titular de ProMéxico dio a conocer la firma de dos convenios de colaboración con las empresas </w:t>
      </w:r>
      <w:r w:rsidRPr="00937636">
        <w:rPr>
          <w:rFonts w:eastAsia="Calibri"/>
          <w:i/>
          <w:sz w:val="26"/>
          <w:szCs w:val="26"/>
          <w:lang w:eastAsia="en-US"/>
        </w:rPr>
        <w:t>Royal Dutch Shell Plc</w:t>
      </w:r>
      <w:r w:rsidRPr="00937636">
        <w:rPr>
          <w:rFonts w:eastAsia="Calibri"/>
          <w:sz w:val="26"/>
          <w:szCs w:val="26"/>
          <w:lang w:eastAsia="en-US"/>
        </w:rPr>
        <w:t xml:space="preserve"> y con </w:t>
      </w:r>
      <w:r w:rsidRPr="00937636">
        <w:rPr>
          <w:rFonts w:eastAsia="Calibri"/>
          <w:i/>
          <w:sz w:val="26"/>
          <w:szCs w:val="26"/>
          <w:lang w:eastAsia="en-US"/>
        </w:rPr>
        <w:t>British Petroleum</w:t>
      </w:r>
      <w:r w:rsidRPr="00937636">
        <w:rPr>
          <w:rFonts w:eastAsia="Calibri"/>
          <w:sz w:val="26"/>
          <w:szCs w:val="26"/>
          <w:lang w:eastAsia="en-US"/>
        </w:rPr>
        <w:t xml:space="preserve"> (BP) </w:t>
      </w:r>
      <w:r w:rsidRPr="00937636">
        <w:rPr>
          <w:rFonts w:eastAsia="Calibri"/>
          <w:sz w:val="26"/>
          <w:szCs w:val="26"/>
          <w:lang w:eastAsia="en-US"/>
        </w:rPr>
        <w:lastRenderedPageBreak/>
        <w:t>compañía dedicada principalmente al petróleo y al gas natural. A continuación se presentan los detalles</w:t>
      </w:r>
    </w:p>
    <w:p w14:paraId="1804655C"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 xml:space="preserve">ProMéxico firmó dos convenios de colaboración con las empresas </w:t>
      </w:r>
      <w:r w:rsidRPr="00937636">
        <w:rPr>
          <w:rFonts w:eastAsia="Calibri"/>
          <w:i/>
          <w:sz w:val="26"/>
          <w:szCs w:val="26"/>
          <w:lang w:eastAsia="en-US"/>
        </w:rPr>
        <w:t>Royal Dutch Shell Plc,</w:t>
      </w:r>
      <w:r w:rsidRPr="00937636">
        <w:rPr>
          <w:rFonts w:eastAsia="Calibri"/>
          <w:sz w:val="26"/>
          <w:szCs w:val="26"/>
          <w:lang w:eastAsia="en-US"/>
        </w:rPr>
        <w:t xml:space="preserve"> grupo anglo-holandés con sede en La Haya, Holanda, y con </w:t>
      </w:r>
      <w:r w:rsidRPr="00937636">
        <w:rPr>
          <w:rFonts w:eastAsia="Calibri"/>
          <w:i/>
          <w:sz w:val="26"/>
          <w:szCs w:val="26"/>
          <w:lang w:eastAsia="en-US"/>
        </w:rPr>
        <w:t>British Petroleum</w:t>
      </w:r>
      <w:r w:rsidRPr="00937636">
        <w:rPr>
          <w:rFonts w:eastAsia="Calibri"/>
          <w:sz w:val="26"/>
          <w:szCs w:val="26"/>
          <w:lang w:eastAsia="en-US"/>
        </w:rPr>
        <w:t xml:space="preserve"> (BP) compañía dedicada principalmente al petróleo y al gas natural.</w:t>
      </w:r>
    </w:p>
    <w:p w14:paraId="7BB12859"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En el marco del “</w:t>
      </w:r>
      <w:r w:rsidRPr="00937636">
        <w:rPr>
          <w:rFonts w:eastAsia="Calibri"/>
          <w:i/>
          <w:sz w:val="26"/>
          <w:szCs w:val="26"/>
          <w:lang w:eastAsia="en-US"/>
        </w:rPr>
        <w:t>Mexico Energy Reform Summit</w:t>
      </w:r>
      <w:r w:rsidRPr="00937636">
        <w:rPr>
          <w:rFonts w:eastAsia="Calibri"/>
          <w:sz w:val="26"/>
          <w:szCs w:val="26"/>
          <w:lang w:eastAsia="en-US"/>
        </w:rPr>
        <w:t>”, evento organizado para la misión empresarial que acompaña al Presidente de la República en su visita de Estado a Reino Unido, el titular de ProMéxico firmó los dos acuerdos de colaboración bajo el modelo Alianza con Transnacionales (ACT) para el desarrollo de las cadenas de proveeduría mexicana de petróleo y gas.</w:t>
      </w:r>
    </w:p>
    <w:p w14:paraId="5665EBCC"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El objetivo principal de los convenios es apoyar al gobierno mexicano en el desarrollo de la cadena de proveeduría nacional, a fin de lograr insumos más competitivos que cumplan con los requisitos de contenido nacional que contempla la reforma energética.</w:t>
      </w:r>
    </w:p>
    <w:p w14:paraId="1F13C88E"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Asimismo, se busca detectar oportunidades para las compañías mexicanas para que se integren a las cadenas globales de valor del sector de petróleo y gas; además de buscar posibles alianzas estratégicas u opciones de inversión entre compañías mexicanas y extranjeras.</w:t>
      </w:r>
    </w:p>
    <w:p w14:paraId="5501A216"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Royal Dutch Shell Plc tiene presencia en las áreas de distribución y comercialización de petroquímicos y lubricantes del sector energético mexicano desde 1954. Actualmente las actividades de Shell México incluyen la importación y comercialización de gas natural licuado, servicios de consultoría, comercialización de catalizadores y el suministro de bienes y servicios a la operación de Shell dentro de la región latinoamericana.</w:t>
      </w:r>
    </w:p>
    <w:p w14:paraId="3AB4102B"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lastRenderedPageBreak/>
        <w:t>Shell tiene en México una de sus cuatro oficinas de desarrollo de proveeduría estratégica, las otras tres se encuentran en China, Corea e India.</w:t>
      </w:r>
    </w:p>
    <w:p w14:paraId="28DD03DC"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Por su parte, BP (British Petroleum) es una compañía dedicada principalmente al petróleo y al gas natural. Es la octava empresa más grande del mundo y en México ha operado por más de cincuenta años, empezando con la comercialización y distribución de lubricantes Castrol en los años sesenta. Hoy en día son la empresa líder de la industria de lubricantes para las industrias automotriz, de ILS y marina.</w:t>
      </w:r>
    </w:p>
    <w:p w14:paraId="41E9D847"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En los últimos años BP ha mostrado gran interés por apoyar a que las industrias mexicanas se sumen a las cadenas globales de valor del sector energético. Como prueba de ello han realizado distintos estudios y análisis sobre las capacidades y necesidades productivas del sector, así como de la demanda futura de capital humano.</w:t>
      </w:r>
    </w:p>
    <w:p w14:paraId="431AEEF7" w14:textId="77777777" w:rsidR="00937636" w:rsidRPr="00937636" w:rsidRDefault="00937636" w:rsidP="00937636">
      <w:pPr>
        <w:spacing w:after="360" w:line="360" w:lineRule="auto"/>
        <w:ind w:right="-159"/>
        <w:jc w:val="both"/>
        <w:rPr>
          <w:rFonts w:eastAsia="Calibri"/>
          <w:sz w:val="26"/>
          <w:szCs w:val="26"/>
          <w:lang w:eastAsia="en-US"/>
        </w:rPr>
      </w:pPr>
      <w:r w:rsidRPr="00937636">
        <w:rPr>
          <w:rFonts w:eastAsia="Calibri"/>
          <w:sz w:val="26"/>
          <w:szCs w:val="26"/>
          <w:lang w:eastAsia="en-US"/>
        </w:rPr>
        <w:t>El objetivo de la misión empresarial que acompaña al Presidente de México en su visita de Estado a Reino Unido, “es presentarle a los británicos las ventajas competitivas para profundizar la relación que se tiene entre ambos países, además de aprovechar el contexto de la apertura mexicana en el sector energético”, dijo el titular de ProMéxico.</w:t>
      </w:r>
    </w:p>
    <w:p w14:paraId="7B4E4508" w14:textId="77777777" w:rsidR="00937636" w:rsidRPr="00937636" w:rsidRDefault="00937636" w:rsidP="00937636">
      <w:pPr>
        <w:ind w:right="-159"/>
        <w:jc w:val="both"/>
        <w:rPr>
          <w:rFonts w:eastAsia="Calibri"/>
          <w:sz w:val="20"/>
          <w:szCs w:val="20"/>
          <w:lang w:eastAsia="en-US"/>
        </w:rPr>
      </w:pPr>
      <w:r w:rsidRPr="00937636">
        <w:rPr>
          <w:rFonts w:eastAsia="Calibri"/>
          <w:b/>
          <w:sz w:val="20"/>
          <w:szCs w:val="20"/>
          <w:lang w:eastAsia="en-US"/>
        </w:rPr>
        <w:t>Fuente de información</w:t>
      </w:r>
      <w:r w:rsidRPr="00937636">
        <w:rPr>
          <w:rFonts w:eastAsia="Calibri"/>
          <w:sz w:val="20"/>
          <w:szCs w:val="20"/>
          <w:lang w:eastAsia="en-US"/>
        </w:rPr>
        <w:t>:</w:t>
      </w:r>
    </w:p>
    <w:p w14:paraId="04BB32CE" w14:textId="77777777" w:rsidR="00937636" w:rsidRPr="004C101E" w:rsidRDefault="00872B0E" w:rsidP="00937636">
      <w:pPr>
        <w:ind w:right="-159"/>
        <w:jc w:val="both"/>
        <w:rPr>
          <w:rFonts w:eastAsia="Calibri"/>
          <w:color w:val="0000FF"/>
          <w:sz w:val="20"/>
          <w:szCs w:val="20"/>
          <w:lang w:eastAsia="en-US"/>
        </w:rPr>
      </w:pPr>
      <w:hyperlink r:id="rId33" w:history="1">
        <w:r w:rsidR="00937636" w:rsidRPr="004C101E">
          <w:rPr>
            <w:rFonts w:eastAsia="Calibri"/>
            <w:color w:val="0000FF"/>
            <w:sz w:val="20"/>
            <w:szCs w:val="20"/>
            <w:u w:val="single"/>
            <w:lang w:eastAsia="en-US"/>
          </w:rPr>
          <w:t>http://www.promexico.gob.mx/es/mx/boletin-prensa-07-15</w:t>
        </w:r>
      </w:hyperlink>
    </w:p>
    <w:p w14:paraId="1C98B5B8" w14:textId="77777777" w:rsidR="00937636" w:rsidRPr="004C101E" w:rsidRDefault="00872B0E" w:rsidP="004C101E">
      <w:pPr>
        <w:spacing w:after="720"/>
        <w:ind w:right="-159"/>
        <w:jc w:val="both"/>
        <w:rPr>
          <w:rFonts w:eastAsia="Calibri"/>
          <w:color w:val="0000FF"/>
          <w:sz w:val="20"/>
          <w:szCs w:val="20"/>
          <w:lang w:eastAsia="en-US"/>
        </w:rPr>
      </w:pPr>
      <w:hyperlink r:id="rId34" w:history="1">
        <w:r w:rsidR="00937636" w:rsidRPr="004C101E">
          <w:rPr>
            <w:rFonts w:eastAsia="Calibri"/>
            <w:color w:val="0000FF"/>
            <w:sz w:val="20"/>
            <w:szCs w:val="20"/>
            <w:u w:val="single"/>
            <w:lang w:eastAsia="en-US"/>
          </w:rPr>
          <w:t>http://www.promexico.gob.mx/documentos/boletines-prensa/Boletin-Prensa-07-15.pdf</w:t>
        </w:r>
      </w:hyperlink>
    </w:p>
    <w:p w14:paraId="07B249C4" w14:textId="77777777" w:rsidR="00DA1492" w:rsidRPr="00DA1492" w:rsidRDefault="00DA1492" w:rsidP="00DA1492">
      <w:pPr>
        <w:ind w:right="-159"/>
        <w:jc w:val="both"/>
        <w:rPr>
          <w:rFonts w:eastAsia="Times New Roman"/>
          <w:b/>
          <w:bCs/>
          <w:sz w:val="26"/>
          <w:szCs w:val="26"/>
          <w:lang w:val="es-ES"/>
        </w:rPr>
      </w:pPr>
      <w:r w:rsidRPr="00DA1492">
        <w:rPr>
          <w:rFonts w:eastAsia="Times New Roman"/>
          <w:b/>
          <w:bCs/>
          <w:sz w:val="26"/>
          <w:szCs w:val="26"/>
          <w:lang w:val="es-ES"/>
        </w:rPr>
        <w:t>Suscriben acuerdo para el desarrollo  de  una</w:t>
      </w:r>
    </w:p>
    <w:p w14:paraId="5DC48F6F" w14:textId="77777777" w:rsidR="00DA1492" w:rsidRPr="00DA1492" w:rsidRDefault="00DA1492" w:rsidP="00DA1492">
      <w:pPr>
        <w:spacing w:after="360" w:line="360" w:lineRule="auto"/>
        <w:ind w:right="-159"/>
        <w:jc w:val="both"/>
        <w:rPr>
          <w:rFonts w:eastAsia="Times New Roman"/>
          <w:b/>
          <w:bCs/>
          <w:sz w:val="26"/>
          <w:szCs w:val="26"/>
          <w:lang w:val="es-ES"/>
        </w:rPr>
      </w:pPr>
      <w:r w:rsidRPr="00DA1492">
        <w:rPr>
          <w:rFonts w:eastAsia="Times New Roman"/>
          <w:b/>
          <w:bCs/>
          <w:sz w:val="26"/>
          <w:szCs w:val="26"/>
          <w:lang w:val="es-ES"/>
        </w:rPr>
        <w:t>planta de licuefacción de gas natural (Pemex)</w:t>
      </w:r>
    </w:p>
    <w:p w14:paraId="58BF8E1C" w14:textId="77777777" w:rsidR="00DA1492" w:rsidRPr="00DA1492" w:rsidRDefault="00DA1492" w:rsidP="00DA1492">
      <w:pPr>
        <w:spacing w:after="360" w:line="360" w:lineRule="auto"/>
        <w:ind w:right="-159"/>
        <w:jc w:val="both"/>
        <w:rPr>
          <w:rFonts w:eastAsia="Times New Roman"/>
          <w:bCs/>
          <w:sz w:val="26"/>
          <w:szCs w:val="26"/>
          <w:lang w:val="es-ES"/>
        </w:rPr>
      </w:pPr>
      <w:r w:rsidRPr="00DA1492">
        <w:rPr>
          <w:rFonts w:eastAsia="Times New Roman"/>
          <w:bCs/>
          <w:sz w:val="26"/>
          <w:szCs w:val="26"/>
          <w:lang w:val="es-ES"/>
        </w:rPr>
        <w:t>El 19 de febrero de 2015, Petróleos Mexicanos (Pemex) suscribió un memorándum de entendimiento con Infraestructura Energética Nova, S.A.B de C.V. (IEnova), en conjunto con su filial Sempra LNG, para el desarrollo de un proyecto de licuefacción de gas natural ubicado en su terminal de recibo, almacenamiento y regasificación Energía Costa Azul, localizada en Ensenada, Baja California.</w:t>
      </w:r>
    </w:p>
    <w:p w14:paraId="47BB9A85" w14:textId="77777777" w:rsidR="00DA1492" w:rsidRPr="00DA1492" w:rsidRDefault="00DA1492" w:rsidP="00DA1492">
      <w:pPr>
        <w:spacing w:after="360" w:line="360" w:lineRule="auto"/>
        <w:ind w:right="-159"/>
        <w:jc w:val="both"/>
        <w:rPr>
          <w:rFonts w:eastAsia="Times New Roman"/>
          <w:bCs/>
          <w:sz w:val="26"/>
          <w:szCs w:val="26"/>
          <w:lang w:val="es-ES"/>
        </w:rPr>
      </w:pPr>
      <w:r w:rsidRPr="00DA1492">
        <w:rPr>
          <w:rFonts w:eastAsia="Times New Roman"/>
          <w:bCs/>
          <w:sz w:val="26"/>
          <w:szCs w:val="26"/>
          <w:lang w:val="es-ES"/>
        </w:rPr>
        <w:lastRenderedPageBreak/>
        <w:t>Este acuerdo establece las bases de colaboración para que las partes definan el alcance de su participación en el proyecto, incluyendo el desarrollo, la estructuración, y los términos bajo los cuales Pemex podría convertirse en cliente y/o inversionista.</w:t>
      </w:r>
    </w:p>
    <w:p w14:paraId="0323ABB3" w14:textId="77777777" w:rsidR="00DA1492" w:rsidRPr="00DA1492" w:rsidRDefault="00DA1492" w:rsidP="00DA1492">
      <w:pPr>
        <w:spacing w:after="360" w:line="360" w:lineRule="auto"/>
        <w:ind w:right="-159"/>
        <w:jc w:val="both"/>
        <w:rPr>
          <w:rFonts w:eastAsia="Times New Roman"/>
          <w:bCs/>
          <w:sz w:val="26"/>
          <w:szCs w:val="26"/>
          <w:lang w:val="es-ES"/>
        </w:rPr>
      </w:pPr>
      <w:r w:rsidRPr="00DA1492">
        <w:rPr>
          <w:rFonts w:eastAsia="Times New Roman"/>
          <w:bCs/>
          <w:sz w:val="26"/>
          <w:szCs w:val="26"/>
          <w:lang w:val="es-ES"/>
        </w:rPr>
        <w:t>De este modo, Pemex tendrá la posibilidad de fortalecer su posición en los mercados de gas natural, así como sentar las bases que le permitan participar en otras regiones del mundo, captando el beneficio económico que resulta por el diferencial de precios.</w:t>
      </w:r>
    </w:p>
    <w:p w14:paraId="0A7E9B2B" w14:textId="77777777" w:rsidR="00DA1492" w:rsidRPr="00DA1492" w:rsidRDefault="00DA1492" w:rsidP="00DA1492">
      <w:pPr>
        <w:spacing w:after="360" w:line="360" w:lineRule="auto"/>
        <w:ind w:right="-159"/>
        <w:jc w:val="both"/>
        <w:rPr>
          <w:rFonts w:eastAsia="Times New Roman"/>
          <w:bCs/>
          <w:sz w:val="26"/>
          <w:szCs w:val="26"/>
          <w:lang w:val="es-ES"/>
        </w:rPr>
      </w:pPr>
      <w:r w:rsidRPr="00DA1492">
        <w:rPr>
          <w:rFonts w:eastAsia="Times New Roman"/>
          <w:bCs/>
          <w:sz w:val="26"/>
          <w:szCs w:val="26"/>
          <w:lang w:val="es-ES"/>
        </w:rPr>
        <w:t>Se trata del primer proyecto de una planta de licuefacción en México, con lo que Petróleos Mexicanos ratifica su propósito de crear alianzas en el mercado energético. Su desarrollo permitirá apoyar la política comercial de México mediante el aumento de exportaciones y la promoción de las relaciones comerciales del país en el extranjero.</w:t>
      </w:r>
    </w:p>
    <w:p w14:paraId="36136963" w14:textId="77777777" w:rsidR="00DA1492" w:rsidRPr="00DA1492" w:rsidRDefault="00DA1492" w:rsidP="00DA1492">
      <w:pPr>
        <w:spacing w:after="360" w:line="360" w:lineRule="auto"/>
        <w:ind w:right="-159"/>
        <w:jc w:val="both"/>
        <w:rPr>
          <w:rFonts w:eastAsia="Times New Roman"/>
          <w:bCs/>
          <w:sz w:val="26"/>
          <w:szCs w:val="26"/>
          <w:lang w:val="es-ES"/>
        </w:rPr>
      </w:pPr>
      <w:r w:rsidRPr="00DA1492">
        <w:rPr>
          <w:rFonts w:eastAsia="Times New Roman"/>
          <w:bCs/>
          <w:sz w:val="26"/>
          <w:szCs w:val="26"/>
          <w:lang w:val="es-ES"/>
        </w:rPr>
        <w:t>Las empresas firmantes del memorándum cuentan con amplia experiencia en este tipo de proyectos y trabajarán en coordinación con los clientes existentes de la terminal para hacer de este proyecto una realidad.</w:t>
      </w:r>
    </w:p>
    <w:p w14:paraId="21BEBE3E" w14:textId="77777777" w:rsidR="00DA1492" w:rsidRPr="00DA1492" w:rsidRDefault="00DA1492" w:rsidP="00DA1492">
      <w:pPr>
        <w:ind w:right="-159"/>
        <w:jc w:val="both"/>
        <w:rPr>
          <w:rFonts w:eastAsia="Calibri"/>
          <w:b/>
          <w:sz w:val="20"/>
          <w:szCs w:val="20"/>
          <w:lang w:val="es-ES" w:eastAsia="en-US"/>
        </w:rPr>
      </w:pPr>
      <w:r w:rsidRPr="00DA1492">
        <w:rPr>
          <w:rFonts w:eastAsia="Calibri"/>
          <w:b/>
          <w:sz w:val="20"/>
          <w:szCs w:val="20"/>
          <w:lang w:val="es-ES" w:eastAsia="en-US"/>
        </w:rPr>
        <w:t>Fuente de información:</w:t>
      </w:r>
    </w:p>
    <w:p w14:paraId="2D951F6D" w14:textId="77777777" w:rsidR="00DA1492" w:rsidRPr="004A08ED" w:rsidRDefault="00872B0E" w:rsidP="004A08ED">
      <w:pPr>
        <w:spacing w:after="720"/>
        <w:ind w:right="-159"/>
        <w:jc w:val="both"/>
        <w:rPr>
          <w:rFonts w:eastAsia="Calibri"/>
          <w:color w:val="0000FF"/>
          <w:sz w:val="20"/>
          <w:szCs w:val="20"/>
          <w:lang w:eastAsia="en-US"/>
        </w:rPr>
      </w:pPr>
      <w:hyperlink r:id="rId35" w:history="1">
        <w:r w:rsidR="00DA1492" w:rsidRPr="004A08ED">
          <w:rPr>
            <w:rFonts w:eastAsia="Calibri"/>
            <w:color w:val="0000FF"/>
            <w:sz w:val="20"/>
            <w:szCs w:val="20"/>
            <w:u w:val="single"/>
            <w:lang w:eastAsia="en-US"/>
          </w:rPr>
          <w:t>http://www.pemex.com/prensa/boletines_nacionales/Paginas/2015-015-nacional.aspx</w:t>
        </w:r>
      </w:hyperlink>
      <w:r w:rsidR="00DA1492" w:rsidRPr="004A08ED">
        <w:rPr>
          <w:rFonts w:eastAsia="Calibri"/>
          <w:color w:val="0000FF"/>
          <w:sz w:val="20"/>
          <w:szCs w:val="20"/>
          <w:lang w:eastAsia="en-US"/>
        </w:rPr>
        <w:t xml:space="preserve"> </w:t>
      </w:r>
      <w:hyperlink r:id="rId36" w:history="1"/>
    </w:p>
    <w:p w14:paraId="1A614F95" w14:textId="77777777" w:rsidR="009C291E" w:rsidRPr="009C291E" w:rsidRDefault="009C291E" w:rsidP="009C291E">
      <w:pPr>
        <w:rPr>
          <w:rFonts w:eastAsia="Calibri"/>
          <w:b/>
          <w:sz w:val="26"/>
          <w:szCs w:val="26"/>
          <w:lang w:eastAsia="en-US"/>
        </w:rPr>
      </w:pPr>
      <w:r w:rsidRPr="009C291E">
        <w:rPr>
          <w:rFonts w:eastAsia="Calibri"/>
          <w:b/>
          <w:sz w:val="26"/>
          <w:szCs w:val="26"/>
          <w:lang w:eastAsia="en-US"/>
        </w:rPr>
        <w:t>Reforma energética abre oportunidades</w:t>
      </w:r>
    </w:p>
    <w:p w14:paraId="2236D415" w14:textId="77777777" w:rsidR="009C291E" w:rsidRPr="009C291E" w:rsidRDefault="009C291E" w:rsidP="009C291E">
      <w:pPr>
        <w:spacing w:after="360" w:line="360" w:lineRule="auto"/>
        <w:ind w:right="-159"/>
        <w:jc w:val="both"/>
        <w:rPr>
          <w:rFonts w:eastAsia="Calibri"/>
          <w:b/>
          <w:sz w:val="26"/>
          <w:szCs w:val="26"/>
          <w:lang w:eastAsia="en-US"/>
        </w:rPr>
      </w:pPr>
      <w:r w:rsidRPr="009C291E">
        <w:rPr>
          <w:rFonts w:eastAsia="Calibri"/>
          <w:b/>
          <w:sz w:val="26"/>
          <w:szCs w:val="26"/>
          <w:lang w:eastAsia="en-US"/>
        </w:rPr>
        <w:t>para PyMES (COPARMEX)</w:t>
      </w:r>
    </w:p>
    <w:p w14:paraId="2C72F203" w14:textId="1A9DAF1D"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El 20 de febrero de 2015, la Confederación Patronal de la República Mexicana (COPARME</w:t>
      </w:r>
      <w:r w:rsidR="006B134F">
        <w:rPr>
          <w:rFonts w:eastAsia="Calibri"/>
          <w:sz w:val="26"/>
          <w:szCs w:val="26"/>
          <w:lang w:eastAsia="en-US"/>
        </w:rPr>
        <w:t>X</w:t>
      </w:r>
      <w:r w:rsidRPr="009C291E">
        <w:rPr>
          <w:rFonts w:eastAsia="Calibri"/>
          <w:sz w:val="26"/>
          <w:szCs w:val="26"/>
          <w:lang w:eastAsia="en-US"/>
        </w:rPr>
        <w:t>) informó que durante la inauguración del Primer Foro Nacional del Petróleo “Reforma Energética: Retos y Oportunidades de Desarrollo para las PyMEs Mexicanas”, organizado por COPARMEX Veracruz, el Presidente Nacional de la C</w:t>
      </w:r>
      <w:r w:rsidR="006B134F">
        <w:rPr>
          <w:rFonts w:eastAsia="Calibri"/>
          <w:sz w:val="26"/>
          <w:szCs w:val="26"/>
          <w:lang w:eastAsia="en-US"/>
        </w:rPr>
        <w:t>onfederación</w:t>
      </w:r>
      <w:r w:rsidRPr="009C291E">
        <w:rPr>
          <w:rFonts w:eastAsia="Calibri"/>
          <w:sz w:val="26"/>
          <w:szCs w:val="26"/>
          <w:lang w:eastAsia="en-US"/>
        </w:rPr>
        <w:t xml:space="preserve"> afirmó que el desarrollo de las Pequeñas y Medianas Empresas (PyMEs) debe ser una prioridad estratégica nacional, y que la reforma energética abre la posibilidad a fortalecerlas, para así dinamizar y crecer la economía interna. En el acto estuvieron también presentes el Secretario de Energía, el Gobernador de Veracruz, el </w:t>
      </w:r>
      <w:r w:rsidRPr="009C291E">
        <w:rPr>
          <w:rFonts w:eastAsia="Calibri"/>
          <w:sz w:val="26"/>
          <w:szCs w:val="26"/>
          <w:lang w:eastAsia="en-US"/>
        </w:rPr>
        <w:lastRenderedPageBreak/>
        <w:t xml:space="preserve">Presidente del </w:t>
      </w:r>
      <w:r w:rsidR="006B134F">
        <w:rPr>
          <w:rFonts w:eastAsia="Calibri"/>
          <w:sz w:val="26"/>
          <w:szCs w:val="26"/>
          <w:lang w:eastAsia="en-US"/>
        </w:rPr>
        <w:t>Instituto Nacional del Emprendedor (</w:t>
      </w:r>
      <w:r w:rsidRPr="009C291E">
        <w:rPr>
          <w:rFonts w:eastAsia="Calibri"/>
          <w:sz w:val="26"/>
          <w:szCs w:val="26"/>
          <w:lang w:eastAsia="en-US"/>
        </w:rPr>
        <w:t>INADEM</w:t>
      </w:r>
      <w:r w:rsidR="006B134F">
        <w:rPr>
          <w:rFonts w:eastAsia="Calibri"/>
          <w:sz w:val="26"/>
          <w:szCs w:val="26"/>
          <w:lang w:eastAsia="en-US"/>
        </w:rPr>
        <w:t>)</w:t>
      </w:r>
      <w:r w:rsidRPr="009C291E">
        <w:rPr>
          <w:rFonts w:eastAsia="Calibri"/>
          <w:sz w:val="26"/>
          <w:szCs w:val="26"/>
          <w:lang w:eastAsia="en-US"/>
        </w:rPr>
        <w:t xml:space="preserve"> y el Presidente del Consejo Coordinador Empresarial, entre otros.</w:t>
      </w:r>
    </w:p>
    <w:p w14:paraId="50BB2266"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El Foro del Petróleo, que se llevó a cabo en la ciudad de Veracruz del 19 al 21 de febrero, reunió a más de 1 mil empresarios con el objetivo de informar a las MiPyMEs sobre los retos, desafíos y oportunidades de la reforma energética, y además favorecer los encadenamientos productivos, la vinculación comercial entre grandes empresas petroleras y pequeñas empresas, el desarrollo de proveedores y el acercamiento de programas de apoyo para empresas del sector petróleo y emprendedores.</w:t>
      </w:r>
    </w:p>
    <w:p w14:paraId="36237D92"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El Presidente Nacional de la COPARMEX destacó dos de las grandes iniciativas que está impulsando COPARMEX para la integración exitosa de la industria nacional en el sector energético. En primer lugar, la promoción del desarrollo de conocimiento y talento, con el impulso del Modelo Mexicano de Formación Dual. La idea es vincular a los jóvenes estudiantes con las empresas del sector, para formar nuevas generaciones de técnicos y profesionistas mexicanos especialistas en energía.</w:t>
      </w:r>
    </w:p>
    <w:p w14:paraId="0A950DB4"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La segunda iniciativa es el impulso del modelo de crecimiento de triple hélice, a través del cual la innovación permanente que se genera en las universidades y centros de investigación, encuentra aplicación en las empresas, generando empleo y valor, mejores salarios y mayor calidad de vida para los trabajadores.</w:t>
      </w:r>
    </w:p>
    <w:p w14:paraId="133B66B2"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Con esas dos iniciativas, COPARMEX busca contribuir a la creación de un marco regulatorio y un entorno de negocios que propicien y faciliten la asociación de grandes empresas nacionales e internacionales con nuestras pequeñas y medianas empresas, para facilitar su encadenamiento a la estructura de valor de la industria.</w:t>
      </w:r>
    </w:p>
    <w:p w14:paraId="68DF65E5"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 xml:space="preserve">El Gobernador de Veracruz destacó que “Uno de los principales retos es elevar la competitividad de la economía nacional y de las empresas, para que la nueva ley beneficie no sólo a las grandes empresas sino también a las micro pequeñas y medianas </w:t>
      </w:r>
      <w:r w:rsidRPr="009C291E">
        <w:rPr>
          <w:rFonts w:eastAsia="Calibri"/>
          <w:sz w:val="26"/>
          <w:szCs w:val="26"/>
          <w:lang w:eastAsia="en-US"/>
        </w:rPr>
        <w:lastRenderedPageBreak/>
        <w:t>empresas, pero sobre todo que los beneficios se traduzcan en mayores oportunidades para que la población pueda salir adelante. Hoy más que nunca se necesita impulsar proyectos que tengan impacto directo en la economía regional y que así se generen fuentes de empleo”. Además, destacó que Veracruz es una de las entidades que, con esta reforma, más aportarán al desarrollo y productividad del país.</w:t>
      </w:r>
    </w:p>
    <w:p w14:paraId="5D54FAF9" w14:textId="77777777"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Por su parte, el Presidente de COPARMEX Veracruz afirmó que “la industria, el comercio y la prestación de servicios encuentran con la nueva legislación un camino de certeza jurídica orientado al campo energético y a la diversidad de servicios conexos; y corresponde ahora al sector privado adquirir el conocimiento que nos sirva de instrumento para el crecimiento y la eficiencia de nuestras empresas y la construcción de nuevas propuestas productivas”.</w:t>
      </w:r>
    </w:p>
    <w:p w14:paraId="202D1B2B" w14:textId="55EBC3F0" w:rsidR="009C291E" w:rsidRPr="009C291E" w:rsidRDefault="009C291E" w:rsidP="009C291E">
      <w:pPr>
        <w:spacing w:after="360" w:line="360" w:lineRule="auto"/>
        <w:ind w:right="-159"/>
        <w:jc w:val="both"/>
        <w:rPr>
          <w:rFonts w:eastAsia="Calibri"/>
          <w:sz w:val="26"/>
          <w:szCs w:val="26"/>
          <w:lang w:eastAsia="en-US"/>
        </w:rPr>
      </w:pPr>
      <w:r w:rsidRPr="009C291E">
        <w:rPr>
          <w:rFonts w:eastAsia="Calibri"/>
          <w:sz w:val="26"/>
          <w:szCs w:val="26"/>
          <w:lang w:eastAsia="en-US"/>
        </w:rPr>
        <w:t>En s</w:t>
      </w:r>
      <w:r w:rsidR="0020784B">
        <w:rPr>
          <w:rFonts w:eastAsia="Calibri"/>
          <w:sz w:val="26"/>
          <w:szCs w:val="26"/>
          <w:lang w:eastAsia="en-US"/>
        </w:rPr>
        <w:t>u</w:t>
      </w:r>
      <w:r w:rsidRPr="009C291E">
        <w:rPr>
          <w:rFonts w:eastAsia="Calibri"/>
          <w:sz w:val="26"/>
          <w:szCs w:val="26"/>
          <w:lang w:eastAsia="en-US"/>
        </w:rPr>
        <w:t xml:space="preserve"> oportunidad, el Secretario de Energía, quien brindó la conferencia magistral “La Reforma Energética y las oportunidades de desarrollo para el país”, destacó las oportunidades que abre la regulación en la materia para las empresas mexicanas. Detalló las disposiciones sobre Contenido Nacional, Fondo Mexicano del Petróleo, Ronda Cero y Ronda Uno, entre otros temas.</w:t>
      </w:r>
    </w:p>
    <w:p w14:paraId="7D780BFF" w14:textId="77777777" w:rsidR="009C291E" w:rsidRPr="009C291E" w:rsidRDefault="009C291E" w:rsidP="009C291E">
      <w:pPr>
        <w:ind w:right="-159"/>
        <w:jc w:val="both"/>
        <w:rPr>
          <w:rFonts w:eastAsia="Calibri"/>
          <w:sz w:val="20"/>
          <w:szCs w:val="20"/>
          <w:lang w:eastAsia="en-US"/>
        </w:rPr>
      </w:pPr>
      <w:r w:rsidRPr="009C291E">
        <w:rPr>
          <w:rFonts w:eastAsia="Calibri"/>
          <w:b/>
          <w:sz w:val="20"/>
          <w:szCs w:val="20"/>
          <w:lang w:eastAsia="en-US"/>
        </w:rPr>
        <w:t>Fuente de información</w:t>
      </w:r>
      <w:r w:rsidRPr="009C291E">
        <w:rPr>
          <w:rFonts w:eastAsia="Calibri"/>
          <w:sz w:val="20"/>
          <w:szCs w:val="20"/>
          <w:lang w:eastAsia="en-US"/>
        </w:rPr>
        <w:t>:</w:t>
      </w:r>
    </w:p>
    <w:p w14:paraId="01712B81" w14:textId="77777777" w:rsidR="009C291E" w:rsidRPr="004A08ED" w:rsidRDefault="00872B0E" w:rsidP="004A08ED">
      <w:pPr>
        <w:spacing w:after="720"/>
        <w:ind w:right="-159"/>
        <w:jc w:val="both"/>
        <w:rPr>
          <w:rFonts w:eastAsia="Calibri"/>
          <w:color w:val="0000FF"/>
          <w:sz w:val="20"/>
          <w:szCs w:val="20"/>
          <w:lang w:eastAsia="en-US"/>
        </w:rPr>
      </w:pPr>
      <w:hyperlink r:id="rId37" w:history="1">
        <w:r w:rsidR="009C291E" w:rsidRPr="004A08ED">
          <w:rPr>
            <w:rFonts w:eastAsia="Calibri"/>
            <w:color w:val="0000FF"/>
            <w:sz w:val="20"/>
            <w:szCs w:val="20"/>
            <w:u w:val="single"/>
            <w:lang w:eastAsia="en-US"/>
          </w:rPr>
          <w:t>http://www.coparmex.org.mx/index.php?option=com_content&amp;view=article&amp;id=1031:reforma-energetica-abre-oportunidades-para-pymes-castanon&amp;catid=24:principales&amp;Itemid=422</w:t>
        </w:r>
      </w:hyperlink>
    </w:p>
    <w:p w14:paraId="7DC38E7D" w14:textId="77777777" w:rsidR="00F443FB" w:rsidRPr="00F443FB" w:rsidRDefault="00F443FB" w:rsidP="00F443FB">
      <w:pPr>
        <w:spacing w:after="360" w:line="360" w:lineRule="auto"/>
        <w:ind w:right="-159"/>
        <w:jc w:val="both"/>
        <w:rPr>
          <w:rFonts w:eastAsia="Calibri"/>
          <w:b/>
          <w:sz w:val="26"/>
          <w:szCs w:val="26"/>
          <w:lang w:eastAsia="en-US"/>
        </w:rPr>
      </w:pPr>
      <w:r w:rsidRPr="00F443FB">
        <w:rPr>
          <w:rFonts w:eastAsia="Calibri"/>
          <w:b/>
          <w:sz w:val="26"/>
          <w:szCs w:val="26"/>
          <w:lang w:eastAsia="en-US"/>
        </w:rPr>
        <w:t>Es posible reestructurar los subsidios energéticos (CIDAC)</w:t>
      </w:r>
    </w:p>
    <w:p w14:paraId="523E4A45" w14:textId="28F64C2C"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5 de marzo de 2014, el Centro de Investigación para el Desarrollo. A.C. (CIDAC) publicó el documento “Es posible reestructurar los subsidios energéticos”. A continuación se </w:t>
      </w:r>
      <w:r w:rsidR="00E0384A">
        <w:rPr>
          <w:rFonts w:eastAsia="Calibri"/>
          <w:sz w:val="26"/>
          <w:szCs w:val="26"/>
          <w:lang w:val="es-ES" w:eastAsia="en-US"/>
        </w:rPr>
        <w:t>presenta</w:t>
      </w:r>
      <w:r w:rsidRPr="00F443FB">
        <w:rPr>
          <w:rFonts w:eastAsia="Calibri"/>
          <w:i/>
          <w:sz w:val="26"/>
          <w:szCs w:val="26"/>
          <w:lang w:val="es-ES" w:eastAsia="en-US"/>
        </w:rPr>
        <w:t xml:space="preserve"> </w:t>
      </w:r>
      <w:r w:rsidRPr="00F443FB">
        <w:rPr>
          <w:rFonts w:eastAsia="Calibri"/>
          <w:sz w:val="26"/>
          <w:szCs w:val="26"/>
          <w:lang w:val="es-ES" w:eastAsia="en-US"/>
        </w:rPr>
        <w:t>el contenido, excepto el capítulo V.</w:t>
      </w:r>
    </w:p>
    <w:p w14:paraId="0D8F26F7" w14:textId="77777777" w:rsidR="004A08ED" w:rsidRPr="00F443FB" w:rsidRDefault="004A08ED" w:rsidP="00F443FB">
      <w:pPr>
        <w:spacing w:after="360" w:line="360" w:lineRule="auto"/>
        <w:ind w:right="-159"/>
        <w:jc w:val="both"/>
        <w:rPr>
          <w:rFonts w:eastAsia="Calibri"/>
          <w:sz w:val="26"/>
          <w:szCs w:val="26"/>
          <w:lang w:val="es-ES" w:eastAsia="en-US"/>
        </w:rPr>
      </w:pPr>
    </w:p>
    <w:p w14:paraId="3AB41275" w14:textId="77777777" w:rsidR="00F443FB" w:rsidRPr="00F443FB" w:rsidRDefault="00F443FB" w:rsidP="00F443FB">
      <w:pPr>
        <w:spacing w:after="360" w:line="360" w:lineRule="auto"/>
        <w:ind w:right="-159"/>
        <w:jc w:val="both"/>
        <w:rPr>
          <w:rFonts w:eastAsia="Calibri"/>
          <w:b/>
          <w:sz w:val="26"/>
          <w:szCs w:val="26"/>
          <w:lang w:val="es-ES" w:eastAsia="en-US"/>
        </w:rPr>
      </w:pPr>
      <w:r w:rsidRPr="00F443FB">
        <w:rPr>
          <w:rFonts w:eastAsia="Calibri"/>
          <w:b/>
          <w:sz w:val="26"/>
          <w:szCs w:val="26"/>
          <w:lang w:val="es-ES" w:eastAsia="en-US"/>
        </w:rPr>
        <w:lastRenderedPageBreak/>
        <w:t>I. Mensajes clave</w:t>
      </w:r>
    </w:p>
    <w:p w14:paraId="2934E0BB"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1) El gasto en subsidios a los energéticos a nivel mundial es altamente regresivo, esto es, beneficia más a la población de mayor ingreso.</w:t>
      </w:r>
    </w:p>
    <w:p w14:paraId="6C9E31AF"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todo el mundo esta política generalmente beneficia a la población de los deciles de ingreso más alto, es decir, a los individuos más ricos. De hecho, la proporción del gasto total en subsidios que recibe el quintil más pobre de la población a nivel mundial se encuentra entre el 5 y el 15%, dependiendo del energético en cuestión, en donde los subsidios más regresivos a nivel mundial han resultado ser los de gas LP, gasolinas y diésel. A pesar de esto, existen contadas excepciones en las que el subsidio ha llegado a ser progresivo, como en el caso de los subsidios al queroseno en Ghana.</w:t>
      </w:r>
    </w:p>
    <w:p w14:paraId="0BE4F8EB" w14:textId="77777777" w:rsidR="00F443FB" w:rsidRPr="00F443FB" w:rsidRDefault="00F443FB" w:rsidP="00F443FB">
      <w:pPr>
        <w:spacing w:after="360"/>
        <w:ind w:left="426" w:right="-159" w:hanging="426"/>
        <w:jc w:val="both"/>
        <w:rPr>
          <w:rFonts w:eastAsia="Calibri"/>
          <w:b/>
          <w:sz w:val="26"/>
          <w:szCs w:val="26"/>
          <w:lang w:val="es-ES" w:eastAsia="en-US"/>
        </w:rPr>
      </w:pPr>
      <w:r w:rsidRPr="00F443FB">
        <w:rPr>
          <w:rFonts w:eastAsia="Calibri"/>
          <w:b/>
          <w:sz w:val="26"/>
          <w:szCs w:val="26"/>
          <w:lang w:val="es-ES" w:eastAsia="en-US"/>
        </w:rPr>
        <w:t>2) Existen otros instrumentos de apoyo más eficientes hacia sectores más desfavorecidos. Por ejemplo, se puede reubicar los recursos utilizados en subsidios a energéticos hacia rubros con grandes necesidades como salud y educación, o alternativamente se puede realizar transferencias monetarias focalizadas a sectores vulnerables de la población.</w:t>
      </w:r>
    </w:p>
    <w:p w14:paraId="6A2E0A0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De acuerdo con la evidencia internacional de 26 países y sus diferentes programas de transferencias monetarias focalizadas a la población de menor ingreso, se ha demostrado que en el 100% de los casos se logró progresividad en el gasto, otorgando como mínimo el 30 y hasta el 80% de los beneficios al quintil de la población de menor ingreso. Sin embargo, las transferencias son solamente una opción. Estudios del Fondo Monetario Internacional (FMI) indican que reubicar el monto dedicado para subsidios a los energéticos sería suficiente para multiplicar el gasto en educación y en salud en diversos países. Resalta el caso de Ecuador, en donde se podría duplicar el gasto en dichos rubros, hasta países como Uzbekistán, en donde se podría más que quintuplicar.  Es cierto que el impacto positivo del gasto público dentro de los países en desarrollo se ve reducido por la baja transparencia en el ejercicio de los recursos y la corrupción. Pero también lo es que el gasto en políticas públicas educativas y de salud genera beneficios que se extienden a toda la sociedad y no solamente a los individuos que lo </w:t>
      </w:r>
      <w:r w:rsidRPr="00F443FB">
        <w:rPr>
          <w:rFonts w:eastAsia="Calibri"/>
          <w:sz w:val="26"/>
          <w:szCs w:val="26"/>
          <w:lang w:val="es-ES" w:eastAsia="en-US"/>
        </w:rPr>
        <w:lastRenderedPageBreak/>
        <w:t>reciben, por ejemplo al elevar la productividad de la fuerza laboral. Por otro lado, como se menciona a continuación, los subsidios a los energéticos son un motor de diversos efectos negativos.</w:t>
      </w:r>
    </w:p>
    <w:p w14:paraId="03440418"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3) Los costos sociales y ambientales de los subsidios a los energéticos son mayores a su —ya elevado— costo fiscal.</w:t>
      </w:r>
    </w:p>
    <w:p w14:paraId="635DB3C1"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Organización para la Cooperación y el Desarrollo Económicos (OCDE) estima que el costo de las externalidades negativas de los subsidios a los energéticos en Latinoamérica es inclusive superior a la suma del costo fiscal que estos representan, ya que dichos subsidios aumentan el tránsito vehicular, la contaminación y la incidencia de enfermedades respiratorias. Se estima que si se completara la remoción total de los subsidios a los energéticos a nivel mundial, para el año 2020 las emisiones de gases de efecto invernadero disminuirían 10% para el año 2050, con relación al escenario base o tendencial.</w:t>
      </w:r>
    </w:p>
    <w:p w14:paraId="1CC5E54F"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4) Normalmente los países que más gastan en subsidios a los energéticos son aquellos con mayor independencia energética, pero esto pone en riesgo su acervo energético de largo plazo.</w:t>
      </w:r>
    </w:p>
    <w:p w14:paraId="6EFACB48"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Países como Nigeria, Indonesia, Azerbaiyán, Egipto, Irán o Yemen tienen independencia energética, ya que, al contar con suficientes recursos para autoabastecer su consumo energético mediante fuentes nacionales, no tienen que recurrir al mercado internacional. Esta abundancia de recursos los ha incentivado a subsidiar los energéticos en el mercado doméstico sin considerar los efectos de largo plazo en el agotamiento de dichos recursos, lo cual disminuye los ingresos futuros por exportaciones. Adicionalmente, el bajo ingreso promedio de la población en algunos de estos países ha motivado  al gobierno  a  reducir  el  nivel  de  precios  en  los  energéticos, mediante una política de subsidios. Esto, realizado como una medida que eleva artificialmente el ingreso real de la población, con el fin de beneficiar mayormente a los individuos de menor ingreso.</w:t>
      </w:r>
    </w:p>
    <w:p w14:paraId="26558337"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lastRenderedPageBreak/>
        <w:t>5) A pesar de que subsidiar los energéticos es una política costosa y con resultados pobres, en diversos países no se ha podido realizar una reforma exitosa para eliminarlos.</w:t>
      </w:r>
    </w:p>
    <w:p w14:paraId="3997AAC6"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Los resultados contraproducentes de los subsidios a los energéticos a nivel mundial han incentivado a diversos países a eliminarlos. Sin embargo, en algunas ocasiones se ha fracasado en el intento por diversas causas como la información incompleta sobre la dimensión e incidencia de dichos subsidios, una fallida o nula campaña de comunicación, la falta de un enfoque gradual en la remoción de subsidios o la inexistencia de mecanismos para amortiguar episodios de alta inflación en los energéticos.</w:t>
      </w:r>
    </w:p>
    <w:p w14:paraId="0A7F46F3" w14:textId="77777777" w:rsidR="00F443FB" w:rsidRPr="00F443FB" w:rsidRDefault="00F443FB" w:rsidP="00F443FB">
      <w:pPr>
        <w:spacing w:after="360"/>
        <w:ind w:left="340" w:right="-159" w:hanging="340"/>
        <w:jc w:val="both"/>
        <w:rPr>
          <w:rFonts w:eastAsia="Calibri"/>
          <w:b/>
          <w:sz w:val="26"/>
          <w:szCs w:val="26"/>
          <w:lang w:val="es-ES" w:eastAsia="en-US"/>
        </w:rPr>
      </w:pPr>
      <w:r w:rsidRPr="00F443FB">
        <w:rPr>
          <w:rFonts w:eastAsia="Calibri"/>
          <w:b/>
          <w:sz w:val="26"/>
          <w:szCs w:val="26"/>
          <w:lang w:val="es-ES" w:eastAsia="en-US"/>
        </w:rPr>
        <w:t>6) La experiencia internacional indica que en la remoción de subsidios a la electricidad se deberá considerar la tasa de informalidad y evasión del pago en el servicio.</w:t>
      </w:r>
    </w:p>
    <w:p w14:paraId="4FD183A9"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Armenia, por ejemplo, se detectó que la tasa de subsidios efectiva era significativamente mayor si se consideraba la baja tasa de recolección del pago por el servicio de electricidad.  Por ello, se modificó el sistema de recolección de pago, al mismo tiempo que se eliminaron los subsidios a la tarifa. Con ello se liberaron recursos que permitieron introducir nuevos subsidios para las familias de menor ingreso que se condicionaban al pago oportuno de las tarifas y a la eficiencia energética. Fue así como se redujo el déficit del sector eléctrico en Armenia del 21 al 3% del Producto Interno Bruto (PIB) en un período de 6 años, llegando a una tasa de recolección de la tarifa del 100% al final del mismo.</w:t>
      </w:r>
    </w:p>
    <w:p w14:paraId="33B4CAC1" w14:textId="77777777" w:rsidR="00F443FB" w:rsidRPr="00F443FB" w:rsidRDefault="00F443FB" w:rsidP="00F443FB">
      <w:pPr>
        <w:spacing w:after="360"/>
        <w:ind w:left="426" w:right="-159" w:hanging="426"/>
        <w:jc w:val="both"/>
        <w:rPr>
          <w:rFonts w:eastAsia="Calibri"/>
          <w:b/>
          <w:sz w:val="26"/>
          <w:szCs w:val="26"/>
          <w:lang w:val="es-ES" w:eastAsia="en-US"/>
        </w:rPr>
      </w:pPr>
      <w:r w:rsidRPr="00F443FB">
        <w:rPr>
          <w:rFonts w:eastAsia="Calibri"/>
          <w:sz w:val="26"/>
          <w:szCs w:val="26"/>
          <w:lang w:val="es-ES" w:eastAsia="en-US"/>
        </w:rPr>
        <w:t>7</w:t>
      </w:r>
      <w:r w:rsidRPr="00F443FB">
        <w:rPr>
          <w:rFonts w:eastAsia="Calibri"/>
          <w:b/>
          <w:sz w:val="26"/>
          <w:szCs w:val="26"/>
          <w:lang w:val="es-ES" w:eastAsia="en-US"/>
        </w:rPr>
        <w:t>)  La  experiencia  internacional  indica  que  en  el  caso  de  crear  un órgano encargado de establecer las tarifas de la electricidad, se debe de establecer una legislación que garantice que dicho órgano seguirá criterios económicos y de recuperación de costos.</w:t>
      </w:r>
    </w:p>
    <w:p w14:paraId="39D31838"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el caso de Filipinas, se observó una captura sobre el órgano encargado de establecer tarifas en los precios de la electricidad por parte del poder ejecutivo, el cual las </w:t>
      </w:r>
      <w:r w:rsidRPr="00F443FB">
        <w:rPr>
          <w:rFonts w:eastAsia="Calibri"/>
          <w:sz w:val="26"/>
          <w:szCs w:val="26"/>
          <w:lang w:val="es-ES" w:eastAsia="en-US"/>
        </w:rPr>
        <w:lastRenderedPageBreak/>
        <w:t>establecía con base en la búsqueda de aprobación política, aun cuando dicho país contaba con un déficit del 5% del PIB y su deuda externa equivalía al 100% del mismo. La remoción de subsidios ocurrió hasta que la presidenta de Filipinas consiguió la reelección por un período de seis años.</w:t>
      </w:r>
    </w:p>
    <w:p w14:paraId="7254E878"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8) La experiencia internacional indica que la eliminación de subsidios de manera drástica, sin una política de compensación y una campaña de comunicación sobre los beneficios esperados de la medida, tiene una alta probabilidad de fracasar.</w:t>
      </w:r>
    </w:p>
    <w:p w14:paraId="3E67326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el año de 1991, el gobierno de Ghana comenzó el primer intento por remover dichos subsidios, aumentando los precios drásticamente en un 91%. Esto generó tal oposición en la población, que la medida tuvo que revertirse casi inmediatamente, repitiéndose una experiencia similar en el 2003. Sin embargo, en el 2004, el gobierno aprendió de las experiencias fallidas y comisionó la realización de un estudio académico que analizó los principales efectos de la remoción de subsidios, así como un plan de mitigación adecuado para los afectados por dicha medida. Posteriormente, se transmitieron los resultados de dicho estudio en una extensiva campaña de comunicación, por lo que el esfuerzo de aumentar los precios en un 50% en 2004 encontró menor oposición, y la medida no fue revertida.</w:t>
      </w:r>
    </w:p>
    <w:p w14:paraId="1805D8DD" w14:textId="6D001166"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 xml:space="preserve">9) De acuerdo </w:t>
      </w:r>
      <w:r w:rsidR="00A51FDD">
        <w:rPr>
          <w:rFonts w:eastAsia="Calibri"/>
          <w:b/>
          <w:sz w:val="26"/>
          <w:szCs w:val="26"/>
          <w:lang w:val="es-ES" w:eastAsia="en-US"/>
        </w:rPr>
        <w:t>con</w:t>
      </w:r>
      <w:r w:rsidRPr="00F443FB">
        <w:rPr>
          <w:rFonts w:eastAsia="Calibri"/>
          <w:b/>
          <w:sz w:val="26"/>
          <w:szCs w:val="26"/>
          <w:lang w:val="es-ES" w:eastAsia="en-US"/>
        </w:rPr>
        <w:t xml:space="preserve"> la experiencia internacional, si se administran de manera eficiente los recursos liberados, es posible diseñar un plan de reubicación del gasto que compense en el corto plazo a los actores afectados por la medida.</w:t>
      </w:r>
    </w:p>
    <w:p w14:paraId="335D4D49"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el caso de Irán, los montos establecidos para la política de compensación a la población se definieron de la siguiente manera: el 50% de los recursos liberados se destinaron a transferencias monetarias para toda la población; un 30% se destinó para las compañías del sector privado, especialmente a los sectores con mayor intensidad energética; finalmente, el 20% restante se destinó para el gasto gubernamental. La reforma en los subsidios en Irán fue viable debido a la amplia preparación previa, en donde se buscó mejorar el estado de todos los grupos involucrados en la reforma: </w:t>
      </w:r>
      <w:r w:rsidRPr="00F443FB">
        <w:rPr>
          <w:rFonts w:eastAsia="Calibri"/>
          <w:sz w:val="26"/>
          <w:szCs w:val="26"/>
          <w:lang w:val="es-ES" w:eastAsia="en-US"/>
        </w:rPr>
        <w:lastRenderedPageBreak/>
        <w:t>consumidores, productores, sector gubernamental y sector bancario. Además, dichos beneficios esperados se transmitieron efectivamente mediante un programa de comunicación masiva en el período previo a la reforma.</w:t>
      </w:r>
    </w:p>
    <w:p w14:paraId="1D6AA970" w14:textId="750D537B" w:rsidR="00F443FB" w:rsidRPr="00F443FB" w:rsidRDefault="00F443FB" w:rsidP="00F443FB">
      <w:pPr>
        <w:spacing w:after="360"/>
        <w:ind w:left="426" w:right="-159" w:hanging="426"/>
        <w:jc w:val="both"/>
        <w:rPr>
          <w:rFonts w:eastAsia="Calibri"/>
          <w:b/>
          <w:sz w:val="26"/>
          <w:szCs w:val="26"/>
          <w:lang w:val="es-ES" w:eastAsia="en-US"/>
        </w:rPr>
      </w:pPr>
      <w:r w:rsidRPr="00F443FB">
        <w:rPr>
          <w:rFonts w:eastAsia="Calibri"/>
          <w:b/>
          <w:sz w:val="26"/>
          <w:szCs w:val="26"/>
          <w:lang w:val="es-ES" w:eastAsia="en-US"/>
        </w:rPr>
        <w:t xml:space="preserve">10) De acuerdo </w:t>
      </w:r>
      <w:r w:rsidR="00A51FDD">
        <w:rPr>
          <w:rFonts w:eastAsia="Calibri"/>
          <w:b/>
          <w:sz w:val="26"/>
          <w:szCs w:val="26"/>
          <w:lang w:val="es-ES" w:eastAsia="en-US"/>
        </w:rPr>
        <w:t>con</w:t>
      </w:r>
      <w:r w:rsidRPr="00F443FB">
        <w:rPr>
          <w:rFonts w:eastAsia="Calibri"/>
          <w:b/>
          <w:sz w:val="26"/>
          <w:szCs w:val="26"/>
          <w:lang w:val="es-ES" w:eastAsia="en-US"/>
        </w:rPr>
        <w:t xml:space="preserve"> la experiencia internacional, un plan para la remoción de subsidios que contemple una escalada de precios gradual en un horizonte de mediano plazo, aumenta la viabilidad de esta medida. Y, por el contrario, un aumento drástico en el precio de los energéticos realizado por un gobierno con baja credibilidad, tiene una alta probabilidad de fracasar.</w:t>
      </w:r>
    </w:p>
    <w:p w14:paraId="1FF2DED8"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este contexto, en Brasil se estableció un plan que eliminaría los subsidios a los derivados del petróleo de manera gradual, comenzando por aquellos que  eran  utilizados  por  un  menor  número  de  consumidores,  como  el asfalto; e incorporando progresivamente a los energéticos más utilizados por la población, como las gasolinas, diésel, y gas LP. De igual manera, la remoción de subsidios comenzó en las regiones menos vulnerables de Brasil, dejando a regiones caracterizadas por altos índices de pobreza como la del Amazonas, para la última etapa del proceso. Por otra parte, la remoción de subsidios en Nigeria se dio en un mal momento de aprobación política y reducida credibilidad del gobierno en turno. A pesar de haberse establecido una campaña de publicidad sobre los beneficios de esta medida y haberse establecido la promesa de implementar una serie de programas de mitigación, el anuncio de la remoción de subsidios mediante un aumento drástico de 117% en el nivel de precios, generó violencia y un contexto de alta inestabilidad, en el que los dos sindicatos más importantes entraron en huelga nacional, por lo que pocos días después se redujo el aumento en precios, de manera tal que el subsidio persistió.</w:t>
      </w:r>
    </w:p>
    <w:p w14:paraId="4F422D19" w14:textId="77777777" w:rsidR="00304A53" w:rsidRDefault="00304A53" w:rsidP="00F443FB">
      <w:pPr>
        <w:spacing w:after="360" w:line="360" w:lineRule="auto"/>
        <w:ind w:right="-159"/>
        <w:jc w:val="both"/>
        <w:rPr>
          <w:rFonts w:eastAsia="Calibri"/>
          <w:sz w:val="26"/>
          <w:szCs w:val="26"/>
          <w:lang w:val="es-ES" w:eastAsia="en-US"/>
        </w:rPr>
      </w:pPr>
    </w:p>
    <w:p w14:paraId="38C8FC56" w14:textId="77777777" w:rsidR="00304A53" w:rsidRDefault="00304A53" w:rsidP="00F443FB">
      <w:pPr>
        <w:spacing w:after="360" w:line="360" w:lineRule="auto"/>
        <w:ind w:right="-159"/>
        <w:jc w:val="both"/>
        <w:rPr>
          <w:rFonts w:eastAsia="Calibri"/>
          <w:sz w:val="26"/>
          <w:szCs w:val="26"/>
          <w:lang w:val="es-ES" w:eastAsia="en-US"/>
        </w:rPr>
      </w:pPr>
    </w:p>
    <w:p w14:paraId="11854A6F" w14:textId="77777777" w:rsidR="00304A53" w:rsidRDefault="00304A53" w:rsidP="00F443FB">
      <w:pPr>
        <w:spacing w:after="360" w:line="360" w:lineRule="auto"/>
        <w:ind w:right="-159"/>
        <w:jc w:val="both"/>
        <w:rPr>
          <w:rFonts w:eastAsia="Calibri"/>
          <w:sz w:val="26"/>
          <w:szCs w:val="26"/>
          <w:lang w:val="es-ES" w:eastAsia="en-US"/>
        </w:rPr>
      </w:pPr>
    </w:p>
    <w:p w14:paraId="435BBDF0" w14:textId="1B03C0E4" w:rsidR="00F443FB" w:rsidRPr="00F443FB" w:rsidRDefault="00F443FB" w:rsidP="00F443FB">
      <w:pPr>
        <w:spacing w:after="360" w:line="360" w:lineRule="auto"/>
        <w:ind w:right="-159"/>
        <w:jc w:val="both"/>
        <w:rPr>
          <w:rFonts w:eastAsia="Calibri"/>
          <w:b/>
          <w:sz w:val="26"/>
          <w:szCs w:val="26"/>
          <w:lang w:val="es-ES" w:eastAsia="en-US"/>
        </w:rPr>
      </w:pPr>
      <w:r w:rsidRPr="00F443FB">
        <w:rPr>
          <w:rFonts w:eastAsia="Calibri"/>
          <w:b/>
          <w:sz w:val="26"/>
          <w:szCs w:val="26"/>
          <w:lang w:val="es-ES" w:eastAsia="en-US"/>
        </w:rPr>
        <w:lastRenderedPageBreak/>
        <w:t xml:space="preserve">II. Resumen </w:t>
      </w:r>
      <w:r w:rsidR="008A228F">
        <w:rPr>
          <w:rFonts w:eastAsia="Calibri"/>
          <w:b/>
          <w:sz w:val="26"/>
          <w:szCs w:val="26"/>
          <w:lang w:val="es-ES" w:eastAsia="en-US"/>
        </w:rPr>
        <w:t>E</w:t>
      </w:r>
      <w:r w:rsidRPr="00F443FB">
        <w:rPr>
          <w:rFonts w:eastAsia="Calibri"/>
          <w:b/>
          <w:sz w:val="26"/>
          <w:szCs w:val="26"/>
          <w:lang w:val="es-ES" w:eastAsia="en-US"/>
        </w:rPr>
        <w:t>jecutivo</w:t>
      </w:r>
    </w:p>
    <w:p w14:paraId="3192863E" w14:textId="2DAD6684"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evidencia internacional indica que los subsidios a los energéticos son una política regresiva que no estimula el crecimiento de la economía</w:t>
      </w:r>
      <w:r w:rsidRPr="00F443FB">
        <w:rPr>
          <w:rFonts w:eastAsia="Calibri"/>
          <w:sz w:val="26"/>
          <w:szCs w:val="26"/>
          <w:vertAlign w:val="superscript"/>
          <w:lang w:val="es-ES" w:eastAsia="en-US"/>
        </w:rPr>
        <w:footnoteReference w:id="4"/>
      </w:r>
      <w:r w:rsidRPr="00F443FB">
        <w:rPr>
          <w:rFonts w:eastAsia="Calibri"/>
          <w:sz w:val="26"/>
          <w:szCs w:val="26"/>
          <w:lang w:val="es-ES" w:eastAsia="en-US"/>
        </w:rPr>
        <w:t xml:space="preserve"> y, al elevar el consumo de combustibles fósiles</w:t>
      </w:r>
      <w:r w:rsidRPr="00F443FB">
        <w:rPr>
          <w:rFonts w:eastAsia="Calibri"/>
          <w:sz w:val="26"/>
          <w:szCs w:val="26"/>
          <w:vertAlign w:val="superscript"/>
          <w:lang w:val="es-ES" w:eastAsia="en-US"/>
        </w:rPr>
        <w:footnoteReference w:id="5"/>
      </w:r>
      <w:r w:rsidRPr="00F443FB">
        <w:rPr>
          <w:rFonts w:eastAsia="Calibri"/>
          <w:sz w:val="26"/>
          <w:szCs w:val="26"/>
          <w:lang w:val="es-ES" w:eastAsia="en-US"/>
        </w:rPr>
        <w:t>, también incrementa las emisiones de gases de efecto invernadero (GEI)</w:t>
      </w:r>
      <w:r w:rsidRPr="00F443FB">
        <w:rPr>
          <w:rFonts w:eastAsia="Calibri"/>
          <w:sz w:val="26"/>
          <w:szCs w:val="26"/>
          <w:vertAlign w:val="superscript"/>
          <w:lang w:val="es-ES" w:eastAsia="en-US"/>
        </w:rPr>
        <w:footnoteReference w:id="6"/>
      </w:r>
      <w:r w:rsidR="008A228F">
        <w:rPr>
          <w:rFonts w:eastAsia="Calibri"/>
          <w:sz w:val="26"/>
          <w:szCs w:val="26"/>
          <w:lang w:val="es-ES" w:eastAsia="en-US"/>
        </w:rPr>
        <w:t>,</w:t>
      </w:r>
      <w:r w:rsidRPr="00F443FB">
        <w:rPr>
          <w:rFonts w:eastAsia="Calibri"/>
          <w:sz w:val="26"/>
          <w:szCs w:val="26"/>
          <w:lang w:val="es-ES" w:eastAsia="en-US"/>
        </w:rPr>
        <w:t xml:space="preserve"> la contaminación, el tránsito vehicular y la incidencia de enfermedades. Sin embargo, la remoción de subsidios no es una medida fácil de implementar, o bien en los casos que efectivamente se tiene la voluntad política de hacerlo, resulta ser fácilmente reversible. Los diversos casos de estudio sobre la remoción de dichos subsidios indican errores recurrentes como:</w:t>
      </w:r>
    </w:p>
    <w:p w14:paraId="5D34BB22" w14:textId="77777777" w:rsidR="00F443FB" w:rsidRPr="00F443FB" w:rsidRDefault="00F443FB" w:rsidP="00276F3E">
      <w:pPr>
        <w:numPr>
          <w:ilvl w:val="0"/>
          <w:numId w:val="121"/>
        </w:numPr>
        <w:spacing w:after="360" w:line="360" w:lineRule="auto"/>
        <w:ind w:left="714" w:right="-159" w:hanging="357"/>
        <w:jc w:val="both"/>
        <w:rPr>
          <w:rFonts w:eastAsia="Calibri"/>
          <w:sz w:val="26"/>
          <w:szCs w:val="26"/>
          <w:lang w:val="es-ES" w:eastAsia="en-US"/>
        </w:rPr>
      </w:pPr>
      <w:r w:rsidRPr="00F443FB">
        <w:rPr>
          <w:rFonts w:eastAsia="Calibri"/>
          <w:sz w:val="26"/>
          <w:szCs w:val="26"/>
          <w:lang w:val="es-ES" w:eastAsia="en-US"/>
        </w:rPr>
        <w:t>La poca planeación e investigación previa.</w:t>
      </w:r>
    </w:p>
    <w:p w14:paraId="4AFBF38C" w14:textId="53A11FB7" w:rsidR="00F443FB" w:rsidRPr="00F443FB" w:rsidRDefault="00F443FB" w:rsidP="00276F3E">
      <w:pPr>
        <w:numPr>
          <w:ilvl w:val="0"/>
          <w:numId w:val="121"/>
        </w:numPr>
        <w:spacing w:after="360" w:line="360" w:lineRule="auto"/>
        <w:ind w:left="714" w:right="-159" w:hanging="357"/>
        <w:jc w:val="both"/>
        <w:rPr>
          <w:rFonts w:eastAsia="Calibri"/>
          <w:sz w:val="26"/>
          <w:szCs w:val="26"/>
          <w:lang w:val="es-ES" w:eastAsia="en-US"/>
        </w:rPr>
      </w:pPr>
      <w:r w:rsidRPr="00F443FB">
        <w:rPr>
          <w:rFonts w:eastAsia="Calibri"/>
          <w:sz w:val="26"/>
          <w:szCs w:val="26"/>
          <w:lang w:val="es-ES" w:eastAsia="en-US"/>
        </w:rPr>
        <w:t>El establecimiento de políticas de compensación incomprensible o no relacionadas con los actores afectados.</w:t>
      </w:r>
    </w:p>
    <w:p w14:paraId="3EBB26CA" w14:textId="77777777" w:rsidR="00F443FB" w:rsidRPr="00F443FB" w:rsidRDefault="00F443FB" w:rsidP="00276F3E">
      <w:pPr>
        <w:numPr>
          <w:ilvl w:val="0"/>
          <w:numId w:val="121"/>
        </w:numPr>
        <w:spacing w:after="360" w:line="360" w:lineRule="auto"/>
        <w:ind w:left="714" w:right="-159" w:hanging="357"/>
        <w:jc w:val="both"/>
        <w:rPr>
          <w:rFonts w:eastAsia="Calibri"/>
          <w:sz w:val="26"/>
          <w:szCs w:val="26"/>
          <w:lang w:val="es-ES" w:eastAsia="en-US"/>
        </w:rPr>
      </w:pPr>
      <w:r w:rsidRPr="00F443FB">
        <w:rPr>
          <w:rFonts w:eastAsia="Calibri"/>
          <w:sz w:val="26"/>
          <w:szCs w:val="26"/>
          <w:lang w:val="es-ES" w:eastAsia="en-US"/>
        </w:rPr>
        <w:t>La nula comunicación de la estrategia gubernamental.</w:t>
      </w:r>
    </w:p>
    <w:p w14:paraId="2CCBE08F" w14:textId="77777777" w:rsidR="00F443FB" w:rsidRPr="00F443FB" w:rsidRDefault="00F443FB" w:rsidP="00276F3E">
      <w:pPr>
        <w:numPr>
          <w:ilvl w:val="0"/>
          <w:numId w:val="121"/>
        </w:numPr>
        <w:spacing w:after="360" w:line="360" w:lineRule="auto"/>
        <w:ind w:left="714" w:right="-159" w:hanging="357"/>
        <w:jc w:val="both"/>
        <w:rPr>
          <w:rFonts w:eastAsia="Calibri"/>
          <w:sz w:val="26"/>
          <w:szCs w:val="26"/>
          <w:lang w:val="es-ES" w:eastAsia="en-US"/>
        </w:rPr>
      </w:pPr>
      <w:r w:rsidRPr="00F443FB">
        <w:rPr>
          <w:rFonts w:eastAsia="Calibri"/>
          <w:sz w:val="26"/>
          <w:szCs w:val="26"/>
          <w:lang w:val="es-ES" w:eastAsia="en-US"/>
        </w:rPr>
        <w:t>La implementación de la medida en un mal momento de aprobación gubernamental.</w:t>
      </w:r>
    </w:p>
    <w:p w14:paraId="2472AB3D" w14:textId="37D26F33" w:rsidR="00F443FB" w:rsidRPr="00F443FB" w:rsidRDefault="00F443FB" w:rsidP="00276F3E">
      <w:pPr>
        <w:numPr>
          <w:ilvl w:val="0"/>
          <w:numId w:val="121"/>
        </w:numPr>
        <w:spacing w:after="360" w:line="360" w:lineRule="auto"/>
        <w:ind w:left="714" w:right="-159" w:hanging="357"/>
        <w:jc w:val="both"/>
        <w:rPr>
          <w:rFonts w:eastAsia="Calibri"/>
          <w:sz w:val="26"/>
          <w:szCs w:val="26"/>
          <w:lang w:val="es-ES" w:eastAsia="en-US"/>
        </w:rPr>
      </w:pPr>
      <w:r w:rsidRPr="00F443FB">
        <w:rPr>
          <w:rFonts w:eastAsia="Calibri"/>
          <w:sz w:val="26"/>
          <w:szCs w:val="26"/>
          <w:lang w:val="es-ES" w:eastAsia="en-US"/>
        </w:rPr>
        <w:t>Omitir la consideración de futuras coberturas ante incrementos drásticos en los precios internacionales.</w:t>
      </w:r>
    </w:p>
    <w:p w14:paraId="5E1FFC1B"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lastRenderedPageBreak/>
        <w:t>El proceso de planeación es una condición necesaria para una remoción de subsidios exitosa. En dicho proceso se deberá desagregar el impacto de la medida para todos los actores involucrados: consumidores, productores y sector gubernamental. Por medio de este análisis se puede calcular el monto de recursos liberados, y con ello diseñar una política de compensación adecuada al contexto nacional.  Ghana realizó dos intentos fallidos por remover los subsidios en 2001 y 2003, y fue en el esfuerzo de 2004, después de un amplio proceso de investigación y planeación, cuando finalmente adoptó una medida exitosa. El incremento gradual de precios aumenta las probabilidades de aplicar la medida; en 17 de las 23 reformas a los subsidios que se observan a nivel mundial, se realizó una reducción de subsidios por etapas. Por ejemplo, en Brasil se estableció un plan de 10 años, en el período comprendido entre 1991 y el año 2001. La política de compensación es un elemento clave para aumentar la aprobación social, pudiendo utilizar una amplia gama de opciones como las transferencias monetarias, o bien programas condicionados a la eficiencia energética para consumidores y productores. Sin embargo, la sustentabilidad de esta medida está en función de las coberturas domésticas que se hayan establecido ante aumentos en los precios internacionales, de lo contrario, las presiones inflacionarias pueden revertir la remoción de los subsidios, tal y como ocurrió en Brasil, en donde se retornó al régimen de subsidios después de haber tardado 10 años en su remoción.</w:t>
      </w:r>
    </w:p>
    <w:p w14:paraId="0C177373"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Un plan de remoción de subsidios debe ser comprensible para toda la población y debe ser informado mediante una comunicación masiva y efectiva en un período previo a la reforma. Por ejemplo, en Irán se plantearon objetivos concretos, medidas de compensación y un horizonte de tiempo definido, comunicando claramente el objetivo de la medida a la población. Al final, cada experiencia internacional cuenta una rica historia sobre los errores cometidos. Las prácticas exitosas representan lecciones importantes para el camino a la reestructuración de subsidios a los energéticos en México. A lo largo de este documento se realizará una descripción a profundidad de las mismas.</w:t>
      </w:r>
    </w:p>
    <w:p w14:paraId="7AB4BBDF" w14:textId="77777777" w:rsidR="00F443FB" w:rsidRPr="00F443FB" w:rsidRDefault="00F443FB" w:rsidP="00F443FB">
      <w:pPr>
        <w:spacing w:after="360" w:line="360" w:lineRule="auto"/>
        <w:ind w:right="-159"/>
        <w:jc w:val="both"/>
        <w:rPr>
          <w:rFonts w:eastAsia="Calibri"/>
          <w:b/>
          <w:sz w:val="26"/>
          <w:szCs w:val="26"/>
          <w:lang w:val="es-ES" w:eastAsia="en-US"/>
        </w:rPr>
      </w:pPr>
      <w:r w:rsidRPr="00F443FB">
        <w:rPr>
          <w:rFonts w:eastAsia="Calibri"/>
          <w:b/>
          <w:sz w:val="26"/>
          <w:szCs w:val="26"/>
          <w:lang w:val="es-ES" w:eastAsia="en-US"/>
        </w:rPr>
        <w:lastRenderedPageBreak/>
        <w:t>III. Introducción</w:t>
      </w:r>
    </w:p>
    <w:p w14:paraId="02984397" w14:textId="61E17C81"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Reforma Energética Mexicana, promulgada el 15 de agosto de 2014, marcó el fin de una era de 76 años de monopolio estatal sobre la explotación de los recursos energéticos del país. La reforma, que incluyó la modificación de 21 leyes secundarias  y una reforma constitucional,  logró convertir a Petróleos Mexicanos (P</w:t>
      </w:r>
      <w:r w:rsidR="00AF4ED7">
        <w:rPr>
          <w:rFonts w:eastAsia="Calibri"/>
          <w:sz w:val="26"/>
          <w:szCs w:val="26"/>
          <w:lang w:val="es-ES" w:eastAsia="en-US"/>
        </w:rPr>
        <w:t>emex</w:t>
      </w:r>
      <w:r w:rsidRPr="00F443FB">
        <w:rPr>
          <w:rFonts w:eastAsia="Calibri"/>
          <w:sz w:val="26"/>
          <w:szCs w:val="26"/>
          <w:lang w:val="es-ES" w:eastAsia="en-US"/>
        </w:rPr>
        <w:t>) y a la Comisión Federal de Electricidad (CFE) en empresas productivas estatales a fin de otorgarles mayor autonomía de gestión y reforzar la rectoría del Estado como propietario y gestor de los recursos energéticos de México, dando así la posibilidad de que la inversión privada participe en las actividades económicas del sector y dando mayor valor en condiciones  de competencia  y capacidad  tecnológica.  En esta nueva etapa los cambios más significativos incluyeron:</w:t>
      </w:r>
    </w:p>
    <w:p w14:paraId="2665A8C9"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La introducción de nuevos modelos de contratos de licencias, producción y utilidad compartida y servicios;</w:t>
      </w:r>
    </w:p>
    <w:p w14:paraId="2508F1F4"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La puesta en marcha de la figura de “servidumbre legal”, que garantiza el  derecho  de  tránsito  de  personas,  transporte  y  almacenamiento de materiales y bienes de infraestructura para la ejecución de obras y trabajos correspondientes a las actividades amparadas por los contratos;</w:t>
      </w:r>
    </w:p>
    <w:p w14:paraId="6336DA55"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Nuevos términos fiscales, de transparencia y de rendición de cuentas en procesos de licitaciones y contratos; </w:t>
      </w:r>
    </w:p>
    <w:p w14:paraId="4A62CDAA"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Fin al monopolio de la distribución de gasolina;</w:t>
      </w:r>
    </w:p>
    <w:p w14:paraId="4B78C3FB"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Porcentajes mínimos de contenido nacional en proyectos de exploración y extracción de hidrocarburos;</w:t>
      </w:r>
    </w:p>
    <w:p w14:paraId="73034A20" w14:textId="141052E5"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lastRenderedPageBreak/>
        <w:t>Cambio en el régimen de tributación de P</w:t>
      </w:r>
      <w:r w:rsidR="00AF4ED7">
        <w:rPr>
          <w:rFonts w:eastAsia="Calibri"/>
          <w:sz w:val="26"/>
          <w:szCs w:val="26"/>
          <w:lang w:val="es-ES" w:eastAsia="en-US"/>
        </w:rPr>
        <w:t>emex</w:t>
      </w:r>
      <w:r w:rsidRPr="00F443FB">
        <w:rPr>
          <w:rFonts w:eastAsia="Calibri"/>
          <w:sz w:val="26"/>
          <w:szCs w:val="26"/>
          <w:lang w:val="es-ES" w:eastAsia="en-US"/>
        </w:rPr>
        <w:t xml:space="preserve"> asignándole un tratamiento fiscal más parecido al del resto de las empresas comparables que operan en mundo;</w:t>
      </w:r>
    </w:p>
    <w:p w14:paraId="603F9493"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Fortalecimiento de los órganos reguladores en temas de hidrocarburos, sistema eléctrico, seguridad industrial y medio ambiente; y</w:t>
      </w:r>
    </w:p>
    <w:p w14:paraId="0233BB6D" w14:textId="77777777" w:rsidR="00F443FB" w:rsidRPr="00F443FB" w:rsidRDefault="00F443FB" w:rsidP="00276F3E">
      <w:pPr>
        <w:numPr>
          <w:ilvl w:val="0"/>
          <w:numId w:val="122"/>
        </w:numPr>
        <w:spacing w:after="360" w:line="360" w:lineRule="auto"/>
        <w:ind w:right="-159"/>
        <w:jc w:val="both"/>
        <w:rPr>
          <w:rFonts w:eastAsia="Calibri"/>
          <w:sz w:val="26"/>
          <w:szCs w:val="26"/>
          <w:lang w:val="es-ES" w:eastAsia="en-US"/>
        </w:rPr>
      </w:pPr>
      <w:r w:rsidRPr="00F443FB">
        <w:rPr>
          <w:rFonts w:eastAsia="Calibri"/>
          <w:sz w:val="26"/>
          <w:szCs w:val="26"/>
          <w:lang w:val="es-ES" w:eastAsia="en-US"/>
        </w:rPr>
        <w:t>Creación del Fondo Mexicano del Petróleo, fideicomiso que administrará los ingresos recibidos a partir de los contratos.</w:t>
      </w:r>
    </w:p>
    <w:p w14:paraId="15A9E6EB"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No obstante que la reforma energética mexicana brindará un respiro al sector, dada la urgencia de participación privada para incrementar niveles de inversión y competitividad, su diseño e implementación no fueron completos. Algunos aspectos no fueron suficientes si se toma en cuenta las necesidades para el desarrollo económico del país, como es el replanteamiento de los subsidios energéticos ineficientes y regresivos (aquellos que benefician a la población de mayor ingreso). La reforma energética debió contener una propuesta clara a este respecto. Su ausencia imposibilita una plena modernización del sector. México ocupa el lugar número 11 a nivel mundial en subsidios al consumo de combustibles fósiles, según la Agencia Internacional de Energía, sólo después de países con altísimas reservas de hidrocarburos como Irán, Arabia Saudita, China, India, Venezuela, Rusia, Irak, Emiratos Árabes Unidos. Tan solo en 2012, México erogó más de 200 mil millones de pesos en subsidios energéticos, equivalentes a cuatro veces el gasto que se realiza en todos los programas sociales de combate a la pobreza.</w:t>
      </w:r>
    </w:p>
    <w:p w14:paraId="320C8031"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Dada la importancia de los energéticos en el balance económico de cualquier país en general, y de México en particular, resulta relevante analizar qué tanto afectan los subsidios a las finanzas públicas y a la economía. Se puede considerar el ejemplo de los subsidios a la electricidad, los cuales se otorgan a 98% de los usuarios, siendo los menores beneficiarios la población de menor ingreso, quienes apenas reciben el 1% del monto total erogado por el gobierno, privilegiando a los usuarios de mayores ingresos </w:t>
      </w:r>
      <w:r w:rsidRPr="00F443FB">
        <w:rPr>
          <w:rFonts w:eastAsia="Calibri"/>
          <w:sz w:val="26"/>
          <w:szCs w:val="26"/>
          <w:lang w:val="es-ES" w:eastAsia="en-US"/>
        </w:rPr>
        <w:lastRenderedPageBreak/>
        <w:t>que al contar con acceso a energía artificialmente más barata consumen irresponsablemente y, por ende, contribuyen al uso ineficiente de la energía, lo que resta competitividad a la economía en el largo plazo. Es sabido que el decil más alto de la población, los individuos más acaudalados, obtiene 33% de los subsidios que otorga el gobierno anualmente. Por otro lado, el subsidio a la electricidad por su carácter regresivo impide la migración hacia nuevas fuentes de generación —los usuarios prefieren seguir comprando electricidad que se genera a partir de fuentes fósiles dadas las tarifas subsidiadas disminuyendo así la competitividad de las energías renovables que podrían impulsar el desarrollo tecnológico del sector y un cúmulo de beneficios en términos de contaminación y salud para el medio ambiente y la población—.</w:t>
      </w:r>
    </w:p>
    <w:p w14:paraId="249EB8D6"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Paradójicamente, también la reforma energética debió considerar las ineficiencias que se presentan en el gasto público por la eliminación de subsidios y la tasación de nuevos impuestos sobre el uso de energéticos. Ejemplo de ello es la nula transparencia en el ejercicio de los recursos liberados derivados de la remoción del subsidio a las gasolinas. Si bien es cierto que dicha supresión disminuye tanto el gasto regresivo del gobierno como problemáticas como el tránsito vehicular o la contaminación, también es verdad que no existe claridad sobre el uso de los recursos monetarios liberados, lo que da pie a suspicacias legítimas de la ciudadanía respecto a la recaudación derivada de impuestos que aumentan el precio de los combustibles, como el llamado “gasolinazo”. Esto sugiere que los recursos opacos se trasladan discrecionalmente a programas que la población no conoce y que no necesariamente se enfocan en programas productivos o proyectos de mayor penetración social que verdaderamente resulten en menor desigualdad y pobreza, como es el caso de programas electoreros o clientelares en épocas de comicios.</w:t>
      </w:r>
    </w:p>
    <w:p w14:paraId="7825A5D5"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Los subsidios a los energéticos se erigen como un crisol de impactos negativos sobre el bienestar de la población. Dichos subsidios implican un alto costo para el presupuesto público, por ejemplo, en Latinoamérica dichos subsidios consumen el 2% de los </w:t>
      </w:r>
      <w:r w:rsidRPr="00F443FB">
        <w:rPr>
          <w:rFonts w:eastAsia="Calibri"/>
          <w:sz w:val="26"/>
          <w:szCs w:val="26"/>
          <w:lang w:val="es-ES" w:eastAsia="en-US"/>
        </w:rPr>
        <w:lastRenderedPageBreak/>
        <w:t>ingresos gubernamentales (FMI, 2013a). Son también perjudiciales para el ambiente, al generar incentivos para un consumo energético dispendioso y, con ello, incrementar las emisiones de gases de efecto invernadero (GEI). Se estima que si se removieran para el año 2020, las emisiones de GEI totales serían 10% menores en el año 2050, con respecto al escenario base (OCDE, 2010a). Además, dichos subsidios aumentan la diferencia de ingreso en la población, ya que benefician principalmente a los individuos más ricos. Se estima que solamente entre el 5 y el 15% del gasto en dichos subsidios beneficia a la población del primer quintil de ingreso (AIE, 2011).</w:t>
      </w:r>
    </w:p>
    <w:p w14:paraId="5757D024"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Por otro lado, la eliminación de los subsidios a los energéticos implica una disminución del ingreso real de la población, lo que conlleva un alto costo político para el gobierno que adopte esta medida, lo cual ha desincentivado su aplicación.  Sin embargo, dicho costo se puede revertir mediante una campaña de comunicación efectiva, un enfoque gradual y una adecuada política de compensación para la población más vulnerable, lo cual implicaría un aumento en el bienestar de la misma. Este enfoque, utilizado en países como Irán, Ghana o Armenia, ha demostrado que la remoción de dichos subsidios y la consecuente liberación de recursos para su utilización en otros programas del gasto público producen un mayor beneficio en la población de menor ingreso.</w:t>
      </w:r>
    </w:p>
    <w:p w14:paraId="5ED8E758" w14:textId="042F1BC5"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Dentro de la Sección IV de este documento se recopila la evidencia sobre los efectos negativos (sociales, económicos y ambientales)</w:t>
      </w:r>
      <w:r w:rsidR="00A51FDD">
        <w:rPr>
          <w:rFonts w:eastAsia="Calibri"/>
          <w:sz w:val="26"/>
          <w:szCs w:val="26"/>
          <w:lang w:val="es-ES" w:eastAsia="en-US"/>
        </w:rPr>
        <w:t>,</w:t>
      </w:r>
      <w:r w:rsidRPr="00F443FB">
        <w:rPr>
          <w:rFonts w:eastAsia="Calibri"/>
          <w:sz w:val="26"/>
          <w:szCs w:val="26"/>
          <w:lang w:val="es-ES" w:eastAsia="en-US"/>
        </w:rPr>
        <w:t xml:space="preserve"> ocasionados por los subsidios a los energéticos.  Posteriormente, en la sección V se narra la experiencia en la remoción de dichos subsidios para seis distintos países, exponiendo experiencias fallidas y exitosas, de las cuales se pueden extraer valiosas lecciones para el caso mexicano. La evidencia se presenta de manera independiente para los subsidios a la electricidad y los subsidios a los energéticos derivados del petróleo, ya que existen aspectos específicos para cada caso, como la importancia de generar un sistema de cobro efectivo en el caso de las tarifas de la electricidad y con ello reducir el subsidio promedio efectivo, o en el caso de los subsidios a los energéticos derivados del petróleo: la relevancia de adoptar un </w:t>
      </w:r>
      <w:r w:rsidRPr="00F443FB">
        <w:rPr>
          <w:rFonts w:eastAsia="Calibri"/>
          <w:sz w:val="26"/>
          <w:szCs w:val="26"/>
          <w:lang w:val="es-ES" w:eastAsia="en-US"/>
        </w:rPr>
        <w:lastRenderedPageBreak/>
        <w:t>plan gradual comenzando por aquellos energéticos  de menor uso por parte de la población,  y así contrarrestar la oposición que naturalmente se generará mediante este útil contrapeso. Finalmente, las lecciones clave para implementar una remoción de subsidios exitosa son sintetizadas y presentadas de manera didáctica dentro de la Sección VI de</w:t>
      </w:r>
      <w:r w:rsidR="00A51FDD">
        <w:rPr>
          <w:rFonts w:eastAsia="Calibri"/>
          <w:sz w:val="26"/>
          <w:szCs w:val="26"/>
          <w:lang w:val="es-ES" w:eastAsia="en-US"/>
        </w:rPr>
        <w:t>l</w:t>
      </w:r>
      <w:r w:rsidRPr="00F443FB">
        <w:rPr>
          <w:rFonts w:eastAsia="Calibri"/>
          <w:sz w:val="26"/>
          <w:szCs w:val="26"/>
          <w:lang w:val="es-ES" w:eastAsia="en-US"/>
        </w:rPr>
        <w:t xml:space="preserve"> documento</w:t>
      </w:r>
      <w:r w:rsidR="00A51FDD">
        <w:rPr>
          <w:rFonts w:eastAsia="Calibri"/>
          <w:sz w:val="26"/>
          <w:szCs w:val="26"/>
          <w:lang w:val="es-ES" w:eastAsia="en-US"/>
        </w:rPr>
        <w:t xml:space="preserve"> original</w:t>
      </w:r>
      <w:r w:rsidRPr="00F443FB">
        <w:rPr>
          <w:rFonts w:eastAsia="Calibri"/>
          <w:sz w:val="26"/>
          <w:szCs w:val="26"/>
          <w:lang w:val="es-ES" w:eastAsia="en-US"/>
        </w:rPr>
        <w:t>.</w:t>
      </w:r>
    </w:p>
    <w:p w14:paraId="422FF4E2" w14:textId="77777777" w:rsidR="00F443FB" w:rsidRPr="00F443FB" w:rsidRDefault="00F443FB" w:rsidP="00F443FB">
      <w:pPr>
        <w:spacing w:after="360" w:line="360" w:lineRule="auto"/>
        <w:ind w:right="-159"/>
        <w:jc w:val="both"/>
        <w:rPr>
          <w:rFonts w:eastAsia="Calibri"/>
          <w:b/>
          <w:sz w:val="26"/>
          <w:szCs w:val="26"/>
          <w:lang w:val="es-ES" w:eastAsia="en-US"/>
        </w:rPr>
      </w:pPr>
      <w:r w:rsidRPr="00F443FB">
        <w:rPr>
          <w:rFonts w:eastAsia="Calibri"/>
          <w:b/>
          <w:sz w:val="26"/>
          <w:szCs w:val="26"/>
          <w:lang w:val="es-ES" w:eastAsia="en-US"/>
        </w:rPr>
        <w:t>IV. Evidencia cuantitativa</w:t>
      </w:r>
    </w:p>
    <w:p w14:paraId="44D25ABE" w14:textId="74B4C96C"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evidencia internacional indica que los subsidios a los energéticos alrededor del mundo no benefician a la población de menor ingreso, y no necesariamente estimulan la economía interna al disminuir los costos de producción. Además, esto representa un bajo nivel de eficiencia en el gasto, sobre todo si se consideran los importantes costos fiscales que los subsidios implican para las finanzas públicas. Por otro lado, los subsidios energéticos han demostrado ser un motor de externalidades negativas</w:t>
      </w:r>
      <w:r w:rsidRPr="00F443FB">
        <w:rPr>
          <w:rFonts w:eastAsia="Calibri"/>
          <w:sz w:val="26"/>
          <w:szCs w:val="26"/>
          <w:vertAlign w:val="superscript"/>
          <w:lang w:val="es-ES" w:eastAsia="en-US"/>
        </w:rPr>
        <w:footnoteReference w:id="7"/>
      </w:r>
      <w:r w:rsidR="00A51FDD">
        <w:rPr>
          <w:rFonts w:eastAsia="Calibri"/>
          <w:sz w:val="26"/>
          <w:szCs w:val="26"/>
          <w:lang w:val="es-ES" w:eastAsia="en-US"/>
        </w:rPr>
        <w:t>,</w:t>
      </w:r>
      <w:r w:rsidRPr="00F443FB">
        <w:rPr>
          <w:rFonts w:eastAsia="Calibri"/>
          <w:sz w:val="26"/>
          <w:szCs w:val="26"/>
          <w:lang w:val="es-ES" w:eastAsia="en-US"/>
        </w:rPr>
        <w:t xml:space="preserve">  perjudicando al medio ambiente al aumentar las emisiones de GEI, afectando la salud humana al incrementar la contaminación y las alteraciones climatológicas como la lluvia ácida, y multiplicando problemas sociales como el tráfico vehicular. Esto sugiere que a nivel internacional, los costos de esta política han superado en buena medida a los beneficios reales que genera. En la presente sección se expone la evidencia cuantitativa al respecto, para posteriormente explicar de manera detallada la experiencia de cada país en cuanto a la remoción de subsidios a los energéticos.</w:t>
      </w:r>
    </w:p>
    <w:p w14:paraId="418539F9" w14:textId="77777777" w:rsidR="00304A53" w:rsidRDefault="00304A53" w:rsidP="00F443FB">
      <w:pPr>
        <w:spacing w:after="360" w:line="360" w:lineRule="auto"/>
        <w:ind w:right="-159"/>
        <w:jc w:val="both"/>
        <w:rPr>
          <w:rFonts w:eastAsia="Calibri"/>
          <w:sz w:val="26"/>
          <w:szCs w:val="26"/>
          <w:lang w:val="es-ES" w:eastAsia="en-US"/>
        </w:rPr>
      </w:pPr>
    </w:p>
    <w:p w14:paraId="2F0DE165" w14:textId="77777777" w:rsidR="00304A53" w:rsidRDefault="00304A53" w:rsidP="00F443FB">
      <w:pPr>
        <w:spacing w:after="360" w:line="360" w:lineRule="auto"/>
        <w:ind w:right="-159"/>
        <w:jc w:val="both"/>
        <w:rPr>
          <w:rFonts w:eastAsia="Calibri"/>
          <w:sz w:val="26"/>
          <w:szCs w:val="26"/>
          <w:lang w:val="es-ES" w:eastAsia="en-US"/>
        </w:rPr>
      </w:pPr>
    </w:p>
    <w:p w14:paraId="428CB4A9" w14:textId="77777777" w:rsidR="00304A53" w:rsidRPr="00F443FB" w:rsidRDefault="00304A53"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02CA89C0" w14:textId="77777777" w:rsidTr="00F443FB">
        <w:tc>
          <w:tcPr>
            <w:tcW w:w="9209" w:type="dxa"/>
          </w:tcPr>
          <w:p w14:paraId="53E49239" w14:textId="56A021B4" w:rsidR="00F443FB" w:rsidRPr="00F443FB" w:rsidRDefault="00F443FB" w:rsidP="00F443FB">
            <w:pPr>
              <w:spacing w:after="200" w:line="276" w:lineRule="auto"/>
              <w:jc w:val="center"/>
              <w:rPr>
                <w:rFonts w:eastAsia="Calibri"/>
                <w:b/>
                <w:sz w:val="22"/>
                <w:szCs w:val="26"/>
                <w:lang w:val="es-ES" w:eastAsia="en-US"/>
              </w:rPr>
            </w:pPr>
            <w:r w:rsidRPr="00F443FB">
              <w:rPr>
                <w:rFonts w:eastAsia="Calibri"/>
                <w:b/>
                <w:sz w:val="22"/>
                <w:szCs w:val="26"/>
                <w:lang w:val="es-ES" w:eastAsia="en-US"/>
              </w:rPr>
              <w:lastRenderedPageBreak/>
              <w:t xml:space="preserve">IMPACTO DE LOS SUBSIDIOS </w:t>
            </w:r>
            <w:r w:rsidR="00A51FDD">
              <w:rPr>
                <w:rFonts w:eastAsia="Calibri"/>
                <w:b/>
                <w:sz w:val="22"/>
                <w:szCs w:val="26"/>
                <w:lang w:val="es-ES" w:eastAsia="en-US"/>
              </w:rPr>
              <w:t xml:space="preserve"> A LOS </w:t>
            </w:r>
            <w:r w:rsidRPr="00F443FB">
              <w:rPr>
                <w:rFonts w:eastAsia="Calibri"/>
                <w:b/>
                <w:sz w:val="22"/>
                <w:szCs w:val="26"/>
                <w:lang w:val="es-ES" w:eastAsia="en-US"/>
              </w:rPr>
              <w:t>ENERGÉTICOS</w:t>
            </w:r>
          </w:p>
        </w:tc>
      </w:tr>
      <w:tr w:rsidR="00F443FB" w:rsidRPr="00F443FB" w14:paraId="0EAEDB1D" w14:textId="77777777" w:rsidTr="00F443FB">
        <w:tc>
          <w:tcPr>
            <w:tcW w:w="9209" w:type="dxa"/>
          </w:tcPr>
          <w:p w14:paraId="2F133396" w14:textId="2473F2A1" w:rsidR="00F443FB" w:rsidRPr="00F443FB" w:rsidRDefault="00343A56" w:rsidP="00F443FB">
            <w:pPr>
              <w:spacing w:after="200" w:line="276" w:lineRule="auto"/>
              <w:jc w:val="center"/>
              <w:rPr>
                <w:rFonts w:eastAsia="Calibri"/>
                <w:sz w:val="22"/>
                <w:szCs w:val="26"/>
                <w:lang w:val="es-ES" w:eastAsia="en-US"/>
              </w:rPr>
            </w:pPr>
            <w:r w:rsidRPr="00D549F5">
              <w:rPr>
                <w:noProof/>
                <w:szCs w:val="26"/>
                <w:lang w:eastAsia="es-MX"/>
              </w:rPr>
              <w:drawing>
                <wp:inline distT="0" distB="0" distL="0" distR="0" wp14:anchorId="0F2FD7D1" wp14:editId="397731C9">
                  <wp:extent cx="5036298" cy="3240000"/>
                  <wp:effectExtent l="0" t="0" r="0" b="0"/>
                  <wp:docPr id="1597" name="Imagen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36298" cy="3240000"/>
                          </a:xfrm>
                          <a:prstGeom prst="rect">
                            <a:avLst/>
                          </a:prstGeom>
                          <a:noFill/>
                          <a:ln>
                            <a:noFill/>
                          </a:ln>
                        </pic:spPr>
                      </pic:pic>
                    </a:graphicData>
                  </a:graphic>
                </wp:inline>
              </w:drawing>
            </w:r>
          </w:p>
        </w:tc>
      </w:tr>
      <w:tr w:rsidR="00F443FB" w:rsidRPr="00F443FB" w14:paraId="7B16BE3C" w14:textId="77777777" w:rsidTr="00F443FB">
        <w:tc>
          <w:tcPr>
            <w:tcW w:w="9209" w:type="dxa"/>
          </w:tcPr>
          <w:p w14:paraId="651894F1" w14:textId="77777777" w:rsidR="00F443FB" w:rsidRPr="00F443FB" w:rsidRDefault="00F443FB" w:rsidP="00F443FB">
            <w:pPr>
              <w:spacing w:after="200" w:line="276" w:lineRule="auto"/>
              <w:ind w:firstLine="459"/>
              <w:jc w:val="both"/>
              <w:rPr>
                <w:rFonts w:eastAsia="Calibri"/>
                <w:sz w:val="20"/>
                <w:szCs w:val="26"/>
                <w:lang w:val="es-ES" w:eastAsia="en-US"/>
              </w:rPr>
            </w:pPr>
            <w:r w:rsidRPr="00F443FB">
              <w:rPr>
                <w:rFonts w:eastAsia="Calibri"/>
                <w:sz w:val="20"/>
                <w:szCs w:val="26"/>
                <w:lang w:val="es-ES" w:eastAsia="en-US"/>
              </w:rPr>
              <w:t>FUENTE: Elaboración de la fuente.</w:t>
            </w:r>
          </w:p>
        </w:tc>
      </w:tr>
    </w:tbl>
    <w:p w14:paraId="328CF816" w14:textId="77777777" w:rsidR="00F443FB" w:rsidRPr="00F443FB" w:rsidRDefault="00F443FB" w:rsidP="00F443FB">
      <w:pPr>
        <w:spacing w:after="360" w:line="360" w:lineRule="auto"/>
        <w:ind w:right="-159"/>
        <w:jc w:val="both"/>
        <w:rPr>
          <w:rFonts w:eastAsia="Calibri"/>
          <w:sz w:val="26"/>
          <w:szCs w:val="26"/>
          <w:lang w:val="es-ES" w:eastAsia="en-US"/>
        </w:rPr>
      </w:pPr>
    </w:p>
    <w:p w14:paraId="65163A3C" w14:textId="465FBD5B"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los países exportadores de petróleo, el costo que implica subsidiar los energéticos derivados es menor, y generalmente los ingresos de las exportaciones de hidrocarburos suelen compensar el subsidio doméstico, por lo que normalmente estos países tienen menor presión política para remover dichos subsidios (Víctor, 2009). De acuerdo </w:t>
      </w:r>
      <w:r w:rsidR="004A08ED">
        <w:rPr>
          <w:rFonts w:eastAsia="Calibri"/>
          <w:sz w:val="26"/>
          <w:szCs w:val="26"/>
          <w:lang w:val="es-ES" w:eastAsia="en-US"/>
        </w:rPr>
        <w:t>con</w:t>
      </w:r>
      <w:r w:rsidRPr="00F443FB">
        <w:rPr>
          <w:rFonts w:eastAsia="Calibri"/>
          <w:sz w:val="26"/>
          <w:szCs w:val="26"/>
          <w:lang w:val="es-ES" w:eastAsia="en-US"/>
        </w:rPr>
        <w:t xml:space="preserve"> la Agencia Internacional de Energía (AIE), los resultados cuantitativos refuerzan esta teoría, ya que el monto gastado en subsidios para el consumo de combustibles fósiles realizado por los países exportadores de petróleo y gas equivale a más de tres veces al realizado por el resto de los países. Esto implica que el acervo de petróleo y gas de los países exportadores se agota de manera más acelerada, lo que reduce el ingreso de sus exportaciones de largo plazo (AIE, 2011).</w:t>
      </w:r>
    </w:p>
    <w:p w14:paraId="2AFB907C" w14:textId="77777777" w:rsidR="00304A53" w:rsidRPr="00F443FB" w:rsidRDefault="00304A53"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79551AE1" w14:textId="77777777" w:rsidTr="00F443FB">
        <w:tc>
          <w:tcPr>
            <w:tcW w:w="9209" w:type="dxa"/>
          </w:tcPr>
          <w:p w14:paraId="3DA87F5C"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lastRenderedPageBreak/>
              <w:t>MONTO DE SUBSIDIOS AL CONSUMO DE COMBUSTIBLES FÓSILES PARA PAÍSES EXPORTADORES/IMPORTADORES DE PETRÓLEO Y GAS 2007-2010</w:t>
            </w:r>
          </w:p>
          <w:p w14:paraId="042ACF08"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-Miles de millones de dólares-</w:t>
            </w:r>
          </w:p>
        </w:tc>
      </w:tr>
      <w:tr w:rsidR="00F443FB" w:rsidRPr="00F443FB" w14:paraId="65011AC8" w14:textId="77777777" w:rsidTr="00F443FB">
        <w:tc>
          <w:tcPr>
            <w:tcW w:w="9209" w:type="dxa"/>
          </w:tcPr>
          <w:p w14:paraId="50F513B0" w14:textId="77777777" w:rsidR="00F443FB" w:rsidRPr="00F443FB" w:rsidRDefault="00F443FB" w:rsidP="00125F6B">
            <w:pPr>
              <w:jc w:val="center"/>
              <w:rPr>
                <w:rFonts w:eastAsia="Calibri"/>
                <w:sz w:val="22"/>
                <w:szCs w:val="26"/>
                <w:lang w:val="es-ES" w:eastAsia="en-US"/>
              </w:rPr>
            </w:pPr>
            <w:r w:rsidRPr="00F443FB">
              <w:rPr>
                <w:rFonts w:eastAsia="Calibri"/>
                <w:noProof/>
                <w:sz w:val="22"/>
                <w:szCs w:val="26"/>
                <w:lang w:eastAsia="es-MX"/>
              </w:rPr>
              <w:drawing>
                <wp:inline distT="0" distB="0" distL="0" distR="0" wp14:anchorId="5102BB74" wp14:editId="70DE2B20">
                  <wp:extent cx="4950828" cy="30600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5872" b="1411"/>
                          <a:stretch/>
                        </pic:blipFill>
                        <pic:spPr bwMode="auto">
                          <a:xfrm>
                            <a:off x="0" y="0"/>
                            <a:ext cx="495082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5A621CDE" w14:textId="77777777" w:rsidTr="00F443FB">
        <w:tc>
          <w:tcPr>
            <w:tcW w:w="9209" w:type="dxa"/>
          </w:tcPr>
          <w:p w14:paraId="766D4E4F" w14:textId="77777777" w:rsidR="00F443FB" w:rsidRPr="00F443FB" w:rsidRDefault="00F443FB" w:rsidP="00125F6B">
            <w:pPr>
              <w:ind w:firstLine="743"/>
              <w:jc w:val="both"/>
              <w:rPr>
                <w:rFonts w:eastAsia="Calibri"/>
                <w:sz w:val="20"/>
                <w:szCs w:val="26"/>
                <w:lang w:val="es-ES" w:eastAsia="en-US"/>
              </w:rPr>
            </w:pPr>
            <w:r w:rsidRPr="00F443FB">
              <w:rPr>
                <w:rFonts w:eastAsia="Calibri"/>
                <w:sz w:val="20"/>
                <w:szCs w:val="26"/>
                <w:lang w:val="es-ES" w:eastAsia="en-US"/>
              </w:rPr>
              <w:t xml:space="preserve">FUENTE: </w:t>
            </w:r>
            <w:r w:rsidRPr="00F443FB">
              <w:rPr>
                <w:rFonts w:eastAsia="Calibri"/>
                <w:sz w:val="22"/>
                <w:szCs w:val="22"/>
                <w:lang w:eastAsia="en-US"/>
              </w:rPr>
              <w:t>Agencia Internacional de la Energía,</w:t>
            </w:r>
            <w:r w:rsidRPr="00F443FB">
              <w:rPr>
                <w:rFonts w:eastAsia="Calibri"/>
                <w:sz w:val="20"/>
                <w:szCs w:val="26"/>
                <w:lang w:val="es-ES" w:eastAsia="en-US"/>
              </w:rPr>
              <w:t xml:space="preserve"> AIE (2011).</w:t>
            </w:r>
          </w:p>
        </w:tc>
      </w:tr>
    </w:tbl>
    <w:p w14:paraId="00FA4758" w14:textId="77777777" w:rsidR="00F443FB" w:rsidRPr="00F443FB" w:rsidRDefault="00F443FB" w:rsidP="00F443FB">
      <w:pPr>
        <w:spacing w:after="360" w:line="360" w:lineRule="auto"/>
        <w:ind w:right="-159"/>
        <w:jc w:val="both"/>
        <w:rPr>
          <w:rFonts w:eastAsia="Calibri"/>
          <w:sz w:val="26"/>
          <w:szCs w:val="26"/>
          <w:lang w:val="es-ES" w:eastAsia="en-US"/>
        </w:rPr>
      </w:pPr>
    </w:p>
    <w:p w14:paraId="1C8FB484" w14:textId="0455FDB8"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mayor gasto en subsidios a los energéticos, considerando los derivados del petróleo, gas natural, electricidad, y carbón, se realiza en el Medio Oriente y el norte de África, regiones que cuentan con importantes reservas de petróleo y gas natural. De acuerdo </w:t>
      </w:r>
      <w:r w:rsidR="00A51FDD">
        <w:rPr>
          <w:rFonts w:eastAsia="Calibri"/>
          <w:sz w:val="26"/>
          <w:szCs w:val="26"/>
          <w:lang w:val="es-ES" w:eastAsia="en-US"/>
        </w:rPr>
        <w:t xml:space="preserve">con el </w:t>
      </w:r>
      <w:r w:rsidRPr="00F443FB">
        <w:rPr>
          <w:rFonts w:eastAsia="Calibri"/>
          <w:sz w:val="26"/>
          <w:szCs w:val="26"/>
          <w:lang w:val="es-ES" w:eastAsia="en-US"/>
        </w:rPr>
        <w:t>FMI, en América Latina y el Caribe, dichos subsidios consumen el 2% del presupuesto gubernamental (FMI, 2013a). Y la mayor parte se destina a los energéticos derivados del petróleo, principalmente en los países exportadores de este recurso, como se puede observar en la gráfica siguiente.</w:t>
      </w:r>
    </w:p>
    <w:p w14:paraId="0FE2BDC4" w14:textId="77777777" w:rsidR="00304A53" w:rsidRDefault="00304A53" w:rsidP="00F443FB">
      <w:pPr>
        <w:spacing w:after="360" w:line="360" w:lineRule="auto"/>
        <w:ind w:right="-159"/>
        <w:jc w:val="both"/>
        <w:rPr>
          <w:rFonts w:eastAsia="Calibri"/>
          <w:sz w:val="26"/>
          <w:szCs w:val="26"/>
          <w:lang w:val="es-ES" w:eastAsia="en-US"/>
        </w:rPr>
      </w:pPr>
    </w:p>
    <w:p w14:paraId="0896BE15" w14:textId="77777777" w:rsidR="00304A53" w:rsidRDefault="00304A53" w:rsidP="00F443FB">
      <w:pPr>
        <w:spacing w:after="360" w:line="360" w:lineRule="auto"/>
        <w:ind w:right="-159"/>
        <w:jc w:val="both"/>
        <w:rPr>
          <w:rFonts w:eastAsia="Calibri"/>
          <w:sz w:val="26"/>
          <w:szCs w:val="26"/>
          <w:lang w:val="es-ES" w:eastAsia="en-US"/>
        </w:rPr>
      </w:pPr>
    </w:p>
    <w:p w14:paraId="1A06CFBF" w14:textId="77777777" w:rsidR="00304A53" w:rsidRDefault="00304A53" w:rsidP="00F443FB">
      <w:pPr>
        <w:spacing w:after="360" w:line="360" w:lineRule="auto"/>
        <w:ind w:right="-159"/>
        <w:jc w:val="both"/>
        <w:rPr>
          <w:rFonts w:eastAsia="Calibri"/>
          <w:sz w:val="26"/>
          <w:szCs w:val="26"/>
          <w:lang w:val="es-ES" w:eastAsia="en-US"/>
        </w:rPr>
      </w:pPr>
    </w:p>
    <w:p w14:paraId="125C9AFF" w14:textId="77777777" w:rsidR="00304A53" w:rsidRPr="00F443FB" w:rsidRDefault="00304A53"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B6014F" w:rsidRPr="00B6014F" w14:paraId="3F8F6EA2" w14:textId="77777777" w:rsidTr="00AF5CB1">
        <w:tc>
          <w:tcPr>
            <w:tcW w:w="9209" w:type="dxa"/>
          </w:tcPr>
          <w:p w14:paraId="071D1950" w14:textId="77777777" w:rsidR="00B6014F" w:rsidRPr="00B6014F" w:rsidRDefault="00B6014F" w:rsidP="00B6014F">
            <w:pPr>
              <w:jc w:val="center"/>
              <w:rPr>
                <w:rFonts w:eastAsia="Calibri"/>
                <w:b/>
                <w:sz w:val="22"/>
                <w:szCs w:val="26"/>
                <w:lang w:val="es-ES" w:eastAsia="en-US"/>
              </w:rPr>
            </w:pPr>
            <w:r w:rsidRPr="00B6014F">
              <w:rPr>
                <w:rFonts w:eastAsia="Calibri"/>
                <w:b/>
                <w:sz w:val="22"/>
                <w:szCs w:val="26"/>
                <w:lang w:val="es-ES" w:eastAsia="en-US"/>
              </w:rPr>
              <w:lastRenderedPageBreak/>
              <w:t>SUBSIDIOS AL PETRÓLEO EN PAÍSES EXPORTADORES E</w:t>
            </w:r>
          </w:p>
          <w:p w14:paraId="0260C3E5" w14:textId="77777777" w:rsidR="00B6014F" w:rsidRPr="00B6014F" w:rsidRDefault="00B6014F" w:rsidP="00B6014F">
            <w:pPr>
              <w:jc w:val="center"/>
              <w:rPr>
                <w:rFonts w:eastAsia="Calibri"/>
                <w:b/>
                <w:sz w:val="22"/>
                <w:szCs w:val="26"/>
                <w:lang w:val="es-ES" w:eastAsia="en-US"/>
              </w:rPr>
            </w:pPr>
            <w:r w:rsidRPr="00B6014F">
              <w:rPr>
                <w:rFonts w:eastAsia="Calibri"/>
                <w:b/>
                <w:sz w:val="22"/>
                <w:szCs w:val="26"/>
                <w:lang w:val="es-ES" w:eastAsia="en-US"/>
              </w:rPr>
              <w:t>IMPORTADORES DE PETRÓLEO EN 2007</w:t>
            </w:r>
          </w:p>
          <w:p w14:paraId="5547D3A6" w14:textId="77777777" w:rsidR="00B6014F" w:rsidRPr="00B6014F" w:rsidRDefault="00B6014F" w:rsidP="00B6014F">
            <w:pPr>
              <w:jc w:val="center"/>
              <w:rPr>
                <w:rFonts w:eastAsia="Calibri"/>
                <w:b/>
                <w:sz w:val="22"/>
                <w:szCs w:val="26"/>
                <w:lang w:val="es-ES" w:eastAsia="en-US"/>
              </w:rPr>
            </w:pPr>
            <w:r w:rsidRPr="00B6014F">
              <w:rPr>
                <w:rFonts w:eastAsia="Calibri"/>
                <w:b/>
                <w:sz w:val="22"/>
                <w:szCs w:val="26"/>
                <w:lang w:val="es-ES" w:eastAsia="en-US"/>
              </w:rPr>
              <w:t>-Porcentaje del PIB-</w:t>
            </w:r>
          </w:p>
        </w:tc>
      </w:tr>
      <w:tr w:rsidR="00B6014F" w:rsidRPr="00B6014F" w14:paraId="58B0108A" w14:textId="77777777" w:rsidTr="00AF5CB1">
        <w:tc>
          <w:tcPr>
            <w:tcW w:w="9209" w:type="dxa"/>
          </w:tcPr>
          <w:p w14:paraId="7C9419D6" w14:textId="77777777" w:rsidR="00B6014F" w:rsidRPr="00B6014F" w:rsidRDefault="00B6014F" w:rsidP="00B6014F">
            <w:pPr>
              <w:jc w:val="center"/>
              <w:rPr>
                <w:rFonts w:eastAsia="Calibri"/>
                <w:sz w:val="22"/>
                <w:szCs w:val="26"/>
                <w:lang w:val="es-ES" w:eastAsia="en-US"/>
              </w:rPr>
            </w:pPr>
            <w:r w:rsidRPr="00B6014F">
              <w:rPr>
                <w:rFonts w:eastAsia="Calibri"/>
                <w:noProof/>
                <w:sz w:val="22"/>
                <w:szCs w:val="26"/>
                <w:lang w:eastAsia="es-MX"/>
              </w:rPr>
              <w:drawing>
                <wp:inline distT="0" distB="0" distL="0" distR="0" wp14:anchorId="3139ACAF" wp14:editId="0CA27544">
                  <wp:extent cx="5114053" cy="32400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3381" b="1581"/>
                          <a:stretch/>
                        </pic:blipFill>
                        <pic:spPr bwMode="auto">
                          <a:xfrm>
                            <a:off x="0" y="0"/>
                            <a:ext cx="5114053"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6014F" w:rsidRPr="00B6014F" w14:paraId="01341D94" w14:textId="77777777" w:rsidTr="00AF5CB1">
        <w:tc>
          <w:tcPr>
            <w:tcW w:w="9209" w:type="dxa"/>
          </w:tcPr>
          <w:p w14:paraId="75776A40" w14:textId="77777777" w:rsidR="00B6014F" w:rsidRPr="00B6014F" w:rsidRDefault="00B6014F" w:rsidP="00B6014F">
            <w:pPr>
              <w:ind w:left="1593" w:right="879" w:hanging="850"/>
              <w:jc w:val="both"/>
              <w:rPr>
                <w:rFonts w:eastAsia="Calibri"/>
                <w:sz w:val="20"/>
                <w:szCs w:val="26"/>
                <w:lang w:val="es-ES" w:eastAsia="en-US"/>
              </w:rPr>
            </w:pPr>
            <w:r w:rsidRPr="00B6014F">
              <w:rPr>
                <w:rFonts w:eastAsia="Calibri"/>
                <w:sz w:val="20"/>
                <w:szCs w:val="26"/>
                <w:lang w:val="es-ES" w:eastAsia="en-US"/>
              </w:rPr>
              <w:t>FUENTE: FMI (2013a). Número de países entre paréntesis. CEE-CIS: Europa del Este y la Comunidad de Estados Independientes, LAC: Latinoamérica y el Caribe, MENA: Medio Oriente y Norte de África. E.D. Asia: Asia emergente y en vías de desarrollo.</w:t>
            </w:r>
          </w:p>
        </w:tc>
      </w:tr>
    </w:tbl>
    <w:p w14:paraId="475F61D9" w14:textId="77777777" w:rsidR="00B6014F" w:rsidRPr="00B6014F" w:rsidRDefault="00B6014F" w:rsidP="00B6014F">
      <w:pPr>
        <w:spacing w:after="360" w:line="360" w:lineRule="auto"/>
        <w:ind w:right="-159"/>
        <w:jc w:val="both"/>
        <w:rPr>
          <w:rFonts w:eastAsia="Calibri"/>
          <w:sz w:val="26"/>
          <w:szCs w:val="26"/>
          <w:lang w:val="es-ES" w:eastAsia="en-US"/>
        </w:rPr>
      </w:pPr>
    </w:p>
    <w:p w14:paraId="10FDF36F" w14:textId="014F220C"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La evidencia cuantitativa indica que la media de ingreso de una economía también influye significativamente sobre el nivel de subsidios a los energéticos. En el estudio del Banco Mundial (BM) (2012) se toma una muestra de 20 países agrupados en cuatro diferentes categorías de acuerdo </w:t>
      </w:r>
      <w:r w:rsidR="00A51FDD">
        <w:rPr>
          <w:rFonts w:eastAsia="Calibri"/>
          <w:sz w:val="26"/>
          <w:szCs w:val="26"/>
          <w:lang w:val="es-ES" w:eastAsia="en-US"/>
        </w:rPr>
        <w:t>con</w:t>
      </w:r>
      <w:r w:rsidRPr="00F443FB">
        <w:rPr>
          <w:rFonts w:eastAsia="Calibri"/>
          <w:sz w:val="26"/>
          <w:szCs w:val="26"/>
          <w:lang w:val="es-ES" w:eastAsia="en-US"/>
        </w:rPr>
        <w:t xml:space="preserve"> su dependencia energética con el exterior, es decir, si se trata de un exportador o importador neto de energéticos</w:t>
      </w:r>
      <w:r w:rsidRPr="00F443FB">
        <w:rPr>
          <w:rFonts w:eastAsia="Calibri"/>
          <w:sz w:val="26"/>
          <w:szCs w:val="26"/>
          <w:vertAlign w:val="superscript"/>
          <w:lang w:val="es-ES" w:eastAsia="en-US"/>
        </w:rPr>
        <w:footnoteReference w:id="8"/>
      </w:r>
      <w:r w:rsidR="00A51FDD">
        <w:rPr>
          <w:rFonts w:eastAsia="Calibri"/>
          <w:sz w:val="26"/>
          <w:szCs w:val="26"/>
          <w:lang w:val="es-ES" w:eastAsia="en-US"/>
        </w:rPr>
        <w:t>,</w:t>
      </w:r>
      <w:r w:rsidRPr="00F443FB">
        <w:rPr>
          <w:rFonts w:eastAsia="Calibri"/>
          <w:sz w:val="26"/>
          <w:szCs w:val="26"/>
          <w:lang w:val="es-ES" w:eastAsia="en-US"/>
        </w:rPr>
        <w:t xml:space="preserve">  así como por su nivel de ingreso. Esta clasificación se puede observar en el cuadro siguiente, en donde los Grupos A y B se consideran como países importadores netos de energéticos (de ingreso bajo o medio), mientras que los países del Grupo C y D se conforman por países exportadores (de ingreso bajo o medio). Dentro de estos grupos, México se clasifica como uno de los países exportadores de energéticos con un ingreso medio.</w:t>
      </w:r>
    </w:p>
    <w:tbl>
      <w:tblPr>
        <w:tblW w:w="0" w:type="auto"/>
        <w:jc w:val="center"/>
        <w:tblLook w:val="04A0" w:firstRow="1" w:lastRow="0" w:firstColumn="1" w:lastColumn="0" w:noHBand="0" w:noVBand="1"/>
      </w:tblPr>
      <w:tblGrid>
        <w:gridCol w:w="2937"/>
        <w:gridCol w:w="2952"/>
        <w:gridCol w:w="2951"/>
      </w:tblGrid>
      <w:tr w:rsidR="00F443FB" w:rsidRPr="00F443FB" w14:paraId="004EFBDD" w14:textId="77777777" w:rsidTr="000170C9">
        <w:trPr>
          <w:jc w:val="center"/>
        </w:trPr>
        <w:tc>
          <w:tcPr>
            <w:tcW w:w="8840" w:type="dxa"/>
            <w:gridSpan w:val="3"/>
            <w:tcBorders>
              <w:top w:val="nil"/>
              <w:left w:val="nil"/>
              <w:bottom w:val="single" w:sz="4" w:space="0" w:color="auto"/>
              <w:right w:val="nil"/>
            </w:tcBorders>
          </w:tcPr>
          <w:p w14:paraId="6FB7FC17" w14:textId="77777777" w:rsidR="00F443FB" w:rsidRPr="00F443FB" w:rsidRDefault="00F443FB" w:rsidP="00F443FB">
            <w:pPr>
              <w:spacing w:before="20" w:after="20" w:line="276" w:lineRule="auto"/>
              <w:jc w:val="center"/>
              <w:rPr>
                <w:rFonts w:eastAsia="Calibri"/>
                <w:b/>
                <w:sz w:val="22"/>
                <w:szCs w:val="22"/>
                <w:lang w:val="es-ES" w:eastAsia="en-US"/>
              </w:rPr>
            </w:pPr>
            <w:r w:rsidRPr="00F443FB">
              <w:rPr>
                <w:rFonts w:eastAsia="Calibri"/>
                <w:b/>
                <w:sz w:val="22"/>
                <w:szCs w:val="22"/>
                <w:lang w:val="es-ES" w:eastAsia="en-US"/>
              </w:rPr>
              <w:lastRenderedPageBreak/>
              <w:t>MUESTRA UTILIZADA EN EL ESTUDIO</w:t>
            </w:r>
          </w:p>
        </w:tc>
      </w:tr>
      <w:tr w:rsidR="00F443FB" w:rsidRPr="00F443FB" w14:paraId="41739888" w14:textId="77777777" w:rsidTr="000170C9">
        <w:trPr>
          <w:jc w:val="center"/>
        </w:trPr>
        <w:tc>
          <w:tcPr>
            <w:tcW w:w="2937" w:type="dxa"/>
            <w:tcBorders>
              <w:top w:val="single" w:sz="4" w:space="0" w:color="auto"/>
              <w:left w:val="single" w:sz="4" w:space="0" w:color="auto"/>
              <w:bottom w:val="single" w:sz="4" w:space="0" w:color="auto"/>
              <w:right w:val="single" w:sz="4" w:space="0" w:color="auto"/>
            </w:tcBorders>
          </w:tcPr>
          <w:p w14:paraId="71210A59" w14:textId="77777777" w:rsidR="00F443FB" w:rsidRPr="00F443FB" w:rsidRDefault="00F443FB" w:rsidP="00F443FB">
            <w:pPr>
              <w:spacing w:before="20" w:after="20" w:line="276" w:lineRule="auto"/>
              <w:jc w:val="both"/>
              <w:rPr>
                <w:rFonts w:eastAsia="Calibri"/>
                <w:sz w:val="18"/>
                <w:szCs w:val="18"/>
                <w:lang w:val="es-ES" w:eastAsia="en-US"/>
              </w:rPr>
            </w:pPr>
          </w:p>
        </w:tc>
        <w:tc>
          <w:tcPr>
            <w:tcW w:w="2952" w:type="dxa"/>
            <w:tcBorders>
              <w:top w:val="single" w:sz="4" w:space="0" w:color="auto"/>
              <w:left w:val="single" w:sz="4" w:space="0" w:color="auto"/>
              <w:bottom w:val="single" w:sz="4" w:space="0" w:color="auto"/>
              <w:right w:val="single" w:sz="4" w:space="0" w:color="auto"/>
            </w:tcBorders>
          </w:tcPr>
          <w:p w14:paraId="1B96F9F6" w14:textId="77777777" w:rsidR="00F443FB" w:rsidRPr="00F443FB" w:rsidRDefault="00F443FB" w:rsidP="00F443FB">
            <w:pPr>
              <w:spacing w:before="20" w:after="20" w:line="276" w:lineRule="auto"/>
              <w:jc w:val="center"/>
              <w:rPr>
                <w:rFonts w:eastAsia="Calibri"/>
                <w:b/>
                <w:sz w:val="18"/>
                <w:szCs w:val="18"/>
                <w:lang w:val="es-ES" w:eastAsia="en-US"/>
              </w:rPr>
            </w:pPr>
            <w:r w:rsidRPr="00F443FB">
              <w:rPr>
                <w:rFonts w:eastAsia="Calibri"/>
                <w:b/>
                <w:sz w:val="18"/>
                <w:szCs w:val="18"/>
                <w:lang w:val="es-ES" w:eastAsia="en-US"/>
              </w:rPr>
              <w:t>Grupos A y B                                       Importador neto de energéticos</w:t>
            </w:r>
          </w:p>
        </w:tc>
        <w:tc>
          <w:tcPr>
            <w:tcW w:w="2951" w:type="dxa"/>
            <w:tcBorders>
              <w:top w:val="single" w:sz="4" w:space="0" w:color="auto"/>
              <w:left w:val="single" w:sz="4" w:space="0" w:color="auto"/>
              <w:bottom w:val="single" w:sz="4" w:space="0" w:color="auto"/>
              <w:right w:val="single" w:sz="4" w:space="0" w:color="auto"/>
            </w:tcBorders>
          </w:tcPr>
          <w:p w14:paraId="0A001D60" w14:textId="77777777" w:rsidR="00F443FB" w:rsidRPr="00F443FB" w:rsidRDefault="00F443FB" w:rsidP="00F443FB">
            <w:pPr>
              <w:spacing w:before="20" w:after="20" w:line="276" w:lineRule="auto"/>
              <w:jc w:val="center"/>
              <w:rPr>
                <w:rFonts w:eastAsia="Calibri"/>
                <w:b/>
                <w:sz w:val="18"/>
                <w:szCs w:val="18"/>
                <w:lang w:val="es-ES" w:eastAsia="en-US"/>
              </w:rPr>
            </w:pPr>
            <w:r w:rsidRPr="00F443FB">
              <w:rPr>
                <w:rFonts w:eastAsia="Calibri"/>
                <w:b/>
                <w:sz w:val="18"/>
                <w:szCs w:val="18"/>
                <w:lang w:val="es-ES" w:eastAsia="en-US"/>
              </w:rPr>
              <w:t>Grupos C y D                                     Exportador neto de energéticos</w:t>
            </w:r>
          </w:p>
        </w:tc>
      </w:tr>
      <w:tr w:rsidR="00F443FB" w:rsidRPr="00F443FB" w14:paraId="41EA0E99" w14:textId="77777777" w:rsidTr="000170C9">
        <w:trPr>
          <w:jc w:val="center"/>
        </w:trPr>
        <w:tc>
          <w:tcPr>
            <w:tcW w:w="2937" w:type="dxa"/>
            <w:tcBorders>
              <w:top w:val="single" w:sz="4" w:space="0" w:color="auto"/>
              <w:left w:val="single" w:sz="4" w:space="0" w:color="auto"/>
              <w:bottom w:val="single" w:sz="2" w:space="0" w:color="auto"/>
              <w:right w:val="single" w:sz="4" w:space="0" w:color="auto"/>
            </w:tcBorders>
            <w:vAlign w:val="center"/>
          </w:tcPr>
          <w:p w14:paraId="0AAF7D24" w14:textId="77777777" w:rsidR="00F443FB" w:rsidRPr="00F443FB" w:rsidRDefault="00F443FB" w:rsidP="00F443FB">
            <w:pPr>
              <w:spacing w:before="20" w:after="20" w:line="276" w:lineRule="auto"/>
              <w:jc w:val="both"/>
              <w:rPr>
                <w:rFonts w:eastAsia="Calibri"/>
                <w:sz w:val="18"/>
                <w:szCs w:val="18"/>
                <w:lang w:val="es-ES" w:eastAsia="en-US"/>
              </w:rPr>
            </w:pPr>
            <w:r w:rsidRPr="00F443FB">
              <w:rPr>
                <w:rFonts w:eastAsia="Calibri"/>
                <w:sz w:val="18"/>
                <w:szCs w:val="18"/>
                <w:lang w:val="es-ES" w:eastAsia="en-US"/>
              </w:rPr>
              <w:t>Ingreso Bajo</w:t>
            </w:r>
          </w:p>
        </w:tc>
        <w:tc>
          <w:tcPr>
            <w:tcW w:w="2952" w:type="dxa"/>
            <w:tcBorders>
              <w:top w:val="single" w:sz="4" w:space="0" w:color="auto"/>
              <w:left w:val="single" w:sz="4" w:space="0" w:color="auto"/>
              <w:bottom w:val="single" w:sz="2" w:space="0" w:color="auto"/>
              <w:right w:val="single" w:sz="4" w:space="0" w:color="auto"/>
            </w:tcBorders>
            <w:vAlign w:val="center"/>
          </w:tcPr>
          <w:p w14:paraId="0960787E" w14:textId="77777777" w:rsidR="00F443FB" w:rsidRPr="00F443FB" w:rsidRDefault="00F443FB" w:rsidP="00F443FB">
            <w:pPr>
              <w:spacing w:before="20" w:after="20" w:line="276" w:lineRule="auto"/>
              <w:jc w:val="center"/>
              <w:rPr>
                <w:rFonts w:eastAsia="Calibri"/>
                <w:sz w:val="18"/>
                <w:szCs w:val="18"/>
                <w:lang w:val="es-ES" w:eastAsia="en-US"/>
              </w:rPr>
            </w:pPr>
            <w:r w:rsidRPr="00F443FB">
              <w:rPr>
                <w:rFonts w:eastAsia="Calibri"/>
                <w:sz w:val="18"/>
                <w:szCs w:val="18"/>
                <w:lang w:val="es-ES" w:eastAsia="en-US"/>
              </w:rPr>
              <w:t>Ghana, Armenia, Moldova, Marruecos, Jordán, India y Paquistán</w:t>
            </w:r>
          </w:p>
        </w:tc>
        <w:tc>
          <w:tcPr>
            <w:tcW w:w="2951" w:type="dxa"/>
            <w:tcBorders>
              <w:top w:val="single" w:sz="4" w:space="0" w:color="auto"/>
              <w:left w:val="single" w:sz="4" w:space="0" w:color="auto"/>
              <w:bottom w:val="single" w:sz="2" w:space="0" w:color="auto"/>
              <w:right w:val="single" w:sz="4" w:space="0" w:color="auto"/>
            </w:tcBorders>
            <w:vAlign w:val="center"/>
          </w:tcPr>
          <w:p w14:paraId="54FB25E8" w14:textId="77777777" w:rsidR="00F443FB" w:rsidRPr="00F443FB" w:rsidRDefault="00F443FB" w:rsidP="00F443FB">
            <w:pPr>
              <w:spacing w:before="20" w:after="20" w:line="276" w:lineRule="auto"/>
              <w:jc w:val="center"/>
              <w:rPr>
                <w:rFonts w:eastAsia="Calibri"/>
                <w:sz w:val="18"/>
                <w:szCs w:val="18"/>
                <w:lang w:val="es-ES" w:eastAsia="en-US"/>
              </w:rPr>
            </w:pPr>
            <w:r w:rsidRPr="00F443FB">
              <w:rPr>
                <w:rFonts w:eastAsia="Calibri"/>
                <w:sz w:val="18"/>
                <w:szCs w:val="18"/>
                <w:lang w:val="es-ES" w:eastAsia="en-US"/>
              </w:rPr>
              <w:t>Nigeria, Indonesia, Azerbaiyán, Egipto, Irán y Yemen</w:t>
            </w:r>
          </w:p>
        </w:tc>
      </w:tr>
      <w:tr w:rsidR="00F443FB" w:rsidRPr="00F443FB" w14:paraId="497A3C6C" w14:textId="77777777" w:rsidTr="000170C9">
        <w:trPr>
          <w:jc w:val="center"/>
        </w:trPr>
        <w:tc>
          <w:tcPr>
            <w:tcW w:w="2937" w:type="dxa"/>
            <w:tcBorders>
              <w:top w:val="single" w:sz="2" w:space="0" w:color="auto"/>
              <w:left w:val="single" w:sz="4" w:space="0" w:color="auto"/>
              <w:bottom w:val="single" w:sz="4" w:space="0" w:color="auto"/>
              <w:right w:val="single" w:sz="4" w:space="0" w:color="auto"/>
            </w:tcBorders>
            <w:vAlign w:val="center"/>
          </w:tcPr>
          <w:p w14:paraId="4B3ECAD7" w14:textId="77777777" w:rsidR="00F443FB" w:rsidRPr="00F443FB" w:rsidRDefault="00F443FB" w:rsidP="00F443FB">
            <w:pPr>
              <w:spacing w:before="20" w:after="20" w:line="276" w:lineRule="auto"/>
              <w:jc w:val="both"/>
              <w:rPr>
                <w:rFonts w:eastAsia="Calibri"/>
                <w:sz w:val="18"/>
                <w:szCs w:val="18"/>
                <w:lang w:val="es-ES" w:eastAsia="en-US"/>
              </w:rPr>
            </w:pPr>
            <w:r w:rsidRPr="00F443FB">
              <w:rPr>
                <w:rFonts w:eastAsia="Calibri"/>
                <w:sz w:val="18"/>
                <w:szCs w:val="18"/>
                <w:lang w:val="es-ES" w:eastAsia="en-US"/>
              </w:rPr>
              <w:t>Ingreso Medio</w:t>
            </w:r>
          </w:p>
        </w:tc>
        <w:tc>
          <w:tcPr>
            <w:tcW w:w="2952" w:type="dxa"/>
            <w:tcBorders>
              <w:top w:val="single" w:sz="2" w:space="0" w:color="auto"/>
              <w:left w:val="single" w:sz="4" w:space="0" w:color="auto"/>
              <w:bottom w:val="single" w:sz="4" w:space="0" w:color="auto"/>
              <w:right w:val="single" w:sz="4" w:space="0" w:color="auto"/>
            </w:tcBorders>
            <w:vAlign w:val="center"/>
          </w:tcPr>
          <w:p w14:paraId="42F869FB" w14:textId="77777777" w:rsidR="00F443FB" w:rsidRPr="00F443FB" w:rsidRDefault="00F443FB" w:rsidP="00F443FB">
            <w:pPr>
              <w:spacing w:before="20" w:after="20" w:line="276" w:lineRule="auto"/>
              <w:jc w:val="center"/>
              <w:rPr>
                <w:rFonts w:eastAsia="Calibri"/>
                <w:sz w:val="18"/>
                <w:szCs w:val="18"/>
                <w:lang w:val="es-ES" w:eastAsia="en-US"/>
              </w:rPr>
            </w:pPr>
            <w:r w:rsidRPr="00F443FB">
              <w:rPr>
                <w:rFonts w:eastAsia="Calibri"/>
                <w:sz w:val="18"/>
                <w:szCs w:val="18"/>
                <w:lang w:val="es-ES" w:eastAsia="en-US"/>
              </w:rPr>
              <w:t>Turquía, Chile, República Dominicana y Perú</w:t>
            </w:r>
          </w:p>
        </w:tc>
        <w:tc>
          <w:tcPr>
            <w:tcW w:w="2951" w:type="dxa"/>
            <w:tcBorders>
              <w:top w:val="single" w:sz="2" w:space="0" w:color="auto"/>
              <w:left w:val="single" w:sz="4" w:space="0" w:color="auto"/>
              <w:bottom w:val="single" w:sz="4" w:space="0" w:color="auto"/>
              <w:right w:val="single" w:sz="4" w:space="0" w:color="auto"/>
            </w:tcBorders>
            <w:vAlign w:val="center"/>
          </w:tcPr>
          <w:p w14:paraId="4F068DC9" w14:textId="77777777" w:rsidR="00F443FB" w:rsidRPr="00F443FB" w:rsidRDefault="00F443FB" w:rsidP="00F443FB">
            <w:pPr>
              <w:spacing w:before="20" w:after="20" w:line="276" w:lineRule="auto"/>
              <w:jc w:val="center"/>
              <w:rPr>
                <w:rFonts w:eastAsia="Calibri"/>
                <w:sz w:val="18"/>
                <w:szCs w:val="18"/>
                <w:lang w:val="es-ES" w:eastAsia="en-US"/>
              </w:rPr>
            </w:pPr>
            <w:r w:rsidRPr="00F443FB">
              <w:rPr>
                <w:rFonts w:eastAsia="Calibri"/>
                <w:sz w:val="18"/>
                <w:szCs w:val="18"/>
                <w:lang w:val="es-ES" w:eastAsia="en-US"/>
              </w:rPr>
              <w:t>Malasia, Argentina y México</w:t>
            </w:r>
          </w:p>
        </w:tc>
      </w:tr>
      <w:tr w:rsidR="00F443FB" w:rsidRPr="00F443FB" w14:paraId="79817130" w14:textId="77777777" w:rsidTr="000170C9">
        <w:trPr>
          <w:jc w:val="center"/>
        </w:trPr>
        <w:tc>
          <w:tcPr>
            <w:tcW w:w="8840" w:type="dxa"/>
            <w:gridSpan w:val="3"/>
            <w:tcBorders>
              <w:top w:val="single" w:sz="4" w:space="0" w:color="auto"/>
              <w:left w:val="nil"/>
              <w:bottom w:val="nil"/>
              <w:right w:val="nil"/>
            </w:tcBorders>
          </w:tcPr>
          <w:p w14:paraId="716CE45B" w14:textId="77777777" w:rsidR="00F443FB" w:rsidRPr="00F443FB" w:rsidRDefault="00F443FB" w:rsidP="00F443FB">
            <w:pPr>
              <w:spacing w:before="20" w:after="20" w:line="276" w:lineRule="auto"/>
              <w:jc w:val="both"/>
              <w:rPr>
                <w:rFonts w:eastAsia="Calibri"/>
                <w:sz w:val="18"/>
                <w:szCs w:val="18"/>
                <w:lang w:val="es-ES" w:eastAsia="en-US"/>
              </w:rPr>
            </w:pPr>
            <w:r w:rsidRPr="00F443FB">
              <w:rPr>
                <w:rFonts w:eastAsia="Calibri"/>
                <w:sz w:val="18"/>
                <w:szCs w:val="18"/>
                <w:lang w:val="es-ES" w:eastAsia="en-US"/>
              </w:rPr>
              <w:t>FUENTE: BM (2012).</w:t>
            </w:r>
          </w:p>
        </w:tc>
      </w:tr>
    </w:tbl>
    <w:p w14:paraId="75E041A2" w14:textId="77777777" w:rsidR="00F443FB" w:rsidRPr="00F443FB" w:rsidRDefault="00F443FB" w:rsidP="00F443FB">
      <w:pPr>
        <w:spacing w:after="360" w:line="360" w:lineRule="auto"/>
        <w:ind w:right="-159"/>
        <w:jc w:val="both"/>
        <w:rPr>
          <w:rFonts w:eastAsia="Calibri"/>
          <w:sz w:val="26"/>
          <w:szCs w:val="26"/>
          <w:lang w:val="es-ES" w:eastAsia="en-US"/>
        </w:rPr>
      </w:pPr>
    </w:p>
    <w:p w14:paraId="3742E627" w14:textId="53D9E692"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Los resultados indican que la proporción del presupuesto gubernamental que se dedica a los subsidios a los energéticos es similar en los grupos A, B y D; pero sustancialmente mayor para el caso de los países miembros del grupo C (línea de color azul turquesa). Este resultado señala que los países que cuentan con independencia energética, y además cuentan con un menor nivel de ingreso, tienden a gastar una proporción significativamente mayor de sus recursos en subsidios a los energéticos.</w:t>
      </w:r>
    </w:p>
    <w:p w14:paraId="09AAAB2B" w14:textId="77777777" w:rsidR="000170C9" w:rsidRDefault="000170C9" w:rsidP="00F443FB">
      <w:pPr>
        <w:spacing w:after="360" w:line="360" w:lineRule="auto"/>
        <w:ind w:right="-159"/>
        <w:jc w:val="both"/>
        <w:rPr>
          <w:rFonts w:eastAsia="Calibri"/>
          <w:sz w:val="26"/>
          <w:szCs w:val="26"/>
          <w:lang w:val="es-ES" w:eastAsia="en-US"/>
        </w:rPr>
      </w:pPr>
    </w:p>
    <w:p w14:paraId="737534BC" w14:textId="77777777" w:rsidR="000170C9" w:rsidRDefault="000170C9" w:rsidP="00F443FB">
      <w:pPr>
        <w:spacing w:after="360" w:line="360" w:lineRule="auto"/>
        <w:ind w:right="-159"/>
        <w:jc w:val="both"/>
        <w:rPr>
          <w:rFonts w:eastAsia="Calibri"/>
          <w:sz w:val="26"/>
          <w:szCs w:val="26"/>
          <w:lang w:val="es-ES" w:eastAsia="en-US"/>
        </w:rPr>
      </w:pPr>
    </w:p>
    <w:p w14:paraId="7274FF43" w14:textId="77777777" w:rsidR="000170C9" w:rsidRDefault="000170C9" w:rsidP="00F443FB">
      <w:pPr>
        <w:spacing w:after="360" w:line="360" w:lineRule="auto"/>
        <w:ind w:right="-159"/>
        <w:jc w:val="both"/>
        <w:rPr>
          <w:rFonts w:eastAsia="Calibri"/>
          <w:sz w:val="26"/>
          <w:szCs w:val="26"/>
          <w:lang w:val="es-ES" w:eastAsia="en-US"/>
        </w:rPr>
      </w:pPr>
    </w:p>
    <w:p w14:paraId="05B2DC7E" w14:textId="77777777" w:rsidR="00304A53" w:rsidRDefault="00304A53" w:rsidP="00F443FB">
      <w:pPr>
        <w:spacing w:after="360" w:line="360" w:lineRule="auto"/>
        <w:ind w:right="-159"/>
        <w:jc w:val="both"/>
        <w:rPr>
          <w:rFonts w:eastAsia="Calibri"/>
          <w:sz w:val="26"/>
          <w:szCs w:val="26"/>
          <w:lang w:val="es-ES" w:eastAsia="en-US"/>
        </w:rPr>
      </w:pPr>
    </w:p>
    <w:p w14:paraId="39C17590" w14:textId="77777777" w:rsidR="00304A53" w:rsidRDefault="00304A53" w:rsidP="00F443FB">
      <w:pPr>
        <w:spacing w:after="360" w:line="360" w:lineRule="auto"/>
        <w:ind w:right="-159"/>
        <w:jc w:val="both"/>
        <w:rPr>
          <w:rFonts w:eastAsia="Calibri"/>
          <w:sz w:val="26"/>
          <w:szCs w:val="26"/>
          <w:lang w:val="es-ES" w:eastAsia="en-US"/>
        </w:rPr>
      </w:pPr>
    </w:p>
    <w:p w14:paraId="438C1BA5" w14:textId="77777777" w:rsidR="000170C9" w:rsidRDefault="000170C9" w:rsidP="00F443FB">
      <w:pPr>
        <w:spacing w:after="360" w:line="360" w:lineRule="auto"/>
        <w:ind w:right="-159"/>
        <w:jc w:val="both"/>
        <w:rPr>
          <w:rFonts w:eastAsia="Calibri"/>
          <w:sz w:val="26"/>
          <w:szCs w:val="26"/>
          <w:lang w:val="es-ES" w:eastAsia="en-US"/>
        </w:rPr>
      </w:pPr>
    </w:p>
    <w:p w14:paraId="0D71ADFF" w14:textId="77777777" w:rsidR="000170C9" w:rsidRDefault="000170C9" w:rsidP="00F443FB">
      <w:pPr>
        <w:spacing w:after="360" w:line="360" w:lineRule="auto"/>
        <w:ind w:right="-159"/>
        <w:jc w:val="both"/>
        <w:rPr>
          <w:rFonts w:eastAsia="Calibri"/>
          <w:sz w:val="26"/>
          <w:szCs w:val="26"/>
          <w:lang w:val="es-ES" w:eastAsia="en-US"/>
        </w:rPr>
      </w:pPr>
    </w:p>
    <w:p w14:paraId="5D2CBE77" w14:textId="77777777" w:rsidR="000170C9" w:rsidRDefault="000170C9" w:rsidP="00F443FB">
      <w:pPr>
        <w:spacing w:after="360" w:line="360" w:lineRule="auto"/>
        <w:ind w:right="-159"/>
        <w:jc w:val="both"/>
        <w:rPr>
          <w:rFonts w:eastAsia="Calibri"/>
          <w:sz w:val="26"/>
          <w:szCs w:val="26"/>
          <w:lang w:val="es-ES" w:eastAsia="en-US"/>
        </w:rPr>
      </w:pPr>
    </w:p>
    <w:p w14:paraId="1893C93A" w14:textId="77777777" w:rsidR="000170C9" w:rsidRDefault="000170C9"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16CFCF72" w14:textId="77777777" w:rsidTr="00F443FB">
        <w:tc>
          <w:tcPr>
            <w:tcW w:w="9209" w:type="dxa"/>
          </w:tcPr>
          <w:p w14:paraId="1C843B37"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lastRenderedPageBreak/>
              <w:t>SUBSIDIOS A LOS ENERGÉTICOS</w:t>
            </w:r>
          </w:p>
          <w:p w14:paraId="17E066AE"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-Porcentaje del presupuesto gubernamental-</w:t>
            </w:r>
          </w:p>
        </w:tc>
      </w:tr>
      <w:tr w:rsidR="00F443FB" w:rsidRPr="00F443FB" w14:paraId="271786B7" w14:textId="77777777" w:rsidTr="00F443FB">
        <w:tc>
          <w:tcPr>
            <w:tcW w:w="9209" w:type="dxa"/>
          </w:tcPr>
          <w:p w14:paraId="3D55FEAA" w14:textId="77777777" w:rsidR="00F443FB" w:rsidRPr="00F443FB" w:rsidRDefault="00F443FB" w:rsidP="00125F6B">
            <w:pPr>
              <w:jc w:val="center"/>
              <w:rPr>
                <w:rFonts w:eastAsia="Calibri"/>
                <w:sz w:val="22"/>
                <w:szCs w:val="26"/>
                <w:lang w:val="es-ES" w:eastAsia="en-US"/>
              </w:rPr>
            </w:pPr>
            <w:r w:rsidRPr="00F443FB">
              <w:rPr>
                <w:rFonts w:eastAsia="Calibri"/>
                <w:noProof/>
                <w:sz w:val="22"/>
                <w:szCs w:val="26"/>
                <w:lang w:eastAsia="es-MX"/>
              </w:rPr>
              <w:drawing>
                <wp:inline distT="0" distB="0" distL="0" distR="0" wp14:anchorId="5391CAE8" wp14:editId="1B22115B">
                  <wp:extent cx="4921240" cy="3240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1238"/>
                          <a:stretch/>
                        </pic:blipFill>
                        <pic:spPr bwMode="auto">
                          <a:xfrm>
                            <a:off x="0" y="0"/>
                            <a:ext cx="492124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7C98DE8D" w14:textId="77777777" w:rsidTr="00F443FB">
        <w:tc>
          <w:tcPr>
            <w:tcW w:w="9209" w:type="dxa"/>
          </w:tcPr>
          <w:p w14:paraId="4C97F4D8" w14:textId="77777777" w:rsidR="00F443FB" w:rsidRPr="00F443FB" w:rsidRDefault="00F443FB" w:rsidP="00125F6B">
            <w:pPr>
              <w:ind w:left="1593" w:right="879" w:hanging="850"/>
              <w:jc w:val="both"/>
              <w:rPr>
                <w:rFonts w:eastAsia="Calibri"/>
                <w:sz w:val="20"/>
                <w:szCs w:val="26"/>
                <w:lang w:val="es-ES" w:eastAsia="en-US"/>
              </w:rPr>
            </w:pPr>
            <w:r w:rsidRPr="00F443FB">
              <w:rPr>
                <w:rFonts w:eastAsia="Calibri"/>
                <w:sz w:val="20"/>
                <w:szCs w:val="26"/>
                <w:lang w:val="es-ES" w:eastAsia="en-US"/>
              </w:rPr>
              <w:t>FUENTE: Banco Mundial (2012).</w:t>
            </w:r>
          </w:p>
        </w:tc>
      </w:tr>
    </w:tbl>
    <w:p w14:paraId="0F9ED07F" w14:textId="77777777" w:rsidR="00F443FB" w:rsidRPr="00F443FB" w:rsidRDefault="00F443FB" w:rsidP="00F443FB">
      <w:pPr>
        <w:spacing w:after="360" w:line="360" w:lineRule="auto"/>
        <w:ind w:right="-159"/>
        <w:jc w:val="both"/>
        <w:rPr>
          <w:rFonts w:eastAsia="Calibri"/>
          <w:sz w:val="26"/>
          <w:szCs w:val="26"/>
          <w:lang w:val="es-ES" w:eastAsia="en-US"/>
        </w:rPr>
      </w:pPr>
    </w:p>
    <w:p w14:paraId="5AB1429F"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Al establecer subsidios a los energéticos mayormente en países con un bajo nivel de ingreso, se esperaría que se tratara de un medio eficiente para proteger el ingreso real de la población, especialmente de la porción de menor ingreso. Sin embargo, la evidencia indica resultados distintos, debido a que generalmente el beneficio de los subsidios a los energéticos tiende a ser mayor para la población de mayor ingreso,  como se puede observar en la gráfica siguiente, en donde se muestra que la proporción del subsidio total que recibe el quintil más pobre de la población se encuentra entre el 5 y el 15% (AIE, 2011), dependiendo del energético en cuestión, siendo los más regresivos a nivel mundial los subsidios al gas natural, las gasolinas y el diésel. En el año 2010, tan sólo el 8% del gasto total en subsidios a los combustibles fósiles a nivel mundial se dedicó al 20% más pobre de la población (AIE, 2011).</w:t>
      </w:r>
    </w:p>
    <w:p w14:paraId="789B826B" w14:textId="77777777" w:rsidR="000170C9" w:rsidRDefault="000170C9" w:rsidP="00F443FB">
      <w:pPr>
        <w:spacing w:after="360" w:line="360" w:lineRule="auto"/>
        <w:ind w:right="-159"/>
        <w:jc w:val="both"/>
        <w:rPr>
          <w:rFonts w:eastAsia="Calibri"/>
          <w:sz w:val="26"/>
          <w:szCs w:val="26"/>
          <w:lang w:val="es-ES" w:eastAsia="en-US"/>
        </w:rPr>
      </w:pPr>
    </w:p>
    <w:p w14:paraId="00E74699" w14:textId="77777777" w:rsidR="000170C9" w:rsidRPr="00F443FB" w:rsidRDefault="000170C9" w:rsidP="00304A53">
      <w:pPr>
        <w:spacing w:after="12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4157C556" w14:textId="77777777" w:rsidTr="00F443FB">
        <w:tc>
          <w:tcPr>
            <w:tcW w:w="9209" w:type="dxa"/>
          </w:tcPr>
          <w:p w14:paraId="5D55A73A"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PROPORCIÓN DE LOS SUBSIDIOS A LOS COMBUSTIBLES FÓSILES QUE</w:t>
            </w:r>
          </w:p>
          <w:p w14:paraId="39FD3144"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SE OTORGA AL 20% DE LA POBLACIÓN CON MENOR INGRESO EN 2010</w:t>
            </w:r>
          </w:p>
        </w:tc>
      </w:tr>
      <w:tr w:rsidR="00F443FB" w:rsidRPr="00F443FB" w14:paraId="58CCE494" w14:textId="77777777" w:rsidTr="00F443FB">
        <w:tc>
          <w:tcPr>
            <w:tcW w:w="9209" w:type="dxa"/>
          </w:tcPr>
          <w:p w14:paraId="5F3A4098" w14:textId="77777777" w:rsidR="00F443FB" w:rsidRPr="00F443FB" w:rsidRDefault="00F443FB" w:rsidP="00125F6B">
            <w:pPr>
              <w:jc w:val="center"/>
              <w:rPr>
                <w:rFonts w:eastAsia="Calibri"/>
                <w:sz w:val="22"/>
                <w:szCs w:val="26"/>
                <w:lang w:val="es-ES" w:eastAsia="en-US"/>
              </w:rPr>
            </w:pPr>
            <w:r w:rsidRPr="00F443FB">
              <w:rPr>
                <w:rFonts w:eastAsia="Calibri"/>
                <w:noProof/>
                <w:sz w:val="22"/>
                <w:szCs w:val="26"/>
                <w:lang w:eastAsia="es-MX"/>
              </w:rPr>
              <w:drawing>
                <wp:inline distT="0" distB="0" distL="0" distR="0" wp14:anchorId="05009931" wp14:editId="0301AB12">
                  <wp:extent cx="5282592" cy="3240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583" b="1411"/>
                          <a:stretch/>
                        </pic:blipFill>
                        <pic:spPr bwMode="auto">
                          <a:xfrm>
                            <a:off x="0" y="0"/>
                            <a:ext cx="5282592"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44F7C583" w14:textId="77777777" w:rsidTr="00F443FB">
        <w:tc>
          <w:tcPr>
            <w:tcW w:w="9209" w:type="dxa"/>
          </w:tcPr>
          <w:p w14:paraId="4769E80B" w14:textId="77777777" w:rsidR="00F443FB" w:rsidRPr="00F443FB" w:rsidRDefault="00F443FB" w:rsidP="00125F6B">
            <w:pPr>
              <w:ind w:left="1593" w:right="879" w:hanging="850"/>
              <w:jc w:val="both"/>
              <w:rPr>
                <w:rFonts w:eastAsia="Calibri"/>
                <w:sz w:val="20"/>
                <w:szCs w:val="26"/>
                <w:lang w:val="es-ES" w:eastAsia="en-US"/>
              </w:rPr>
            </w:pPr>
            <w:r w:rsidRPr="00F443FB">
              <w:rPr>
                <w:rFonts w:eastAsia="Calibri"/>
                <w:sz w:val="20"/>
                <w:szCs w:val="26"/>
                <w:lang w:val="es-ES" w:eastAsia="en-US"/>
              </w:rPr>
              <w:t>FUENTE: Elaborado por el CIDAC con datos de AIE (2011).</w:t>
            </w:r>
          </w:p>
        </w:tc>
      </w:tr>
    </w:tbl>
    <w:p w14:paraId="7061126C" w14:textId="77777777" w:rsidR="00F443FB" w:rsidRPr="00F443FB" w:rsidRDefault="00F443FB" w:rsidP="00F443FB">
      <w:pPr>
        <w:spacing w:after="360" w:line="360" w:lineRule="auto"/>
        <w:ind w:right="-159"/>
        <w:jc w:val="both"/>
        <w:rPr>
          <w:rFonts w:eastAsia="Calibri"/>
          <w:sz w:val="26"/>
          <w:szCs w:val="26"/>
          <w:lang w:val="es-ES" w:eastAsia="en-US"/>
        </w:rPr>
      </w:pPr>
    </w:p>
    <w:p w14:paraId="570C9F49"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regresividad de los subsidios a los energéticos puede variar en función de cada país. Por ejemplo, Vagliasindi (2012) estudió las encuestas de ingreso y gasto de diferentes países para conocer el monto del subsidio a las gasolinas que se destina a cada decil de ingreso para cinco países: Ghana, India, Paquistán, Egipto e Indonesia, los cuales son países en vías de desarrollo y con un ingreso per cápita menor al de México. Los resultados demuestran resultados distintos por país, aunque es necesario destacar que en todos los casos, la política de subsidios a las gasolinas era notoriamente regresiva, tal y como se puede observar en la gráfica siguiente.</w:t>
      </w:r>
    </w:p>
    <w:p w14:paraId="710D6E65" w14:textId="77777777" w:rsidR="000170C9" w:rsidRDefault="000170C9" w:rsidP="00F443FB">
      <w:pPr>
        <w:spacing w:after="360" w:line="360" w:lineRule="auto"/>
        <w:ind w:right="-159"/>
        <w:jc w:val="both"/>
        <w:rPr>
          <w:rFonts w:eastAsia="Calibri"/>
          <w:sz w:val="26"/>
          <w:szCs w:val="26"/>
          <w:lang w:val="es-ES" w:eastAsia="en-US"/>
        </w:rPr>
      </w:pPr>
    </w:p>
    <w:p w14:paraId="2B50FBC0" w14:textId="77777777" w:rsidR="000170C9" w:rsidRPr="00F443FB" w:rsidRDefault="000170C9"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6F1FD7CD" w14:textId="77777777" w:rsidTr="00F443FB">
        <w:tc>
          <w:tcPr>
            <w:tcW w:w="9209" w:type="dxa"/>
          </w:tcPr>
          <w:p w14:paraId="1A479CA6"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lastRenderedPageBreak/>
              <w:t>GASTO EN GASOLINAS COMO PORCENTAJE DEL INGRESO TOTAL</w:t>
            </w:r>
          </w:p>
          <w:p w14:paraId="485139B6"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PARA LOS QUINTILES DE MAYOR Y MENOR INGRESO</w:t>
            </w:r>
          </w:p>
        </w:tc>
      </w:tr>
      <w:tr w:rsidR="00F443FB" w:rsidRPr="00F443FB" w14:paraId="204A5A16" w14:textId="77777777" w:rsidTr="00F443FB">
        <w:tc>
          <w:tcPr>
            <w:tcW w:w="9209" w:type="dxa"/>
          </w:tcPr>
          <w:p w14:paraId="33A6C7C3" w14:textId="77777777" w:rsidR="00F443FB" w:rsidRPr="00F443FB" w:rsidRDefault="00F443FB" w:rsidP="00125F6B">
            <w:pPr>
              <w:jc w:val="center"/>
              <w:rPr>
                <w:rFonts w:eastAsia="Calibri"/>
                <w:sz w:val="22"/>
                <w:szCs w:val="26"/>
                <w:lang w:val="es-ES" w:eastAsia="en-US"/>
              </w:rPr>
            </w:pPr>
            <w:r w:rsidRPr="00F443FB">
              <w:rPr>
                <w:rFonts w:eastAsia="Calibri"/>
                <w:noProof/>
                <w:sz w:val="22"/>
                <w:szCs w:val="26"/>
                <w:lang w:eastAsia="es-MX"/>
              </w:rPr>
              <w:drawing>
                <wp:inline distT="0" distB="0" distL="0" distR="0" wp14:anchorId="720C82D7" wp14:editId="65045FE0">
                  <wp:extent cx="5202128" cy="3240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161" b="1411"/>
                          <a:stretch/>
                        </pic:blipFill>
                        <pic:spPr bwMode="auto">
                          <a:xfrm>
                            <a:off x="0" y="0"/>
                            <a:ext cx="5202128"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34FFB5BD" w14:textId="77777777" w:rsidTr="00F443FB">
        <w:tc>
          <w:tcPr>
            <w:tcW w:w="9209" w:type="dxa"/>
          </w:tcPr>
          <w:p w14:paraId="5F6EB417" w14:textId="77777777" w:rsidR="00F443FB" w:rsidRPr="00F443FB" w:rsidRDefault="00F443FB" w:rsidP="00125F6B">
            <w:pPr>
              <w:ind w:left="1593" w:right="879" w:hanging="850"/>
              <w:jc w:val="both"/>
              <w:rPr>
                <w:rFonts w:eastAsia="Calibri"/>
                <w:sz w:val="20"/>
                <w:szCs w:val="26"/>
                <w:lang w:val="es-ES" w:eastAsia="en-US"/>
              </w:rPr>
            </w:pPr>
            <w:r w:rsidRPr="00F443FB">
              <w:rPr>
                <w:rFonts w:eastAsia="Calibri"/>
                <w:sz w:val="20"/>
                <w:szCs w:val="26"/>
                <w:lang w:val="es-ES" w:eastAsia="en-US"/>
              </w:rPr>
              <w:t>FUENTE: Elaborado por BM, (2012), con datos de Vagliasindi (2012).</w:t>
            </w:r>
          </w:p>
        </w:tc>
      </w:tr>
    </w:tbl>
    <w:p w14:paraId="50EBF644" w14:textId="77777777" w:rsidR="00F443FB" w:rsidRPr="00F443FB" w:rsidRDefault="00F443FB" w:rsidP="00F443FB">
      <w:pPr>
        <w:spacing w:after="360" w:line="360" w:lineRule="auto"/>
        <w:ind w:right="-159"/>
        <w:jc w:val="both"/>
        <w:rPr>
          <w:rFonts w:eastAsia="Calibri"/>
          <w:sz w:val="26"/>
          <w:szCs w:val="26"/>
          <w:lang w:val="es-ES" w:eastAsia="en-US"/>
        </w:rPr>
      </w:pPr>
    </w:p>
    <w:p w14:paraId="07536A0B" w14:textId="711FF0C5"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Es necesario mencionar que existen ciertas excepciones en las que los subsidios a los energéticos han beneficiado en mayor medida a la población de menor ingreso, como en el caso de los subsidios al queroseno en Ghana, en donde, de acuerdo </w:t>
      </w:r>
      <w:r w:rsidR="00A51FDD">
        <w:rPr>
          <w:rFonts w:eastAsia="Calibri"/>
          <w:sz w:val="26"/>
          <w:szCs w:val="26"/>
          <w:lang w:val="es-ES" w:eastAsia="en-US"/>
        </w:rPr>
        <w:t>con</w:t>
      </w:r>
      <w:r w:rsidRPr="00F443FB">
        <w:rPr>
          <w:rFonts w:eastAsia="Calibri"/>
          <w:sz w:val="26"/>
          <w:szCs w:val="26"/>
          <w:lang w:val="es-ES" w:eastAsia="en-US"/>
        </w:rPr>
        <w:t xml:space="preserve"> este mismo estudio, el quintil de menor ingreso recibe más de tres veces el monto total de subsidios otorgados hacia el quintil de mayor ingreso. Sin embargo, los resultados generales indican que aplicar una política de subsidios a los energéticos principalmente beneficia más a la población de mayor ingreso.</w:t>
      </w:r>
    </w:p>
    <w:p w14:paraId="2617EB95" w14:textId="40788E7C"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Lo cierto es que existen instrumentos más efectivos para la protección del ingreso de la población más vulnerable, como por ejemplo las transferencias monetarias específicamente diseñadas para la población de menor ingreso. Los resultados sobre la focalización de dichos instrumentos varían de acuerdo </w:t>
      </w:r>
      <w:r w:rsidR="00A51FDD">
        <w:rPr>
          <w:rFonts w:eastAsia="Calibri"/>
          <w:sz w:val="26"/>
          <w:szCs w:val="26"/>
          <w:lang w:val="es-ES" w:eastAsia="en-US"/>
        </w:rPr>
        <w:t>con</w:t>
      </w:r>
      <w:r w:rsidRPr="00F443FB">
        <w:rPr>
          <w:rFonts w:eastAsia="Calibri"/>
          <w:sz w:val="26"/>
          <w:szCs w:val="26"/>
          <w:lang w:val="es-ES" w:eastAsia="en-US"/>
        </w:rPr>
        <w:t xml:space="preserve"> cada país. De acuerdo con la OCDE, en un estudio realizado mediante una muestra de 24 países y sus más importantes programas de combate a la pobreza, se tiene que este tipo de programas </w:t>
      </w:r>
      <w:r w:rsidRPr="00F443FB">
        <w:rPr>
          <w:rFonts w:eastAsia="Calibri"/>
          <w:sz w:val="26"/>
          <w:szCs w:val="26"/>
          <w:lang w:val="es-ES" w:eastAsia="en-US"/>
        </w:rPr>
        <w:lastRenderedPageBreak/>
        <w:t>han demostrado otorgar entre el 30 y el 80% de sus beneficios al 20% de la población con el menor ingreso (AIE y OCDE, 2010), demostrando así una efectividad redistributiva significativamente mayor a la que se observa generalmente en los subsidios a los energéticos.</w:t>
      </w:r>
    </w:p>
    <w:tbl>
      <w:tblPr>
        <w:tblW w:w="9209" w:type="dxa"/>
        <w:tblLook w:val="04A0" w:firstRow="1" w:lastRow="0" w:firstColumn="1" w:lastColumn="0" w:noHBand="0" w:noVBand="1"/>
      </w:tblPr>
      <w:tblGrid>
        <w:gridCol w:w="9209"/>
      </w:tblGrid>
      <w:tr w:rsidR="00B6014F" w:rsidRPr="00B6014F" w14:paraId="67F084E2" w14:textId="77777777" w:rsidTr="00AF5CB1">
        <w:tc>
          <w:tcPr>
            <w:tcW w:w="9209" w:type="dxa"/>
          </w:tcPr>
          <w:p w14:paraId="6FAA2934" w14:textId="77777777" w:rsidR="00B6014F" w:rsidRPr="00B6014F" w:rsidRDefault="00B6014F" w:rsidP="00B6014F">
            <w:pPr>
              <w:jc w:val="center"/>
              <w:rPr>
                <w:rFonts w:eastAsia="Calibri"/>
                <w:b/>
                <w:sz w:val="22"/>
                <w:szCs w:val="26"/>
                <w:lang w:val="es-ES" w:eastAsia="en-US"/>
              </w:rPr>
            </w:pPr>
            <w:r w:rsidRPr="00B6014F">
              <w:rPr>
                <w:rFonts w:eastAsia="Calibri"/>
                <w:b/>
                <w:sz w:val="22"/>
                <w:szCs w:val="26"/>
                <w:lang w:val="es-ES" w:eastAsia="en-US"/>
              </w:rPr>
              <w:t>PORCENTAJE DE LOS BENEFICIOS QUE SE DESTINA AL 20% DE MENOR INGRESO</w:t>
            </w:r>
          </w:p>
          <w:p w14:paraId="6DFB9784" w14:textId="77777777" w:rsidR="00B6014F" w:rsidRPr="00B6014F" w:rsidRDefault="00B6014F" w:rsidP="00B6014F">
            <w:pPr>
              <w:jc w:val="center"/>
              <w:rPr>
                <w:rFonts w:eastAsia="Calibri"/>
                <w:b/>
                <w:sz w:val="22"/>
                <w:szCs w:val="26"/>
                <w:lang w:val="es-ES" w:eastAsia="en-US"/>
              </w:rPr>
            </w:pPr>
            <w:r w:rsidRPr="00B6014F">
              <w:rPr>
                <w:rFonts w:eastAsia="Calibri"/>
                <w:b/>
                <w:sz w:val="22"/>
                <w:szCs w:val="26"/>
                <w:lang w:val="es-ES" w:eastAsia="en-US"/>
              </w:rPr>
              <w:t>-Programas orientados a la erradicación de la pobreza, 2005-2008-</w:t>
            </w:r>
          </w:p>
        </w:tc>
      </w:tr>
      <w:tr w:rsidR="00B6014F" w:rsidRPr="00B6014F" w14:paraId="15F4F353" w14:textId="77777777" w:rsidTr="00AF5CB1">
        <w:tc>
          <w:tcPr>
            <w:tcW w:w="9209" w:type="dxa"/>
          </w:tcPr>
          <w:p w14:paraId="1126BB87" w14:textId="77777777" w:rsidR="00B6014F" w:rsidRPr="00B6014F" w:rsidRDefault="00B6014F" w:rsidP="00B6014F">
            <w:pPr>
              <w:jc w:val="center"/>
              <w:rPr>
                <w:rFonts w:eastAsia="Calibri"/>
                <w:sz w:val="22"/>
                <w:szCs w:val="26"/>
                <w:lang w:val="es-ES" w:eastAsia="en-US"/>
              </w:rPr>
            </w:pPr>
            <w:r w:rsidRPr="00B6014F">
              <w:rPr>
                <w:rFonts w:eastAsia="Calibri"/>
                <w:noProof/>
                <w:sz w:val="22"/>
                <w:szCs w:val="26"/>
                <w:lang w:eastAsia="es-MX"/>
              </w:rPr>
              <w:drawing>
                <wp:inline distT="0" distB="0" distL="0" distR="0" wp14:anchorId="2163A234" wp14:editId="06527BA9">
                  <wp:extent cx="5479376" cy="32400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120" b="1715"/>
                          <a:stretch/>
                        </pic:blipFill>
                        <pic:spPr bwMode="auto">
                          <a:xfrm>
                            <a:off x="0" y="0"/>
                            <a:ext cx="547937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6014F" w:rsidRPr="00B6014F" w14:paraId="13E7097C" w14:textId="77777777" w:rsidTr="00AF5CB1">
        <w:tc>
          <w:tcPr>
            <w:tcW w:w="9209" w:type="dxa"/>
          </w:tcPr>
          <w:p w14:paraId="7127835A" w14:textId="77777777" w:rsidR="00B6014F" w:rsidRPr="00B6014F" w:rsidRDefault="00B6014F" w:rsidP="00B6014F">
            <w:pPr>
              <w:ind w:left="1593" w:right="879" w:hanging="850"/>
              <w:jc w:val="both"/>
              <w:rPr>
                <w:rFonts w:eastAsia="Calibri"/>
                <w:sz w:val="20"/>
                <w:szCs w:val="26"/>
                <w:lang w:val="es-ES" w:eastAsia="en-US"/>
              </w:rPr>
            </w:pPr>
            <w:r w:rsidRPr="00B6014F">
              <w:rPr>
                <w:rFonts w:eastAsia="Calibri"/>
                <w:sz w:val="20"/>
                <w:szCs w:val="26"/>
                <w:lang w:val="es-ES" w:eastAsia="en-US"/>
              </w:rPr>
              <w:t>FUENTE: Elaborado por BM, (2012), con datos de Vagliasindi (2012).</w:t>
            </w:r>
          </w:p>
        </w:tc>
      </w:tr>
    </w:tbl>
    <w:p w14:paraId="010B2463" w14:textId="77777777" w:rsidR="00B6014F" w:rsidRDefault="00B6014F" w:rsidP="00B6014F">
      <w:pPr>
        <w:spacing w:after="360" w:line="360" w:lineRule="auto"/>
        <w:ind w:right="-159"/>
        <w:jc w:val="center"/>
        <w:rPr>
          <w:rFonts w:eastAsia="Calibri"/>
          <w:sz w:val="26"/>
          <w:szCs w:val="26"/>
          <w:lang w:val="es-ES" w:eastAsia="en-US"/>
        </w:rPr>
      </w:pPr>
    </w:p>
    <w:p w14:paraId="5CBDAA9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Trasladar los recursos que se destinan a los subsidios a los energéticos hacia programas de combate a la pobreza beneficiaría a la población de menor ingreso. Sin embargo, ésta es tan sólo una de las múltiples alternativas. La evidencia cuantitativa recopilada por el Fondo Monetario Internacional (FMI, 2013a) indica que en diversos países se podría multiplicar el presupuesto de educación o de salud si se traspasaran los recursos que se dedican al subsidio a los energéticos hacia estos rubros en particular. Para diversos países en desarrollo, o incluso en países desarrollados, la cobertura del sistema de salud y de educación no es suficiente, o la calidad de dichos servicios se concentra en los sistemas privados de paga con un nulo o limitado acceso para la población de </w:t>
      </w:r>
      <w:r w:rsidRPr="00F443FB">
        <w:rPr>
          <w:rFonts w:eastAsia="Calibri"/>
          <w:sz w:val="26"/>
          <w:szCs w:val="26"/>
          <w:lang w:val="es-ES" w:eastAsia="en-US"/>
        </w:rPr>
        <w:lastRenderedPageBreak/>
        <w:t>menor ingreso. Por lo que, reorientar el gasto hacia rubros como educación o salud podría tener un beneficio significativo. En la gráfica siguiente se puede observar que en algunos países como Uzbekistán, el gasto en salud y educación se podría más que quintuplicar si se liberaran los recursos destinados a los subsidios a los energéticos.</w:t>
      </w:r>
    </w:p>
    <w:tbl>
      <w:tblPr>
        <w:tblW w:w="9209" w:type="dxa"/>
        <w:tblLook w:val="04A0" w:firstRow="1" w:lastRow="0" w:firstColumn="1" w:lastColumn="0" w:noHBand="0" w:noVBand="1"/>
      </w:tblPr>
      <w:tblGrid>
        <w:gridCol w:w="10064"/>
      </w:tblGrid>
      <w:tr w:rsidR="00F443FB" w:rsidRPr="00F443FB" w14:paraId="231E527E" w14:textId="77777777" w:rsidTr="00F443FB">
        <w:tc>
          <w:tcPr>
            <w:tcW w:w="9209" w:type="dxa"/>
          </w:tcPr>
          <w:p w14:paraId="7346B5B3"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GASTO PÚBLICO EN LOS SUBSIDIOS A LOS ENERGÉTICOS,</w:t>
            </w:r>
          </w:p>
          <w:p w14:paraId="7AB59979"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EDUCACIÓN Y SALUD</w:t>
            </w:r>
          </w:p>
          <w:p w14:paraId="23CDA421"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-Porcentaje del PIB-</w:t>
            </w:r>
          </w:p>
        </w:tc>
      </w:tr>
      <w:tr w:rsidR="00F443FB" w:rsidRPr="00F443FB" w14:paraId="4BA3ADCA" w14:textId="77777777" w:rsidTr="00F443FB">
        <w:tc>
          <w:tcPr>
            <w:tcW w:w="9209" w:type="dxa"/>
          </w:tcPr>
          <w:p w14:paraId="5D4F70B5" w14:textId="77777777" w:rsidR="00F443FB" w:rsidRPr="00F443FB" w:rsidRDefault="00F443FB" w:rsidP="00125F6B">
            <w:pPr>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46CA19D9" wp14:editId="524E6369">
                  <wp:extent cx="6321885" cy="21600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678" b="1658"/>
                          <a:stretch/>
                        </pic:blipFill>
                        <pic:spPr bwMode="auto">
                          <a:xfrm>
                            <a:off x="0" y="0"/>
                            <a:ext cx="6321885"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2D591719" w14:textId="77777777" w:rsidTr="00F443FB">
        <w:tc>
          <w:tcPr>
            <w:tcW w:w="9209" w:type="dxa"/>
          </w:tcPr>
          <w:p w14:paraId="614EF6A6" w14:textId="77777777" w:rsidR="00F443FB" w:rsidRPr="00F443FB" w:rsidRDefault="00F443FB" w:rsidP="00125F6B">
            <w:pPr>
              <w:ind w:left="1593" w:right="879" w:hanging="1593"/>
              <w:jc w:val="both"/>
              <w:rPr>
                <w:rFonts w:eastAsia="Calibri"/>
                <w:sz w:val="20"/>
                <w:szCs w:val="26"/>
                <w:lang w:val="es-ES" w:eastAsia="en-US"/>
              </w:rPr>
            </w:pPr>
            <w:r w:rsidRPr="00F443FB">
              <w:rPr>
                <w:rFonts w:eastAsia="Calibri"/>
                <w:sz w:val="20"/>
                <w:szCs w:val="26"/>
                <w:lang w:val="es-ES" w:eastAsia="en-US"/>
              </w:rPr>
              <w:t>FUENTE: Fondo Monetario Internacional (2013a).</w:t>
            </w:r>
          </w:p>
        </w:tc>
      </w:tr>
    </w:tbl>
    <w:p w14:paraId="4DD7D6EC" w14:textId="77777777" w:rsidR="00F443FB" w:rsidRPr="00F443FB" w:rsidRDefault="00F443FB" w:rsidP="00F443FB">
      <w:pPr>
        <w:spacing w:after="360" w:line="360" w:lineRule="auto"/>
        <w:ind w:right="-159"/>
        <w:jc w:val="both"/>
        <w:rPr>
          <w:rFonts w:eastAsia="Calibri"/>
          <w:sz w:val="26"/>
          <w:szCs w:val="26"/>
          <w:lang w:val="es-ES" w:eastAsia="en-US"/>
        </w:rPr>
      </w:pPr>
    </w:p>
    <w:p w14:paraId="6C5D0874"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México, de acuerdo a Scott (2014), los recursos destinados a los subsidios a los energéticos superan el gasto público en múltiples rubros importantes, como se puede observar en la gráfica siguiente. En el año 2012, los subsidios al gas LP representaron un monto equivalente al presupuesto nacional en becas para la educación, el subsidio a las tarifas eléctricas residenciales fue similar al gasto en educación media, y superó el gasto público en el programa oportunidades y en el seguro popular. Por otra parte, el subsidio a las gasolinas fue el que ocupó mayores recursos de los subsidios a los energéticos, y fue superior al gasto en salud del Instituto Mexicano del Seguro Social (IMSS) o al gasto en pensiones de este mismo Instituto. Los recursos destinados a dichos subsidios implicaron un gasto regresivo, es decir, se benefició en mayor medida a la población de mayor ingreso, a diferencia de los programas sociales como 70 y más, </w:t>
      </w:r>
      <w:r w:rsidRPr="00F443FB">
        <w:rPr>
          <w:rFonts w:eastAsia="Calibri"/>
          <w:sz w:val="26"/>
          <w:szCs w:val="26"/>
          <w:lang w:val="es-ES" w:eastAsia="en-US"/>
        </w:rPr>
        <w:lastRenderedPageBreak/>
        <w:t>Procampo, o el programa Oportunidades, cuyos beneficios se focalizaron a la porción más vulnerable de la población, como se observa en la gráfica siguiente.</w:t>
      </w:r>
    </w:p>
    <w:tbl>
      <w:tblPr>
        <w:tblW w:w="9209" w:type="dxa"/>
        <w:tblLook w:val="04A0" w:firstRow="1" w:lastRow="0" w:firstColumn="1" w:lastColumn="0" w:noHBand="0" w:noVBand="1"/>
      </w:tblPr>
      <w:tblGrid>
        <w:gridCol w:w="9209"/>
      </w:tblGrid>
      <w:tr w:rsidR="00F443FB" w:rsidRPr="00F443FB" w14:paraId="1F269250" w14:textId="77777777" w:rsidTr="00F443FB">
        <w:tc>
          <w:tcPr>
            <w:tcW w:w="9209" w:type="dxa"/>
          </w:tcPr>
          <w:p w14:paraId="481A397C"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GASTO PÚBLICO Y NIVEL DE PROGRESIVIDAD EN 2010 Y 2012</w:t>
            </w:r>
            <w:r w:rsidRPr="00F443FB">
              <w:rPr>
                <w:rFonts w:eastAsia="Calibri"/>
                <w:b/>
                <w:sz w:val="22"/>
                <w:szCs w:val="26"/>
                <w:u w:val="single"/>
                <w:vertAlign w:val="superscript"/>
                <w:lang w:val="es-ES" w:eastAsia="en-US"/>
              </w:rPr>
              <w:t>a</w:t>
            </w:r>
            <w:r w:rsidRPr="00F443FB">
              <w:rPr>
                <w:rFonts w:eastAsia="Calibri"/>
                <w:b/>
                <w:sz w:val="22"/>
                <w:szCs w:val="26"/>
                <w:vertAlign w:val="superscript"/>
                <w:lang w:val="es-ES" w:eastAsia="en-US"/>
              </w:rPr>
              <w:t>/</w:t>
            </w:r>
          </w:p>
          <w:p w14:paraId="311C20E4"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-Porcentaje del PIB-</w:t>
            </w:r>
          </w:p>
        </w:tc>
      </w:tr>
      <w:tr w:rsidR="00F443FB" w:rsidRPr="00F443FB" w14:paraId="7BEFBEEB" w14:textId="77777777" w:rsidTr="00F443FB">
        <w:tc>
          <w:tcPr>
            <w:tcW w:w="9209" w:type="dxa"/>
          </w:tcPr>
          <w:p w14:paraId="25C7C57B" w14:textId="77777777" w:rsidR="00F443FB" w:rsidRPr="00F443FB" w:rsidRDefault="00F443FB" w:rsidP="00125F6B">
            <w:pPr>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24489B39" wp14:editId="107798A6">
                  <wp:extent cx="5289863" cy="3420000"/>
                  <wp:effectExtent l="0" t="0" r="0" b="952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4827" b="1208"/>
                          <a:stretch/>
                        </pic:blipFill>
                        <pic:spPr bwMode="auto">
                          <a:xfrm>
                            <a:off x="0" y="0"/>
                            <a:ext cx="5289863"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226ED31C" w14:textId="77777777" w:rsidTr="00F443FB">
        <w:tc>
          <w:tcPr>
            <w:tcW w:w="9209" w:type="dxa"/>
          </w:tcPr>
          <w:p w14:paraId="377C4943" w14:textId="77777777" w:rsidR="00F443FB" w:rsidRPr="00F443FB" w:rsidRDefault="00F443FB" w:rsidP="00125F6B">
            <w:pPr>
              <w:ind w:left="459" w:right="454" w:hanging="141"/>
              <w:jc w:val="both"/>
              <w:rPr>
                <w:rFonts w:eastAsia="Calibri"/>
                <w:sz w:val="20"/>
                <w:szCs w:val="26"/>
                <w:lang w:val="es-ES" w:eastAsia="en-US"/>
              </w:rPr>
            </w:pPr>
            <w:r w:rsidRPr="00F443FB">
              <w:rPr>
                <w:rFonts w:eastAsia="Calibri"/>
                <w:sz w:val="20"/>
                <w:szCs w:val="26"/>
                <w:u w:val="single"/>
                <w:lang w:val="es-ES" w:eastAsia="en-US"/>
              </w:rPr>
              <w:t>a</w:t>
            </w:r>
            <w:r w:rsidRPr="00F443FB">
              <w:rPr>
                <w:rFonts w:eastAsia="Calibri"/>
                <w:sz w:val="20"/>
                <w:szCs w:val="26"/>
                <w:lang w:val="es-ES" w:eastAsia="en-US"/>
              </w:rPr>
              <w:t>/ El gasto público está ordenado horizontalmente y representado por el tamaño de la burbuja, mientras que el nivel de progresividad está ordenado verticalmente, en donde 0 =  beneficia más a la población de menor ingreso y 1 = beneficia más a la población de mayor ingreso.</w:t>
            </w:r>
          </w:p>
          <w:p w14:paraId="36136DFA" w14:textId="77777777" w:rsidR="00F443FB" w:rsidRPr="00F443FB" w:rsidRDefault="00F443FB" w:rsidP="00125F6B">
            <w:pPr>
              <w:ind w:left="1168" w:right="454" w:hanging="850"/>
              <w:jc w:val="both"/>
              <w:rPr>
                <w:rFonts w:eastAsia="Calibri"/>
                <w:sz w:val="20"/>
                <w:szCs w:val="26"/>
                <w:lang w:val="es-ES" w:eastAsia="en-US"/>
              </w:rPr>
            </w:pPr>
            <w:r w:rsidRPr="00F443FB">
              <w:rPr>
                <w:rFonts w:eastAsia="Calibri"/>
                <w:sz w:val="20"/>
                <w:szCs w:val="26"/>
                <w:lang w:val="es-ES" w:eastAsia="en-US"/>
              </w:rPr>
              <w:t>FUENTE: Scott (2014) con datos de las cuentas públicas de 2010 y 2012 y la Encuesta Nacional de Ingreso y Gasto de los Hogares.</w:t>
            </w:r>
          </w:p>
        </w:tc>
      </w:tr>
    </w:tbl>
    <w:p w14:paraId="10A590FF" w14:textId="77777777" w:rsidR="00F443FB" w:rsidRPr="00F443FB" w:rsidRDefault="00F443FB" w:rsidP="00F443FB">
      <w:pPr>
        <w:spacing w:after="360" w:line="360" w:lineRule="auto"/>
        <w:ind w:right="-159"/>
        <w:jc w:val="both"/>
        <w:rPr>
          <w:rFonts w:eastAsia="Calibri"/>
          <w:sz w:val="26"/>
          <w:szCs w:val="26"/>
          <w:lang w:val="es-ES" w:eastAsia="en-US"/>
        </w:rPr>
      </w:pPr>
    </w:p>
    <w:p w14:paraId="3AB8467A" w14:textId="6BFF052F"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La evidencia cuantitativa indica que los subsidios a los energéticos no solamente contribuyen a la polarización del ingreso, sino que disminuyen el ingreso promedio de toda la población.  De acuerdo </w:t>
      </w:r>
      <w:r w:rsidR="00A51FDD">
        <w:rPr>
          <w:rFonts w:eastAsia="Calibri"/>
          <w:sz w:val="26"/>
          <w:szCs w:val="26"/>
          <w:lang w:val="es-ES" w:eastAsia="en-US"/>
        </w:rPr>
        <w:t>con l</w:t>
      </w:r>
      <w:r w:rsidRPr="00F443FB">
        <w:rPr>
          <w:rFonts w:eastAsia="Calibri"/>
          <w:sz w:val="26"/>
          <w:szCs w:val="26"/>
          <w:lang w:val="es-ES" w:eastAsia="en-US"/>
        </w:rPr>
        <w:t>a OCDE (2010b), la eliminación de subsidios al interior de un país tendría efectos positivos en el ingreso promedio de su población, inclusive en el caso de los países exportadores de petróleo. Se puede tomar como ejemplo el análisis que este mismo estudio realizó para el caso de Rusia, en donde se estima que la eliminación de los subsidios en el mercado doméstico elevaría su ingreso per cápita en más del 2% para el año 2050, con respecto al escenario en donde no se eliminan dichos subsidios, como se puede observar en la gráfica siguiente.</w:t>
      </w:r>
    </w:p>
    <w:tbl>
      <w:tblPr>
        <w:tblW w:w="9209" w:type="dxa"/>
        <w:tblLook w:val="04A0" w:firstRow="1" w:lastRow="0" w:firstColumn="1" w:lastColumn="0" w:noHBand="0" w:noVBand="1"/>
      </w:tblPr>
      <w:tblGrid>
        <w:gridCol w:w="9209"/>
      </w:tblGrid>
      <w:tr w:rsidR="00F443FB" w:rsidRPr="00F443FB" w14:paraId="7FE83B54" w14:textId="77777777" w:rsidTr="00F443FB">
        <w:tc>
          <w:tcPr>
            <w:tcW w:w="9209" w:type="dxa"/>
          </w:tcPr>
          <w:p w14:paraId="4A7486DE"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lastRenderedPageBreak/>
              <w:t>EFECTO ESPERADO EN EL INGRESO REAL POR UNA REMOCIÓN DE</w:t>
            </w:r>
          </w:p>
          <w:p w14:paraId="7366D69A" w14:textId="3176C99F"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SUBSIDIOS EN PAÍSES SELECCIONADOS</w:t>
            </w:r>
            <w:r w:rsidR="00A51FDD">
              <w:rPr>
                <w:rFonts w:eastAsia="Calibri"/>
                <w:b/>
                <w:sz w:val="22"/>
                <w:szCs w:val="26"/>
                <w:lang w:val="es-ES" w:eastAsia="en-US"/>
              </w:rPr>
              <w:t xml:space="preserve"> PARA 2015</w:t>
            </w:r>
          </w:p>
          <w:p w14:paraId="4B43B79F"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-Porcentaje de variación respecto al escenario base-</w:t>
            </w:r>
          </w:p>
        </w:tc>
      </w:tr>
      <w:tr w:rsidR="00F443FB" w:rsidRPr="00F443FB" w14:paraId="26BF8875" w14:textId="77777777" w:rsidTr="00F443FB">
        <w:tc>
          <w:tcPr>
            <w:tcW w:w="9209" w:type="dxa"/>
          </w:tcPr>
          <w:p w14:paraId="0B390D4A" w14:textId="77777777" w:rsidR="00F443FB" w:rsidRPr="00F443FB" w:rsidRDefault="00F443FB" w:rsidP="00125F6B">
            <w:pPr>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5727E1F5" wp14:editId="3014630D">
                  <wp:extent cx="4932115" cy="3060000"/>
                  <wp:effectExtent l="0" t="0" r="0" b="762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5694" b="1236"/>
                          <a:stretch/>
                        </pic:blipFill>
                        <pic:spPr bwMode="auto">
                          <a:xfrm>
                            <a:off x="0" y="0"/>
                            <a:ext cx="493211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3E85BCAC" w14:textId="77777777" w:rsidTr="00F443FB">
        <w:tc>
          <w:tcPr>
            <w:tcW w:w="9209" w:type="dxa"/>
          </w:tcPr>
          <w:p w14:paraId="1CE2A94D" w14:textId="77777777" w:rsidR="00F443FB" w:rsidRPr="00F443FB" w:rsidRDefault="00F443FB" w:rsidP="00125F6B">
            <w:pPr>
              <w:ind w:left="1168" w:right="454" w:hanging="850"/>
              <w:jc w:val="both"/>
              <w:rPr>
                <w:rFonts w:eastAsia="Calibri"/>
                <w:sz w:val="20"/>
                <w:szCs w:val="26"/>
                <w:lang w:val="es-ES" w:eastAsia="en-US"/>
              </w:rPr>
            </w:pPr>
            <w:r w:rsidRPr="00F443FB">
              <w:rPr>
                <w:rFonts w:eastAsia="Calibri"/>
                <w:sz w:val="20"/>
                <w:szCs w:val="26"/>
                <w:lang w:val="es-ES" w:eastAsia="en-US"/>
              </w:rPr>
              <w:t>FUENTE: Organización para la Cooperación y el Desarrollo Económicos, OCDE (2010b).</w:t>
            </w:r>
          </w:p>
        </w:tc>
      </w:tr>
    </w:tbl>
    <w:p w14:paraId="2BA3FA30" w14:textId="77777777" w:rsidR="00F443FB" w:rsidRPr="00F443FB" w:rsidRDefault="00F443FB" w:rsidP="00F443FB">
      <w:pPr>
        <w:spacing w:after="360" w:line="360" w:lineRule="auto"/>
        <w:ind w:right="-159"/>
        <w:jc w:val="both"/>
        <w:rPr>
          <w:rFonts w:eastAsia="Calibri"/>
          <w:sz w:val="26"/>
          <w:szCs w:val="26"/>
          <w:lang w:val="es-ES" w:eastAsia="en-US"/>
        </w:rPr>
      </w:pPr>
    </w:p>
    <w:p w14:paraId="4CC1C5E6"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Más allá de los pobres resultados y la gran cantidad de recursos que consumen del presupuesto público, los subsidios a los energéticos tienen una problemática adicional: las externalidades negativas que generan. Esto es, los efectos indirectos que ocasionan a la población y al ambiente. Al incrementar el consumo de combustibles fósiles se elevan las emisiones de GEI, se incentiva el tráfico vehicular, y se incrementa la incidencia de las enfermedades ocasionadas por la contaminación. El costo de las externalidades negativas de los subsidios a los energéticos en América Latina es inclusive superior a la suma del costo fiscal en subsidios de todos los países de esta misma región, tal y como se ejemplifica en la gráfica siguiente.</w:t>
      </w:r>
    </w:p>
    <w:p w14:paraId="5CD6AD52" w14:textId="77777777" w:rsidR="000170C9" w:rsidRDefault="000170C9" w:rsidP="00F443FB">
      <w:pPr>
        <w:spacing w:after="360" w:line="360" w:lineRule="auto"/>
        <w:ind w:right="-159"/>
        <w:jc w:val="both"/>
        <w:rPr>
          <w:rFonts w:eastAsia="Calibri"/>
          <w:sz w:val="26"/>
          <w:szCs w:val="26"/>
          <w:lang w:val="es-ES" w:eastAsia="en-US"/>
        </w:rPr>
      </w:pPr>
    </w:p>
    <w:p w14:paraId="32C401F3" w14:textId="77777777" w:rsidR="000170C9" w:rsidRDefault="000170C9" w:rsidP="00F443FB">
      <w:pPr>
        <w:spacing w:after="360" w:line="360" w:lineRule="auto"/>
        <w:ind w:right="-159"/>
        <w:jc w:val="both"/>
        <w:rPr>
          <w:rFonts w:eastAsia="Calibri"/>
          <w:sz w:val="26"/>
          <w:szCs w:val="26"/>
          <w:lang w:val="es-ES" w:eastAsia="en-US"/>
        </w:rPr>
      </w:pPr>
    </w:p>
    <w:p w14:paraId="248B94FB" w14:textId="77777777" w:rsidR="000170C9" w:rsidRPr="00F443FB" w:rsidRDefault="000170C9"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328"/>
      </w:tblGrid>
      <w:tr w:rsidR="00F443FB" w:rsidRPr="00F443FB" w14:paraId="4F90A6BB" w14:textId="77777777" w:rsidTr="00F443FB">
        <w:tc>
          <w:tcPr>
            <w:tcW w:w="9209" w:type="dxa"/>
          </w:tcPr>
          <w:p w14:paraId="40D1E6D1"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lastRenderedPageBreak/>
              <w:t>SUBSIDIOS A LOS ENERGÉTICOS, SUS EXTERNALIDADES Y NIVEL DE PUESTO</w:t>
            </w:r>
          </w:p>
        </w:tc>
      </w:tr>
      <w:tr w:rsidR="00F443FB" w:rsidRPr="00F443FB" w14:paraId="2AFB0B8A" w14:textId="77777777" w:rsidTr="00F443FB">
        <w:tc>
          <w:tcPr>
            <w:tcW w:w="9209" w:type="dxa"/>
          </w:tcPr>
          <w:p w14:paraId="7B5946B8" w14:textId="66F20381" w:rsidR="00F443FB" w:rsidRPr="00F443FB" w:rsidRDefault="00343A56" w:rsidP="00125F6B">
            <w:pPr>
              <w:ind w:hanging="108"/>
              <w:jc w:val="center"/>
              <w:rPr>
                <w:rFonts w:eastAsia="Calibri"/>
                <w:sz w:val="22"/>
                <w:szCs w:val="26"/>
                <w:lang w:val="es-ES" w:eastAsia="en-US"/>
              </w:rPr>
            </w:pPr>
            <w:r w:rsidRPr="00343A56">
              <w:rPr>
                <w:rFonts w:eastAsia="Calibri"/>
                <w:noProof/>
                <w:sz w:val="22"/>
                <w:szCs w:val="26"/>
                <w:lang w:eastAsia="es-MX"/>
              </w:rPr>
              <w:drawing>
                <wp:inline distT="0" distB="0" distL="0" distR="0" wp14:anchorId="6D7D68D7" wp14:editId="7F2BFF68">
                  <wp:extent cx="5854435" cy="3600000"/>
                  <wp:effectExtent l="0" t="0" r="0" b="635"/>
                  <wp:docPr id="1598" name="Imagen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570" b="944"/>
                          <a:stretch/>
                        </pic:blipFill>
                        <pic:spPr bwMode="auto">
                          <a:xfrm>
                            <a:off x="0" y="0"/>
                            <a:ext cx="5854435"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372703DC" w14:textId="77777777" w:rsidTr="00F443FB">
        <w:tc>
          <w:tcPr>
            <w:tcW w:w="9209" w:type="dxa"/>
          </w:tcPr>
          <w:p w14:paraId="7BF668FF" w14:textId="77777777" w:rsidR="00F443FB" w:rsidRPr="00F443FB" w:rsidRDefault="00F443FB" w:rsidP="00125F6B">
            <w:pPr>
              <w:ind w:left="1168" w:right="454" w:hanging="850"/>
              <w:jc w:val="both"/>
              <w:rPr>
                <w:rFonts w:eastAsia="Calibri"/>
                <w:sz w:val="20"/>
                <w:szCs w:val="26"/>
                <w:lang w:val="es-ES" w:eastAsia="en-US"/>
              </w:rPr>
            </w:pPr>
            <w:r w:rsidRPr="00F443FB">
              <w:rPr>
                <w:rFonts w:eastAsia="Calibri"/>
                <w:sz w:val="20"/>
                <w:szCs w:val="26"/>
                <w:lang w:val="es-ES" w:eastAsia="en-US"/>
              </w:rPr>
              <w:t>FUENTE: FMI (2013a). Número de países entre paréntesis. CEE-CIS: Europa del Este y la Comunidad de Estados Independientes, LAC: Latinoamérica y el Caribe, MENA: Medio Oriente y Norte de África. E.D. Asia: Asia emergente y en vías de desarrollo.</w:t>
            </w:r>
          </w:p>
        </w:tc>
      </w:tr>
    </w:tbl>
    <w:p w14:paraId="6ECBE743" w14:textId="77777777" w:rsidR="00F443FB" w:rsidRPr="00F443FB" w:rsidRDefault="00F443FB" w:rsidP="00F443FB">
      <w:pPr>
        <w:spacing w:after="360" w:line="360" w:lineRule="auto"/>
        <w:ind w:right="-159"/>
        <w:jc w:val="both"/>
        <w:rPr>
          <w:rFonts w:eastAsia="Calibri"/>
          <w:sz w:val="26"/>
          <w:szCs w:val="26"/>
          <w:lang w:val="es-ES" w:eastAsia="en-US"/>
        </w:rPr>
      </w:pPr>
    </w:p>
    <w:p w14:paraId="1F73D51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evidencia internacional indica que el consumo de gasolinas, diésel y electricidad sí responde a cambios en precios, aunque también sugiere que el cambio en el consumo es menos que proporcional al cambio en el precio para el caso de los tres energéticos mencionados. En un estudio de 124 países, Dahl (2011) estimó que un subsidio del 10% al precio de la gasolina, aumenta su consumo entre un 1.1 y un 3.3%. Por otro lado, en este mismo estudio se estima que en el caso del diésel los resultados son similares, ya que un subsidio del 10% al precio del diésel, elevaría su consumo entre el 2.3 y el 3.8%. Aquellos países con menor PIB per cápita tienden a tener un consumo que responde en menor medida a las variaciones en precio. Una explicación intuitiva podría ser, de acuerdo al BM, que en los países con menor PIB per cápita, las personas que utilizan automóvil son generalmente de alto ingreso, y es por ello que disminuyen relativamente poco su consumo ante un incremento en el precio de las gasolinas (BM, 2012).</w:t>
      </w:r>
    </w:p>
    <w:p w14:paraId="39C2FF51"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lastRenderedPageBreak/>
        <w:t>Por otro lado, en Dahl (2011) se presenta un estudio que incluye a 60 países, indicando que un subsidio del 10% a las tarifas eléctricas, aumenta el consumo en 4.8% en el largo plazo. En cambio, los resultados de Espey et al (2004) indican una mayor relación entre el consumo respecto al nivel de las tarifas eléctricas. En este estudio se consideran 36 países, encontrando que un subsidio a las tarifas eléctricas de un 10%, aumenta el consumo en un 8.5% en el largo plazo. En estos casos se demostró lo opuesto al caso de las gasolinas y el diésel, pues en los países con menor ingreso per cápita se tiene una mayor respuesta del consumo ante cambios en precios. Una explicación intuitiva es que en los países desarrollados, la mayor propiedad de dispositivos electrónicos por parte de los consumidores eleva las necesidades del consumo eléctrico.</w:t>
      </w:r>
    </w:p>
    <w:p w14:paraId="08C99B19" w14:textId="6649AC96"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Al existir una relación directa y positiva entre el consumo de energéticos y su precio, se puede decir que la eliminación de subsidios reduciría el consumo energético, y con ello las emisiones de GEI asociadas. De acuerdo </w:t>
      </w:r>
      <w:r w:rsidR="00A51FDD">
        <w:rPr>
          <w:rFonts w:eastAsia="Calibri"/>
          <w:sz w:val="26"/>
          <w:szCs w:val="26"/>
          <w:lang w:val="es-ES" w:eastAsia="en-US"/>
        </w:rPr>
        <w:t>con e</w:t>
      </w:r>
      <w:r w:rsidRPr="00F443FB">
        <w:rPr>
          <w:rFonts w:eastAsia="Calibri"/>
          <w:sz w:val="26"/>
          <w:szCs w:val="26"/>
          <w:lang w:val="es-ES" w:eastAsia="en-US"/>
        </w:rPr>
        <w:t>l análisis de AIE y OCDE (2010), de haberse eliminado dichos subsidios a nivel mundial de manera progresiva entre el año 2011 y 2020, se hubiese disminuido las emisiones de CO</w:t>
      </w:r>
      <w:r w:rsidRPr="00A51FDD">
        <w:rPr>
          <w:rFonts w:eastAsia="Calibri"/>
          <w:sz w:val="26"/>
          <w:szCs w:val="26"/>
          <w:vertAlign w:val="subscript"/>
          <w:lang w:val="es-ES" w:eastAsia="en-US"/>
        </w:rPr>
        <w:t>2</w:t>
      </w:r>
      <w:r w:rsidRPr="00F443FB">
        <w:rPr>
          <w:rFonts w:eastAsia="Calibri"/>
          <w:sz w:val="26"/>
          <w:szCs w:val="26"/>
          <w:lang w:val="es-ES" w:eastAsia="en-US"/>
        </w:rPr>
        <w:t xml:space="preserve"> del sector energético en un 6.9% con respecto al escenario base para el año 2020, tal y como puede observarse en la gráfica siguiente, sección A. Esto es equivalente a 2.4 GT de CO</w:t>
      </w:r>
      <w:r w:rsidRPr="00A51FDD">
        <w:rPr>
          <w:rFonts w:eastAsia="Calibri"/>
          <w:sz w:val="26"/>
          <w:szCs w:val="26"/>
          <w:vertAlign w:val="subscript"/>
          <w:lang w:val="es-ES" w:eastAsia="en-US"/>
        </w:rPr>
        <w:t>2</w:t>
      </w:r>
      <w:r w:rsidRPr="00F443FB">
        <w:rPr>
          <w:rFonts w:eastAsia="Calibri"/>
          <w:sz w:val="26"/>
          <w:szCs w:val="26"/>
          <w:lang w:val="es-ES" w:eastAsia="en-US"/>
        </w:rPr>
        <w:t>, lo cual equivale a la suma de las emisiones de CO</w:t>
      </w:r>
      <w:r w:rsidRPr="00A51FDD">
        <w:rPr>
          <w:rFonts w:eastAsia="Calibri"/>
          <w:sz w:val="26"/>
          <w:szCs w:val="26"/>
          <w:vertAlign w:val="subscript"/>
          <w:lang w:val="es-ES" w:eastAsia="en-US"/>
        </w:rPr>
        <w:t>2</w:t>
      </w:r>
      <w:r w:rsidRPr="00F443FB">
        <w:rPr>
          <w:rFonts w:eastAsia="Calibri"/>
          <w:sz w:val="26"/>
          <w:szCs w:val="26"/>
          <w:lang w:val="es-ES" w:eastAsia="en-US"/>
        </w:rPr>
        <w:t xml:space="preserve"> de Francia, Alemania, Italia, España y el Reino Unido.</w:t>
      </w:r>
    </w:p>
    <w:p w14:paraId="394FCB4D" w14:textId="3D85DB30"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A los resultados presentados por este estudio se podría sumar el efecto no calculado en las emisiones de otros contaminantes del aire como el SO2 y el NOx, mismos que son dañinos para la salud humana al ocasionar alteraciones climáticas como la lluvia ácida.  De acuerdo </w:t>
      </w:r>
      <w:r w:rsidR="00A51FDD">
        <w:rPr>
          <w:rFonts w:eastAsia="Calibri"/>
          <w:sz w:val="26"/>
          <w:szCs w:val="26"/>
          <w:lang w:val="es-ES" w:eastAsia="en-US"/>
        </w:rPr>
        <w:t>con</w:t>
      </w:r>
      <w:r w:rsidRPr="00F443FB">
        <w:rPr>
          <w:rFonts w:eastAsia="Calibri"/>
          <w:sz w:val="26"/>
          <w:szCs w:val="26"/>
          <w:lang w:val="es-ES" w:eastAsia="en-US"/>
        </w:rPr>
        <w:t xml:space="preserve"> este mismo estudio, si la remoción de los energéticos a nivel mundial se completara para el año 2020, las emisiones de GEI disminuirían en un 10% para el año 2050 con relación al escenario base, como se puede observar en la gráfica siguiente, sección B.</w:t>
      </w:r>
    </w:p>
    <w:p w14:paraId="19DF2286" w14:textId="77777777" w:rsidR="000170C9" w:rsidRPr="00F443FB" w:rsidRDefault="000170C9" w:rsidP="00D925DB">
      <w:pPr>
        <w:spacing w:after="120"/>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6BCCDEEF" w14:textId="77777777" w:rsidTr="00F443FB">
        <w:tc>
          <w:tcPr>
            <w:tcW w:w="9209" w:type="dxa"/>
          </w:tcPr>
          <w:p w14:paraId="45370BCF" w14:textId="77777777" w:rsidR="00F443FB" w:rsidRPr="00F443FB" w:rsidRDefault="00F443FB" w:rsidP="00125F6B">
            <w:pPr>
              <w:jc w:val="center"/>
              <w:rPr>
                <w:rFonts w:eastAsia="Calibri"/>
                <w:b/>
                <w:sz w:val="22"/>
                <w:szCs w:val="26"/>
                <w:lang w:val="es-ES" w:eastAsia="en-US"/>
              </w:rPr>
            </w:pPr>
            <w:r w:rsidRPr="00F443FB">
              <w:rPr>
                <w:rFonts w:eastAsia="Calibri"/>
                <w:b/>
                <w:sz w:val="22"/>
                <w:szCs w:val="26"/>
                <w:lang w:val="es-ES" w:eastAsia="en-US"/>
              </w:rPr>
              <w:t xml:space="preserve">IMPACTOS DE CORTO Y LARGO PLAZO DE UNA REMOCIÓN DE SUBSIDIOS </w:t>
            </w:r>
          </w:p>
        </w:tc>
      </w:tr>
      <w:tr w:rsidR="00F443FB" w:rsidRPr="00F443FB" w14:paraId="207CE3F9" w14:textId="77777777" w:rsidTr="00F443FB">
        <w:tc>
          <w:tcPr>
            <w:tcW w:w="9209" w:type="dxa"/>
          </w:tcPr>
          <w:p w14:paraId="2D9175C1" w14:textId="77777777" w:rsidR="00F443FB" w:rsidRPr="00F443FB" w:rsidRDefault="00F443FB" w:rsidP="00276F3E">
            <w:pPr>
              <w:numPr>
                <w:ilvl w:val="0"/>
                <w:numId w:val="80"/>
              </w:numPr>
              <w:jc w:val="center"/>
              <w:rPr>
                <w:rFonts w:eastAsia="Calibri"/>
                <w:b/>
                <w:sz w:val="22"/>
                <w:szCs w:val="26"/>
                <w:lang w:val="es-ES" w:eastAsia="en-US"/>
              </w:rPr>
            </w:pPr>
            <w:r w:rsidRPr="00F443FB">
              <w:rPr>
                <w:rFonts w:eastAsia="Calibri"/>
                <w:b/>
                <w:sz w:val="22"/>
                <w:szCs w:val="26"/>
                <w:lang w:val="es-ES" w:eastAsia="en-US"/>
              </w:rPr>
              <w:t>IMPACTO DE CORTO PLAZA DE UNA REMOCIÓN DE SUBSIDIOS</w:t>
            </w:r>
          </w:p>
          <w:p w14:paraId="405F3B90" w14:textId="77777777" w:rsidR="00F443FB" w:rsidRPr="00F443FB" w:rsidRDefault="00F443FB" w:rsidP="00125F6B">
            <w:pPr>
              <w:ind w:hanging="108"/>
              <w:jc w:val="center"/>
              <w:rPr>
                <w:rFonts w:eastAsia="Calibri"/>
                <w:sz w:val="22"/>
                <w:szCs w:val="26"/>
                <w:lang w:val="es-ES" w:eastAsia="en-US"/>
              </w:rPr>
            </w:pPr>
            <w:r w:rsidRPr="00F443FB">
              <w:rPr>
                <w:rFonts w:eastAsia="Calibri"/>
                <w:b/>
                <w:sz w:val="22"/>
                <w:szCs w:val="26"/>
                <w:lang w:val="es-ES" w:eastAsia="en-US"/>
              </w:rPr>
              <w:t>EN RELACIÓN CON LAS EMISIONES DE CO</w:t>
            </w:r>
            <w:r w:rsidRPr="00A51FDD">
              <w:rPr>
                <w:rFonts w:eastAsia="Calibri"/>
                <w:b/>
                <w:sz w:val="22"/>
                <w:szCs w:val="26"/>
                <w:vertAlign w:val="subscript"/>
                <w:lang w:val="es-ES" w:eastAsia="en-US"/>
              </w:rPr>
              <w:t>2</w:t>
            </w:r>
            <w:r w:rsidRPr="00F443FB">
              <w:rPr>
                <w:rFonts w:eastAsia="Calibri"/>
                <w:b/>
                <w:sz w:val="22"/>
                <w:szCs w:val="26"/>
                <w:lang w:val="es-ES" w:eastAsia="en-US"/>
              </w:rPr>
              <w:t xml:space="preserve"> </w:t>
            </w:r>
          </w:p>
        </w:tc>
      </w:tr>
      <w:tr w:rsidR="00F443FB" w:rsidRPr="00F443FB" w14:paraId="7D449F8B" w14:textId="77777777" w:rsidTr="00F443FB">
        <w:tc>
          <w:tcPr>
            <w:tcW w:w="9209" w:type="dxa"/>
          </w:tcPr>
          <w:p w14:paraId="72428712" w14:textId="77777777" w:rsidR="00F443FB" w:rsidRPr="00F443FB" w:rsidRDefault="00F443FB" w:rsidP="00125F6B">
            <w:pPr>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11C82A34" wp14:editId="557EED7D">
                  <wp:extent cx="3420533" cy="3253731"/>
                  <wp:effectExtent l="0" t="0" r="8890" b="444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423" b="1474"/>
                          <a:stretch/>
                        </pic:blipFill>
                        <pic:spPr bwMode="auto">
                          <a:xfrm>
                            <a:off x="0" y="0"/>
                            <a:ext cx="3440730" cy="32729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1ECC1B32" w14:textId="77777777" w:rsidTr="00F443FB">
        <w:tc>
          <w:tcPr>
            <w:tcW w:w="9209" w:type="dxa"/>
          </w:tcPr>
          <w:p w14:paraId="4CA987D0" w14:textId="77777777" w:rsidR="00F443FB" w:rsidRPr="00F443FB" w:rsidRDefault="00F443FB" w:rsidP="00D925DB">
            <w:pPr>
              <w:numPr>
                <w:ilvl w:val="0"/>
                <w:numId w:val="80"/>
              </w:numPr>
              <w:spacing w:before="360"/>
              <w:ind w:left="249" w:hanging="357"/>
              <w:jc w:val="center"/>
              <w:rPr>
                <w:rFonts w:eastAsia="Calibri"/>
                <w:sz w:val="22"/>
                <w:szCs w:val="26"/>
                <w:lang w:val="es-ES" w:eastAsia="en-US"/>
              </w:rPr>
            </w:pPr>
            <w:r w:rsidRPr="00F443FB">
              <w:rPr>
                <w:rFonts w:eastAsia="Calibri"/>
                <w:b/>
                <w:sz w:val="22"/>
                <w:szCs w:val="26"/>
                <w:lang w:val="es-ES" w:eastAsia="en-US"/>
              </w:rPr>
              <w:t>IMPACTO DE LARGO PLAZO DE UNA REMOCIÓN DE SUBSIDIOS A LOS COMBUSTIBLES FÓSILES EN LAS EMISIONES DE GASES DE EFECTO INVERNADERO</w:t>
            </w:r>
          </w:p>
        </w:tc>
      </w:tr>
      <w:tr w:rsidR="00F443FB" w:rsidRPr="00F443FB" w14:paraId="739E08FF" w14:textId="77777777" w:rsidTr="00F443FB">
        <w:tc>
          <w:tcPr>
            <w:tcW w:w="9209" w:type="dxa"/>
          </w:tcPr>
          <w:p w14:paraId="173BFE78" w14:textId="77777777" w:rsidR="00F443FB" w:rsidRPr="00F443FB" w:rsidRDefault="00F443FB" w:rsidP="00125F6B">
            <w:pPr>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132E9C80" wp14:editId="3198F601">
                  <wp:extent cx="3442441" cy="2794000"/>
                  <wp:effectExtent l="0" t="0" r="571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3316" b="5835"/>
                          <a:stretch/>
                        </pic:blipFill>
                        <pic:spPr bwMode="auto">
                          <a:xfrm>
                            <a:off x="0" y="0"/>
                            <a:ext cx="3459804" cy="28080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42DA6AE3" w14:textId="77777777" w:rsidTr="00F443FB">
        <w:tc>
          <w:tcPr>
            <w:tcW w:w="9209" w:type="dxa"/>
          </w:tcPr>
          <w:p w14:paraId="10CC22D0" w14:textId="77777777" w:rsidR="00F443FB" w:rsidRPr="00F443FB" w:rsidRDefault="00F443FB" w:rsidP="00125F6B">
            <w:pPr>
              <w:ind w:left="1168" w:right="454" w:firstLine="284"/>
              <w:jc w:val="both"/>
              <w:rPr>
                <w:rFonts w:eastAsia="Calibri"/>
                <w:sz w:val="20"/>
                <w:szCs w:val="26"/>
                <w:lang w:val="es-ES" w:eastAsia="en-US"/>
              </w:rPr>
            </w:pPr>
            <w:r w:rsidRPr="00F443FB">
              <w:rPr>
                <w:rFonts w:eastAsia="Calibri"/>
                <w:sz w:val="20"/>
                <w:szCs w:val="26"/>
                <w:lang w:val="es-ES" w:eastAsia="en-US"/>
              </w:rPr>
              <w:t>EUN = Estados Unidos de Norteamérica.</w:t>
            </w:r>
          </w:p>
          <w:p w14:paraId="026048ED" w14:textId="77777777" w:rsidR="00F443FB" w:rsidRPr="00F443FB" w:rsidRDefault="00F443FB" w:rsidP="00125F6B">
            <w:pPr>
              <w:ind w:left="1168" w:right="454" w:firstLine="284"/>
              <w:jc w:val="both"/>
              <w:rPr>
                <w:rFonts w:eastAsia="Calibri"/>
                <w:sz w:val="20"/>
                <w:szCs w:val="26"/>
                <w:lang w:val="es-ES" w:eastAsia="en-US"/>
              </w:rPr>
            </w:pPr>
            <w:r w:rsidRPr="00F443FB">
              <w:rPr>
                <w:rFonts w:eastAsia="Calibri"/>
                <w:sz w:val="20"/>
                <w:szCs w:val="26"/>
                <w:lang w:val="es-ES" w:eastAsia="en-US"/>
              </w:rPr>
              <w:t>FUENTE: Elaboración de la fuente.</w:t>
            </w:r>
          </w:p>
        </w:tc>
      </w:tr>
    </w:tbl>
    <w:p w14:paraId="5043688C" w14:textId="77777777" w:rsidR="00F443FB" w:rsidRPr="00F443FB" w:rsidRDefault="00F443FB" w:rsidP="00F443FB">
      <w:pPr>
        <w:spacing w:after="360" w:line="360" w:lineRule="auto"/>
        <w:ind w:right="-159"/>
        <w:jc w:val="both"/>
        <w:rPr>
          <w:rFonts w:eastAsia="Calibri"/>
          <w:sz w:val="26"/>
          <w:szCs w:val="26"/>
          <w:lang w:val="es-ES" w:eastAsia="en-US"/>
        </w:rPr>
      </w:pPr>
    </w:p>
    <w:p w14:paraId="450EAAC9"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lastRenderedPageBreak/>
        <w:t>Los resultados contraproducentes de los subsidios a los energéticos a nivel mundial han incentivado a diversos países a eliminarlos. Algunas de estas experiencias han establecido valiosas lecciones para el caso mexicano y otorgado resultados positivos en términos de la reducción del nivel de déficit fiscal, la mejora en la distribución del ingreso, e inclusive en la disminución de las externalidades negativas asociadas a dichos subsidios.</w:t>
      </w:r>
    </w:p>
    <w:p w14:paraId="5EBAB862" w14:textId="5DECB9D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Algunos países, como México, aún cuentan con subsidios a los energéticos. La falta de información pública sobre la dimensión de los recursos que se destinan a dichos subsidios, así como la nula comunicación gubernamental sobre los dañinos efectos que estos generan, ha derivado en un nulo conocimiento respecto a dicha problemática. Además, la experiencia internacional indica que para la eliminación exitosa de dichos subsidios, el gobierno requiere estructurar un plan de largo plazo que incluya la creación de mecanismos para amortiguar episodios de alta inflación en los energéticos. Además, la experiencia internacional dicta que el éxito de la medida depende de la credibilidad del gobierno en turno y de la selección de un período adecuado para su implementación, el cual se deberá distanciar de la etapa electoral. Ante este sinuoso escenario, se reduce o se elimina totalmente la voluntad política para eliminar dichos subsidios. A pesar de la dificultad que implica implementar esta medida, existen casos internacionales en los cuales se llevó a cabo con éxito, mismos que se presentan en la Sección V de</w:t>
      </w:r>
      <w:r w:rsidR="00A51FDD">
        <w:rPr>
          <w:rFonts w:eastAsia="Calibri"/>
          <w:sz w:val="26"/>
          <w:szCs w:val="26"/>
          <w:lang w:val="es-ES" w:eastAsia="en-US"/>
        </w:rPr>
        <w:t xml:space="preserve">l </w:t>
      </w:r>
      <w:r w:rsidRPr="00F443FB">
        <w:rPr>
          <w:rFonts w:eastAsia="Calibri"/>
          <w:sz w:val="26"/>
          <w:szCs w:val="26"/>
          <w:lang w:val="es-ES" w:eastAsia="en-US"/>
        </w:rPr>
        <w:t>documento</w:t>
      </w:r>
      <w:r w:rsidR="00A51FDD">
        <w:rPr>
          <w:rFonts w:eastAsia="Calibri"/>
          <w:sz w:val="26"/>
          <w:szCs w:val="26"/>
          <w:lang w:val="es-ES" w:eastAsia="en-US"/>
        </w:rPr>
        <w:t xml:space="preserve"> original</w:t>
      </w:r>
      <w:r w:rsidRPr="00F443FB">
        <w:rPr>
          <w:rFonts w:eastAsia="Calibri"/>
          <w:sz w:val="26"/>
          <w:szCs w:val="26"/>
          <w:lang w:val="es-ES" w:eastAsia="en-US"/>
        </w:rPr>
        <w:t>, en conjunto con diversos episodios de reformas no exitosas de las que se derivan valiosas lecciones para el caso mexicano.</w:t>
      </w:r>
    </w:p>
    <w:p w14:paraId="3C407FDD" w14:textId="77777777" w:rsidR="00F443FB" w:rsidRPr="00F443FB" w:rsidRDefault="00F443FB" w:rsidP="00F443FB">
      <w:pPr>
        <w:spacing w:after="360" w:line="360" w:lineRule="auto"/>
        <w:ind w:right="-159"/>
        <w:jc w:val="both"/>
        <w:rPr>
          <w:rFonts w:eastAsia="Calibri"/>
          <w:b/>
          <w:sz w:val="26"/>
          <w:szCs w:val="26"/>
          <w:lang w:val="es-ES" w:eastAsia="en-US"/>
        </w:rPr>
      </w:pPr>
      <w:r w:rsidRPr="00F443FB">
        <w:rPr>
          <w:rFonts w:eastAsia="Calibri"/>
          <w:b/>
          <w:sz w:val="26"/>
          <w:szCs w:val="26"/>
          <w:lang w:val="es-ES" w:eastAsia="en-US"/>
        </w:rPr>
        <w:t>VI. Lecciones clave para establecer una reforma exitosa</w:t>
      </w:r>
    </w:p>
    <w:p w14:paraId="11760938"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acuerdo político de alto nivel es una condición necesaria para la viabilidad de la remoción de subsidios. Sin embargo, si la medida es implementada por un gobierno de baja credibilidad, se tiene una baja probabilidad de éxito, tal como ocurrió en el caso de Nigeria. Un paso necesario para la remoción de subsidios en México será evaluar </w:t>
      </w:r>
      <w:r w:rsidRPr="00F443FB">
        <w:rPr>
          <w:rFonts w:eastAsia="Calibri"/>
          <w:sz w:val="26"/>
          <w:szCs w:val="26"/>
          <w:lang w:val="es-ES" w:eastAsia="en-US"/>
        </w:rPr>
        <w:lastRenderedPageBreak/>
        <w:t>objetivamente el tamaño de la oposición con la que se tendría que establecer un pacto que buscara alinear a los actores más importantes. De lo contrario, los esfuerzos pueden ser en vano o políticamente contraproducentes.</w:t>
      </w:r>
    </w:p>
    <w:p w14:paraId="784C6B34"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Si bien no existe un esquema universal, ni una receta que conduzca al éxito de una reforma de subsidios a los energéticos, la experiencia internacional denota ciertas medidas favorables al éxito de esta medida como: la implementación de políticas sociales compensatorias o una estratégica campaña de comunicación establecida de manera previa a las modificaciones en precios. Dichas medidas han marcado una clara diferencia en el éxito o fracaso de la remoción subsidios a los energéticos a nivel mundial (BM, 2012). A continuación  se presentan  diversas  lecciones  derivadas  de  la experiencia internacional.</w:t>
      </w:r>
    </w:p>
    <w:p w14:paraId="26B99D22"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1) En la fase de planeación se deberá desagregar el impacto y beneficio de la medida para los diferentes actores involucrados.</w:t>
      </w:r>
    </w:p>
    <w:p w14:paraId="39CDE2E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Para argumentar que el beneficio de una reforma —que modifique la estructura imperante de subsidios energéticos— es superior a sus costos, así como para poder diseñar un plan eficiente de compensación a los actores perjudicados, es necesario conocer el impacto esperado sobre todos los agentes económicos involucrados. Para ello es recomendable desagregar el efecto por decil de ingreso, así como por tipo de actividad económica.</w:t>
      </w:r>
    </w:p>
    <w:p w14:paraId="2A870260"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ejemplo más claro sobre este elemento lo constituye el caso de Ghana, cuyo gobierno comisionó en 2004 la realización de un estudio independiente para analizar el impacto social y económico que implicaría la remoción de los subsidios a los energéticos. Dicho estudio fue conducido por académicos y contó con la participación de diferentes miembros del sector privado. Este análisis estableció que el consumo de energéticos se realizaba principalmente por los individuos de mayor ingreso, por lo que el gasto en dichos subsidios era regresivo, con excepción del subsidio al queroseno. Se analizó el </w:t>
      </w:r>
      <w:r w:rsidRPr="00F443FB">
        <w:rPr>
          <w:rFonts w:eastAsia="Calibri"/>
          <w:sz w:val="26"/>
          <w:szCs w:val="26"/>
          <w:lang w:val="es-ES" w:eastAsia="en-US"/>
        </w:rPr>
        <w:lastRenderedPageBreak/>
        <w:t>efecto que tendría una remoción de subsidios para los diferentes sectores de la economía, siendo el más afectado el sector agrícola. También se establecieron recomendaciones para trasladar los recursos liberados hacia programas relacionados a educación, salud, electrificación rural o el transporte público, especificando el monto de subsidios que llegaría a la población, obteniendo como resultado que la política que más beneficiaría a la población de menor ingreso sería la electrificación rural. La información resultante de dicho estudio fue utilizada para justificar el alza en precios anunciada en 2005, así como para diseñar la respectiva política de mitigación (Coady et al, 2006).</w:t>
      </w:r>
    </w:p>
    <w:p w14:paraId="1872EEC6"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Otra experiencia a considerar es el caso de Namibia, en donde se desarrolló un documento de investigación en política energética que posteriormente fue comunicado mediante una efectiva campaña de medios. El ejemplo contrario se puede encontrar en el caso de Nigeria, en 2011, en donde la Asamblea Nacional no apoyó la remoción de subsidios argumentando una falta de datos claros sobre la incidencia que esto implicaría (FMI, 2013a).</w:t>
      </w:r>
    </w:p>
    <w:p w14:paraId="0C3EE9DD" w14:textId="3706D263"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análisis técnico riguroso en la etapa de planeación es un paso necesario para poder conocer el monto de recursos que serán liberados a partir de la reforma de subsidios, y definir un plan de compensación acorde con los recursos disponibles. En el caso de India, aún queda pendiente la definición del impacto por tipo de actividad económica, de acuerdo </w:t>
      </w:r>
      <w:r w:rsidR="00A51FDD">
        <w:rPr>
          <w:rFonts w:eastAsia="Calibri"/>
          <w:sz w:val="26"/>
          <w:szCs w:val="26"/>
          <w:lang w:val="es-ES" w:eastAsia="en-US"/>
        </w:rPr>
        <w:t>con</w:t>
      </w:r>
      <w:r w:rsidRPr="00F443FB">
        <w:rPr>
          <w:rFonts w:eastAsia="Calibri"/>
          <w:sz w:val="26"/>
          <w:szCs w:val="26"/>
          <w:lang w:val="es-ES" w:eastAsia="en-US"/>
        </w:rPr>
        <w:t xml:space="preserve"> su nivel de intensidad energética y nivel de subsidio recibido.</w:t>
      </w:r>
    </w:p>
    <w:p w14:paraId="649E8525"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este sentido es importante destacar que el Banco Mundial recomienda a los países que  desean  realizar una remoción  de  los subsidios  a los energéticos, evaluar el diseño de las encuestas de ingreso y gasto nacionales para verificar si se cuenta con la información suficiente y representativa sobre los costos y beneficios esperados de la medida (BM, 2012). Dichas encuestas deberán proveer información específica por tipo de energético y nivel de ingreso, para de esta forma calcular su efecto específico previo </w:t>
      </w:r>
      <w:r w:rsidRPr="00F443FB">
        <w:rPr>
          <w:rFonts w:eastAsia="Calibri"/>
          <w:sz w:val="26"/>
          <w:szCs w:val="26"/>
          <w:lang w:val="es-ES" w:eastAsia="en-US"/>
        </w:rPr>
        <w:lastRenderedPageBreak/>
        <w:t>a la remoción de los subsidios. Así, es posible definir políticas de compensación adecuadas al contexto nacional.</w:t>
      </w:r>
    </w:p>
    <w:p w14:paraId="3066CFAF" w14:textId="77777777" w:rsidR="00F443FB" w:rsidRPr="00F443FB" w:rsidRDefault="00F443FB" w:rsidP="00F443FB">
      <w:pPr>
        <w:spacing w:after="360"/>
        <w:ind w:left="340" w:right="-159" w:hanging="340"/>
        <w:jc w:val="both"/>
        <w:rPr>
          <w:rFonts w:eastAsia="Calibri"/>
          <w:b/>
          <w:sz w:val="26"/>
          <w:szCs w:val="26"/>
          <w:lang w:val="es-ES" w:eastAsia="en-US"/>
        </w:rPr>
      </w:pPr>
      <w:r w:rsidRPr="00F443FB">
        <w:rPr>
          <w:rFonts w:eastAsia="Calibri"/>
          <w:b/>
          <w:sz w:val="26"/>
          <w:szCs w:val="26"/>
          <w:lang w:val="es-ES" w:eastAsia="en-US"/>
        </w:rPr>
        <w:t>2) El plan y objetivos de la medida deberán ser comprensibles para toda la población.</w:t>
      </w:r>
    </w:p>
    <w:p w14:paraId="733A2DFC"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De acuerdo con el Banco Mundial, una de las principales lecciones de la experiencia internacional en la remoción de subsidios es la relevancia de explicar  claramente a la población  por qué es necesaria tal medida,  así como definir las políticas de compensación que se realizarán para persuadir al público sobre sus beneficios (BM, 2010).</w:t>
      </w:r>
    </w:p>
    <w:p w14:paraId="1A030C58"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Irán, la reforma a los subsidios energéticos establecida en 2010 incluyó objetivos concretos, medidas de compensación y un horizonte de tiempo claramente definido. Además, se comunicó a la población que el objetivo principal de la medida era reemplazar el esquema de subsidios a los precios de los energéticos por transferencias económicas para reducir el excesivo consumo energético. Por tal motivo, antes de dar inicio a la reforma se abrieron cuentas de banco para los ciudadanos y se establecieron transferencias económicas compensatorias previas al incremento en precios (FMI, 2013b).</w:t>
      </w:r>
    </w:p>
    <w:p w14:paraId="01FD3FC0"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Al comenzar con la apertura de cuentas en un proceso previo a la entrada en vigor de la reforma, los ciudadanos comprendieron la naturaleza de la medida y se ganó aprobación a la misma. Pero si bien esta medida fue útil para el éxito de la implementación de la reforma, no se constituyó como una condición suficiente, ya que después se cuestionó el proceso porque no se respetó el plan original de compensación establecido en 2010 y, en el presupuesto  ejercido  del año 2011, se destinó un mayor monto hacia transferencias monetarias para la población, reduciendo así la cantidad de recursos que se destinaría hacia las compañías del sector privado, lo cual generó descontento en este sector.</w:t>
      </w:r>
    </w:p>
    <w:p w14:paraId="6B834991" w14:textId="77777777" w:rsidR="00F443FB" w:rsidRPr="00F443FB" w:rsidRDefault="00F443FB" w:rsidP="00F443FB">
      <w:pPr>
        <w:spacing w:after="360"/>
        <w:ind w:left="454" w:right="-159" w:hanging="454"/>
        <w:jc w:val="both"/>
        <w:rPr>
          <w:rFonts w:eastAsia="Calibri"/>
          <w:b/>
          <w:sz w:val="26"/>
          <w:szCs w:val="26"/>
          <w:lang w:val="es-ES" w:eastAsia="en-US"/>
        </w:rPr>
      </w:pPr>
      <w:r w:rsidRPr="00F443FB">
        <w:rPr>
          <w:rFonts w:eastAsia="Calibri"/>
          <w:b/>
          <w:sz w:val="26"/>
          <w:szCs w:val="26"/>
          <w:lang w:val="es-ES" w:eastAsia="en-US"/>
        </w:rPr>
        <w:lastRenderedPageBreak/>
        <w:t>3) Una estratégica campaña de medios incrementa significativamente la probabilidad de implementar la medida.</w:t>
      </w:r>
    </w:p>
    <w:p w14:paraId="26AA2EF3"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Una muestra de experiencias de remoción de subsidios alrededor del mundo, realizada por el FMI, mostró que la probabilidad de éxito es casi tres veces mayor cuando se cuenta con un fuerte apoyo público y una comunicación pública proactiva (FMI, 2011).</w:t>
      </w:r>
    </w:p>
    <w:p w14:paraId="69D7E0A3"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experiencia internacional indica que en diversos países, la población que recibe el subsidio ni siquiera conoce el hecho de que lo está recibiendo (BM, 2012), por lo que se deberá primeramente comunicar a los consumidores que el precio pagado es solamente una fracción del costo del servicio. Además, una campaña exitosa debería comunicar: 1) la magnitud de los recursos económicos públicos que se asignan a los subsidios, sus costos ambientales y su efecto regresivo al beneficiar a los individuos de mayor ingreso; y, 2) el costo de oportunidad de dichos recursos económicos, esto es, lo que se podría hacer (y no se hace) con los recursos liberados, por ejemplo, inversión en educación, salud, infraestructura, transferencias económicas, etcétera (Anand et al, 2013).</w:t>
      </w:r>
    </w:p>
    <w:p w14:paraId="19D1CE8B"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la experiencia internacional se pueden observar diversas campañas de comunicación exitosas. En el caso de Filipinas, una clave del éxito de la campaña de comunicación, es que se dio con tiempo de anticipación la reforma, por lo que primeramente se dio a conocer al público los efectos dañinos de los subsidios a los combustibles fósiles. Por otro lado, la campaña de comunicación de Irán fue exitosa porque transmitió la idea de que los subsidios a los energéticos llevaban a un excesivo consumo y desperdicio de recursos, lo cual podría ser sustituido por transferencias económicas que beneficiaran a toda la población (FMI, 2013b).</w:t>
      </w:r>
    </w:p>
    <w:p w14:paraId="20ED719B"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Por último, es importante resaltar el caso de Indonesia, en donde en la historia reciente se presentaron diversas protestas violentas contra los intentos de implementar un incremento en los precios de los energéticos, como por ejemplo en 2003. Sin embargo, </w:t>
      </w:r>
      <w:r w:rsidRPr="00F443FB">
        <w:rPr>
          <w:rFonts w:eastAsia="Calibri"/>
          <w:sz w:val="26"/>
          <w:szCs w:val="26"/>
          <w:lang w:val="es-ES" w:eastAsia="en-US"/>
        </w:rPr>
        <w:lastRenderedPageBreak/>
        <w:t>en 2006 el gobierno inició una extensiva campaña  de  comunicación  a  nivel  nacional,  planteando  los  beneficios que implicaría una remoción de subsidios acompañada de una política de compensación, con lo cual se previno un descontento general y la medida fue aprobada el año posterior (BM, 2012).</w:t>
      </w:r>
    </w:p>
    <w:p w14:paraId="502C093F"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4) El incremento en precios deberá ser gradual y comenzar con los energéticos que afecten en menor medida a los individuos de bajo ingreso.</w:t>
      </w:r>
    </w:p>
    <w:p w14:paraId="446B89BB" w14:textId="79E1594B"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De acuerdo </w:t>
      </w:r>
      <w:r w:rsidR="00A51FDD">
        <w:rPr>
          <w:rFonts w:eastAsia="Calibri"/>
          <w:sz w:val="26"/>
          <w:szCs w:val="26"/>
          <w:lang w:val="es-ES" w:eastAsia="en-US"/>
        </w:rPr>
        <w:t>con e</w:t>
      </w:r>
      <w:r w:rsidRPr="00F443FB">
        <w:rPr>
          <w:rFonts w:eastAsia="Calibri"/>
          <w:sz w:val="26"/>
          <w:szCs w:val="26"/>
          <w:lang w:val="es-ES" w:eastAsia="en-US"/>
        </w:rPr>
        <w:t>l Fondo Monetario Internacional, en 17 de las 23 reformas a los subsidios energéticos a nivel mundial, se realizó una reducción de subsidios por etapas (FMI, 2013a). El ajuste gradual en precios es conveniente porque permite a la población ajustarse progresivamente a los nuevos precios, esto tiene un efecto positivo ya que reduce la oposición hacia dicha medida. Un ejemplo de ello es el caso de Brasil, en donde se adoptó un plan de remoción de subsidios por etapas, comenzando por los energéticos menos utilizados por la población.  Primeramente se eliminaron los subsidios a energéticos como el queroseno o la turbosina, para posteriormente comenzar gradualmente la liberalización del precio de la gasolina, todo en un período de cinco años. Además, los subsidios en las zonas geográficas con mayor incidencia de pobreza fueron removidos en la etapa final. Dicho programa tuvo una duración de diez años, con lo que minimizó la oposición política.</w:t>
      </w:r>
    </w:p>
    <w:p w14:paraId="6C8FAE96" w14:textId="56498408"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De acuerdo </w:t>
      </w:r>
      <w:r w:rsidR="00A51FDD">
        <w:rPr>
          <w:rFonts w:eastAsia="Calibri"/>
          <w:sz w:val="26"/>
          <w:szCs w:val="26"/>
          <w:lang w:val="es-ES" w:eastAsia="en-US"/>
        </w:rPr>
        <w:t>con e</w:t>
      </w:r>
      <w:r w:rsidRPr="00F443FB">
        <w:rPr>
          <w:rFonts w:eastAsia="Calibri"/>
          <w:sz w:val="26"/>
          <w:szCs w:val="26"/>
          <w:lang w:val="es-ES" w:eastAsia="en-US"/>
        </w:rPr>
        <w:t xml:space="preserve">l FMI (2013b), lo contrario ocurrió en Nigeria, que intentó incrementar el precio de los energéticos en un 117%, lo cual generó huelgas y violencia en el país. La medida fue revertida pocos días después de ser anunciada. Y en la experiencia de Ghana, se puede apreciar la dificultad de sustentar una drástica alza de precios en los energéticos, ya que de acuerdo </w:t>
      </w:r>
      <w:r w:rsidR="00A51FDD">
        <w:rPr>
          <w:rFonts w:eastAsia="Calibri"/>
          <w:sz w:val="26"/>
          <w:szCs w:val="26"/>
          <w:lang w:val="es-ES" w:eastAsia="en-US"/>
        </w:rPr>
        <w:t>con</w:t>
      </w:r>
      <w:r w:rsidRPr="00F443FB">
        <w:rPr>
          <w:rFonts w:eastAsia="Calibri"/>
          <w:sz w:val="26"/>
          <w:szCs w:val="26"/>
          <w:lang w:val="es-ES" w:eastAsia="en-US"/>
        </w:rPr>
        <w:t xml:space="preserve"> este mismo estudio, Ghana realizó dos distintos intentos por elevar en un 90% los precios de los energéticos, y en ambas ocasiones la elevada desaprobación por parte de la población presionó al gobierno para regresar nuevamente al esquema de subsidios.</w:t>
      </w:r>
    </w:p>
    <w:p w14:paraId="5F29A0A9"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lastRenderedPageBreak/>
        <w:t>5) El apoyo a la reforma requiere de una política de compensación, diferenciada por nivel de ingreso y actividad económica.</w:t>
      </w:r>
    </w:p>
    <w:p w14:paraId="5B054A16" w14:textId="77777777" w:rsid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 experiencia internacional indica que el impacto proporcional de la remoción de subsidios puede ser mayor para la población de menor ingreso, aunque reciban un menor monto de los subsidios, por lo que se puede priorizar la compensación a la población de los primeros deciles. La evidencia también indica que compensar a estos individuos suele tener un costo bajo en relación con el gasto que se realiza en subsidios a los energéticos. En el caso de India, mediante el análisis técnico de Anand et al (2013), se pudo obtener información valiosa como el hecho de que el costo de compensar al 4% de los hogares de menor ingreso era menor al 0.2% del PIB, mientras que los ahorros fiscales si se removían los subsidios eran de 1.9% del PIB, teniendo un ahorro fiscal neto de 1.7% del PIB, aun considerando la implementación de una red de protección a los individuos de menor ingreso.</w:t>
      </w:r>
    </w:p>
    <w:p w14:paraId="0DB4872C" w14:textId="77777777" w:rsidR="00125F6B" w:rsidRDefault="00125F6B" w:rsidP="00F443FB">
      <w:pPr>
        <w:spacing w:after="360" w:line="360" w:lineRule="auto"/>
        <w:ind w:right="-159"/>
        <w:jc w:val="both"/>
        <w:rPr>
          <w:rFonts w:eastAsia="Calibri"/>
          <w:sz w:val="26"/>
          <w:szCs w:val="26"/>
          <w:lang w:val="es-ES" w:eastAsia="en-US"/>
        </w:rPr>
      </w:pPr>
    </w:p>
    <w:p w14:paraId="61B2552F" w14:textId="77777777" w:rsidR="00125F6B" w:rsidRDefault="00125F6B" w:rsidP="00F443FB">
      <w:pPr>
        <w:spacing w:after="360" w:line="360" w:lineRule="auto"/>
        <w:ind w:right="-159"/>
        <w:jc w:val="both"/>
        <w:rPr>
          <w:rFonts w:eastAsia="Calibri"/>
          <w:sz w:val="26"/>
          <w:szCs w:val="26"/>
          <w:lang w:val="es-ES" w:eastAsia="en-US"/>
        </w:rPr>
      </w:pPr>
    </w:p>
    <w:p w14:paraId="117AE0BE" w14:textId="77777777" w:rsidR="00125F6B" w:rsidRDefault="00125F6B" w:rsidP="00F443FB">
      <w:pPr>
        <w:spacing w:after="360" w:line="360" w:lineRule="auto"/>
        <w:ind w:right="-159"/>
        <w:jc w:val="both"/>
        <w:rPr>
          <w:rFonts w:eastAsia="Calibri"/>
          <w:sz w:val="26"/>
          <w:szCs w:val="26"/>
          <w:lang w:val="es-ES" w:eastAsia="en-US"/>
        </w:rPr>
      </w:pPr>
    </w:p>
    <w:p w14:paraId="320C8562" w14:textId="77777777" w:rsidR="00125F6B" w:rsidRDefault="00125F6B" w:rsidP="00F443FB">
      <w:pPr>
        <w:spacing w:after="360" w:line="360" w:lineRule="auto"/>
        <w:ind w:right="-159"/>
        <w:jc w:val="both"/>
        <w:rPr>
          <w:rFonts w:eastAsia="Calibri"/>
          <w:sz w:val="26"/>
          <w:szCs w:val="26"/>
          <w:lang w:val="es-ES" w:eastAsia="en-US"/>
        </w:rPr>
      </w:pPr>
    </w:p>
    <w:p w14:paraId="2565C876" w14:textId="77777777" w:rsidR="00125F6B" w:rsidRDefault="00125F6B" w:rsidP="00F443FB">
      <w:pPr>
        <w:spacing w:after="360" w:line="360" w:lineRule="auto"/>
        <w:ind w:right="-159"/>
        <w:jc w:val="both"/>
        <w:rPr>
          <w:rFonts w:eastAsia="Calibri"/>
          <w:sz w:val="26"/>
          <w:szCs w:val="26"/>
          <w:lang w:val="es-ES" w:eastAsia="en-US"/>
        </w:rPr>
      </w:pPr>
    </w:p>
    <w:p w14:paraId="4CC811C3" w14:textId="77777777" w:rsidR="00125F6B" w:rsidRDefault="00125F6B" w:rsidP="00F443FB">
      <w:pPr>
        <w:spacing w:after="360" w:line="360" w:lineRule="auto"/>
        <w:ind w:right="-159"/>
        <w:jc w:val="both"/>
        <w:rPr>
          <w:rFonts w:eastAsia="Calibri"/>
          <w:sz w:val="26"/>
          <w:szCs w:val="26"/>
          <w:lang w:val="es-ES" w:eastAsia="en-US"/>
        </w:rPr>
      </w:pPr>
    </w:p>
    <w:p w14:paraId="325E36D7" w14:textId="77777777" w:rsidR="00125F6B" w:rsidRDefault="00125F6B" w:rsidP="00F443FB">
      <w:pPr>
        <w:spacing w:after="360" w:line="360" w:lineRule="auto"/>
        <w:ind w:right="-159"/>
        <w:jc w:val="both"/>
        <w:rPr>
          <w:rFonts w:eastAsia="Calibri"/>
          <w:sz w:val="26"/>
          <w:szCs w:val="26"/>
          <w:lang w:val="es-ES" w:eastAsia="en-US"/>
        </w:rPr>
      </w:pPr>
    </w:p>
    <w:p w14:paraId="636A9724" w14:textId="77777777" w:rsidR="00125F6B" w:rsidRPr="00F443FB" w:rsidRDefault="00125F6B" w:rsidP="00F443FB">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F443FB" w:rsidRPr="00F443FB" w14:paraId="6B3A1D93" w14:textId="77777777" w:rsidTr="00F443FB">
        <w:tc>
          <w:tcPr>
            <w:tcW w:w="9209" w:type="dxa"/>
          </w:tcPr>
          <w:p w14:paraId="74F80DE6" w14:textId="77777777" w:rsidR="00F443FB" w:rsidRPr="00F443FB" w:rsidRDefault="00F443FB" w:rsidP="00276F3E">
            <w:pPr>
              <w:numPr>
                <w:ilvl w:val="0"/>
                <w:numId w:val="81"/>
              </w:numPr>
              <w:spacing w:after="200" w:line="276" w:lineRule="auto"/>
              <w:contextualSpacing/>
              <w:jc w:val="center"/>
              <w:rPr>
                <w:rFonts w:eastAsia="Calibri"/>
                <w:sz w:val="22"/>
                <w:szCs w:val="26"/>
                <w:lang w:val="es-ES" w:eastAsia="en-US"/>
              </w:rPr>
            </w:pPr>
            <w:r w:rsidRPr="00F443FB">
              <w:rPr>
                <w:rFonts w:eastAsia="Calibri"/>
                <w:b/>
                <w:sz w:val="22"/>
                <w:szCs w:val="26"/>
                <w:lang w:val="es-ES" w:eastAsia="en-US"/>
              </w:rPr>
              <w:lastRenderedPageBreak/>
              <w:t xml:space="preserve">DISMINUCIÓN ESPERADA EN EL INGRESO REAL POR GRUPO DE INGRESO </w:t>
            </w:r>
          </w:p>
        </w:tc>
      </w:tr>
      <w:tr w:rsidR="00F443FB" w:rsidRPr="00F443FB" w14:paraId="60DB0B21" w14:textId="77777777" w:rsidTr="00F443FB">
        <w:tc>
          <w:tcPr>
            <w:tcW w:w="9209" w:type="dxa"/>
          </w:tcPr>
          <w:p w14:paraId="2F8D7555" w14:textId="77777777" w:rsidR="00F443FB" w:rsidRPr="00F443FB" w:rsidRDefault="00F443FB" w:rsidP="00F443FB">
            <w:pPr>
              <w:spacing w:after="200" w:line="276" w:lineRule="auto"/>
              <w:ind w:hanging="108"/>
              <w:jc w:val="center"/>
              <w:rPr>
                <w:rFonts w:eastAsia="Calibri"/>
                <w:sz w:val="22"/>
                <w:szCs w:val="26"/>
                <w:lang w:val="es-ES" w:eastAsia="en-US"/>
              </w:rPr>
            </w:pPr>
            <w:r w:rsidRPr="00F443FB">
              <w:rPr>
                <w:rFonts w:eastAsia="Calibri"/>
                <w:noProof/>
                <w:sz w:val="22"/>
                <w:szCs w:val="26"/>
                <w:lang w:eastAsia="es-MX"/>
              </w:rPr>
              <w:drawing>
                <wp:inline distT="0" distB="0" distL="0" distR="0" wp14:anchorId="0DF4615E" wp14:editId="73480220">
                  <wp:extent cx="5262260" cy="2700000"/>
                  <wp:effectExtent l="0" t="0" r="0" b="5715"/>
                  <wp:docPr id="1494" name="Imagen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742" b="1923"/>
                          <a:stretch/>
                        </pic:blipFill>
                        <pic:spPr bwMode="auto">
                          <a:xfrm>
                            <a:off x="0" y="0"/>
                            <a:ext cx="5262260"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0E6F86B7" w14:textId="77777777" w:rsidTr="00F443FB">
        <w:tc>
          <w:tcPr>
            <w:tcW w:w="9209" w:type="dxa"/>
          </w:tcPr>
          <w:p w14:paraId="4E46D53E" w14:textId="77777777" w:rsidR="00F443FB" w:rsidRPr="00F443FB" w:rsidRDefault="00F443FB" w:rsidP="00276F3E">
            <w:pPr>
              <w:numPr>
                <w:ilvl w:val="0"/>
                <w:numId w:val="81"/>
              </w:numPr>
              <w:spacing w:before="80" w:after="200" w:line="276" w:lineRule="auto"/>
              <w:contextualSpacing/>
              <w:jc w:val="center"/>
              <w:rPr>
                <w:rFonts w:eastAsia="Calibri"/>
                <w:b/>
                <w:sz w:val="22"/>
                <w:szCs w:val="26"/>
                <w:lang w:val="es-ES" w:eastAsia="en-US"/>
              </w:rPr>
            </w:pPr>
            <w:r w:rsidRPr="00F443FB">
              <w:rPr>
                <w:rFonts w:eastAsia="Calibri"/>
                <w:b/>
                <w:sz w:val="22"/>
                <w:szCs w:val="26"/>
                <w:lang w:val="es-ES" w:eastAsia="en-US"/>
              </w:rPr>
              <w:t>COSTO FISCAL ACUMULADO POR LA COMPENSACIÓN DE LOS INDIVIDUOS</w:t>
            </w:r>
          </w:p>
        </w:tc>
      </w:tr>
      <w:tr w:rsidR="00F443FB" w:rsidRPr="00F443FB" w14:paraId="13305DEE" w14:textId="77777777" w:rsidTr="00F443FB">
        <w:tc>
          <w:tcPr>
            <w:tcW w:w="9209" w:type="dxa"/>
          </w:tcPr>
          <w:p w14:paraId="678FD021" w14:textId="76EBA1DF" w:rsidR="00F443FB" w:rsidRPr="00F443FB" w:rsidRDefault="00343A56" w:rsidP="00F443FB">
            <w:pPr>
              <w:spacing w:after="200" w:line="276" w:lineRule="auto"/>
              <w:ind w:hanging="108"/>
              <w:jc w:val="center"/>
              <w:rPr>
                <w:rFonts w:eastAsia="Calibri"/>
                <w:sz w:val="22"/>
                <w:szCs w:val="26"/>
                <w:lang w:val="es-ES" w:eastAsia="en-US"/>
              </w:rPr>
            </w:pPr>
            <w:r w:rsidRPr="00343A56">
              <w:rPr>
                <w:rFonts w:eastAsia="Calibri"/>
                <w:noProof/>
                <w:sz w:val="22"/>
                <w:szCs w:val="26"/>
                <w:lang w:eastAsia="es-MX"/>
              </w:rPr>
              <w:drawing>
                <wp:inline distT="0" distB="0" distL="0" distR="0" wp14:anchorId="48ADD555" wp14:editId="4FDDF851">
                  <wp:extent cx="5267974" cy="2700000"/>
                  <wp:effectExtent l="0" t="0" r="0" b="5715"/>
                  <wp:docPr id="1599" name="Imagen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7949" b="1666"/>
                          <a:stretch/>
                        </pic:blipFill>
                        <pic:spPr bwMode="auto">
                          <a:xfrm>
                            <a:off x="0" y="0"/>
                            <a:ext cx="5267974"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43FB" w:rsidRPr="00F443FB" w14:paraId="5177BF44" w14:textId="77777777" w:rsidTr="00F443FB">
        <w:tc>
          <w:tcPr>
            <w:tcW w:w="9209" w:type="dxa"/>
          </w:tcPr>
          <w:p w14:paraId="41902211" w14:textId="77777777" w:rsidR="00F443FB" w:rsidRPr="00F443FB" w:rsidRDefault="00F443FB" w:rsidP="00F443FB">
            <w:pPr>
              <w:spacing w:after="200" w:line="276" w:lineRule="auto"/>
              <w:ind w:left="1026" w:right="312" w:hanging="850"/>
              <w:jc w:val="both"/>
              <w:rPr>
                <w:rFonts w:eastAsia="Calibri"/>
                <w:sz w:val="20"/>
                <w:szCs w:val="26"/>
                <w:lang w:val="es-ES" w:eastAsia="en-US"/>
              </w:rPr>
            </w:pPr>
            <w:r w:rsidRPr="00F443FB">
              <w:rPr>
                <w:rFonts w:eastAsia="Calibri"/>
                <w:sz w:val="20"/>
                <w:szCs w:val="26"/>
                <w:lang w:val="es-ES" w:eastAsia="en-US"/>
              </w:rPr>
              <w:t>FUENTE: Anand et al (2013) con información de la Encuesta Socio-Económica de los Hogares de 2009 y 2010.</w:t>
            </w:r>
          </w:p>
        </w:tc>
      </w:tr>
    </w:tbl>
    <w:p w14:paraId="79F16C6A" w14:textId="77777777" w:rsidR="00F443FB" w:rsidRPr="00F443FB" w:rsidRDefault="00F443FB" w:rsidP="00F443FB">
      <w:pPr>
        <w:spacing w:after="360" w:line="360" w:lineRule="auto"/>
        <w:ind w:right="-159"/>
        <w:jc w:val="both"/>
        <w:rPr>
          <w:rFonts w:eastAsia="Calibri"/>
          <w:sz w:val="26"/>
          <w:szCs w:val="26"/>
          <w:lang w:val="es-ES" w:eastAsia="en-US"/>
        </w:rPr>
      </w:pPr>
    </w:p>
    <w:p w14:paraId="3DD9211C"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El FMI contempla 28 episodios de reforma a los subsidios en el mundo, 18 de los cuales implementaron medidas de mitigación focalizada (FMI, 2013a). En el caso de Irán, el gobierno consultó a las empresas para comprender los retos que afrontarían si los precios de los energéticos sufrían un alza importante. Esto derivó en un programa </w:t>
      </w:r>
      <w:r w:rsidRPr="00F443FB">
        <w:rPr>
          <w:rFonts w:eastAsia="Calibri"/>
          <w:sz w:val="26"/>
          <w:szCs w:val="26"/>
          <w:lang w:val="es-ES" w:eastAsia="en-US"/>
        </w:rPr>
        <w:lastRenderedPageBreak/>
        <w:t>dirigido a los sectores intensivos en el uso de energía, que serían los más afectados por el alza en precios.  Este tipo de programas  consistían en otorgar cantidades limitadas de combustibles al sector agrícola, pesquero y de transporte, los cuales habrían de ser afectados en mayor medida por la remoción de subsidios, así como el otorgar préstamos para la adopción de tecnologías con una mayor eficiencia energética.</w:t>
      </w:r>
    </w:p>
    <w:p w14:paraId="4DD7F9B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Ante este tipo de programas  de compensación,  mediante transferencias económicas  de  “larga  escala”,  la  experiencia  internacional  en  países en desarrollo ha mostrado que si se diseñan programas piloto, se puede proveer información valiosa sobre lo atractivo de estos programas hacia los posibles beneficiarios, ayudar a refinar estos programas antes de aumentar su escala, e inclusive ayudar a construir soporte político para su expansión (Fiszbein y Schady, 2009).</w:t>
      </w:r>
    </w:p>
    <w:p w14:paraId="71942424"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6) Para sustentar la remoción de subsidios en el largo plazo, se pueden considerar coberturas ante crisis o alzas importantes en el precio internacional del petróleo.</w:t>
      </w:r>
    </w:p>
    <w:p w14:paraId="5B3B7588" w14:textId="5D5B041E"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Se ha observado en la experiencia internacional que los países pueden abandonar los mecanismos de fijación de precios de mercado al poco tiempo de adoptarlos. Esto debido a incrementos significativos en los precios internacionales, que provocan inflación descontrolada en los energéticos al interior del país. El ejemplo de Brasil es claro, en donde la remoción de subsidios siguió un plan de 10 años, y en 2008 se regresó rápidamente al régimen de subsidios, debido a dos factores en particular: 1) el aumento en  la  producción  interna  de  petróleo  ocasionó  una  mayor  abundancia de recursos económicos para el gobierno de este país, lo que facilitó el aumento en el gasto gubernamental , y 2) una súbita alza en el precio internacional del petróleo implicaba que si se mantenía liberalizado el precio de los energéticos, se establecerían presiones inflacionarias a la economía de Brasil.</w:t>
      </w:r>
    </w:p>
    <w:p w14:paraId="1318D75F"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Los esfuerzos para reducir los subsidios también se pueden ver afectados en situaciones de crisis económica, lo cual implica un riesgo importante en la sustentabilidad de esta </w:t>
      </w:r>
      <w:r w:rsidRPr="00F443FB">
        <w:rPr>
          <w:rFonts w:eastAsia="Calibri"/>
          <w:sz w:val="26"/>
          <w:szCs w:val="26"/>
          <w:lang w:val="es-ES" w:eastAsia="en-US"/>
        </w:rPr>
        <w:lastRenderedPageBreak/>
        <w:t>medida. Por ejemplo, en el caso de la crisis de Argentina, las tarifas se congelaron como un medio para amortiguar los costos de la devaluación del peso. Estas medidas tienen un beneficio social, sin embargo deberán de estar contempladas dentro de un mecanismo definido, y con un horizonte de tiempo acotado para evitar que una crisis de corto plazo implique volver permanentemente al escenario de subsidios a los energéticos.</w:t>
      </w:r>
    </w:p>
    <w:p w14:paraId="3B0B1FBE"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También se puede considerar el caso de Gabón, en donde se suspendió el mecanismo de mercado de fijación de precios a partir de un alza en los precios internacionales del petróleo en 2002. En el caso contrario, algunos países como Chile, Colombia, Malawi, Nigeria, Perú, Tailandia y Vietnam han utilizado coberturas ante alzas abruptas en los precios internacionales, lo cual otorga sostenibilidad de largo plazo a la remoción de los subsidios.</w:t>
      </w:r>
    </w:p>
    <w:p w14:paraId="34CD99C2"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El caso de Perú es ilustrativo, ya que este país adoptó un sistema flexible de fijación de precios en 2004, en el que las variaciones en el precio internacional se reflejaban en los precios domésticos siempre y cuando se mantuvieran en una determinada banda de precios. En el caso que el precio estuviera por arriba de esta banda, el costo se financiaba con fondos públicos, y en el caso de estar por debajo, el beneficio se integraba al presupuesto público, generando así reservas para futuras alzas en el precio internacional (FMI, 2013a).</w:t>
      </w:r>
    </w:p>
    <w:p w14:paraId="4E908A3B" w14:textId="77777777" w:rsidR="00F443FB" w:rsidRPr="00F443FB" w:rsidRDefault="00F443FB" w:rsidP="00F443FB">
      <w:pPr>
        <w:spacing w:after="360"/>
        <w:ind w:left="425" w:right="-159" w:hanging="425"/>
        <w:jc w:val="both"/>
        <w:rPr>
          <w:rFonts w:eastAsia="Calibri"/>
          <w:b/>
          <w:sz w:val="26"/>
          <w:szCs w:val="26"/>
          <w:lang w:val="es-ES" w:eastAsia="en-US"/>
        </w:rPr>
      </w:pPr>
      <w:r w:rsidRPr="00F443FB">
        <w:rPr>
          <w:rFonts w:eastAsia="Calibri"/>
          <w:b/>
          <w:sz w:val="26"/>
          <w:szCs w:val="26"/>
          <w:lang w:val="es-ES" w:eastAsia="en-US"/>
        </w:rPr>
        <w:t>7) Las transferencias económicas han resultado una opción asequible para compensar a los individuos de menor ingreso.</w:t>
      </w:r>
    </w:p>
    <w:p w14:paraId="1A13E2B6"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Las transferencias otorgan a los beneficiarios la flexibilidad de utilizar los recursos en los productos que más se acoplen a sus necesidades. Además de que remueven la necesidad del gobierno de involucrarse en la distribución de energía subsidiada a los hogares, lo cual puede ser extremadamente costoso y puede llevar al consumo excesivo (Grosh et al, 2008).</w:t>
      </w:r>
    </w:p>
    <w:p w14:paraId="07ED1B77" w14:textId="7DB6C2EA"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lastRenderedPageBreak/>
        <w:t>De acuerdo con los resultados presentados por Komives et al, 2007, quienes estudiaron 37 casos internacionales de países con una política de subsidios a los energéticos y transferencias monetarias, se puede observar que las transferencias monetarias o programas similares fueron progresivas en la mayoría de los casos analizados, mientras que los subsidios a los energéticos fueron progresivos en tan sólo uno de los 37 casos estudiados.</w:t>
      </w:r>
    </w:p>
    <w:p w14:paraId="2E435250"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Indonesia se estableció un programa de transferencias no condicionadas a partir de la remoción de subsidios con una cobertura focalizada del 35% de la población. Este programa representó un importante componente de la estrategia de remoción de subsidios, ya que sirvió para restar la oposición política y social a la medida, la cual probablemente hubiese bloqueado la reforma de no haber existido el programa (FMI, 2013a).</w:t>
      </w:r>
    </w:p>
    <w:p w14:paraId="67B995BC"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En el caso de Armenia, la introducción de transferencias monetarias directas contribuyeron a compensar el impacto del incremento en las tarifas, al entregar una transferencia directa para aproximadamente 300 mil hogares, equivalente al 39% de la población nacional (BM, 2012). Caso contrario a lo ocurrido en los países de Medio Oriente y Norte de África en donde, de acuerdo con el Banco Mundial, un obstáculo clave que impide la remoción de subsidios es la inexistencia de redes de protección social adecuadas que pudieran funcionar como una respuesta ante el incremento en el precio de los energéticos (BM, 2010).</w:t>
      </w:r>
    </w:p>
    <w:p w14:paraId="55B242DC" w14:textId="77777777" w:rsidR="00F443FB" w:rsidRPr="00F443FB" w:rsidRDefault="00F443FB" w:rsidP="00F443FB">
      <w:pPr>
        <w:spacing w:after="360"/>
        <w:ind w:left="284" w:right="-159" w:hanging="284"/>
        <w:jc w:val="both"/>
        <w:rPr>
          <w:rFonts w:eastAsia="Calibri"/>
          <w:b/>
          <w:sz w:val="26"/>
          <w:szCs w:val="26"/>
          <w:lang w:val="es-ES" w:eastAsia="en-US"/>
        </w:rPr>
      </w:pPr>
      <w:r w:rsidRPr="00F443FB">
        <w:rPr>
          <w:rFonts w:eastAsia="Calibri"/>
          <w:b/>
          <w:sz w:val="26"/>
          <w:szCs w:val="26"/>
          <w:lang w:val="es-ES" w:eastAsia="en-US"/>
        </w:rPr>
        <w:t>8) Una deficiente implementación del programa de compensación puede excluir a gran parte de los individuos de menores ingresos.</w:t>
      </w:r>
    </w:p>
    <w:p w14:paraId="32BBCB8A" w14:textId="77777777" w:rsidR="00F443FB" w:rsidRPr="00F443FB" w:rsidRDefault="00F443FB" w:rsidP="00F443FB">
      <w:pPr>
        <w:spacing w:after="360" w:line="360" w:lineRule="auto"/>
        <w:ind w:right="-159"/>
        <w:jc w:val="both"/>
        <w:rPr>
          <w:rFonts w:eastAsia="Calibri"/>
          <w:sz w:val="26"/>
          <w:szCs w:val="26"/>
          <w:lang w:val="es-ES" w:eastAsia="en-US"/>
        </w:rPr>
      </w:pPr>
      <w:r w:rsidRPr="00F443FB">
        <w:rPr>
          <w:rFonts w:eastAsia="Calibri"/>
          <w:sz w:val="26"/>
          <w:szCs w:val="26"/>
          <w:lang w:val="es-ES" w:eastAsia="en-US"/>
        </w:rPr>
        <w:t xml:space="preserve">En el caso de Armenia, se realizó una reforma a las tarifas del sector eléctrico en 1999, removiendo el régimen de subsidios y adoptando una tarifa única. Para minimizar el impacto en los individuos más pobres se focalizó un programa sobre una población objetivo que incluía al 28% de los individuos, utilizando ciertos criterios definidos para </w:t>
      </w:r>
      <w:r w:rsidRPr="00F443FB">
        <w:rPr>
          <w:rFonts w:eastAsia="Calibri"/>
          <w:sz w:val="26"/>
          <w:szCs w:val="26"/>
          <w:lang w:val="es-ES" w:eastAsia="en-US"/>
        </w:rPr>
        <w:lastRenderedPageBreak/>
        <w:t>elegir a la población más vulnerable, sin embargo, solamente 55% de la población potencial recibió las transferencias (BM, 2010). El resto de los individuos vulnerables recibieron un incremento en las tarifas eléctricas y ninguna medida de compensación.</w:t>
      </w:r>
    </w:p>
    <w:p w14:paraId="04C91DD4" w14:textId="77777777" w:rsidR="00F443FB" w:rsidRPr="00F443FB" w:rsidRDefault="00F443FB" w:rsidP="00F443FB">
      <w:pPr>
        <w:ind w:right="-159"/>
        <w:jc w:val="both"/>
        <w:rPr>
          <w:rFonts w:eastAsia="Calibri"/>
          <w:b/>
          <w:sz w:val="20"/>
          <w:szCs w:val="20"/>
          <w:lang w:eastAsia="en-US"/>
        </w:rPr>
      </w:pPr>
      <w:r w:rsidRPr="00F443FB">
        <w:rPr>
          <w:rFonts w:eastAsia="Calibri"/>
          <w:b/>
          <w:sz w:val="20"/>
          <w:szCs w:val="20"/>
          <w:lang w:eastAsia="en-US"/>
        </w:rPr>
        <w:t>Fuente de información:</w:t>
      </w:r>
    </w:p>
    <w:p w14:paraId="328A0AA2" w14:textId="77777777" w:rsidR="00F443FB" w:rsidRPr="004A08ED" w:rsidRDefault="00872B0E" w:rsidP="004A08ED">
      <w:pPr>
        <w:spacing w:after="720"/>
        <w:ind w:right="-159"/>
        <w:jc w:val="both"/>
        <w:rPr>
          <w:rFonts w:eastAsia="Calibri"/>
          <w:color w:val="0000FF"/>
          <w:sz w:val="20"/>
          <w:szCs w:val="20"/>
          <w:lang w:eastAsia="en-US"/>
        </w:rPr>
      </w:pPr>
      <w:hyperlink r:id="rId53" w:history="1">
        <w:r w:rsidR="00F443FB" w:rsidRPr="004A08ED">
          <w:rPr>
            <w:rFonts w:eastAsia="Calibri"/>
            <w:color w:val="0000FF"/>
            <w:sz w:val="20"/>
            <w:szCs w:val="20"/>
            <w:u w:val="single"/>
            <w:lang w:eastAsia="en-US"/>
          </w:rPr>
          <w:t>http://cidac.org/esp/uploads/1/ES_POSIBLE_vFINAL.pdf</w:t>
        </w:r>
      </w:hyperlink>
    </w:p>
    <w:p w14:paraId="760E0DB1" w14:textId="77777777" w:rsidR="002A3D68" w:rsidRPr="00963B12" w:rsidRDefault="002A3D68" w:rsidP="002A3D68">
      <w:pPr>
        <w:spacing w:after="360" w:line="360" w:lineRule="auto"/>
        <w:ind w:right="-159"/>
        <w:jc w:val="both"/>
        <w:rPr>
          <w:rFonts w:eastAsia="Calibri"/>
          <w:b/>
          <w:sz w:val="26"/>
          <w:szCs w:val="26"/>
          <w:lang w:val="es-ES" w:eastAsia="en-US"/>
        </w:rPr>
      </w:pPr>
      <w:r w:rsidRPr="00963B12">
        <w:rPr>
          <w:rFonts w:eastAsia="Calibri"/>
          <w:b/>
          <w:sz w:val="26"/>
          <w:szCs w:val="26"/>
          <w:lang w:val="es-ES" w:eastAsia="en-US"/>
        </w:rPr>
        <w:t xml:space="preserve">¿Hasta cuándo se mantendrá bajo el precio del petróleo? </w:t>
      </w:r>
      <w:r w:rsidRPr="00963B12">
        <w:rPr>
          <w:rFonts w:eastAsia="Calibri"/>
          <w:b/>
          <w:sz w:val="26"/>
          <w:szCs w:val="26"/>
          <w:lang w:eastAsia="en-US"/>
        </w:rPr>
        <w:t>(BBC)</w:t>
      </w:r>
    </w:p>
    <w:p w14:paraId="1430491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 xml:space="preserve">El 24 de febrero de 2015, la </w:t>
      </w:r>
      <w:r w:rsidRPr="002A3D68">
        <w:rPr>
          <w:rFonts w:eastAsia="Calibri"/>
          <w:i/>
          <w:sz w:val="26"/>
          <w:szCs w:val="26"/>
          <w:lang w:eastAsia="en-US"/>
        </w:rPr>
        <w:t>British Broadcasting Corporation</w:t>
      </w:r>
      <w:r w:rsidRPr="002A3D68">
        <w:rPr>
          <w:rFonts w:eastAsia="Calibri"/>
          <w:sz w:val="26"/>
          <w:szCs w:val="26"/>
          <w:lang w:eastAsia="en-US"/>
        </w:rPr>
        <w:t xml:space="preserve"> (BBC) informó que predecir el precio del petróleo es un ejercicio un poco trivial. Existen demasiadas variables en juego para hacer una estimación significativa.</w:t>
      </w:r>
    </w:p>
    <w:p w14:paraId="1B70F90F"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Lo que se sabe es que, a pesar de un reciente incremento, el precio del crudo se desplomó casi en un 50% en los últimos seis meses tras el declive más prolongado en 20 años.</w:t>
      </w:r>
    </w:p>
    <w:p w14:paraId="580F780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Y sabemos cuáles son las causas. El petróleo de esquisto de Estados Unidos y en menor medida la reanudación de las exportaciones libias aumentó la oferta, mientras que las economías de China y Europa disminuyeron la demanda.</w:t>
      </w:r>
    </w:p>
    <w:p w14:paraId="647CC4F6"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Si se agrega a esto que un dólar fuerte encarece el crudo, afectando aún más la demanda, tenemos todos los ingredientes para un colapso de los precios.</w:t>
      </w:r>
    </w:p>
    <w:p w14:paraId="219D0D73"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Pero lo que suceda de ahora en adelante es más difícil de desentrañar.</w:t>
      </w:r>
    </w:p>
    <w:p w14:paraId="2119C6D3"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El actual auge del gas esquisto en Estados Unidos de Norteamérica no da señales de disminuir y existen dudas sobre la fortaleza de la economía global. Estos factores son dos buenos motivos para creer que los bajos precios del crudo continuarán por algún tiempo.</w:t>
      </w:r>
    </w:p>
    <w:p w14:paraId="74ED628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lastRenderedPageBreak/>
        <w:t>Las condiciones actuales son precisamente aquellas en las que la Organización de Países Exportadores de Petróleo (OPEP) solía intervenir reduciendo la producción para apuntalar los precios.</w:t>
      </w:r>
    </w:p>
    <w:p w14:paraId="51E9684C"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Pero en esta ocasión la OPEP no actuó. En una decisión histórica, la organización dijo a fines del año pasado que no sólo no intervendría para reducir su actual producción de 30 millones de barriles al día, sino que no tenía intenciones de hacerlo ni siquiera si el precio caía a 20 dólares por barril.</w:t>
      </w:r>
    </w:p>
    <w:p w14:paraId="02531FAD"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Y no se trató de palabras al aire. A pesar de una furiosa oposición por parte de Venezuela, Irán y Argelia, el “zar” de la OPEP, Arabia Saudita, simplemente se negó a rescatar a sus socios más vulnerables.</w:t>
      </w:r>
    </w:p>
    <w:p w14:paraId="49F2F12F"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Muchos miembros de OPEP necesitan un precio de 100 dólares por barril o más para mantener el equilibrio fiscal en sus economías.</w:t>
      </w:r>
    </w:p>
    <w:p w14:paraId="081B80E8"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Arabia Saudita, en cambio, tiene reservas estimadas de crudo de 900 mil millones de dólares y puede darse el lujo de esperar y observar las condiciones del mercado.</w:t>
      </w:r>
    </w:p>
    <w:p w14:paraId="222CECD2"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Poco más del 30% del crudo mundial viene de los países de la OPEP. El porcentaje era de casi 50% en 1970, pero los productores de petróleo de esquisto de Estados Unidos de Norteamérica han inundado el mercado con una producción cercana a los cuatro millones de barriles diarios.</w:t>
      </w:r>
    </w:p>
    <w:p w14:paraId="3085F208"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En estas condiciones, “¿cómo puede esperarse que alguien deliberadamente reduzca la producción para apuntalar los precios?”, argumentó recientemente la OPEP.</w:t>
      </w:r>
    </w:p>
    <w:p w14:paraId="1DA2EA2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Arabia Saudita tampoco está dispuesta a reducir su dominio en el mercado mientras sus competidores, especialmente los productores de esquisto en Estados Unidos de Norteamérica, prosperan.</w:t>
      </w:r>
    </w:p>
    <w:p w14:paraId="0DFDE4CA" w14:textId="77777777" w:rsidR="002A3D68" w:rsidRPr="00963B12" w:rsidRDefault="002A3D68" w:rsidP="002A3D68">
      <w:pPr>
        <w:spacing w:after="360" w:line="360" w:lineRule="auto"/>
        <w:ind w:right="-159"/>
        <w:jc w:val="both"/>
        <w:rPr>
          <w:rFonts w:eastAsia="Calibri"/>
          <w:sz w:val="26"/>
          <w:szCs w:val="26"/>
          <w:lang w:eastAsia="en-US"/>
        </w:rPr>
      </w:pPr>
      <w:r w:rsidRPr="00963B12">
        <w:rPr>
          <w:rFonts w:eastAsia="Calibri"/>
          <w:sz w:val="26"/>
          <w:szCs w:val="26"/>
          <w:lang w:eastAsia="en-US"/>
        </w:rPr>
        <w:lastRenderedPageBreak/>
        <w:t>Las implicaciones de la decisión de la OPEP de no intervenir van mucho más allá del impacto en los precios.</w:t>
      </w:r>
    </w:p>
    <w:p w14:paraId="603ECE35" w14:textId="20900D8D" w:rsidR="002A3D68" w:rsidRPr="002A3D68" w:rsidRDefault="002A3D68" w:rsidP="002A3D68">
      <w:pPr>
        <w:spacing w:after="360" w:line="360" w:lineRule="auto"/>
        <w:ind w:right="-159"/>
        <w:jc w:val="center"/>
        <w:rPr>
          <w:rFonts w:eastAsia="Calibri"/>
          <w:sz w:val="26"/>
          <w:szCs w:val="26"/>
          <w:lang w:eastAsia="en-US"/>
        </w:rPr>
      </w:pPr>
      <w:r w:rsidRPr="002A3D68">
        <w:rPr>
          <w:rFonts w:eastAsia="Calibri"/>
          <w:sz w:val="26"/>
          <w:szCs w:val="26"/>
          <w:lang w:eastAsia="en-US"/>
        </w:rPr>
        <w:fldChar w:fldCharType="begin"/>
      </w:r>
      <w:r w:rsidRPr="002A3D68">
        <w:rPr>
          <w:rFonts w:eastAsia="Calibri"/>
          <w:sz w:val="26"/>
          <w:szCs w:val="26"/>
          <w:lang w:eastAsia="en-US"/>
        </w:rPr>
        <w:instrText xml:space="preserve"> LINK PowerPoint.Slide.8 "D:\\2015\\FEBRERO 2015\\GRÁFICAS POWER POINT\\5.- turismo internacional II.pptx!261" "" \a \p </w:instrText>
      </w:r>
      <w:r w:rsidRPr="002A3D68">
        <w:rPr>
          <w:rFonts w:eastAsia="Calibri"/>
          <w:sz w:val="26"/>
          <w:szCs w:val="26"/>
          <w:lang w:eastAsia="en-US"/>
        </w:rPr>
        <w:fldChar w:fldCharType="separate"/>
      </w:r>
      <w:r w:rsidRPr="002A3D68">
        <w:rPr>
          <w:rFonts w:eastAsia="Calibri"/>
          <w:noProof/>
          <w:sz w:val="26"/>
          <w:szCs w:val="26"/>
          <w:lang w:eastAsia="es-MX"/>
        </w:rPr>
        <w:drawing>
          <wp:inline distT="0" distB="0" distL="0" distR="0" wp14:anchorId="5689C20A" wp14:editId="5990BC2E">
            <wp:extent cx="4954905" cy="29781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54" cstate="print">
                      <a:extLst>
                        <a:ext uri="{28A0092B-C50C-407E-A947-70E740481C1C}">
                          <a14:useLocalDpi xmlns:a14="http://schemas.microsoft.com/office/drawing/2010/main" val="0"/>
                        </a:ext>
                      </a:extLst>
                    </a:blip>
                    <a:srcRect l="9802" t="4874" r="8759" b="8357"/>
                    <a:stretch>
                      <a:fillRect/>
                    </a:stretch>
                  </pic:blipFill>
                  <pic:spPr bwMode="auto">
                    <a:xfrm>
                      <a:off x="0" y="0"/>
                      <a:ext cx="4954905" cy="2978150"/>
                    </a:xfrm>
                    <a:prstGeom prst="rect">
                      <a:avLst/>
                    </a:prstGeom>
                    <a:noFill/>
                    <a:ln>
                      <a:noFill/>
                    </a:ln>
                  </pic:spPr>
                </pic:pic>
              </a:graphicData>
            </a:graphic>
          </wp:inline>
        </w:drawing>
      </w:r>
      <w:r w:rsidRPr="002A3D68">
        <w:rPr>
          <w:rFonts w:eastAsia="Calibri"/>
          <w:sz w:val="26"/>
          <w:szCs w:val="26"/>
          <w:lang w:eastAsia="en-US"/>
        </w:rPr>
        <w:fldChar w:fldCharType="end"/>
      </w:r>
    </w:p>
    <w:p w14:paraId="6479A34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“Hemos entrado a un nuevo capítulo en la historia de los mercados de crudo, que está comenzando a operar más como un mercado de commodities y no como un cartel”, aseguró Stuart Elliott, especialista en temas energéticos de la consultora Platts.</w:t>
      </w:r>
    </w:p>
    <w:p w14:paraId="297943A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El cambio se ha hecho sentir en muchas partes de la industria y podría tener consecuencias importantes durante años.</w:t>
      </w:r>
    </w:p>
    <w:p w14:paraId="2C24BF8C" w14:textId="77777777" w:rsidR="002A3D68" w:rsidRPr="002A3D68" w:rsidRDefault="002A3D68" w:rsidP="002A3D68">
      <w:pPr>
        <w:spacing w:after="360" w:line="360" w:lineRule="auto"/>
        <w:ind w:right="-159"/>
        <w:jc w:val="both"/>
        <w:rPr>
          <w:rFonts w:eastAsia="Calibri"/>
          <w:b/>
          <w:sz w:val="26"/>
          <w:szCs w:val="26"/>
          <w:lang w:eastAsia="en-US"/>
        </w:rPr>
      </w:pPr>
      <w:r w:rsidRPr="002A3D68">
        <w:rPr>
          <w:rFonts w:eastAsia="Calibri"/>
          <w:b/>
          <w:sz w:val="26"/>
          <w:szCs w:val="26"/>
          <w:lang w:eastAsia="en-US"/>
        </w:rPr>
        <w:t>“Serios riesgos”</w:t>
      </w:r>
    </w:p>
    <w:p w14:paraId="18D536F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Es probable que el precio del petróleo se mantenga por debajo de 100 dólares por barril durante varios años, debido tanto a la negativa de la OPEP a intervenir como a la reducción en la demanda por la desaceleración de la economía global.</w:t>
      </w:r>
    </w:p>
    <w:p w14:paraId="46A9E0FE"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 xml:space="preserve">El mercado de futuros indica que el precio podría recuperarse levemente y llegar a 70 dólares por barril en 2019. Pero la mayoría de los expertos coincide en un precio </w:t>
      </w:r>
      <w:r w:rsidRPr="002A3D68">
        <w:rPr>
          <w:rFonts w:eastAsia="Calibri"/>
          <w:sz w:val="26"/>
          <w:szCs w:val="26"/>
          <w:lang w:eastAsia="en-US"/>
        </w:rPr>
        <w:lastRenderedPageBreak/>
        <w:t>probable de entre 40 y 80 dólares por barril en los próximos años. Intentar hacer una predicción más exacta es una pérdida de tiempo.</w:t>
      </w:r>
    </w:p>
    <w:p w14:paraId="7E294C82"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Con estos precios, muchas explotaciones dejan de ser rentables. Las operaciones más afectadas son aquellas de reservas de acceso difícil y costoso, como los pozos de gran profundidad en el mar.</w:t>
      </w:r>
    </w:p>
    <w:p w14:paraId="11690812"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 explotación de crudo en el Ártico, por ejemplo, no es rentable a menos de 100 dólares por barril, según Brendan Cronin, de la consultora Poyry Managing Consultants, por lo que los planes de perforaciones en zonas polares podrían ser postergados.</w:t>
      </w:r>
    </w:p>
    <w:p w14:paraId="0567634C"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 producción del Mar del Norte también corre riesgo. Nuevas perforaciones requieren un precio de al menos 70 a 89 dólares por barril para ser rentables.</w:t>
      </w:r>
    </w:p>
    <w:p w14:paraId="6A591C65"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En una entrevista reciente con Platts, el jefe de Oil &amp; Gas UK, la asociación que reúne varias empresas de explotación de gas y crudo, dijo que a un precio de 50 dólares por barril la producción del Mar del Norte podría caer un 20%. Esto afectará no sólo a las petroleras sino también a la economía escocesa.</w:t>
      </w:r>
    </w:p>
    <w:p w14:paraId="77A33AF6"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 exploración en sitios de reservas no confirmadas en el sur y oeste de África también se verá paralizada.</w:t>
      </w:r>
    </w:p>
    <w:p w14:paraId="4C19DB43"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¿Y qué sucederá con las operaciones de fracking, la controvertida técnica utilizada para obtener gas y petróleo de esquisto?</w:t>
      </w:r>
    </w:p>
    <w:p w14:paraId="16FD88C3"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Los costos varían, pero según Scotiabank los productores de Estados Unidos de Norteamérica requieren un precio de cerca de 60 dólares por barril para que sus explotaciones sean rentables.</w:t>
      </w:r>
    </w:p>
    <w:p w14:paraId="1774582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lastRenderedPageBreak/>
        <w:t>Las grandes empresas ya están sufriendo el impacto de la caída en los precios. Las acciones de BP, Total y Chevron cayeron un 15% en los últimos seis meses.</w:t>
      </w:r>
    </w:p>
    <w:p w14:paraId="65661280"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Y hay cientos de compañías más pequeñas con un futuro incierto, incluso en Estados Unidos de Norteamérica, donde las empresas de esquisto obtuvieron préstamos por 160 mil millones de dólares en los últimos cinco años, esperando precios más altos que los existentes hoy en día.</w:t>
      </w:r>
    </w:p>
    <w:p w14:paraId="17E0A5E6"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Las compañías de servicios en el sector petrolero también están sintiendo las consecuencias. El mes pasado, Schlumberger, la mayor empresa del mundo de servicios a yacimientos petroleros, anunció el despido de 9 mil trabajadores de un total de más 120 mil en unos ochenta países.</w:t>
      </w:r>
    </w:p>
    <w:p w14:paraId="20492387"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El sector de renovables también se ha visto afectado. En Medio Oriente y partes de América del Sur y América Central, el petróleo compite directamente con energías renovables para la generación de electricidad. Si el crudo es barato, habrá menos inversión especialmente en paneles solares.</w:t>
      </w:r>
    </w:p>
    <w:p w14:paraId="30E4A3A6"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 caída en el precio del petróleo ha llevado a una reducción en el precio del gas, un competidor directo del sector de renovables que podrían requerir nuevos subsidios.</w:t>
      </w:r>
    </w:p>
    <w:p w14:paraId="4E66D43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La disminución en el precio del crudo y el gas hace mella en uno de los principales argumentos para invertir en renovables: que el precio de los combustibles fósiles seguirá en aumento.</w:t>
      </w:r>
    </w:p>
    <w:p w14:paraId="59E85C08"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El impacto ya es palpable. Las acciones de Vestas, la principal productora de turbinas eólicas, cayeron un 15% en los últimos seis meses. Y las acciones del gigante chino de producción de paneles solares JA Solar se desplomaron un 20 por ciento.</w:t>
      </w:r>
    </w:p>
    <w:p w14:paraId="421F8A21"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lastRenderedPageBreak/>
        <w:t>Los bajos precios del petróleo también son un dolor de cabeza para los fabricantes de autos eléctricos. En Estados Unidos de Norteamérica, la venta de automóviles híbridos está cayendo mientras que se ha disparado la de vehículo todoterreno.</w:t>
      </w:r>
    </w:p>
    <w:p w14:paraId="4F02EB0E" w14:textId="77777777" w:rsidR="002A3D68" w:rsidRPr="002A3D68" w:rsidRDefault="002A3D68" w:rsidP="002A3D68">
      <w:pPr>
        <w:spacing w:after="360" w:line="360" w:lineRule="auto"/>
        <w:ind w:right="-159"/>
        <w:jc w:val="both"/>
        <w:rPr>
          <w:rFonts w:eastAsia="Calibri"/>
          <w:b/>
          <w:sz w:val="26"/>
          <w:szCs w:val="26"/>
          <w:lang w:eastAsia="en-US"/>
        </w:rPr>
      </w:pPr>
      <w:r w:rsidRPr="002A3D68">
        <w:rPr>
          <w:rFonts w:eastAsia="Calibri"/>
          <w:b/>
          <w:sz w:val="26"/>
          <w:szCs w:val="26"/>
          <w:lang w:eastAsia="en-US"/>
        </w:rPr>
        <w:t>“Impacto profundo”</w:t>
      </w:r>
    </w:p>
    <w:p w14:paraId="3E00547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Los efectos dominó de una caída sostenida en los precios del petróleo son extensos y profundos.</w:t>
      </w:r>
    </w:p>
    <w:p w14:paraId="2DB57E60"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Pero mientras que la decisión de Arabia Saudita de no intervenir puede ser histórica, los mecanismos auto regulatorios del mercado siguen intactos: si los precios disminuyen la producción cae, si la demanda disminuye los precios aumentan.</w:t>
      </w:r>
    </w:p>
    <w:p w14:paraId="26BDE93E"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Como una consecuencia directa de la caída en los precios la exploración y producción disminuirán y aunque sea un proceso que lleve años, eventualmente esta reducción en la oferta hará que los precios aumenten.</w:t>
      </w:r>
    </w:p>
    <w:p w14:paraId="5EA9A41F"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Después de todo, a pesar de la entrada de cientos de pequeñas empresas al mercado, las grandes compañías que pueden controlar la oferta aún son muy pocas como para hablar de un mercado libre.</w:t>
      </w:r>
    </w:p>
    <w:p w14:paraId="797CBC3B" w14:textId="1015A766" w:rsidR="002A3D68" w:rsidRPr="002A3D68" w:rsidRDefault="002A3D68" w:rsidP="002A3D68">
      <w:pPr>
        <w:spacing w:after="360" w:line="360" w:lineRule="auto"/>
        <w:ind w:right="-159"/>
        <w:jc w:val="center"/>
        <w:rPr>
          <w:rFonts w:eastAsia="Calibri"/>
          <w:sz w:val="26"/>
          <w:szCs w:val="26"/>
          <w:lang w:eastAsia="en-US"/>
        </w:rPr>
      </w:pPr>
      <w:r w:rsidRPr="002A3D68">
        <w:rPr>
          <w:rFonts w:eastAsia="Calibri"/>
          <w:sz w:val="26"/>
          <w:szCs w:val="26"/>
          <w:lang w:eastAsia="en-US"/>
        </w:rPr>
        <w:lastRenderedPageBreak/>
        <w:fldChar w:fldCharType="begin"/>
      </w:r>
      <w:r w:rsidRPr="002A3D68">
        <w:rPr>
          <w:rFonts w:eastAsia="Calibri"/>
          <w:sz w:val="26"/>
          <w:szCs w:val="26"/>
          <w:lang w:eastAsia="en-US"/>
        </w:rPr>
        <w:instrText xml:space="preserve"> LINK PowerPoint.Slide.8 "D:\\2015\\FEBRERO 2015\\GRÁFICAS POWER POINT\\5.- turismo internacional II.pptx!262" "" \a \p </w:instrText>
      </w:r>
      <w:r w:rsidRPr="002A3D68">
        <w:rPr>
          <w:rFonts w:eastAsia="Calibri"/>
          <w:sz w:val="26"/>
          <w:szCs w:val="26"/>
          <w:lang w:eastAsia="en-US"/>
        </w:rPr>
        <w:fldChar w:fldCharType="separate"/>
      </w:r>
      <w:r w:rsidRPr="002A3D68">
        <w:rPr>
          <w:rFonts w:eastAsia="Calibri"/>
          <w:noProof/>
          <w:sz w:val="26"/>
          <w:szCs w:val="26"/>
          <w:lang w:eastAsia="es-MX"/>
        </w:rPr>
        <w:drawing>
          <wp:inline distT="0" distB="0" distL="0" distR="0" wp14:anchorId="7DE5DAF6" wp14:editId="77443E44">
            <wp:extent cx="4837430" cy="3114040"/>
            <wp:effectExtent l="0" t="0" r="127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55" cstate="print">
                      <a:extLst>
                        <a:ext uri="{28A0092B-C50C-407E-A947-70E740481C1C}">
                          <a14:useLocalDpi xmlns:a14="http://schemas.microsoft.com/office/drawing/2010/main" val="0"/>
                        </a:ext>
                      </a:extLst>
                    </a:blip>
                    <a:srcRect l="10594" t="2557" r="9813" b="6503"/>
                    <a:stretch>
                      <a:fillRect/>
                    </a:stretch>
                  </pic:blipFill>
                  <pic:spPr bwMode="auto">
                    <a:xfrm>
                      <a:off x="0" y="0"/>
                      <a:ext cx="4837430" cy="3114040"/>
                    </a:xfrm>
                    <a:prstGeom prst="rect">
                      <a:avLst/>
                    </a:prstGeom>
                    <a:noFill/>
                    <a:ln>
                      <a:noFill/>
                    </a:ln>
                  </pic:spPr>
                </pic:pic>
              </a:graphicData>
            </a:graphic>
          </wp:inline>
        </w:drawing>
      </w:r>
      <w:r w:rsidRPr="002A3D68">
        <w:rPr>
          <w:rFonts w:eastAsia="Calibri"/>
          <w:sz w:val="26"/>
          <w:szCs w:val="26"/>
          <w:lang w:eastAsia="en-US"/>
        </w:rPr>
        <w:fldChar w:fldCharType="end"/>
      </w:r>
    </w:p>
    <w:p w14:paraId="414E1DA4"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Pero soplan verdaderos vientos de cambio. Existe un consenso creciente de que los combustibles fósiles deben permanecer en la tierra y no ser explotados si el mundo espera cumplir sus metas en torno al cambio climático y evitar niveles peligrosos de calentamiento global.</w:t>
      </w:r>
    </w:p>
    <w:p w14:paraId="6CD4004E"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Es solo cuestión de tiempo hasta que se introduzca precios del carbono, sancionando económicamente a las empresas que más contaminen. Y estas medidas tendrán un impacto profundo en el mercado global de petróleo.</w:t>
      </w:r>
    </w:p>
    <w:p w14:paraId="1C1CA779"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Por otra parte, por primera vez el crudo enfrenta a un verdadero competidor en el sector de transporte, que representa más de la mitad del consumo global de petróleo.</w:t>
      </w:r>
    </w:p>
    <w:p w14:paraId="12519F9B" w14:textId="77777777" w:rsid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t>Los autos eléctricos son por ahora un sector reducido, pero a medida que avance la tecnología y haya baterías más eficaces y duraderas, estos vehículos serán mucho más comunes, lo que reducirá significativamente la demanda de crudo.</w:t>
      </w:r>
    </w:p>
    <w:p w14:paraId="0B353365" w14:textId="77777777" w:rsidR="00125F6B" w:rsidRPr="002A3D68" w:rsidRDefault="00125F6B" w:rsidP="002A3D68">
      <w:pPr>
        <w:spacing w:after="360" w:line="360" w:lineRule="auto"/>
        <w:ind w:right="-159"/>
        <w:jc w:val="both"/>
        <w:rPr>
          <w:rFonts w:eastAsia="Calibri"/>
          <w:sz w:val="26"/>
          <w:szCs w:val="26"/>
          <w:lang w:eastAsia="en-US"/>
        </w:rPr>
      </w:pPr>
    </w:p>
    <w:p w14:paraId="6064BE32" w14:textId="77777777" w:rsidR="002A3D68" w:rsidRPr="002A3D68" w:rsidRDefault="002A3D68" w:rsidP="002A3D68">
      <w:pPr>
        <w:spacing w:after="360" w:line="360" w:lineRule="auto"/>
        <w:ind w:right="-159"/>
        <w:jc w:val="both"/>
        <w:rPr>
          <w:rFonts w:eastAsia="Calibri"/>
          <w:sz w:val="26"/>
          <w:szCs w:val="26"/>
          <w:lang w:eastAsia="en-US"/>
        </w:rPr>
      </w:pPr>
      <w:r w:rsidRPr="002A3D68">
        <w:rPr>
          <w:rFonts w:eastAsia="Calibri"/>
          <w:sz w:val="26"/>
          <w:szCs w:val="26"/>
          <w:lang w:eastAsia="en-US"/>
        </w:rPr>
        <w:lastRenderedPageBreak/>
        <w:t>El mercado de petróleo está sufriendo grandes transformaciones, pero se avecinan cambios aún más profundos.</w:t>
      </w:r>
    </w:p>
    <w:p w14:paraId="13E1698C" w14:textId="77777777" w:rsidR="002A3D68" w:rsidRPr="002A3D68" w:rsidRDefault="002A3D68" w:rsidP="002A3D68">
      <w:pPr>
        <w:jc w:val="both"/>
        <w:rPr>
          <w:rFonts w:eastAsia="Calibri"/>
          <w:b/>
          <w:sz w:val="20"/>
          <w:szCs w:val="20"/>
          <w:lang w:eastAsia="en-US"/>
        </w:rPr>
      </w:pPr>
      <w:r w:rsidRPr="002A3D68">
        <w:rPr>
          <w:rFonts w:eastAsia="Calibri"/>
          <w:b/>
          <w:sz w:val="20"/>
          <w:szCs w:val="20"/>
          <w:lang w:eastAsia="en-US"/>
        </w:rPr>
        <w:t>Fuente de información:</w:t>
      </w:r>
    </w:p>
    <w:p w14:paraId="499ACA1E" w14:textId="77777777" w:rsidR="002A3D68" w:rsidRPr="004A08ED" w:rsidRDefault="00872B0E" w:rsidP="004A08ED">
      <w:pPr>
        <w:spacing w:after="720" w:line="360" w:lineRule="auto"/>
        <w:ind w:right="-159"/>
        <w:jc w:val="both"/>
        <w:rPr>
          <w:rFonts w:eastAsia="Calibri"/>
          <w:color w:val="0000FF"/>
          <w:sz w:val="20"/>
          <w:szCs w:val="20"/>
          <w:u w:val="single"/>
          <w:lang w:eastAsia="en-US"/>
        </w:rPr>
      </w:pPr>
      <w:hyperlink r:id="rId56" w:history="1">
        <w:r w:rsidR="002A3D68" w:rsidRPr="004A08ED">
          <w:rPr>
            <w:rFonts w:eastAsia="Calibri"/>
            <w:color w:val="0000FF"/>
            <w:sz w:val="20"/>
            <w:szCs w:val="20"/>
            <w:u w:val="single"/>
            <w:lang w:eastAsia="en-US"/>
          </w:rPr>
          <w:t>http://www.bbc.co.uk/mundo/noticias/2015/02/150224_petroleo_precio_analisis_am</w:t>
        </w:r>
      </w:hyperlink>
    </w:p>
    <w:p w14:paraId="42FC8207" w14:textId="77777777" w:rsidR="002A1806" w:rsidRPr="003C69EB" w:rsidRDefault="002A1806" w:rsidP="002A1806">
      <w:pPr>
        <w:spacing w:after="360" w:line="360" w:lineRule="auto"/>
        <w:ind w:right="-159"/>
        <w:jc w:val="both"/>
        <w:rPr>
          <w:b/>
          <w:sz w:val="26"/>
          <w:szCs w:val="26"/>
        </w:rPr>
      </w:pPr>
      <w:r w:rsidRPr="00FC047B">
        <w:rPr>
          <w:b/>
          <w:sz w:val="26"/>
          <w:szCs w:val="26"/>
        </w:rPr>
        <w:t>Reforma energética en México: ¿alfil en la guerra China-EU?</w:t>
      </w:r>
      <w:r w:rsidRPr="00444845">
        <w:rPr>
          <w:b/>
          <w:sz w:val="26"/>
          <w:szCs w:val="26"/>
        </w:rPr>
        <w:t xml:space="preserve"> </w:t>
      </w:r>
      <w:r>
        <w:rPr>
          <w:b/>
          <w:sz w:val="26"/>
          <w:szCs w:val="26"/>
        </w:rPr>
        <w:t>(Forbes México</w:t>
      </w:r>
      <w:r w:rsidRPr="003C69EB">
        <w:rPr>
          <w:b/>
          <w:sz w:val="26"/>
          <w:szCs w:val="26"/>
        </w:rPr>
        <w:t>)</w:t>
      </w:r>
      <w:r>
        <w:rPr>
          <w:b/>
          <w:sz w:val="26"/>
          <w:szCs w:val="26"/>
        </w:rPr>
        <w:t xml:space="preserve"> </w:t>
      </w:r>
    </w:p>
    <w:p w14:paraId="6C151B96" w14:textId="77777777" w:rsidR="002A1806" w:rsidRDefault="002A1806" w:rsidP="002A1806">
      <w:pPr>
        <w:spacing w:after="360" w:line="360" w:lineRule="auto"/>
        <w:ind w:right="-159"/>
        <w:jc w:val="both"/>
        <w:rPr>
          <w:sz w:val="26"/>
          <w:szCs w:val="26"/>
          <w:lang w:val="es-ES"/>
        </w:rPr>
      </w:pPr>
      <w:r>
        <w:rPr>
          <w:sz w:val="26"/>
          <w:szCs w:val="26"/>
          <w:lang w:val="es-ES"/>
        </w:rPr>
        <w:t>El 19 de marzo de 2015, la edición online de la revista de negocios Forbes México señaló que e</w:t>
      </w:r>
      <w:r w:rsidRPr="00555F25">
        <w:rPr>
          <w:sz w:val="26"/>
          <w:szCs w:val="26"/>
          <w:lang w:val="es-ES"/>
        </w:rPr>
        <w:t>l gobierno de México fracasa en el cumplimiento de su deber de defender a su pueblo ante el intento de intereses extranjeros por disponer de nuestros recursos.</w:t>
      </w:r>
    </w:p>
    <w:p w14:paraId="00D0298E" w14:textId="77777777" w:rsidR="002A1806" w:rsidRPr="00FC047B" w:rsidRDefault="002A1806" w:rsidP="002A1806">
      <w:pPr>
        <w:spacing w:after="360" w:line="360" w:lineRule="auto"/>
        <w:ind w:right="-159"/>
        <w:jc w:val="both"/>
        <w:rPr>
          <w:sz w:val="26"/>
          <w:szCs w:val="26"/>
          <w:lang w:val="es-ES"/>
        </w:rPr>
      </w:pPr>
      <w:r>
        <w:rPr>
          <w:sz w:val="26"/>
          <w:szCs w:val="26"/>
          <w:lang w:val="es-ES"/>
        </w:rPr>
        <w:t>M</w:t>
      </w:r>
      <w:r w:rsidRPr="00FC047B">
        <w:rPr>
          <w:sz w:val="26"/>
          <w:szCs w:val="26"/>
          <w:lang w:val="es-ES"/>
        </w:rPr>
        <w:t xml:space="preserve">ientras la estatización de la industria petrolera mexicana en 1938 respondió a una agenda nacional que aprovechó la coyuntura mundial, su privatización en 2014 respondió a una agenda extranjera que aprovechó la coyuntura nacional. El general Lázaro Cárdenas sabía que la riqueza petrolera mexicana era capaz de financiar el desarrollo económico del país por muchas décadas y entonces había que aprovechar que tanto los Estados Unidos de </w:t>
      </w:r>
      <w:r>
        <w:rPr>
          <w:sz w:val="26"/>
          <w:szCs w:val="26"/>
          <w:lang w:val="es-ES"/>
        </w:rPr>
        <w:t>Nortea</w:t>
      </w:r>
      <w:r w:rsidRPr="00FC047B">
        <w:rPr>
          <w:sz w:val="26"/>
          <w:szCs w:val="26"/>
          <w:lang w:val="es-ES"/>
        </w:rPr>
        <w:t>mérica como Inglaterra se encontraban ante un inminente conflicto bélico. Por ello, expropiar los activos de las compañías estadounidenses e inglesas en México tenía un riesgo inusualmente bajo, pues estos países difícilmente abrirían otro frente de batalla donde más bien necesitaban un aliado. El resultado ya todos lo conocemos. Poco se conoce, sin embargo, de la reciente geopolítica que posibilitó la privatización de nuestras reservas de petróleo y gas natural</w:t>
      </w:r>
      <w:r>
        <w:rPr>
          <w:rStyle w:val="Refdenotaalpie"/>
          <w:sz w:val="26"/>
          <w:szCs w:val="26"/>
          <w:lang w:val="es-ES"/>
        </w:rPr>
        <w:footnoteReference w:id="9"/>
      </w:r>
      <w:r w:rsidRPr="00FC047B">
        <w:rPr>
          <w:sz w:val="26"/>
          <w:szCs w:val="26"/>
          <w:lang w:val="es-ES"/>
        </w:rPr>
        <w:t>.</w:t>
      </w:r>
    </w:p>
    <w:p w14:paraId="4CD6DAF7" w14:textId="39940E2D"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Los Estados Unidos de </w:t>
      </w:r>
      <w:r>
        <w:rPr>
          <w:sz w:val="26"/>
          <w:szCs w:val="26"/>
          <w:lang w:val="es-ES"/>
        </w:rPr>
        <w:t>Nortea</w:t>
      </w:r>
      <w:r w:rsidRPr="00FC047B">
        <w:rPr>
          <w:sz w:val="26"/>
          <w:szCs w:val="26"/>
          <w:lang w:val="es-ES"/>
        </w:rPr>
        <w:t>mérica ya entraron en un per</w:t>
      </w:r>
      <w:r>
        <w:rPr>
          <w:sz w:val="26"/>
          <w:szCs w:val="26"/>
          <w:lang w:val="es-ES"/>
        </w:rPr>
        <w:t>í</w:t>
      </w:r>
      <w:r w:rsidRPr="00FC047B">
        <w:rPr>
          <w:sz w:val="26"/>
          <w:szCs w:val="26"/>
          <w:lang w:val="es-ES"/>
        </w:rPr>
        <w:t xml:space="preserve">odo de preguerra contra China y necesitan asegurar un abastecimiento estable y a gran escala de hidrocarburos para movilizar tropas y su economía cuando llegue el momento. Obtener petróleo de </w:t>
      </w:r>
      <w:r w:rsidRPr="00FC047B">
        <w:rPr>
          <w:sz w:val="26"/>
          <w:szCs w:val="26"/>
          <w:lang w:val="es-ES"/>
        </w:rPr>
        <w:lastRenderedPageBreak/>
        <w:t xml:space="preserve">Medio Oriente está siendo cada vez más difícil para ellos, y sus días de ocupaciones en Medio Oriente están contados. Ante ello, México se presenta como su gran abastecedor de cara al futuro, como lo reconoce el propio reporte </w:t>
      </w:r>
      <w:r w:rsidR="004A08ED" w:rsidRPr="004A08ED">
        <w:rPr>
          <w:sz w:val="26"/>
          <w:szCs w:val="26"/>
          <w:lang w:val="es-ES"/>
        </w:rPr>
        <w:t>“</w:t>
      </w:r>
      <w:r w:rsidRPr="004A08ED">
        <w:rPr>
          <w:sz w:val="26"/>
          <w:szCs w:val="26"/>
          <w:lang w:val="es-ES"/>
        </w:rPr>
        <w:t>Petróleo, México y el Acuerdo Transfronterizo</w:t>
      </w:r>
      <w:r w:rsidR="004A08ED" w:rsidRPr="004A08ED">
        <w:rPr>
          <w:sz w:val="26"/>
          <w:szCs w:val="26"/>
          <w:lang w:val="es-ES"/>
        </w:rPr>
        <w:t>”</w:t>
      </w:r>
      <w:r w:rsidRPr="00FC047B">
        <w:rPr>
          <w:sz w:val="26"/>
          <w:szCs w:val="26"/>
          <w:lang w:val="es-ES"/>
        </w:rPr>
        <w:t xml:space="preserve">, del Comité de Relaciones Exteriores del Senado de Estados Unidos </w:t>
      </w:r>
      <w:r>
        <w:rPr>
          <w:sz w:val="26"/>
          <w:szCs w:val="26"/>
          <w:lang w:val="es-ES"/>
        </w:rPr>
        <w:t xml:space="preserve">de Norteamérica </w:t>
      </w:r>
      <w:r w:rsidRPr="00FC047B">
        <w:rPr>
          <w:sz w:val="26"/>
          <w:szCs w:val="26"/>
          <w:lang w:val="es-ES"/>
        </w:rPr>
        <w:t>del 21 de diciembre de 2012</w:t>
      </w:r>
      <w:r>
        <w:rPr>
          <w:rStyle w:val="Refdenotaalpie"/>
          <w:sz w:val="26"/>
          <w:szCs w:val="26"/>
          <w:lang w:val="es-ES"/>
        </w:rPr>
        <w:footnoteReference w:id="10"/>
      </w:r>
      <w:r w:rsidRPr="00FC047B">
        <w:rPr>
          <w:sz w:val="26"/>
          <w:szCs w:val="26"/>
          <w:lang w:val="es-ES"/>
        </w:rPr>
        <w:t xml:space="preserve">. Abordemos primero el tema de la posible guerra China-Estados Unidos </w:t>
      </w:r>
      <w:r>
        <w:rPr>
          <w:sz w:val="26"/>
          <w:szCs w:val="26"/>
          <w:lang w:val="es-ES"/>
        </w:rPr>
        <w:t>de Norteamérica</w:t>
      </w:r>
      <w:r w:rsidRPr="00FC047B">
        <w:rPr>
          <w:sz w:val="26"/>
          <w:szCs w:val="26"/>
          <w:lang w:val="es-ES"/>
        </w:rPr>
        <w:t xml:space="preserve"> y después el del plan de los Estados Unidos </w:t>
      </w:r>
      <w:r>
        <w:rPr>
          <w:sz w:val="26"/>
          <w:szCs w:val="26"/>
          <w:lang w:val="es-ES"/>
        </w:rPr>
        <w:t>de Norteamérica</w:t>
      </w:r>
      <w:r w:rsidRPr="00FC047B">
        <w:rPr>
          <w:sz w:val="26"/>
          <w:szCs w:val="26"/>
          <w:lang w:val="es-ES"/>
        </w:rPr>
        <w:t xml:space="preserve"> para México.</w:t>
      </w:r>
    </w:p>
    <w:p w14:paraId="699B2047" w14:textId="505E628F" w:rsidR="002A1806" w:rsidRPr="004A08ED" w:rsidRDefault="002A1806" w:rsidP="002A1806">
      <w:pPr>
        <w:spacing w:after="360" w:line="360" w:lineRule="auto"/>
        <w:ind w:right="-159"/>
        <w:jc w:val="both"/>
        <w:rPr>
          <w:sz w:val="26"/>
          <w:szCs w:val="26"/>
          <w:lang w:val="es-ES"/>
        </w:rPr>
      </w:pPr>
      <w:r w:rsidRPr="00FC047B">
        <w:rPr>
          <w:sz w:val="26"/>
          <w:szCs w:val="26"/>
          <w:lang w:val="es-ES"/>
        </w:rPr>
        <w:t xml:space="preserve">Existe una fricción de, hasta ahora, baja intensidad entre los Estados Unidos </w:t>
      </w:r>
      <w:r>
        <w:rPr>
          <w:sz w:val="26"/>
          <w:szCs w:val="26"/>
          <w:lang w:val="es-ES"/>
        </w:rPr>
        <w:t>de Norteamérica</w:t>
      </w:r>
      <w:r w:rsidRPr="00FC047B">
        <w:rPr>
          <w:sz w:val="26"/>
          <w:szCs w:val="26"/>
          <w:lang w:val="es-ES"/>
        </w:rPr>
        <w:t xml:space="preserve"> y China. El reciente posicionamiento de China como la primera economía mundial </w:t>
      </w:r>
      <w:r>
        <w:rPr>
          <w:sz w:val="26"/>
          <w:szCs w:val="26"/>
          <w:lang w:val="es-ES"/>
        </w:rPr>
        <w:t>—</w:t>
      </w:r>
      <w:r w:rsidRPr="00FC047B">
        <w:rPr>
          <w:sz w:val="26"/>
          <w:szCs w:val="26"/>
          <w:lang w:val="es-ES"/>
        </w:rPr>
        <w:t>medido en términos del valor de su Producto Interno Bruto</w:t>
      </w:r>
      <w:r>
        <w:rPr>
          <w:sz w:val="26"/>
          <w:szCs w:val="26"/>
          <w:lang w:val="es-ES"/>
        </w:rPr>
        <w:t>—</w:t>
      </w:r>
      <w:r w:rsidRPr="00FC047B">
        <w:rPr>
          <w:sz w:val="26"/>
          <w:szCs w:val="26"/>
          <w:lang w:val="es-ES"/>
        </w:rPr>
        <w:t xml:space="preserve"> ha apresurado el inminente choque entre ambas potencias. Ese choque fue anticipado por Samuel P. Huntington en 1993 en su obra </w:t>
      </w:r>
      <w:r w:rsidR="004A08ED" w:rsidRPr="004A08ED">
        <w:rPr>
          <w:sz w:val="26"/>
          <w:szCs w:val="26"/>
          <w:lang w:val="es-ES"/>
        </w:rPr>
        <w:t>“</w:t>
      </w:r>
      <w:r w:rsidRPr="004A08ED">
        <w:rPr>
          <w:sz w:val="26"/>
          <w:szCs w:val="26"/>
          <w:lang w:val="es-ES"/>
        </w:rPr>
        <w:t>El choque de civilizaciones</w:t>
      </w:r>
      <w:r w:rsidR="004A08ED" w:rsidRPr="004A08ED">
        <w:rPr>
          <w:sz w:val="26"/>
          <w:szCs w:val="26"/>
          <w:lang w:val="es-ES"/>
        </w:rPr>
        <w:t>”</w:t>
      </w:r>
      <w:r w:rsidRPr="004A08ED">
        <w:rPr>
          <w:sz w:val="26"/>
          <w:szCs w:val="26"/>
          <w:lang w:val="es-ES"/>
        </w:rPr>
        <w:t xml:space="preserve"> (The clash of civilizations).</w:t>
      </w:r>
    </w:p>
    <w:p w14:paraId="7F323455" w14:textId="231569A5"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En </w:t>
      </w:r>
      <w:r w:rsidR="004A08ED" w:rsidRPr="004A08ED">
        <w:rPr>
          <w:sz w:val="26"/>
          <w:szCs w:val="26"/>
          <w:lang w:val="es-ES"/>
        </w:rPr>
        <w:t>“</w:t>
      </w:r>
      <w:r w:rsidRPr="004A08ED">
        <w:rPr>
          <w:sz w:val="26"/>
          <w:szCs w:val="26"/>
          <w:lang w:val="es-ES"/>
        </w:rPr>
        <w:t>El choque de civilizaciones</w:t>
      </w:r>
      <w:r w:rsidR="004A08ED" w:rsidRPr="004A08ED">
        <w:rPr>
          <w:sz w:val="26"/>
          <w:szCs w:val="26"/>
          <w:lang w:val="es-ES"/>
        </w:rPr>
        <w:t>”</w:t>
      </w:r>
      <w:r w:rsidRPr="004A08ED">
        <w:rPr>
          <w:sz w:val="26"/>
          <w:szCs w:val="26"/>
          <w:lang w:val="es-ES"/>
        </w:rPr>
        <w:t>,</w:t>
      </w:r>
      <w:r w:rsidRPr="00FC047B">
        <w:rPr>
          <w:sz w:val="26"/>
          <w:szCs w:val="26"/>
          <w:lang w:val="es-ES"/>
        </w:rPr>
        <w:t xml:space="preserve"> Huntington señala una creciente tendencia a la regionalización del planeta; regionalización explicada en buena medida por la religión, la cercanía cultural y la cohesión histórica. Al respecto, Huntington identifica siete civilizaciones básicas: Occidental (Europa Occidental y Central, Estados Unidos </w:t>
      </w:r>
      <w:r>
        <w:rPr>
          <w:sz w:val="26"/>
          <w:szCs w:val="26"/>
          <w:lang w:val="es-ES"/>
        </w:rPr>
        <w:t>de Norteamérica</w:t>
      </w:r>
      <w:r w:rsidRPr="00FC047B">
        <w:rPr>
          <w:sz w:val="26"/>
          <w:szCs w:val="26"/>
          <w:lang w:val="es-ES"/>
        </w:rPr>
        <w:t>, Canadá y Oceanía), Latinoamérica, Ortodoxa (Europa Oriental y la mayor parte de Rusia), el mundo Oriental (budistas, indios, chinos y japoneses), el mundo musulmán y el África Subsahariana.</w:t>
      </w:r>
    </w:p>
    <w:p w14:paraId="440E9A56" w14:textId="07829BDD"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De acuerdo con las tesis de Huntington, el desarrollo de las siguientes tres décadas (la de 1990, 2000 y 2010) se caracterizaría por un acercamiento entre China y el mundo musulmán, en particular con Irán y Paquistán, con el fin de aumentar su posicionamiento global por medio de enclaves. Por su parte, Rusia se iría acercando a </w:t>
      </w:r>
      <w:r w:rsidRPr="00FC047B">
        <w:rPr>
          <w:sz w:val="26"/>
          <w:szCs w:val="26"/>
          <w:lang w:val="es-ES"/>
        </w:rPr>
        <w:lastRenderedPageBreak/>
        <w:t xml:space="preserve">Occidente </w:t>
      </w:r>
      <w:r>
        <w:rPr>
          <w:sz w:val="26"/>
          <w:szCs w:val="26"/>
          <w:lang w:val="es-ES"/>
        </w:rPr>
        <w:t>—</w:t>
      </w:r>
      <w:r w:rsidRPr="00FC047B">
        <w:rPr>
          <w:sz w:val="26"/>
          <w:szCs w:val="26"/>
          <w:lang w:val="es-ES"/>
        </w:rPr>
        <w:t>aun a pesar de eventuales roses por Ucrania y de sus inciertas relaciones con Irán por mantener la paz en el Cáucaso y asegurar el transporte de</w:t>
      </w:r>
      <w:r w:rsidR="004A08ED">
        <w:rPr>
          <w:sz w:val="26"/>
          <w:szCs w:val="26"/>
          <w:lang w:val="es-ES"/>
        </w:rPr>
        <w:t xml:space="preserve">     </w:t>
      </w:r>
      <w:r w:rsidRPr="00FC047B">
        <w:rPr>
          <w:sz w:val="26"/>
          <w:szCs w:val="26"/>
          <w:lang w:val="es-ES"/>
        </w:rPr>
        <w:t xml:space="preserve"> hidrocarburos</w:t>
      </w:r>
      <w:r>
        <w:rPr>
          <w:sz w:val="26"/>
          <w:szCs w:val="26"/>
          <w:lang w:val="es-ES"/>
        </w:rPr>
        <w:t>—</w:t>
      </w:r>
      <w:r w:rsidRPr="00FC047B">
        <w:rPr>
          <w:sz w:val="26"/>
          <w:szCs w:val="26"/>
          <w:lang w:val="es-ES"/>
        </w:rPr>
        <w:t xml:space="preserve">. También la India se iría acercando a los Estados Unidos </w:t>
      </w:r>
      <w:r>
        <w:rPr>
          <w:sz w:val="26"/>
          <w:szCs w:val="26"/>
          <w:lang w:val="es-ES"/>
        </w:rPr>
        <w:t>de Norteamérica</w:t>
      </w:r>
      <w:r w:rsidRPr="00FC047B">
        <w:rPr>
          <w:sz w:val="26"/>
          <w:szCs w:val="26"/>
          <w:lang w:val="es-ES"/>
        </w:rPr>
        <w:t xml:space="preserve">, especialmente debido al conflicto entre India y Paquistán por Cachemira, conflicto que va a predominar por encima del resentimiento de India hacia Occidente por los siglos de dominio </w:t>
      </w:r>
      <w:r>
        <w:rPr>
          <w:sz w:val="26"/>
          <w:szCs w:val="26"/>
          <w:lang w:val="es-ES"/>
        </w:rPr>
        <w:t xml:space="preserve"> —</w:t>
      </w:r>
      <w:r w:rsidRPr="00FC047B">
        <w:rPr>
          <w:sz w:val="26"/>
          <w:szCs w:val="26"/>
          <w:lang w:val="es-ES"/>
        </w:rPr>
        <w:t>predominantemente</w:t>
      </w:r>
      <w:r>
        <w:rPr>
          <w:sz w:val="26"/>
          <w:szCs w:val="26"/>
          <w:lang w:val="es-ES"/>
        </w:rPr>
        <w:t>—</w:t>
      </w:r>
      <w:r w:rsidRPr="00FC047B">
        <w:rPr>
          <w:sz w:val="26"/>
          <w:szCs w:val="26"/>
          <w:lang w:val="es-ES"/>
        </w:rPr>
        <w:t xml:space="preserve"> británico. Todo ello está teniendo lugar.</w:t>
      </w:r>
    </w:p>
    <w:p w14:paraId="7F43C003"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Siguiendo con las tesis de Huntington, durante la presente década China haría una petición internacional para que los Estados Unidos </w:t>
      </w:r>
      <w:r>
        <w:rPr>
          <w:sz w:val="26"/>
          <w:szCs w:val="26"/>
          <w:lang w:val="es-ES"/>
        </w:rPr>
        <w:t>de Norteamérica</w:t>
      </w:r>
      <w:r w:rsidRPr="00FC047B">
        <w:rPr>
          <w:sz w:val="26"/>
          <w:szCs w:val="26"/>
          <w:lang w:val="es-ES"/>
        </w:rPr>
        <w:t xml:space="preserve"> retiren sus bases militares de las Filipinas y Taiwán, con lo que China recuperaría la soberanía del Mar de la China Meridional, convirtiéndose con ello en una amenaza latente para eventualmente posicionarse en todo el sureste asiático y de ahí quedar de frente a la India.</w:t>
      </w:r>
    </w:p>
    <w:p w14:paraId="652A2D12"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Ante lo anterior, los Estados Unidos </w:t>
      </w:r>
      <w:r>
        <w:rPr>
          <w:sz w:val="26"/>
          <w:szCs w:val="26"/>
          <w:lang w:val="es-ES"/>
        </w:rPr>
        <w:t>de Norteamérica</w:t>
      </w:r>
      <w:r w:rsidRPr="00FC047B">
        <w:rPr>
          <w:sz w:val="26"/>
          <w:szCs w:val="26"/>
          <w:lang w:val="es-ES"/>
        </w:rPr>
        <w:t xml:space="preserve"> no podrían oponerse, puesto que la moneda de cambio de los chinos sería la actual deuda del gobierno de los Estados Unidos </w:t>
      </w:r>
      <w:r>
        <w:rPr>
          <w:sz w:val="26"/>
          <w:szCs w:val="26"/>
          <w:lang w:val="es-ES"/>
        </w:rPr>
        <w:t>de Norteamérica</w:t>
      </w:r>
      <w:r w:rsidRPr="00FC047B">
        <w:rPr>
          <w:sz w:val="26"/>
          <w:szCs w:val="26"/>
          <w:lang w:val="es-ES"/>
        </w:rPr>
        <w:t xml:space="preserve">, puesto que desde hace más de una década el gobierno chino es el principal tenedor de los bonos de la Reserva de los Estados Unidos </w:t>
      </w:r>
      <w:r>
        <w:rPr>
          <w:sz w:val="26"/>
          <w:szCs w:val="26"/>
          <w:lang w:val="es-ES"/>
        </w:rPr>
        <w:t>de Norteamérica</w:t>
      </w:r>
      <w:r w:rsidRPr="00FC047B">
        <w:rPr>
          <w:sz w:val="26"/>
          <w:szCs w:val="26"/>
          <w:lang w:val="es-ES"/>
        </w:rPr>
        <w:t xml:space="preserve">, por lo que, de negarse los Estados Unidos </w:t>
      </w:r>
      <w:r>
        <w:rPr>
          <w:sz w:val="26"/>
          <w:szCs w:val="26"/>
          <w:lang w:val="es-ES"/>
        </w:rPr>
        <w:t>de Norteamérica</w:t>
      </w:r>
      <w:r w:rsidRPr="00FC047B">
        <w:rPr>
          <w:sz w:val="26"/>
          <w:szCs w:val="26"/>
          <w:lang w:val="es-ES"/>
        </w:rPr>
        <w:t xml:space="preserve"> a retirar sus bases, China podría exigir el cobro al unísono de toda esa deuda, y con ello desatar la peor crisis económica en la historia de los Estados Unidos </w:t>
      </w:r>
      <w:r>
        <w:rPr>
          <w:sz w:val="26"/>
          <w:szCs w:val="26"/>
          <w:lang w:val="es-ES"/>
        </w:rPr>
        <w:t>de Norteamérica</w:t>
      </w:r>
      <w:r w:rsidRPr="00FC047B">
        <w:rPr>
          <w:sz w:val="26"/>
          <w:szCs w:val="26"/>
          <w:lang w:val="es-ES"/>
        </w:rPr>
        <w:t xml:space="preserve"> y de las economías más ligadas a ella.</w:t>
      </w:r>
    </w:p>
    <w:p w14:paraId="1E1000A8"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Alrededor del año 2024, siguiendo nuevamente a Huntington, se realizarían las primeras provocaciones armadas chinas por medio de hostilidades en el Tíbet y/o de una eventual incursión en Vietnam. Con ello, los Estados Unidos </w:t>
      </w:r>
      <w:r>
        <w:rPr>
          <w:sz w:val="26"/>
          <w:szCs w:val="26"/>
          <w:lang w:val="es-ES"/>
        </w:rPr>
        <w:t>de Norteamérica</w:t>
      </w:r>
      <w:r w:rsidRPr="00FC047B">
        <w:rPr>
          <w:sz w:val="26"/>
          <w:szCs w:val="26"/>
          <w:lang w:val="es-ES"/>
        </w:rPr>
        <w:t xml:space="preserve"> finalmente atacarían a China y así daría inicio una guerra entre China y los Estados Unidos </w:t>
      </w:r>
      <w:r>
        <w:rPr>
          <w:sz w:val="26"/>
          <w:szCs w:val="26"/>
          <w:lang w:val="es-ES"/>
        </w:rPr>
        <w:t>de Norteamérica</w:t>
      </w:r>
      <w:r w:rsidRPr="00FC047B">
        <w:rPr>
          <w:sz w:val="26"/>
          <w:szCs w:val="26"/>
          <w:lang w:val="es-ES"/>
        </w:rPr>
        <w:t xml:space="preserve"> </w:t>
      </w:r>
      <w:r>
        <w:rPr>
          <w:sz w:val="26"/>
          <w:szCs w:val="26"/>
          <w:lang w:val="es-ES"/>
        </w:rPr>
        <w:t>—</w:t>
      </w:r>
      <w:r w:rsidRPr="00FC047B">
        <w:rPr>
          <w:sz w:val="26"/>
          <w:szCs w:val="26"/>
          <w:lang w:val="es-ES"/>
        </w:rPr>
        <w:t>de posible escalada a Guerra Mundial</w:t>
      </w:r>
      <w:r>
        <w:rPr>
          <w:sz w:val="26"/>
          <w:szCs w:val="26"/>
          <w:lang w:val="es-ES"/>
        </w:rPr>
        <w:t>—</w:t>
      </w:r>
      <w:r w:rsidRPr="00FC047B">
        <w:rPr>
          <w:sz w:val="26"/>
          <w:szCs w:val="26"/>
          <w:lang w:val="es-ES"/>
        </w:rPr>
        <w:t>.</w:t>
      </w:r>
    </w:p>
    <w:p w14:paraId="66F5DCD5"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lastRenderedPageBreak/>
        <w:t xml:space="preserve">Los preparativos ante ello ya son notables. Un número especial del semanario inglés </w:t>
      </w:r>
      <w:r w:rsidRPr="00F63B45">
        <w:rPr>
          <w:i/>
          <w:sz w:val="26"/>
          <w:szCs w:val="26"/>
          <w:lang w:val="es-ES"/>
        </w:rPr>
        <w:t xml:space="preserve">The Economist </w:t>
      </w:r>
      <w:r>
        <w:rPr>
          <w:sz w:val="26"/>
          <w:szCs w:val="26"/>
          <w:lang w:val="es-ES"/>
        </w:rPr>
        <w:t>dedicado a la India</w:t>
      </w:r>
      <w:r>
        <w:rPr>
          <w:rStyle w:val="Refdenotaalpie"/>
          <w:sz w:val="26"/>
          <w:szCs w:val="26"/>
          <w:lang w:val="es-ES"/>
        </w:rPr>
        <w:footnoteReference w:id="11"/>
      </w:r>
      <w:r w:rsidRPr="00FC047B">
        <w:rPr>
          <w:sz w:val="26"/>
          <w:szCs w:val="26"/>
          <w:lang w:val="es-ES"/>
        </w:rPr>
        <w:t xml:space="preserve"> hace una reiterada persuasión a dicho país para que fortalezca sus sistemas de defensa militar y naval, haciendo interesantes comparativos de posiciones indias frente a chinas, poniendo repetidamente el acento en la necesidad de que la India se incline abiertamente por Occidente, aumente su gasto militar, así como mejore sus representaciones internacionales (Estados Unidos </w:t>
      </w:r>
      <w:r>
        <w:rPr>
          <w:sz w:val="26"/>
          <w:szCs w:val="26"/>
          <w:lang w:val="es-ES"/>
        </w:rPr>
        <w:t>de Norteamérica</w:t>
      </w:r>
      <w:r w:rsidRPr="00FC047B">
        <w:rPr>
          <w:sz w:val="26"/>
          <w:szCs w:val="26"/>
          <w:lang w:val="es-ES"/>
        </w:rPr>
        <w:t xml:space="preserve"> necesita, pues, un aliado fuerte en el corazón de Asia en caso del latente estallido).</w:t>
      </w:r>
    </w:p>
    <w:p w14:paraId="0125D33D"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Por su parte, China estrecha cada vez más sus lazos con el mundo árabe y subsahariano, lo cual es notable en el rampante ascenso de intercambios entre científicos nucleares iraníes y chinos, así como por la creciente cooperación militar de China con países africanos</w:t>
      </w:r>
      <w:r>
        <w:rPr>
          <w:rStyle w:val="Refdenotaalpie"/>
          <w:sz w:val="26"/>
          <w:szCs w:val="26"/>
          <w:lang w:val="es-ES"/>
        </w:rPr>
        <w:footnoteReference w:id="12"/>
      </w:r>
      <w:r w:rsidRPr="00FC047B">
        <w:rPr>
          <w:sz w:val="26"/>
          <w:szCs w:val="26"/>
          <w:lang w:val="es-ES"/>
        </w:rPr>
        <w:t xml:space="preserve">. El creciente posicionamiento del Estado Islámico y de grupos opuestos a los intereses de Washington en el mundo árabe </w:t>
      </w:r>
      <w:r>
        <w:rPr>
          <w:sz w:val="26"/>
          <w:szCs w:val="26"/>
          <w:lang w:val="es-ES"/>
        </w:rPr>
        <w:t>—</w:t>
      </w:r>
      <w:r w:rsidRPr="00FC047B">
        <w:rPr>
          <w:sz w:val="26"/>
          <w:szCs w:val="26"/>
          <w:lang w:val="es-ES"/>
        </w:rPr>
        <w:t>muy probablemente financiados desde Beijing</w:t>
      </w:r>
      <w:r>
        <w:rPr>
          <w:sz w:val="26"/>
          <w:szCs w:val="26"/>
          <w:lang w:val="es-ES"/>
        </w:rPr>
        <w:t>—</w:t>
      </w:r>
      <w:r w:rsidRPr="00FC047B">
        <w:rPr>
          <w:sz w:val="26"/>
          <w:szCs w:val="26"/>
          <w:lang w:val="es-ES"/>
        </w:rPr>
        <w:t xml:space="preserve"> apuntan en la dirección de que los días de las ocupaciones de las fuerzas aliadas a los Estados Unidos </w:t>
      </w:r>
      <w:r>
        <w:rPr>
          <w:sz w:val="26"/>
          <w:szCs w:val="26"/>
          <w:lang w:val="es-ES"/>
        </w:rPr>
        <w:t>de Norteamérica</w:t>
      </w:r>
      <w:r w:rsidRPr="00FC047B">
        <w:rPr>
          <w:sz w:val="26"/>
          <w:szCs w:val="26"/>
          <w:lang w:val="es-ES"/>
        </w:rPr>
        <w:t xml:space="preserve"> están contados.</w:t>
      </w:r>
    </w:p>
    <w:p w14:paraId="2325884E"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En el caso de Latinoamérica, los Estados Unidos </w:t>
      </w:r>
      <w:r>
        <w:rPr>
          <w:sz w:val="26"/>
          <w:szCs w:val="26"/>
          <w:lang w:val="es-ES"/>
        </w:rPr>
        <w:t>de Norteamérica</w:t>
      </w:r>
      <w:r w:rsidRPr="00FC047B">
        <w:rPr>
          <w:sz w:val="26"/>
          <w:szCs w:val="26"/>
          <w:lang w:val="es-ES"/>
        </w:rPr>
        <w:t xml:space="preserve"> están iniciando un proceso de creciente acercamiento con, predominantemente, México y Brasil, a fin de asegurarlos como aliados, puesto que ambas naciones son los líderes de la región latinoamericana. Aun cuando Brasil se ha adherido al bloque de los BRICS (Brasil, Rusia, India, China y Sudáfrica), la eventual adhesión de Rusia e India (y muy probablemente también Sudáfrica) a los Estados Unidos </w:t>
      </w:r>
      <w:r>
        <w:rPr>
          <w:sz w:val="26"/>
          <w:szCs w:val="26"/>
          <w:lang w:val="es-ES"/>
        </w:rPr>
        <w:t>de Norteamérica</w:t>
      </w:r>
      <w:r w:rsidRPr="00FC047B">
        <w:rPr>
          <w:sz w:val="26"/>
          <w:szCs w:val="26"/>
          <w:lang w:val="es-ES"/>
        </w:rPr>
        <w:t xml:space="preserve">, así como la aún alta participación de capitales estadounidenses en la economía brasileña, forzará a Brasil a, al menos, no aliarse a China contra los Estados Unidos </w:t>
      </w:r>
      <w:r>
        <w:rPr>
          <w:sz w:val="26"/>
          <w:szCs w:val="26"/>
          <w:lang w:val="es-ES"/>
        </w:rPr>
        <w:t>de Norteamérica</w:t>
      </w:r>
      <w:r w:rsidRPr="00FC047B">
        <w:rPr>
          <w:sz w:val="26"/>
          <w:szCs w:val="26"/>
          <w:lang w:val="es-ES"/>
        </w:rPr>
        <w:t>. El caso de México es aún más simple en términos de alianzas, pues para cuando el conflicto China-</w:t>
      </w:r>
      <w:r w:rsidRPr="00F63B45">
        <w:rPr>
          <w:sz w:val="26"/>
          <w:szCs w:val="26"/>
          <w:lang w:val="es-ES"/>
        </w:rPr>
        <w:t xml:space="preserve"> </w:t>
      </w:r>
      <w:r w:rsidRPr="00FC047B">
        <w:rPr>
          <w:sz w:val="26"/>
          <w:szCs w:val="26"/>
          <w:lang w:val="es-ES"/>
        </w:rPr>
        <w:t xml:space="preserve">Estados Unidos </w:t>
      </w:r>
      <w:r>
        <w:rPr>
          <w:sz w:val="26"/>
          <w:szCs w:val="26"/>
          <w:lang w:val="es-ES"/>
        </w:rPr>
        <w:t>de Norteamérica</w:t>
      </w:r>
      <w:r w:rsidRPr="00FC047B">
        <w:rPr>
          <w:sz w:val="26"/>
          <w:szCs w:val="26"/>
          <w:lang w:val="es-ES"/>
        </w:rPr>
        <w:t xml:space="preserve"> haya escalado, difícilmente México habrá reducido su dependencia económica de los Estados Unidos </w:t>
      </w:r>
      <w:r>
        <w:rPr>
          <w:sz w:val="26"/>
          <w:szCs w:val="26"/>
          <w:lang w:val="es-ES"/>
        </w:rPr>
        <w:t>de Norteamérica</w:t>
      </w:r>
      <w:r w:rsidRPr="00FC047B">
        <w:rPr>
          <w:sz w:val="26"/>
          <w:szCs w:val="26"/>
          <w:lang w:val="es-ES"/>
        </w:rPr>
        <w:t xml:space="preserve"> </w:t>
      </w:r>
      <w:r w:rsidRPr="00FC047B">
        <w:rPr>
          <w:sz w:val="26"/>
          <w:szCs w:val="26"/>
          <w:lang w:val="es-ES"/>
        </w:rPr>
        <w:lastRenderedPageBreak/>
        <w:t>(especialmente en materia de inversiones y del mercado laboral). Por ello, una eventual alianza militar México-China sería aún remota para entonces.</w:t>
      </w:r>
    </w:p>
    <w:p w14:paraId="71EAD434"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El mencionado reporte </w:t>
      </w:r>
      <w:r w:rsidRPr="004A08ED">
        <w:rPr>
          <w:sz w:val="26"/>
          <w:szCs w:val="26"/>
          <w:lang w:val="es-ES"/>
        </w:rPr>
        <w:t>Petróleo, México y el Acuerdo Transfronterizo</w:t>
      </w:r>
      <w:r w:rsidRPr="00FC047B">
        <w:rPr>
          <w:sz w:val="26"/>
          <w:szCs w:val="26"/>
          <w:lang w:val="es-ES"/>
        </w:rPr>
        <w:t xml:space="preserve">, del Senado de los Estados Unidos </w:t>
      </w:r>
      <w:r>
        <w:rPr>
          <w:sz w:val="26"/>
          <w:szCs w:val="26"/>
          <w:lang w:val="es-ES"/>
        </w:rPr>
        <w:t>de Norteamérica</w:t>
      </w:r>
      <w:r w:rsidRPr="00FC047B">
        <w:rPr>
          <w:sz w:val="26"/>
          <w:szCs w:val="26"/>
          <w:lang w:val="es-ES"/>
        </w:rPr>
        <w:t xml:space="preserve">, fue integrado por el senador Richard Lugar derivado de reuniones con el equipo del presidente </w:t>
      </w:r>
      <w:r>
        <w:rPr>
          <w:sz w:val="26"/>
          <w:szCs w:val="26"/>
          <w:lang w:val="es-ES"/>
        </w:rPr>
        <w:t>de México</w:t>
      </w:r>
      <w:r w:rsidRPr="00FC047B">
        <w:rPr>
          <w:sz w:val="26"/>
          <w:szCs w:val="26"/>
          <w:lang w:val="es-ES"/>
        </w:rPr>
        <w:t xml:space="preserve">, líderes del Congreso mexicano, funcionarios de Petróleos Mexicanos (Pemex), de la Comisión Nacional de Hidrocarburos (CNH), de la embajada mexicana en Washington, representantes de la industria estadounidense y académicos. Fue presentado al Senado estadounidense por el entonces senador </w:t>
      </w:r>
      <w:r>
        <w:rPr>
          <w:sz w:val="26"/>
          <w:szCs w:val="26"/>
          <w:lang w:val="es-ES"/>
        </w:rPr>
        <w:t>y</w:t>
      </w:r>
      <w:r w:rsidRPr="00FC047B">
        <w:rPr>
          <w:sz w:val="26"/>
          <w:szCs w:val="26"/>
          <w:lang w:val="es-ES"/>
        </w:rPr>
        <w:t xml:space="preserve"> presidente del Comité de Relaciones Exteriores del Senado y actual secretario de Estado de los Estados Unidos </w:t>
      </w:r>
      <w:r>
        <w:rPr>
          <w:sz w:val="26"/>
          <w:szCs w:val="26"/>
          <w:lang w:val="es-ES"/>
        </w:rPr>
        <w:t>de Norteamérica</w:t>
      </w:r>
      <w:r w:rsidRPr="00FC047B">
        <w:rPr>
          <w:sz w:val="26"/>
          <w:szCs w:val="26"/>
          <w:lang w:val="es-ES"/>
        </w:rPr>
        <w:t xml:space="preserve">. En ese informe se pone de manifiesto el interés de Washington por la implementación de una reforma energética en México que garantice el abastecimiento de petróleo de México a los Estados Unidos </w:t>
      </w:r>
      <w:r>
        <w:rPr>
          <w:sz w:val="26"/>
          <w:szCs w:val="26"/>
          <w:lang w:val="es-ES"/>
        </w:rPr>
        <w:t>de Norteamérica</w:t>
      </w:r>
      <w:r w:rsidRPr="00FC047B">
        <w:rPr>
          <w:sz w:val="26"/>
          <w:szCs w:val="26"/>
          <w:lang w:val="es-ES"/>
        </w:rPr>
        <w:t xml:space="preserve">, resaltando que para ello cuentan con la voluntad del entonces equipo entrante del gobierno mexicano de Enrique Peña Nieto. El informe también hace hincapié en que sólo compañías internacionales registradas ante la Comisión de Valores y Cambios de los Estados Unidos </w:t>
      </w:r>
      <w:r>
        <w:rPr>
          <w:sz w:val="26"/>
          <w:szCs w:val="26"/>
          <w:lang w:val="es-ES"/>
        </w:rPr>
        <w:t>de Norteamérica</w:t>
      </w:r>
      <w:r w:rsidRPr="00FC047B">
        <w:rPr>
          <w:sz w:val="26"/>
          <w:szCs w:val="26"/>
          <w:lang w:val="es-ES"/>
        </w:rPr>
        <w:t xml:space="preserve"> (U.S. Securities and Exchange Commission) deben encargarse de la extracción de petróleo y gas en México, a fin de garantizar la propiedad de los Estados Unidos </w:t>
      </w:r>
      <w:r>
        <w:rPr>
          <w:sz w:val="26"/>
          <w:szCs w:val="26"/>
          <w:lang w:val="es-ES"/>
        </w:rPr>
        <w:t>de Norteamérica</w:t>
      </w:r>
      <w:r w:rsidRPr="00FC047B">
        <w:rPr>
          <w:sz w:val="26"/>
          <w:szCs w:val="26"/>
          <w:lang w:val="es-ES"/>
        </w:rPr>
        <w:t xml:space="preserve"> sobre esos hidrocarburos. Con esa compatibilidad y prisa fue aprobada por el Senado de la República Mexicana la reforma energética el pasado 11 de agosto.</w:t>
      </w:r>
    </w:p>
    <w:p w14:paraId="58DBB940"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Así, desde el 11 de agosto de 2014, el petróleo y gas natural del subsuelo mexicano ha dejado de representar un activo para el financiamiento de nuestro desarrollo, y se ha convertido en insumo disponible para la economía de los Estados Unidos </w:t>
      </w:r>
      <w:r>
        <w:rPr>
          <w:sz w:val="26"/>
          <w:szCs w:val="26"/>
          <w:lang w:val="es-ES"/>
        </w:rPr>
        <w:t>de Norteamérica</w:t>
      </w:r>
      <w:r w:rsidRPr="00FC047B">
        <w:rPr>
          <w:sz w:val="26"/>
          <w:szCs w:val="26"/>
          <w:lang w:val="es-ES"/>
        </w:rPr>
        <w:t xml:space="preserve"> </w:t>
      </w:r>
      <w:r>
        <w:rPr>
          <w:sz w:val="26"/>
          <w:szCs w:val="26"/>
          <w:lang w:val="es-ES"/>
        </w:rPr>
        <w:t>—</w:t>
      </w:r>
      <w:r w:rsidRPr="00FC047B">
        <w:rPr>
          <w:sz w:val="26"/>
          <w:szCs w:val="26"/>
          <w:lang w:val="es-ES"/>
        </w:rPr>
        <w:t>y para una eventual guerra</w:t>
      </w:r>
      <w:r>
        <w:rPr>
          <w:sz w:val="26"/>
          <w:szCs w:val="26"/>
          <w:lang w:val="es-ES"/>
        </w:rPr>
        <w:t>—</w:t>
      </w:r>
      <w:r w:rsidRPr="00FC047B">
        <w:rPr>
          <w:sz w:val="26"/>
          <w:szCs w:val="26"/>
          <w:lang w:val="es-ES"/>
        </w:rPr>
        <w:t xml:space="preserve">. Aun cuando podemos reconocer que existe una tremenda asimetría entre México y los Estados Unidos </w:t>
      </w:r>
      <w:r>
        <w:rPr>
          <w:sz w:val="26"/>
          <w:szCs w:val="26"/>
          <w:lang w:val="es-ES"/>
        </w:rPr>
        <w:t>de Norteamérica</w:t>
      </w:r>
      <w:r w:rsidRPr="00FC047B">
        <w:rPr>
          <w:sz w:val="26"/>
          <w:szCs w:val="26"/>
          <w:lang w:val="es-ES"/>
        </w:rPr>
        <w:t xml:space="preserve"> tal que permite explicarnos por qué los planes de ellos se han impuesto sobre los nuestros, también debemos señalar que el gobierno mexicano tenía el deber de oponerse a ese </w:t>
      </w:r>
      <w:r w:rsidRPr="00FC047B">
        <w:rPr>
          <w:sz w:val="26"/>
          <w:szCs w:val="26"/>
          <w:lang w:val="es-ES"/>
        </w:rPr>
        <w:lastRenderedPageBreak/>
        <w:t xml:space="preserve">plan, pues el saldo neto para México es negativo. Cada gobierno tiene el derecho (y el deber) de actuar para conseguirle a su pueblo los mayores beneficios posibles. Eso es lo que están haciendo los Estados Unidos </w:t>
      </w:r>
      <w:r>
        <w:rPr>
          <w:sz w:val="26"/>
          <w:szCs w:val="26"/>
          <w:lang w:val="es-ES"/>
        </w:rPr>
        <w:t>de Norteamérica</w:t>
      </w:r>
      <w:r w:rsidRPr="00FC047B">
        <w:rPr>
          <w:sz w:val="26"/>
          <w:szCs w:val="26"/>
          <w:lang w:val="es-ES"/>
        </w:rPr>
        <w:t>; no podemos culparlos del todo por eso. Sí debemos, no obstante, culpar al gobierno mexicano por no hacer lo mismo. Debemos señalar el fracaso del gobierno mexicano en el cumplimiento de su deber por defender a su pueblo ante el intento de intereses extranjeros por disponer de nuestros recursos. El gobierno mexicano pudo oponerse de muchas formas, pero no lo hizo de ninguna manera. Si hay un beneficio a cambio, ése no es para el país, pues de haberlo se nos habría publicitado.</w:t>
      </w:r>
    </w:p>
    <w:p w14:paraId="005EB321"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A quienes piensan que pudo haber habido una amenaza de guerra de los Estados Unidos </w:t>
      </w:r>
      <w:r>
        <w:rPr>
          <w:sz w:val="26"/>
          <w:szCs w:val="26"/>
          <w:lang w:val="es-ES"/>
        </w:rPr>
        <w:t>de Norteamérica</w:t>
      </w:r>
      <w:r w:rsidRPr="00FC047B">
        <w:rPr>
          <w:sz w:val="26"/>
          <w:szCs w:val="26"/>
          <w:lang w:val="es-ES"/>
        </w:rPr>
        <w:t xml:space="preserve"> hacia México, si este último se rehusaba a semejante reforma energética, les digo que, de ser así, el asunto bien pudo haberse llevado ante Naciones Unidas. Haciéndose uso del Servicio Exterior Mexicano, bien se hubiera librado una intensa batalla diplomática global. Pero no fue así. Por ello deduzco que los beneficios de semejante entrega de la riqueza petrolera tienen como destino bolsillos de particulares mexicanos. Así, la deslegitimación del Estado mexicano es ahora absoluta, pues ya no sólo incumple con el uso del poder público para procurar justicia y garantizar seguridad pública al pueblo, sino también ha dispuesto de los bienes de la nación defraudándola. Los tiempos difíciles al interior de México recién comienzan.</w:t>
      </w:r>
    </w:p>
    <w:p w14:paraId="4C0ABB86" w14:textId="77777777" w:rsidR="002A1806" w:rsidRPr="00FC047B" w:rsidRDefault="002A1806" w:rsidP="002A1806">
      <w:pPr>
        <w:spacing w:after="360" w:line="360" w:lineRule="auto"/>
        <w:ind w:right="-159"/>
        <w:jc w:val="both"/>
        <w:rPr>
          <w:sz w:val="26"/>
          <w:szCs w:val="26"/>
          <w:lang w:val="es-ES"/>
        </w:rPr>
      </w:pPr>
      <w:r w:rsidRPr="00FC047B">
        <w:rPr>
          <w:sz w:val="26"/>
          <w:szCs w:val="26"/>
          <w:lang w:val="es-ES"/>
        </w:rPr>
        <w:t xml:space="preserve">La estrategia demócrata de Washington por asegurar su abastecimiento de petróleo desde México está fracasando porque hicieron el trato con un gobierno mexicano que hoy se está cayendo en pedazos. El apresuramiento de los Estados Unidos </w:t>
      </w:r>
      <w:r>
        <w:rPr>
          <w:sz w:val="26"/>
          <w:szCs w:val="26"/>
          <w:lang w:val="es-ES"/>
        </w:rPr>
        <w:t>de Norteamérica</w:t>
      </w:r>
      <w:r w:rsidRPr="00FC047B">
        <w:rPr>
          <w:sz w:val="26"/>
          <w:szCs w:val="26"/>
          <w:lang w:val="es-ES"/>
        </w:rPr>
        <w:t xml:space="preserve">, lejos de “garantizar la seguridad energética de Norteamérica”, como reiteradamente lo presume el mencionado reporte del Senado de los Estados Unidos </w:t>
      </w:r>
      <w:r>
        <w:rPr>
          <w:sz w:val="26"/>
          <w:szCs w:val="26"/>
          <w:lang w:val="es-ES"/>
        </w:rPr>
        <w:t>de Norteamérica</w:t>
      </w:r>
      <w:r w:rsidRPr="00FC047B">
        <w:rPr>
          <w:sz w:val="26"/>
          <w:szCs w:val="26"/>
          <w:lang w:val="es-ES"/>
        </w:rPr>
        <w:t xml:space="preserve">, más bien está alimentando la inestabilidad política y la incertidumbre en la región. Mientras México debe derogar las recientes reformas constitucionales en materia energética y sus respectivas leyes secundarias, y reanudar su transición </w:t>
      </w:r>
      <w:r w:rsidRPr="00FC047B">
        <w:rPr>
          <w:sz w:val="26"/>
          <w:szCs w:val="26"/>
          <w:lang w:val="es-ES"/>
        </w:rPr>
        <w:lastRenderedPageBreak/>
        <w:t xml:space="preserve">democrática, los Estados Unidos </w:t>
      </w:r>
      <w:r>
        <w:rPr>
          <w:sz w:val="26"/>
          <w:szCs w:val="26"/>
          <w:lang w:val="es-ES"/>
        </w:rPr>
        <w:t>de Norteamérica</w:t>
      </w:r>
      <w:r w:rsidRPr="00FC047B">
        <w:rPr>
          <w:sz w:val="26"/>
          <w:szCs w:val="26"/>
          <w:lang w:val="es-ES"/>
        </w:rPr>
        <w:t xml:space="preserve"> deben elaborar un nuevo plan de abastecimiento energético que comprenda la compra de petróleo mexicano producido por Pemex en los volúmenes acordes a nuestros intereses.</w:t>
      </w:r>
    </w:p>
    <w:p w14:paraId="52C8E8E9" w14:textId="77777777" w:rsidR="002A1806" w:rsidRPr="00B9746E" w:rsidRDefault="002A1806" w:rsidP="002A1806">
      <w:pPr>
        <w:ind w:right="-159"/>
        <w:jc w:val="both"/>
        <w:rPr>
          <w:b/>
          <w:sz w:val="20"/>
          <w:szCs w:val="20"/>
        </w:rPr>
      </w:pPr>
      <w:r w:rsidRPr="00B9746E">
        <w:rPr>
          <w:b/>
          <w:sz w:val="20"/>
          <w:szCs w:val="20"/>
        </w:rPr>
        <w:t>Fuente de información:</w:t>
      </w:r>
    </w:p>
    <w:p w14:paraId="009C03B9" w14:textId="77777777" w:rsidR="002A1806" w:rsidRPr="004A08ED" w:rsidRDefault="00872B0E" w:rsidP="004A08ED">
      <w:pPr>
        <w:spacing w:after="720"/>
        <w:ind w:right="-159"/>
        <w:jc w:val="both"/>
        <w:rPr>
          <w:b/>
          <w:color w:val="0000FF"/>
          <w:sz w:val="20"/>
          <w:szCs w:val="20"/>
          <w:lang w:val="es-ES"/>
        </w:rPr>
      </w:pPr>
      <w:hyperlink r:id="rId57" w:history="1">
        <w:r w:rsidR="002A1806" w:rsidRPr="004A08ED">
          <w:rPr>
            <w:rStyle w:val="Hipervnculo"/>
            <w:sz w:val="20"/>
            <w:szCs w:val="20"/>
            <w:lang w:val="es-ES"/>
          </w:rPr>
          <w:t>http://www.forbes.com.mx/reforma-energetica-en-mexico-alfil-en-la-guerra-china-eu/</w:t>
        </w:r>
      </w:hyperlink>
    </w:p>
    <w:p w14:paraId="291BCFFE" w14:textId="77777777" w:rsidR="002B6F22" w:rsidRPr="002B6F22" w:rsidRDefault="002B6F22" w:rsidP="002B6F22">
      <w:pPr>
        <w:ind w:right="-159"/>
        <w:jc w:val="both"/>
        <w:rPr>
          <w:rFonts w:eastAsia="Calibri"/>
          <w:b/>
          <w:sz w:val="26"/>
          <w:szCs w:val="26"/>
          <w:lang w:eastAsia="en-US"/>
        </w:rPr>
      </w:pPr>
      <w:r w:rsidRPr="002B6F22">
        <w:rPr>
          <w:rFonts w:eastAsia="Calibri"/>
          <w:b/>
          <w:sz w:val="26"/>
          <w:szCs w:val="26"/>
          <w:lang w:eastAsia="en-US"/>
        </w:rPr>
        <w:t>Tras  la  rebaja crediticia de Petrobras,</w:t>
      </w:r>
    </w:p>
    <w:p w14:paraId="2B071207" w14:textId="77777777" w:rsidR="002B6F22" w:rsidRPr="002B6F22" w:rsidRDefault="002B6F22" w:rsidP="002B6F22">
      <w:pPr>
        <w:ind w:right="-159"/>
        <w:jc w:val="both"/>
        <w:rPr>
          <w:rFonts w:eastAsia="Calibri"/>
          <w:b/>
          <w:sz w:val="26"/>
          <w:szCs w:val="26"/>
          <w:lang w:eastAsia="en-US"/>
        </w:rPr>
      </w:pPr>
      <w:r w:rsidRPr="002B6F22">
        <w:rPr>
          <w:rFonts w:eastAsia="Calibri"/>
          <w:b/>
          <w:sz w:val="26"/>
          <w:szCs w:val="26"/>
          <w:lang w:eastAsia="en-US"/>
        </w:rPr>
        <w:t>hay inquietud sobre la deuda soberana</w:t>
      </w:r>
    </w:p>
    <w:p w14:paraId="494B51D9" w14:textId="77777777" w:rsidR="002B6F22" w:rsidRPr="002B6F22" w:rsidRDefault="002B6F22" w:rsidP="002B6F22">
      <w:pPr>
        <w:spacing w:after="360" w:line="360" w:lineRule="auto"/>
        <w:ind w:right="-159"/>
        <w:jc w:val="both"/>
        <w:rPr>
          <w:rFonts w:eastAsia="Calibri"/>
          <w:b/>
          <w:sz w:val="26"/>
          <w:szCs w:val="26"/>
          <w:lang w:eastAsia="en-US"/>
        </w:rPr>
      </w:pPr>
      <w:r w:rsidRPr="002B6F22">
        <w:rPr>
          <w:rFonts w:eastAsia="Calibri"/>
          <w:b/>
          <w:sz w:val="26"/>
          <w:szCs w:val="26"/>
          <w:lang w:eastAsia="en-US"/>
        </w:rPr>
        <w:t>de Brasil (WSJ)</w:t>
      </w:r>
    </w:p>
    <w:p w14:paraId="698FD5F9"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El 25 de febrero de 2015, el periódico </w:t>
      </w:r>
      <w:r w:rsidRPr="002B6F22">
        <w:rPr>
          <w:rFonts w:eastAsia="Calibri"/>
          <w:i/>
          <w:sz w:val="26"/>
          <w:szCs w:val="26"/>
          <w:lang w:eastAsia="en-US"/>
        </w:rPr>
        <w:t xml:space="preserve">The Wall Street Journal </w:t>
      </w:r>
      <w:r w:rsidRPr="002B6F22">
        <w:rPr>
          <w:rFonts w:eastAsia="Calibri"/>
          <w:sz w:val="26"/>
          <w:szCs w:val="26"/>
          <w:lang w:eastAsia="en-US"/>
        </w:rPr>
        <w:t>(WSJ) publicó la nota “Tras la rebaja crediticia de Petrobras, hay inquietud sobre la deuda soberana de Brasil”, a continuación se presenta la información.</w:t>
      </w:r>
    </w:p>
    <w:p w14:paraId="4E109569" w14:textId="77777777" w:rsidR="002B6F22" w:rsidRPr="002B6F22" w:rsidRDefault="002B6F22" w:rsidP="002B6F22">
      <w:pPr>
        <w:spacing w:after="360" w:line="360" w:lineRule="auto"/>
        <w:ind w:right="-159"/>
        <w:jc w:val="center"/>
        <w:rPr>
          <w:rFonts w:eastAsia="Calibri"/>
          <w:sz w:val="26"/>
          <w:szCs w:val="26"/>
          <w:lang w:eastAsia="en-US"/>
        </w:rPr>
      </w:pPr>
      <w:r w:rsidRPr="002B6F22">
        <w:rPr>
          <w:rFonts w:ascii="Calibri" w:eastAsia="Calibri" w:hAnsi="Calibri"/>
          <w:noProof/>
          <w:sz w:val="22"/>
          <w:szCs w:val="22"/>
          <w:lang w:eastAsia="es-MX"/>
        </w:rPr>
        <w:drawing>
          <wp:inline distT="0" distB="0" distL="0" distR="0" wp14:anchorId="7C406E6D" wp14:editId="4ED95551">
            <wp:extent cx="5504890" cy="3960000"/>
            <wp:effectExtent l="0" t="0" r="63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04890" cy="3960000"/>
                    </a:xfrm>
                    <a:prstGeom prst="rect">
                      <a:avLst/>
                    </a:prstGeom>
                    <a:noFill/>
                    <a:ln>
                      <a:noFill/>
                    </a:ln>
                  </pic:spPr>
                </pic:pic>
              </a:graphicData>
            </a:graphic>
          </wp:inline>
        </w:drawing>
      </w:r>
    </w:p>
    <w:p w14:paraId="6D40C2D2"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lastRenderedPageBreak/>
        <w:t>La decisión de una de las principales firmas de calificación de crédito del mundo de rebajar a estatus de basura la deuda de Petróleo Brasileiro S.A. ha despertado el temor de que la deuda soberana de Brasil pueda ser el siguiente blanco.</w:t>
      </w:r>
    </w:p>
    <w:p w14:paraId="687EDEC8" w14:textId="5EF2A19D"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i/>
          <w:sz w:val="26"/>
          <w:szCs w:val="26"/>
          <w:lang w:eastAsia="en-US"/>
        </w:rPr>
        <w:t>Moody’s Investors Service</w:t>
      </w:r>
      <w:r w:rsidRPr="002B6F22">
        <w:rPr>
          <w:rFonts w:eastAsia="Calibri"/>
          <w:sz w:val="26"/>
          <w:szCs w:val="26"/>
          <w:lang w:eastAsia="en-US"/>
        </w:rPr>
        <w:t xml:space="preserve"> redujo el </w:t>
      </w:r>
      <w:r w:rsidR="002F1869">
        <w:rPr>
          <w:rFonts w:eastAsia="Calibri"/>
          <w:sz w:val="26"/>
          <w:szCs w:val="26"/>
          <w:lang w:eastAsia="en-US"/>
        </w:rPr>
        <w:t>24 de febrero</w:t>
      </w:r>
      <w:r w:rsidRPr="002B6F22">
        <w:rPr>
          <w:rFonts w:eastAsia="Calibri"/>
          <w:sz w:val="26"/>
          <w:szCs w:val="26"/>
          <w:lang w:eastAsia="en-US"/>
        </w:rPr>
        <w:t xml:space="preserve"> en dos niveles la deuda de Petrobras a Ba2, es decir dos escalones debajo del grado de inversión, debido a la “continua preocupación” generada por el escándalo de corrupción que involucra a la petrolera de control estatal y su capacidad para pagar sus obligaciones en torno a los 135 mil millones de dólares.</w:t>
      </w:r>
    </w:p>
    <w:p w14:paraId="66359F75"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Fue la tercera rebaja emitida por </w:t>
      </w:r>
      <w:r w:rsidRPr="002B6F22">
        <w:rPr>
          <w:rFonts w:eastAsia="Calibri"/>
          <w:i/>
          <w:sz w:val="26"/>
          <w:szCs w:val="26"/>
          <w:lang w:eastAsia="en-US"/>
        </w:rPr>
        <w:t>Moody’s</w:t>
      </w:r>
      <w:r w:rsidRPr="002B6F22">
        <w:rPr>
          <w:rFonts w:eastAsia="Calibri"/>
          <w:sz w:val="26"/>
          <w:szCs w:val="26"/>
          <w:lang w:eastAsia="en-US"/>
        </w:rPr>
        <w:t xml:space="preserve"> sobre la petrolera desde octubre. Sin embargo, la magnitud y el momento escogido para el anuncio más reciente sorprendieron a algunos analistas y obligaron a los líderes del país a ponerse a la defensiva. Petrobras, la mayor empresa brasileña, juega un papel desproporcionado en la economía del país, que podría caer en recesión.</w:t>
      </w:r>
    </w:p>
    <w:p w14:paraId="32332E8F"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El nuevo estatus basura de la deuda de Petrobras asesta un “golpe inequívoco” para el gobierno de la Presidenta de Brasil, escribieron en un informe el miércoles analistas de Eurasia </w:t>
      </w:r>
      <w:r w:rsidRPr="002B6F22">
        <w:rPr>
          <w:rFonts w:eastAsia="Calibri"/>
          <w:i/>
          <w:sz w:val="26"/>
          <w:szCs w:val="26"/>
          <w:lang w:eastAsia="en-US"/>
        </w:rPr>
        <w:t>Group</w:t>
      </w:r>
      <w:r w:rsidRPr="002B6F22">
        <w:rPr>
          <w:rFonts w:eastAsia="Calibri"/>
          <w:sz w:val="26"/>
          <w:szCs w:val="26"/>
          <w:lang w:eastAsia="en-US"/>
        </w:rPr>
        <w:t>. “Hay una preocupación creciente sobre el efecto colateral negativo en la gestión macroeconómica y potencialmente en la calificación soberana de Brasil”, sostuvieron.</w:t>
      </w:r>
    </w:p>
    <w:p w14:paraId="708E02BB" w14:textId="270A36A1"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La Presidenta de Brasil declaró a reporteros que el gobierno no había logrado persuadir a </w:t>
      </w:r>
      <w:r w:rsidRPr="002B6F22">
        <w:rPr>
          <w:rFonts w:eastAsia="Calibri"/>
          <w:i/>
          <w:sz w:val="26"/>
          <w:szCs w:val="26"/>
          <w:lang w:eastAsia="en-US"/>
        </w:rPr>
        <w:t>Moody’s</w:t>
      </w:r>
      <w:r w:rsidRPr="002B6F22">
        <w:rPr>
          <w:rFonts w:eastAsia="Calibri"/>
          <w:sz w:val="26"/>
          <w:szCs w:val="26"/>
          <w:lang w:eastAsia="en-US"/>
        </w:rPr>
        <w:t xml:space="preserve"> de que no redujera la nota de Petrobras, que está bajo investigación por una supuesta red de sobornos y lavado de dinero.</w:t>
      </w:r>
    </w:p>
    <w:p w14:paraId="130BB786"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“El gobierno siempre tratará de evitar una rebaja, es absolutamente natural”, señaló la Presidenta de Brasil, quien agregó que la decisión de </w:t>
      </w:r>
      <w:r w:rsidRPr="002B6F22">
        <w:rPr>
          <w:rFonts w:eastAsia="Calibri"/>
          <w:i/>
          <w:sz w:val="26"/>
          <w:szCs w:val="26"/>
          <w:lang w:eastAsia="en-US"/>
        </w:rPr>
        <w:t>Moody’s</w:t>
      </w:r>
      <w:r w:rsidRPr="002B6F22">
        <w:rPr>
          <w:rFonts w:eastAsia="Calibri"/>
          <w:sz w:val="26"/>
          <w:szCs w:val="26"/>
          <w:lang w:eastAsia="en-US"/>
        </w:rPr>
        <w:t xml:space="preserve"> refleja “una falta de entendimiento adecuado de lo que está pasando en Petrobras”.</w:t>
      </w:r>
    </w:p>
    <w:p w14:paraId="438C3F42" w14:textId="52DFC0AD"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lastRenderedPageBreak/>
        <w:t xml:space="preserve">La rebaja de la calificación de crédito es el revés más reciente para Petrobras, cuyas acciones y precios de la deuda ya estaban en caída libre. Las acciones de la empresa, que se derrumbaron 5.49% el </w:t>
      </w:r>
      <w:r w:rsidR="002F1869">
        <w:rPr>
          <w:rFonts w:eastAsia="Calibri"/>
          <w:sz w:val="26"/>
          <w:szCs w:val="26"/>
          <w:lang w:eastAsia="en-US"/>
        </w:rPr>
        <w:t>24 de febrero pasado</w:t>
      </w:r>
      <w:r w:rsidRPr="002B6F22">
        <w:rPr>
          <w:rFonts w:eastAsia="Calibri"/>
          <w:sz w:val="26"/>
          <w:szCs w:val="26"/>
          <w:lang w:eastAsia="en-US"/>
        </w:rPr>
        <w:t>, se han derrumbado más de 64% desde septiembre.</w:t>
      </w:r>
    </w:p>
    <w:p w14:paraId="7663ADED"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La decisión de </w:t>
      </w:r>
      <w:r w:rsidRPr="002B6F22">
        <w:rPr>
          <w:rFonts w:eastAsia="Calibri"/>
          <w:i/>
          <w:sz w:val="26"/>
          <w:szCs w:val="26"/>
          <w:lang w:eastAsia="en-US"/>
        </w:rPr>
        <w:t>Moody’s</w:t>
      </w:r>
      <w:r w:rsidRPr="002B6F22">
        <w:rPr>
          <w:rFonts w:eastAsia="Calibri"/>
          <w:sz w:val="26"/>
          <w:szCs w:val="26"/>
          <w:lang w:eastAsia="en-US"/>
        </w:rPr>
        <w:t xml:space="preserve"> podría desatar rebajas similares de otras de las principales calificadoras de riesgo. Sin duda, elevará los costos de endeudamiento de Petrobras porque muchos grandes gestores de fondos solo pueden comprar valores que poseen grado de inversión.</w:t>
      </w:r>
    </w:p>
    <w:p w14:paraId="69144CF7"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El costo de comprar un seguro contra el impago de Petrobras se ha más que duplicado desde septiembre, de dos puntos y medio a alrededor de seis puntos porcentuales, dijo un analista de </w:t>
      </w:r>
      <w:r w:rsidRPr="002B6F22">
        <w:rPr>
          <w:rFonts w:eastAsia="Calibri"/>
          <w:i/>
          <w:sz w:val="26"/>
          <w:szCs w:val="26"/>
          <w:lang w:eastAsia="en-US"/>
        </w:rPr>
        <w:t>Mirae Asset Securities</w:t>
      </w:r>
      <w:r w:rsidRPr="002B6F22">
        <w:rPr>
          <w:rFonts w:eastAsia="Calibri"/>
          <w:sz w:val="26"/>
          <w:szCs w:val="26"/>
          <w:lang w:eastAsia="en-US"/>
        </w:rPr>
        <w:t>, en São Paulo. “Petrobras ya estaba en el nivel basura incluso antes de la rebaja”, dijo, y agregó que los seguros contra cesaciones de pagos (CDS) también se están elevando para la deuda soberana de Brasil y otras empresas brasileñas a raíz de Petrobras. La empresa prefirió no comentar en detalle.</w:t>
      </w:r>
    </w:p>
    <w:p w14:paraId="4AD980EA"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El estatus basura también constituye un revés para la Presidenta de Brasil, cuyo equipo económico ha estado haciendo malabares para convencer a los inversionistas de que la nueva gerencia instalada en Petrobras puede enderezar el rumbo, y que las nuevas medidas de austeridad de su gobierno podían sacar a Brasil del atolladero.</w:t>
      </w:r>
    </w:p>
    <w:p w14:paraId="15335B0A" w14:textId="3C50FB19"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Algunos economistas han asumido que el gobierno garantizará la deuda de Petrobras o que la rescatará si es necesario. Un </w:t>
      </w:r>
      <w:r w:rsidR="002F1869">
        <w:rPr>
          <w:rFonts w:eastAsia="Calibri"/>
          <w:sz w:val="26"/>
          <w:szCs w:val="26"/>
          <w:lang w:eastAsia="en-US"/>
        </w:rPr>
        <w:t>M</w:t>
      </w:r>
      <w:r w:rsidRPr="002B6F22">
        <w:rPr>
          <w:rFonts w:eastAsia="Calibri"/>
          <w:sz w:val="26"/>
          <w:szCs w:val="26"/>
          <w:lang w:eastAsia="en-US"/>
        </w:rPr>
        <w:t>inistro cercano a la Presidenta de Brasil negó que haya un plan de este tipo en este momento.</w:t>
      </w:r>
    </w:p>
    <w:p w14:paraId="6E3853CA"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De todos modos, los crecientes problemas de Petrobras han puesto a los inversionistas nerviosos sobre el estatus de la economía brasileña, que algunos analistas creen que podría contraerse en 2014 y 2015, los dos primeros años consecutivos de caída del Producto Interno Bruto desde la Gran Depresión.</w:t>
      </w:r>
    </w:p>
    <w:p w14:paraId="01F35F54" w14:textId="5257C723"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lastRenderedPageBreak/>
        <w:t xml:space="preserve">“En un contexto en el que la economía no es sólida” y el gobierno intenta reducir sus gastos, la rebaja es “desafortunada”, dijo un estratega </w:t>
      </w:r>
      <w:r w:rsidR="002F1869">
        <w:rPr>
          <w:rFonts w:eastAsia="Calibri"/>
          <w:sz w:val="26"/>
          <w:szCs w:val="26"/>
          <w:lang w:eastAsia="en-US"/>
        </w:rPr>
        <w:t>S</w:t>
      </w:r>
      <w:r w:rsidRPr="002B6F22">
        <w:rPr>
          <w:rFonts w:eastAsia="Calibri"/>
          <w:sz w:val="26"/>
          <w:szCs w:val="26"/>
          <w:lang w:eastAsia="en-US"/>
        </w:rPr>
        <w:t xml:space="preserve">énior para América Latina de </w:t>
      </w:r>
      <w:r w:rsidRPr="002B6F22">
        <w:rPr>
          <w:rFonts w:eastAsia="Calibri"/>
          <w:i/>
          <w:sz w:val="26"/>
          <w:szCs w:val="26"/>
          <w:lang w:eastAsia="en-US"/>
        </w:rPr>
        <w:t>Nomura Securities</w:t>
      </w:r>
      <w:r w:rsidRPr="002B6F22">
        <w:rPr>
          <w:rFonts w:eastAsia="Calibri"/>
          <w:sz w:val="26"/>
          <w:szCs w:val="26"/>
          <w:lang w:eastAsia="en-US"/>
        </w:rPr>
        <w:t xml:space="preserve"> en Nueva York. “Si el gobierno decide dar una mano, será una clara conexión al riesgo soberano”.</w:t>
      </w:r>
    </w:p>
    <w:p w14:paraId="709CBF34"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Petrobras está en medio de una extensa investigación de corrupción, apodada Operación Lava Autos. Fiscales sostienen que los ejecutivos de Petrobras y algunas de las firmas de construcción más grandes del país conspiraron para inflar el precio de los contratos de la petrolera, distribuyendo parte de las ganancias en sobornos a políticos. </w:t>
      </w:r>
    </w:p>
    <w:p w14:paraId="486015BE"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Dos ejecutivos de Petrobras están entre las casi 40 personas acusadas de delitos que van desde lavado de dinero hasta fraude. Se prevé que en los próximos días se presenten cargos contra políticos que habrían recibido sobornos.</w:t>
      </w:r>
    </w:p>
    <w:p w14:paraId="292F0180"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 xml:space="preserve">Petrobras ha indicado que es víctima de una red delictiva y hace poco creó una división de auditoría interna para prevenir futuros actos indebidos y cooperar con la pesquisa. Este mes, reemplazó a la mayor parte de su gerencia. El nuevo Presidente ejecutivo, fue el Presidente del Banco de Brasil, la mayor entidad bancaria del país. </w:t>
      </w:r>
    </w:p>
    <w:p w14:paraId="0B595F6C" w14:textId="77777777" w:rsidR="002B6F22" w:rsidRPr="002B6F22" w:rsidRDefault="002B6F22" w:rsidP="002B6F22">
      <w:pPr>
        <w:spacing w:after="360" w:line="360" w:lineRule="auto"/>
        <w:ind w:right="-159"/>
        <w:jc w:val="both"/>
        <w:rPr>
          <w:rFonts w:eastAsia="Calibri"/>
          <w:sz w:val="26"/>
          <w:szCs w:val="26"/>
          <w:lang w:eastAsia="en-US"/>
        </w:rPr>
      </w:pPr>
      <w:r w:rsidRPr="002B6F22">
        <w:rPr>
          <w:rFonts w:eastAsia="Calibri"/>
          <w:sz w:val="26"/>
          <w:szCs w:val="26"/>
          <w:lang w:eastAsia="en-US"/>
        </w:rPr>
        <w:t>Petrobras todavía no ha divulgado los resultados auditados del tercer trimestre de 2014, los cuales prometió presentar a fines de mayo.</w:t>
      </w:r>
    </w:p>
    <w:p w14:paraId="7EAE767E" w14:textId="77777777" w:rsidR="002B6F22" w:rsidRPr="002B6F22" w:rsidRDefault="002B6F22" w:rsidP="002B6F22">
      <w:pPr>
        <w:ind w:right="-159"/>
        <w:jc w:val="both"/>
        <w:rPr>
          <w:rFonts w:eastAsia="Calibri"/>
          <w:b/>
          <w:sz w:val="20"/>
          <w:szCs w:val="20"/>
          <w:lang w:eastAsia="en-US"/>
        </w:rPr>
      </w:pPr>
      <w:r w:rsidRPr="002B6F22">
        <w:rPr>
          <w:rFonts w:eastAsia="Calibri"/>
          <w:b/>
          <w:sz w:val="20"/>
          <w:szCs w:val="20"/>
          <w:lang w:eastAsia="en-US"/>
        </w:rPr>
        <w:t>Fuente de información:</w:t>
      </w:r>
    </w:p>
    <w:p w14:paraId="0604ABD3" w14:textId="77777777" w:rsidR="002B6F22" w:rsidRPr="004A08ED" w:rsidRDefault="00872B0E" w:rsidP="004A08ED">
      <w:pPr>
        <w:spacing w:after="720"/>
        <w:ind w:right="-159"/>
        <w:jc w:val="both"/>
        <w:rPr>
          <w:rFonts w:eastAsia="Calibri"/>
          <w:color w:val="0000FF"/>
          <w:sz w:val="20"/>
          <w:szCs w:val="20"/>
          <w:lang w:eastAsia="en-US"/>
        </w:rPr>
      </w:pPr>
      <w:hyperlink r:id="rId59" w:history="1">
        <w:r w:rsidR="002B6F22" w:rsidRPr="004A08ED">
          <w:rPr>
            <w:rFonts w:eastAsia="Calibri"/>
            <w:color w:val="0000FF"/>
            <w:sz w:val="20"/>
            <w:szCs w:val="20"/>
            <w:u w:val="single"/>
            <w:lang w:eastAsia="en-US"/>
          </w:rPr>
          <w:t>http://lat.wsj.com/articles/SB11614365960135763763004580484564119233770?tesla=y</w:t>
        </w:r>
      </w:hyperlink>
      <w:r w:rsidR="002B6F22" w:rsidRPr="004A08ED">
        <w:rPr>
          <w:rFonts w:eastAsia="Calibri"/>
          <w:color w:val="0000FF"/>
          <w:sz w:val="20"/>
          <w:szCs w:val="20"/>
          <w:lang w:eastAsia="en-US"/>
        </w:rPr>
        <w:t xml:space="preserve"> </w:t>
      </w:r>
    </w:p>
    <w:p w14:paraId="693A1C43" w14:textId="77777777" w:rsidR="006725CA" w:rsidRPr="006725CA" w:rsidRDefault="006725CA" w:rsidP="006725CA">
      <w:pPr>
        <w:ind w:right="-159"/>
        <w:jc w:val="both"/>
        <w:rPr>
          <w:rFonts w:eastAsia="Calibri"/>
          <w:b/>
          <w:sz w:val="26"/>
          <w:szCs w:val="26"/>
          <w:lang w:eastAsia="en-US"/>
        </w:rPr>
      </w:pPr>
      <w:r w:rsidRPr="006725CA">
        <w:rPr>
          <w:rFonts w:eastAsia="Calibri"/>
          <w:b/>
          <w:sz w:val="26"/>
          <w:szCs w:val="26"/>
          <w:lang w:eastAsia="en-US"/>
        </w:rPr>
        <w:t xml:space="preserve">Petrobras venderá activos por 13 mil </w:t>
      </w:r>
    </w:p>
    <w:p w14:paraId="755B31F8" w14:textId="77777777" w:rsidR="006725CA" w:rsidRPr="006725CA" w:rsidRDefault="006725CA" w:rsidP="006725CA">
      <w:pPr>
        <w:spacing w:after="360" w:line="360" w:lineRule="auto"/>
        <w:ind w:right="-159"/>
        <w:jc w:val="both"/>
        <w:rPr>
          <w:rFonts w:eastAsia="Calibri"/>
          <w:b/>
          <w:sz w:val="26"/>
          <w:szCs w:val="26"/>
          <w:lang w:eastAsia="en-US"/>
        </w:rPr>
      </w:pPr>
      <w:r w:rsidRPr="006725CA">
        <w:rPr>
          <w:rFonts w:eastAsia="Calibri"/>
          <w:b/>
          <w:sz w:val="26"/>
          <w:szCs w:val="26"/>
          <w:lang w:eastAsia="en-US"/>
        </w:rPr>
        <w:t>700   millones   de   dólares   (WSJ)</w:t>
      </w:r>
    </w:p>
    <w:p w14:paraId="4698EC0F"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 xml:space="preserve">El 3 de marzo de 2015, el periódico </w:t>
      </w:r>
      <w:r w:rsidRPr="006725CA">
        <w:rPr>
          <w:rFonts w:eastAsia="Calibri"/>
          <w:i/>
          <w:sz w:val="26"/>
          <w:szCs w:val="26"/>
          <w:lang w:eastAsia="en-US"/>
        </w:rPr>
        <w:t>The Wall Street Journal</w:t>
      </w:r>
      <w:r w:rsidRPr="006725CA">
        <w:rPr>
          <w:rFonts w:eastAsia="Calibri"/>
          <w:sz w:val="26"/>
          <w:szCs w:val="26"/>
          <w:lang w:eastAsia="en-US"/>
        </w:rPr>
        <w:t xml:space="preserve"> (WSJ) publicó el artículo “Petrobras venderá activos por 13 mil 700 millones de dólares”. A continuación se presenta la información.</w:t>
      </w:r>
    </w:p>
    <w:p w14:paraId="73A4C3C1"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lastRenderedPageBreak/>
        <w:t xml:space="preserve">La petrolera brasileña </w:t>
      </w:r>
      <w:r w:rsidRPr="006725CA">
        <w:rPr>
          <w:rFonts w:eastAsia="Calibri"/>
          <w:i/>
          <w:sz w:val="26"/>
          <w:szCs w:val="26"/>
          <w:lang w:eastAsia="en-US"/>
        </w:rPr>
        <w:t>Petroleo Brasileiro SA</w:t>
      </w:r>
      <w:r w:rsidRPr="006725CA">
        <w:rPr>
          <w:rFonts w:eastAsia="Calibri"/>
          <w:sz w:val="26"/>
          <w:szCs w:val="26"/>
          <w:lang w:eastAsia="en-US"/>
        </w:rPr>
        <w:t xml:space="preserve"> anunció que venderá unos 13 mil 700 millones de dólares en activos en 2015 y 2016, lo que representa un fuerte incremento respecto al plan de desinversiones anunciado originalmente, en un momento en que la compañía está inmersa en una investigación por un posible escándalo de corrupción. </w:t>
      </w:r>
    </w:p>
    <w:p w14:paraId="12F6A7D2"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 xml:space="preserve">Probablemente las ventas se repartirán entre los negocios de exploración y producción, suministro, y gas y electricidad, dijo la compañía en un comunicado. </w:t>
      </w:r>
    </w:p>
    <w:p w14:paraId="1B90DB90"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 xml:space="preserve">El año pasado, la compañía anunció su objetivo de vender entre 5 mil millones de dólares y 11 mil millones de dólares en activos para 2018. </w:t>
      </w:r>
    </w:p>
    <w:p w14:paraId="1F43E69A"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 xml:space="preserve">Previamente, la petrolera brasileña había anunciado su intención de reducir un ambicioso plan de inversiones de 220 mil millones de dólares en 16 mil millones de dólares. Estos ajustes son fruto del escándalo de corrupción que ha mermado el valor de mercado de Petrobras. </w:t>
      </w:r>
    </w:p>
    <w:p w14:paraId="0AF259C5"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 xml:space="preserve">Las acciones forman parte de un plan “para reducir el apalancamiento, preservar el efectivo y centrarse en inversiones prioritarias”, dijo el lunes la compañía en un comunicado. </w:t>
      </w:r>
    </w:p>
    <w:p w14:paraId="0E6A9A69" w14:textId="77777777" w:rsidR="006725CA" w:rsidRPr="006725CA" w:rsidRDefault="006725CA" w:rsidP="006725CA">
      <w:pPr>
        <w:spacing w:after="360" w:line="360" w:lineRule="auto"/>
        <w:ind w:right="-159"/>
        <w:jc w:val="both"/>
        <w:rPr>
          <w:rFonts w:eastAsia="Calibri"/>
          <w:sz w:val="26"/>
          <w:szCs w:val="26"/>
          <w:lang w:eastAsia="en-US"/>
        </w:rPr>
      </w:pPr>
      <w:r w:rsidRPr="006725CA">
        <w:rPr>
          <w:rFonts w:eastAsia="Calibri"/>
          <w:sz w:val="26"/>
          <w:szCs w:val="26"/>
          <w:lang w:eastAsia="en-US"/>
        </w:rPr>
        <w:t>Petrobras está inmersa en una investigación de la fiscalía brasileña para dilucidar si algunos de sus directivos y de las principales constructoras del país inflaron contratos.</w:t>
      </w:r>
    </w:p>
    <w:p w14:paraId="2AB25855" w14:textId="77777777" w:rsidR="006725CA" w:rsidRPr="006725CA" w:rsidRDefault="006725CA" w:rsidP="006725CA">
      <w:pPr>
        <w:ind w:right="-159"/>
        <w:jc w:val="both"/>
        <w:rPr>
          <w:rFonts w:eastAsia="Calibri"/>
          <w:b/>
          <w:sz w:val="20"/>
          <w:szCs w:val="20"/>
          <w:lang w:eastAsia="en-US"/>
        </w:rPr>
      </w:pPr>
      <w:r w:rsidRPr="006725CA">
        <w:rPr>
          <w:rFonts w:eastAsia="Calibri"/>
          <w:b/>
          <w:sz w:val="20"/>
          <w:szCs w:val="20"/>
          <w:lang w:eastAsia="en-US"/>
        </w:rPr>
        <w:t>Fuente de información:</w:t>
      </w:r>
    </w:p>
    <w:p w14:paraId="16F37279" w14:textId="77777777" w:rsidR="006725CA" w:rsidRPr="004A08ED" w:rsidRDefault="00872B0E" w:rsidP="006725CA">
      <w:pPr>
        <w:ind w:right="-159"/>
        <w:jc w:val="both"/>
        <w:rPr>
          <w:rFonts w:eastAsia="Calibri"/>
          <w:color w:val="0000FF"/>
          <w:sz w:val="20"/>
          <w:szCs w:val="20"/>
          <w:lang w:eastAsia="en-US"/>
        </w:rPr>
      </w:pPr>
      <w:hyperlink r:id="rId60" w:history="1">
        <w:r w:rsidR="006725CA" w:rsidRPr="004A08ED">
          <w:rPr>
            <w:rFonts w:eastAsia="Calibri"/>
            <w:color w:val="0000FF"/>
            <w:sz w:val="20"/>
            <w:szCs w:val="20"/>
            <w:u w:val="single"/>
            <w:lang w:eastAsia="en-US"/>
          </w:rPr>
          <w:t>http://lat.wsj.com/articles/SB11235758984163043989104580495962918643650?tesla=y</w:t>
        </w:r>
      </w:hyperlink>
      <w:r w:rsidR="006725CA" w:rsidRPr="004A08ED">
        <w:rPr>
          <w:rFonts w:eastAsia="Calibri"/>
          <w:color w:val="0000FF"/>
          <w:sz w:val="20"/>
          <w:szCs w:val="20"/>
          <w:lang w:eastAsia="en-US"/>
        </w:rPr>
        <w:t xml:space="preserve"> </w:t>
      </w:r>
    </w:p>
    <w:p w14:paraId="316C4581" w14:textId="77777777" w:rsidR="002A3D68" w:rsidRDefault="002A3D68" w:rsidP="0028288C">
      <w:pPr>
        <w:spacing w:after="360" w:line="360" w:lineRule="auto"/>
        <w:ind w:right="-159"/>
        <w:jc w:val="both"/>
        <w:rPr>
          <w:rFonts w:eastAsia="Calibri"/>
          <w:sz w:val="26"/>
          <w:szCs w:val="26"/>
          <w:u w:val="single"/>
          <w:lang w:eastAsia="en-US"/>
        </w:rPr>
      </w:pPr>
    </w:p>
    <w:p w14:paraId="2D1863C1" w14:textId="77777777" w:rsidR="00125F6B" w:rsidRDefault="00125F6B" w:rsidP="0028288C">
      <w:pPr>
        <w:spacing w:after="360" w:line="360" w:lineRule="auto"/>
        <w:ind w:right="-159"/>
        <w:jc w:val="both"/>
        <w:rPr>
          <w:rFonts w:eastAsia="Calibri"/>
          <w:sz w:val="26"/>
          <w:szCs w:val="26"/>
          <w:u w:val="single"/>
          <w:lang w:eastAsia="en-US"/>
        </w:rPr>
      </w:pPr>
    </w:p>
    <w:p w14:paraId="1BB7B4B6" w14:textId="77777777" w:rsidR="00125F6B" w:rsidRDefault="00125F6B" w:rsidP="0028288C">
      <w:pPr>
        <w:spacing w:after="360" w:line="360" w:lineRule="auto"/>
        <w:ind w:right="-159"/>
        <w:jc w:val="both"/>
        <w:rPr>
          <w:rFonts w:eastAsia="Calibri"/>
          <w:sz w:val="26"/>
          <w:szCs w:val="26"/>
          <w:u w:val="single"/>
          <w:lang w:eastAsia="en-US"/>
        </w:rPr>
      </w:pPr>
    </w:p>
    <w:p w14:paraId="719C7C89" w14:textId="77777777" w:rsidR="00125F6B" w:rsidRPr="002A3D68" w:rsidRDefault="00125F6B" w:rsidP="0028288C">
      <w:pPr>
        <w:spacing w:after="360" w:line="360" w:lineRule="auto"/>
        <w:ind w:right="-159"/>
        <w:jc w:val="both"/>
        <w:rPr>
          <w:rFonts w:eastAsia="Calibri"/>
          <w:sz w:val="26"/>
          <w:szCs w:val="26"/>
          <w:u w:val="single"/>
          <w:lang w:eastAsia="en-US"/>
        </w:rPr>
      </w:pPr>
    </w:p>
    <w:p w14:paraId="70199597" w14:textId="77777777" w:rsidR="00630046" w:rsidRPr="00630046" w:rsidRDefault="00630046" w:rsidP="00630046">
      <w:pPr>
        <w:ind w:right="-159"/>
        <w:jc w:val="both"/>
        <w:rPr>
          <w:rFonts w:eastAsia="Calibri"/>
          <w:b/>
          <w:sz w:val="26"/>
          <w:szCs w:val="26"/>
          <w:lang w:eastAsia="en-US"/>
        </w:rPr>
      </w:pPr>
      <w:r w:rsidRPr="00630046">
        <w:rPr>
          <w:rFonts w:eastAsia="Calibri"/>
          <w:b/>
          <w:sz w:val="26"/>
          <w:szCs w:val="26"/>
          <w:lang w:eastAsia="en-US"/>
        </w:rPr>
        <w:lastRenderedPageBreak/>
        <w:t>Unión  de  la Energía: una energía segura, sostenible,</w:t>
      </w:r>
    </w:p>
    <w:p w14:paraId="208CB47F" w14:textId="77777777" w:rsidR="00630046" w:rsidRPr="00630046" w:rsidRDefault="00630046" w:rsidP="00630046">
      <w:pPr>
        <w:spacing w:after="360" w:line="360" w:lineRule="auto"/>
        <w:ind w:right="-159"/>
        <w:jc w:val="both"/>
        <w:rPr>
          <w:rFonts w:eastAsia="Calibri"/>
          <w:b/>
          <w:sz w:val="26"/>
          <w:szCs w:val="26"/>
          <w:lang w:eastAsia="en-US"/>
        </w:rPr>
      </w:pPr>
      <w:r w:rsidRPr="00630046">
        <w:rPr>
          <w:rFonts w:eastAsia="Calibri"/>
          <w:b/>
          <w:sz w:val="26"/>
          <w:szCs w:val="26"/>
          <w:lang w:eastAsia="en-US"/>
        </w:rPr>
        <w:t>competitiva y asequible para todos los europeos (CE)</w:t>
      </w:r>
    </w:p>
    <w:p w14:paraId="50F542AE"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El 25 de febrero de 2015, la Comisión Europea (CE) presentó en Bruselas, Bélgica, su estrategia para lograr una Unión de la Energía resistente con una política de cambio climático orientada al futuro. A continuación se presenta el contenido.</w:t>
      </w:r>
    </w:p>
    <w:p w14:paraId="6C0BDF2E"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La energía se utiliza para calentar y refrigerar edificios y hogares, transportar mercancías y dar impulso a la economía. Y, sin embargo, debido al envejecimiento de las infraestructuras, la escasa integración de los mercados y la descoordinación de las políticas, nuestros consumidores, hogares y empresas no se benefician de mayores posibilidades de elección o de precios más bajos de la energía. Ha llegado el momento de completar el mercado único de la energía en Europa. De acuerdo con esta prioridad absoluta establecida en las orientaciones políticas del Presidente Jean-Claude Juncker, la Comisión Europea presenta su estrategia para lograr una Unión de la Energía resistente y con una política de cambio climático orientada al futuro.</w:t>
      </w:r>
    </w:p>
    <w:p w14:paraId="1E7DDCFA" w14:textId="77777777" w:rsidR="00630046" w:rsidRPr="00630046" w:rsidRDefault="00630046" w:rsidP="00630046">
      <w:pPr>
        <w:spacing w:after="360" w:line="360" w:lineRule="auto"/>
        <w:ind w:right="-159"/>
        <w:jc w:val="both"/>
        <w:rPr>
          <w:rFonts w:eastAsia="Calibri"/>
          <w:b/>
          <w:sz w:val="26"/>
          <w:szCs w:val="26"/>
          <w:lang w:eastAsia="en-US"/>
        </w:rPr>
      </w:pPr>
      <w:r w:rsidRPr="00630046">
        <w:rPr>
          <w:rFonts w:eastAsia="Calibri"/>
          <w:b/>
          <w:sz w:val="26"/>
          <w:szCs w:val="26"/>
          <w:lang w:eastAsia="en-US"/>
        </w:rPr>
        <w:t>La Unión de la Energía entraña, en particular:</w:t>
      </w:r>
    </w:p>
    <w:p w14:paraId="5D9320A2" w14:textId="77777777" w:rsidR="00630046" w:rsidRPr="00630046" w:rsidRDefault="00630046" w:rsidP="00276F3E">
      <w:pPr>
        <w:numPr>
          <w:ilvl w:val="0"/>
          <w:numId w:val="124"/>
        </w:numPr>
        <w:spacing w:after="360" w:line="360" w:lineRule="auto"/>
        <w:ind w:left="714" w:right="-159" w:hanging="357"/>
        <w:jc w:val="both"/>
        <w:rPr>
          <w:rFonts w:eastAsia="Calibri"/>
          <w:sz w:val="26"/>
          <w:szCs w:val="26"/>
          <w:lang w:eastAsia="en-US"/>
        </w:rPr>
      </w:pPr>
      <w:r w:rsidRPr="00630046">
        <w:rPr>
          <w:rFonts w:eastAsia="Calibri"/>
          <w:sz w:val="26"/>
          <w:szCs w:val="26"/>
          <w:lang w:eastAsia="en-US"/>
        </w:rPr>
        <w:t>una cláusula de solidaridad para reducir la dependencia de proveedores únicos y confiar plenamente en los países vecinos, especialmente en caso de interrupción del suministro de energía; existirá mayor transparencia cuando los Estados miembros de la UE entablen negociaciones para comprar energía o gas de terceros países;</w:t>
      </w:r>
    </w:p>
    <w:p w14:paraId="7057E16E" w14:textId="77777777" w:rsidR="00630046" w:rsidRPr="00630046" w:rsidRDefault="00630046" w:rsidP="00276F3E">
      <w:pPr>
        <w:numPr>
          <w:ilvl w:val="0"/>
          <w:numId w:val="124"/>
        </w:numPr>
        <w:spacing w:after="360" w:line="360" w:lineRule="auto"/>
        <w:ind w:left="714" w:right="-159" w:hanging="357"/>
        <w:jc w:val="both"/>
        <w:rPr>
          <w:rFonts w:eastAsia="Calibri"/>
          <w:sz w:val="26"/>
          <w:szCs w:val="26"/>
          <w:lang w:eastAsia="en-US"/>
        </w:rPr>
      </w:pPr>
      <w:r w:rsidRPr="00630046">
        <w:rPr>
          <w:rFonts w:eastAsia="Calibri"/>
          <w:sz w:val="26"/>
          <w:szCs w:val="26"/>
          <w:lang w:eastAsia="en-US"/>
        </w:rPr>
        <w:t xml:space="preserve">unos flujos de energía considerados una quinta libertad, la de la libre circulación de energía a través de las fronteras, para lo cual habrá que aplicar estrictamente las normas vigentes en ámbitos tales como el de la separación de actividades y el de la independencia de los reguladores, emprendiéndose las acciones legales oportunas cuando proceda; habrá que remodelar el mercado  de la electricidad </w:t>
      </w:r>
      <w:r w:rsidRPr="00630046">
        <w:rPr>
          <w:rFonts w:eastAsia="Calibri"/>
          <w:sz w:val="26"/>
          <w:szCs w:val="26"/>
          <w:lang w:eastAsia="en-US"/>
        </w:rPr>
        <w:lastRenderedPageBreak/>
        <w:t>para que esté más interconectado, incorpore en mayor medida las energías renovables y tenga mayor capacidad de respuesta; convendrá efectuar una profunda revisión de las intervenciones estatales en el mercado interior y eliminar progresivamente las subvenciones que tengan efectos perjudiciales para el medio ambiente;</w:t>
      </w:r>
    </w:p>
    <w:p w14:paraId="76703F74" w14:textId="77777777" w:rsidR="00630046" w:rsidRPr="00630046" w:rsidRDefault="00630046" w:rsidP="00276F3E">
      <w:pPr>
        <w:numPr>
          <w:ilvl w:val="0"/>
          <w:numId w:val="124"/>
        </w:numPr>
        <w:spacing w:after="360" w:line="360" w:lineRule="auto"/>
        <w:ind w:left="714" w:right="-159" w:hanging="357"/>
        <w:jc w:val="both"/>
        <w:rPr>
          <w:rFonts w:eastAsia="Calibri"/>
          <w:sz w:val="26"/>
          <w:szCs w:val="26"/>
          <w:lang w:eastAsia="en-US"/>
        </w:rPr>
      </w:pPr>
      <w:r w:rsidRPr="00630046">
        <w:rPr>
          <w:rFonts w:eastAsia="Calibri"/>
          <w:sz w:val="26"/>
          <w:szCs w:val="26"/>
          <w:lang w:eastAsia="en-US"/>
        </w:rPr>
        <w:t>la eficiencia energética en primer lugar: convendrá replantearse totalmente la eficiencia energética y considerarla una fuente de energía por derecho propio, de modo que pueda competir en igualdad de condiciones con la capacidad de producción;</w:t>
      </w:r>
    </w:p>
    <w:p w14:paraId="4B3F4724" w14:textId="77777777" w:rsidR="00630046" w:rsidRPr="00630046" w:rsidRDefault="00630046" w:rsidP="00276F3E">
      <w:pPr>
        <w:numPr>
          <w:ilvl w:val="0"/>
          <w:numId w:val="124"/>
        </w:numPr>
        <w:spacing w:after="360" w:line="360" w:lineRule="auto"/>
        <w:ind w:right="-159"/>
        <w:jc w:val="both"/>
        <w:rPr>
          <w:rFonts w:eastAsia="Calibri"/>
          <w:sz w:val="26"/>
          <w:szCs w:val="26"/>
          <w:lang w:eastAsia="en-US"/>
        </w:rPr>
      </w:pPr>
      <w:r w:rsidRPr="00630046">
        <w:rPr>
          <w:rFonts w:eastAsia="Calibri"/>
          <w:sz w:val="26"/>
          <w:szCs w:val="26"/>
          <w:lang w:eastAsia="en-US"/>
        </w:rPr>
        <w:t>la transición hacia una sociedad hipocarbónica duradera: deberá hacerse lo posible para que la energía producida localmente, incluida la generada a partir de fuentes de energía renovables, sea absorbida fácil y eficientemente en la red. Se impulsará el liderazgo tecnológico de la UE mediante el desarrollo de la próxima generación de tecnologías de energía renovable y la excelencia en el campo de la movilidad eléctrica, al tiempo que las empresas europeas incrementen sus exportaciones y compiten a nivel mundial.</w:t>
      </w:r>
    </w:p>
    <w:p w14:paraId="55990F9C"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Los ciudadanos constituyen el núcleo de la Europa de la Energía. Los precios que pagan han de ser asequibles y competitivos. La energía debe ser segura y sostenible, con mayor competencia y más posibilidades de elección para todos los consumidores.</w:t>
      </w:r>
    </w:p>
    <w:p w14:paraId="6BF8C436"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Estos y otros compromisos se suman a un plan de acción para alcanzar estos ambiciosos objetivos de nuestra política en materia de energía y clima.</w:t>
      </w:r>
    </w:p>
    <w:p w14:paraId="418C4514" w14:textId="2F52B802"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 xml:space="preserve">El Presidente de la Comisión declaró lo siguiente: “El sector de la energía ha quedado demasiado tiempo al margen de las libertades fundamentales de nuestra Unión. Los actuales acontecimientos dejan bien claro lo que está en juego y no son pocos los europeos asustados ante la perspectiva de que la penuria energética les impida calentar </w:t>
      </w:r>
      <w:r w:rsidRPr="00630046">
        <w:rPr>
          <w:rFonts w:eastAsia="Calibri"/>
          <w:sz w:val="26"/>
          <w:szCs w:val="26"/>
          <w:lang w:eastAsia="en-US"/>
        </w:rPr>
        <w:lastRenderedPageBreak/>
        <w:t>sus hogares. Se impone una actuación conjunta de Europa a largo plazo. Nuestro objetivo es que la energía en que se basa nuestra economía sea resistente, fiable, segura y cada vez más renovable y sostenible”.</w:t>
      </w:r>
    </w:p>
    <w:p w14:paraId="3D42D4AD"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Maroš Šefčovič, Vicepresidente responsable de la Unión de la Energía, señaló lo siguiente: “Hoy lanzamos el proyecto energético europeo más ambicioso desde la Comunidad Europea del Carbón y del Acero. Un proyecto que integrará nuestros 28 mercados europeos de la energía en una Unión de la Energía, garantizará una Europa menos dependiente en el sector energético y asegurará la previsibilidad que tanto necesitan los inversores para crear empleo y crecimiento. Hoy damos inicio a una transición fundamental hacia una economía hipocarbónica y respetuosa para con el medio ambiente, hacia una Unión de la Energía en la que lo primero sean los ciudadanos, ofreciéndoles una energía más asequible, segura y sostenible. Junto con todos los demás comisarios que han colaborado estrechamente en el equipo del proyecto, y con el apoyo de la Comisión en su conjunto, pondré todo mi empeño en hacer de esta Unión de la Energía una realidad.”.</w:t>
      </w:r>
    </w:p>
    <w:p w14:paraId="47E5C478" w14:textId="77777777" w:rsid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Miguel Arias Cañete, Comisario responsable de Acción por el Clima y Energía ha indicado lo siguiente: “Hoy hemos marcado el camino hacia un mercado europeo de la energía conectado, integrado y seguro. ¡Hagámoslo realidad! Ese camino nuestro que garantice una verdadera seguridad energética y la protección del clima empieza aquí, en Europa. Por ello me concentraré en la construcción de nuestro mercado común de la energía, en cómo ahorrar más energía, aumentar las energías renovables y diversificar nuestro abastecimiento energético. Tras décadas de retraso, ya no vamos a desperdiciar más oportunidades para crear una Unión de la Energía. Informó Juncker que la Comisión sabe centrarse en lo que es importante.”</w:t>
      </w:r>
    </w:p>
    <w:p w14:paraId="1B628C7B" w14:textId="77777777" w:rsidR="00125F6B" w:rsidRDefault="00125F6B" w:rsidP="00630046">
      <w:pPr>
        <w:spacing w:after="360" w:line="360" w:lineRule="auto"/>
        <w:ind w:right="-159"/>
        <w:jc w:val="both"/>
        <w:rPr>
          <w:rFonts w:eastAsia="Calibri"/>
          <w:sz w:val="26"/>
          <w:szCs w:val="26"/>
          <w:lang w:eastAsia="en-US"/>
        </w:rPr>
      </w:pPr>
    </w:p>
    <w:p w14:paraId="2EB41623" w14:textId="77777777" w:rsidR="00125F6B" w:rsidRPr="00630046" w:rsidRDefault="00125F6B" w:rsidP="00630046">
      <w:pPr>
        <w:spacing w:after="360" w:line="360" w:lineRule="auto"/>
        <w:ind w:right="-159"/>
        <w:jc w:val="both"/>
        <w:rPr>
          <w:rFonts w:eastAsia="Calibri"/>
          <w:sz w:val="26"/>
          <w:szCs w:val="26"/>
          <w:lang w:eastAsia="en-US"/>
        </w:rPr>
      </w:pPr>
    </w:p>
    <w:p w14:paraId="54AEFE58" w14:textId="77777777" w:rsidR="00630046" w:rsidRPr="00630046" w:rsidRDefault="00630046" w:rsidP="00630046">
      <w:pPr>
        <w:spacing w:after="360" w:line="360" w:lineRule="auto"/>
        <w:ind w:right="-159"/>
        <w:jc w:val="both"/>
        <w:rPr>
          <w:rFonts w:eastAsia="Calibri"/>
          <w:b/>
          <w:sz w:val="26"/>
          <w:szCs w:val="26"/>
          <w:lang w:eastAsia="en-US"/>
        </w:rPr>
      </w:pPr>
      <w:r w:rsidRPr="00630046">
        <w:rPr>
          <w:rFonts w:eastAsia="Calibri"/>
          <w:b/>
          <w:sz w:val="26"/>
          <w:szCs w:val="26"/>
          <w:lang w:eastAsia="en-US"/>
        </w:rPr>
        <w:lastRenderedPageBreak/>
        <w:t>Cifras clave</w:t>
      </w:r>
    </w:p>
    <w:p w14:paraId="58604C23"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La UE, que es el mayor importador de energía del mundo, obtiene el 53% de su energía del exterior con un costo anual de aproximadamente 400 mil millones euros.</w:t>
      </w:r>
    </w:p>
    <w:p w14:paraId="0155B036"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Doce Estados miembros de la UE</w:t>
      </w:r>
      <w:r w:rsidRPr="00630046">
        <w:rPr>
          <w:rFonts w:ascii="Calibri" w:eastAsia="Calibri" w:hAnsi="Calibri"/>
          <w:bCs/>
          <w:sz w:val="26"/>
          <w:szCs w:val="26"/>
          <w:vertAlign w:val="superscript"/>
          <w:lang w:eastAsia="en-US"/>
        </w:rPr>
        <w:footnoteReference w:id="13"/>
      </w:r>
      <w:r w:rsidRPr="00630046">
        <w:rPr>
          <w:rFonts w:eastAsia="Calibri"/>
          <w:sz w:val="26"/>
          <w:szCs w:val="26"/>
          <w:lang w:eastAsia="en-US"/>
        </w:rPr>
        <w:t xml:space="preserve"> no cumplen el objetivo mínimo de interconexión de la UE; a saber: que al menos el 10% de la capacidad de producción eléctrica instalada pueda “cruzar las fronteras”. La UE ha elaborado una lista de 137 proyectos eléctricos, entre ellos 35 de interconexión, gracias a los cuales ese número de doce Estados miembros podría quedar reducido a dos.</w:t>
      </w:r>
    </w:p>
    <w:p w14:paraId="4F55C4C2"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Una red energética europea debidamente interconectada podría suponer a los consumidores un ahorro de hasta 40 mil millones de euros al año.</w:t>
      </w:r>
    </w:p>
    <w:p w14:paraId="286A28B6"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Seis Estados miembros de la UE</w:t>
      </w:r>
      <w:r w:rsidRPr="00630046">
        <w:rPr>
          <w:rFonts w:ascii="Calibri" w:eastAsia="Calibri" w:hAnsi="Calibri"/>
          <w:bCs/>
          <w:sz w:val="26"/>
          <w:szCs w:val="26"/>
          <w:vertAlign w:val="superscript"/>
          <w:lang w:eastAsia="en-US"/>
        </w:rPr>
        <w:footnoteReference w:id="14"/>
      </w:r>
      <w:r w:rsidRPr="00630046">
        <w:rPr>
          <w:rFonts w:eastAsia="Calibri"/>
          <w:sz w:val="26"/>
          <w:szCs w:val="26"/>
          <w:lang w:eastAsia="en-US"/>
        </w:rPr>
        <w:t xml:space="preserve"> dependen de un proveedor exterior único para la totalidad de sus importaciones de gas.</w:t>
      </w:r>
    </w:p>
    <w:p w14:paraId="0BA89215" w14:textId="1C71F3BA"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 xml:space="preserve">El 75% de los edificios es ineficiente desde el punto de vista energético; el 94% del sector del transporte depende de productos derivados del petróleo, un 90% de los cuales son importados.  Solo de aquí a 2020 será necesario invertir más de </w:t>
      </w:r>
      <w:r w:rsidR="0020784B">
        <w:rPr>
          <w:rFonts w:eastAsia="Calibri"/>
          <w:sz w:val="26"/>
          <w:szCs w:val="26"/>
          <w:lang w:eastAsia="en-US"/>
        </w:rPr>
        <w:t>un</w:t>
      </w:r>
      <w:r w:rsidRPr="00630046">
        <w:rPr>
          <w:rFonts w:eastAsia="Calibri"/>
          <w:sz w:val="26"/>
          <w:szCs w:val="26"/>
          <w:lang w:eastAsia="en-US"/>
        </w:rPr>
        <w:t xml:space="preserve"> billón </w:t>
      </w:r>
      <w:r w:rsidR="0020784B">
        <w:rPr>
          <w:rFonts w:eastAsia="Calibri"/>
          <w:sz w:val="26"/>
          <w:szCs w:val="26"/>
          <w:lang w:eastAsia="en-US"/>
        </w:rPr>
        <w:t xml:space="preserve">de </w:t>
      </w:r>
      <w:r w:rsidRPr="00630046">
        <w:rPr>
          <w:rFonts w:eastAsia="Calibri"/>
          <w:sz w:val="26"/>
          <w:szCs w:val="26"/>
          <w:lang w:eastAsia="en-US"/>
        </w:rPr>
        <w:t>euros en el sector energético de la UE.</w:t>
      </w:r>
    </w:p>
    <w:p w14:paraId="5CF8D970"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Los precios al por mayor de la electricidad y el gas en Europa son un 30% y más de un 100% superiores, respectivamente, a los de Estados Unidos de Norteamérica.</w:t>
      </w:r>
    </w:p>
    <w:p w14:paraId="51BA852A"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lastRenderedPageBreak/>
        <w:t>Las empresas europeas de energías renovables tienen un volumen de negocios anual global de 129 mil millones de euros y dan trabajo a más de un millón de personas. El reto que se le plantea a Europa es mantener el liderazgo mundial en las inversiones en energías renovables.</w:t>
      </w:r>
    </w:p>
    <w:p w14:paraId="7B93702D" w14:textId="77777777"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Las emisiones de gases de efecto invernadero de la UE se redujeron un 18% durante el período 1990-2011.</w:t>
      </w:r>
    </w:p>
    <w:p w14:paraId="624358F8" w14:textId="3B2D68CD" w:rsidR="00630046" w:rsidRPr="00630046" w:rsidRDefault="00630046" w:rsidP="00276F3E">
      <w:pPr>
        <w:numPr>
          <w:ilvl w:val="0"/>
          <w:numId w:val="125"/>
        </w:numPr>
        <w:spacing w:after="360" w:line="360" w:lineRule="auto"/>
        <w:ind w:right="-159"/>
        <w:jc w:val="both"/>
        <w:rPr>
          <w:rFonts w:eastAsia="Calibri"/>
          <w:sz w:val="26"/>
          <w:szCs w:val="26"/>
          <w:lang w:eastAsia="en-US"/>
        </w:rPr>
      </w:pPr>
      <w:r w:rsidRPr="00630046">
        <w:rPr>
          <w:rFonts w:eastAsia="Calibri"/>
          <w:sz w:val="26"/>
          <w:szCs w:val="26"/>
          <w:lang w:eastAsia="en-US"/>
        </w:rPr>
        <w:t>De aquí a 2030, la UE se ha marcado el objetivo de reducir las emisiones de gases de efecto invernadero al menos un 40%, aumentar la parte correspondiente a las energías renovables al menos un 27% e incrementar la eficiencia energética al menos un 27</w:t>
      </w:r>
      <w:r w:rsidR="00BC0197">
        <w:rPr>
          <w:rFonts w:eastAsia="Calibri"/>
          <w:sz w:val="26"/>
          <w:szCs w:val="26"/>
          <w:lang w:eastAsia="en-US"/>
        </w:rPr>
        <w:t xml:space="preserve"> por ciento</w:t>
      </w:r>
      <w:r w:rsidRPr="00630046">
        <w:rPr>
          <w:rFonts w:eastAsia="Calibri"/>
          <w:sz w:val="26"/>
          <w:szCs w:val="26"/>
          <w:lang w:eastAsia="en-US"/>
        </w:rPr>
        <w:t>.</w:t>
      </w:r>
    </w:p>
    <w:p w14:paraId="4CB90E37" w14:textId="77777777" w:rsidR="00630046" w:rsidRPr="00630046" w:rsidRDefault="00630046" w:rsidP="00630046">
      <w:pPr>
        <w:spacing w:after="360" w:line="360" w:lineRule="auto"/>
        <w:ind w:right="-159"/>
        <w:jc w:val="both"/>
        <w:rPr>
          <w:rFonts w:eastAsia="Calibri"/>
          <w:b/>
          <w:sz w:val="26"/>
          <w:szCs w:val="26"/>
          <w:lang w:eastAsia="en-US"/>
        </w:rPr>
      </w:pPr>
      <w:r w:rsidRPr="00630046">
        <w:rPr>
          <w:rFonts w:eastAsia="Calibri"/>
          <w:b/>
          <w:sz w:val="26"/>
          <w:szCs w:val="26"/>
          <w:lang w:eastAsia="en-US"/>
        </w:rPr>
        <w:t>¿Qué se ha adoptado hoy?</w:t>
      </w:r>
    </w:p>
    <w:p w14:paraId="726331F0"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Una estrategia marco con miras a una Unión de la Energía resistente con una política de cambio climático orientada al futuro. En ella se establecen, en cinco dimensiones estratégicas interrelacionadas, los objetivos de la Unión de la Energía y las medidas detalladas que la Comisión adoptará para alcanzarlos, entre las que cabe destacar nuevos actos legislativos que reestructuren y revisen el mercado eléctrico, la garantía de una mayor transparencia en los contratos de gas, el desarrollo sustancial de la cooperación regional como paso importante hacia un mercado integrado, con un marco regulador más estricto, nuevas normas que aseguren el suministro de gas y electricidad, mayor financiamiento de la UE destinada a la eficiencia energética o un nuevo conjunto de medidas sobre energías renovables, una mayor atención a la estrategia europea de investigación e innovación en materia de energía, la elaboración de informes anuales sobre el estado de la Unión de la Energía, etcétera.</w:t>
      </w:r>
    </w:p>
    <w:p w14:paraId="627FBBD9" w14:textId="77777777"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 xml:space="preserve">Una Comunicación sobre la interconexión que establece las medidas necesarias para alcanzar el objetivo del 10% de interconexión eléctrica de aquí a 2020, que es el mínimo </w:t>
      </w:r>
      <w:r w:rsidRPr="00630046">
        <w:rPr>
          <w:rFonts w:eastAsia="Calibri"/>
          <w:sz w:val="26"/>
          <w:szCs w:val="26"/>
          <w:lang w:eastAsia="en-US"/>
        </w:rPr>
        <w:lastRenderedPageBreak/>
        <w:t>necesario para la transmisión y comercio de electricidad entre Estados miembros. En ella se indican los Estados miembros que actualmente cumplen ese objetivo y los proyectos que podrían colmar lagunas de aquí a 2020.</w:t>
      </w:r>
    </w:p>
    <w:p w14:paraId="37BF19DA" w14:textId="77777777" w:rsidR="00D46A23"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 xml:space="preserve">Una Comunicación que presenta una serie de ideas acerca de un acuerdo mundial sobre el clima con miras a la reunión que se celebrará en París en diciembre. Lo que se pretende es alcanzar un acuerdo mundial transparente, dinámico y jurídicamente vinculante en el que todas las partes suscriban compromisos ambiciosos. </w:t>
      </w:r>
    </w:p>
    <w:p w14:paraId="595650D1" w14:textId="394FA473" w:rsidR="00630046" w:rsidRPr="00630046" w:rsidRDefault="00630046" w:rsidP="00630046">
      <w:pPr>
        <w:spacing w:after="360" w:line="360" w:lineRule="auto"/>
        <w:ind w:right="-159"/>
        <w:jc w:val="both"/>
        <w:rPr>
          <w:rFonts w:eastAsia="Calibri"/>
          <w:sz w:val="26"/>
          <w:szCs w:val="26"/>
          <w:lang w:eastAsia="en-US"/>
        </w:rPr>
      </w:pPr>
      <w:r w:rsidRPr="00630046">
        <w:rPr>
          <w:rFonts w:eastAsia="Calibri"/>
          <w:sz w:val="26"/>
          <w:szCs w:val="26"/>
          <w:lang w:eastAsia="en-US"/>
        </w:rPr>
        <w:t>La Comunicación también plasma las decisiones adoptadas en la Cumbre Europea de octubre de 2014 en un objetivo de reducción de las emisiones propuesto por la UE (la llamada “contribución determinada a nivel nacional” o INDC) para el nuevo acuerdo.</w:t>
      </w:r>
    </w:p>
    <w:p w14:paraId="5F674BB9" w14:textId="77777777" w:rsidR="00630046" w:rsidRPr="00630046" w:rsidRDefault="00630046" w:rsidP="00630046">
      <w:pPr>
        <w:jc w:val="both"/>
        <w:rPr>
          <w:rFonts w:eastAsia="Calibri"/>
          <w:b/>
          <w:sz w:val="20"/>
          <w:szCs w:val="20"/>
          <w:lang w:eastAsia="en-US"/>
        </w:rPr>
      </w:pPr>
      <w:r w:rsidRPr="00630046">
        <w:rPr>
          <w:rFonts w:eastAsia="Calibri"/>
          <w:b/>
          <w:sz w:val="20"/>
          <w:szCs w:val="20"/>
          <w:lang w:eastAsia="en-US"/>
        </w:rPr>
        <w:t>Fuente de información:</w:t>
      </w:r>
    </w:p>
    <w:p w14:paraId="18D0E455" w14:textId="77777777" w:rsidR="00630046" w:rsidRPr="004A08ED" w:rsidRDefault="00872B0E" w:rsidP="004A08ED">
      <w:pPr>
        <w:spacing w:after="720"/>
        <w:jc w:val="both"/>
        <w:rPr>
          <w:rFonts w:eastAsia="Calibri"/>
          <w:color w:val="0000FF"/>
          <w:sz w:val="20"/>
          <w:szCs w:val="20"/>
          <w:lang w:eastAsia="en-US"/>
        </w:rPr>
      </w:pPr>
      <w:hyperlink r:id="rId61" w:history="1">
        <w:r w:rsidR="00630046" w:rsidRPr="004A08ED">
          <w:rPr>
            <w:rFonts w:eastAsia="Calibri"/>
            <w:color w:val="0000FF"/>
            <w:sz w:val="20"/>
            <w:szCs w:val="20"/>
            <w:u w:val="single"/>
            <w:lang w:eastAsia="en-US"/>
          </w:rPr>
          <w:t>http://europa.eu/rapid/press-release_IP-15-4497_es.htm</w:t>
        </w:r>
      </w:hyperlink>
    </w:p>
    <w:p w14:paraId="7F87F890" w14:textId="77777777" w:rsidR="00E43AC9" w:rsidRPr="00E43AC9" w:rsidRDefault="00E43AC9" w:rsidP="00E43AC9">
      <w:pPr>
        <w:spacing w:after="360" w:line="360" w:lineRule="auto"/>
        <w:ind w:right="-159"/>
        <w:jc w:val="both"/>
        <w:rPr>
          <w:rFonts w:eastAsia="Calibri"/>
          <w:b/>
          <w:sz w:val="26"/>
          <w:szCs w:val="26"/>
          <w:lang w:eastAsia="en-US"/>
        </w:rPr>
      </w:pPr>
      <w:r w:rsidRPr="00E43AC9">
        <w:rPr>
          <w:rFonts w:eastAsia="Calibri"/>
          <w:b/>
          <w:sz w:val="26"/>
          <w:szCs w:val="26"/>
          <w:lang w:eastAsia="en-US"/>
        </w:rPr>
        <w:t xml:space="preserve">La caída del petróleo perturba la transformación de </w:t>
      </w:r>
      <w:r w:rsidRPr="00E43AC9">
        <w:rPr>
          <w:rFonts w:eastAsia="Calibri"/>
          <w:b/>
          <w:i/>
          <w:sz w:val="26"/>
          <w:szCs w:val="26"/>
          <w:lang w:eastAsia="en-US"/>
        </w:rPr>
        <w:t>General Electric</w:t>
      </w:r>
      <w:r w:rsidRPr="00E43AC9">
        <w:rPr>
          <w:rFonts w:eastAsia="Calibri"/>
          <w:b/>
          <w:sz w:val="26"/>
          <w:szCs w:val="26"/>
          <w:lang w:eastAsia="en-US"/>
        </w:rPr>
        <w:t xml:space="preserve"> (WSJ)</w:t>
      </w:r>
    </w:p>
    <w:p w14:paraId="1E57B0B7"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El 3 de marzo de 2015, el periódico </w:t>
      </w:r>
      <w:r w:rsidRPr="00E43AC9">
        <w:rPr>
          <w:rFonts w:eastAsia="Calibri"/>
          <w:i/>
          <w:sz w:val="26"/>
          <w:szCs w:val="26"/>
          <w:lang w:eastAsia="en-US"/>
        </w:rPr>
        <w:t>The Wall Street Journal</w:t>
      </w:r>
      <w:r w:rsidRPr="00E43AC9">
        <w:rPr>
          <w:rFonts w:eastAsia="Calibri"/>
          <w:sz w:val="26"/>
          <w:szCs w:val="26"/>
          <w:lang w:eastAsia="en-US"/>
        </w:rPr>
        <w:t xml:space="preserve"> (WSJ) publicó la nota “La caída del petróleo perturba la transformación de </w:t>
      </w:r>
      <w:r w:rsidRPr="00E43AC9">
        <w:rPr>
          <w:rFonts w:eastAsia="Calibri"/>
          <w:i/>
          <w:sz w:val="26"/>
          <w:szCs w:val="26"/>
          <w:lang w:eastAsia="en-US"/>
        </w:rPr>
        <w:t>General Electric</w:t>
      </w:r>
      <w:r w:rsidRPr="00E43AC9">
        <w:rPr>
          <w:rFonts w:eastAsia="Calibri"/>
          <w:sz w:val="26"/>
          <w:szCs w:val="26"/>
          <w:lang w:eastAsia="en-US"/>
        </w:rPr>
        <w:t>” a continuación se presenta la información.</w:t>
      </w:r>
    </w:p>
    <w:p w14:paraId="25230E76" w14:textId="5B18E274" w:rsidR="00E43AC9" w:rsidRPr="00E43AC9" w:rsidRDefault="00211672" w:rsidP="00E43AC9">
      <w:pPr>
        <w:spacing w:after="360" w:line="360" w:lineRule="auto"/>
        <w:ind w:right="-159"/>
        <w:jc w:val="center"/>
        <w:rPr>
          <w:rFonts w:eastAsia="Calibri"/>
          <w:sz w:val="26"/>
          <w:szCs w:val="26"/>
          <w:lang w:eastAsia="en-US"/>
        </w:rPr>
      </w:pPr>
      <w:r w:rsidRPr="00211672">
        <w:rPr>
          <w:rFonts w:ascii="Calibri" w:eastAsia="Calibri" w:hAnsi="Calibri"/>
          <w:noProof/>
          <w:sz w:val="22"/>
          <w:szCs w:val="22"/>
          <w:lang w:eastAsia="es-MX"/>
        </w:rPr>
        <w:lastRenderedPageBreak/>
        <w:drawing>
          <wp:inline distT="0" distB="0" distL="0" distR="0" wp14:anchorId="64B47320" wp14:editId="79B17D8B">
            <wp:extent cx="5612130" cy="4227890"/>
            <wp:effectExtent l="0" t="0" r="7620" b="0"/>
            <wp:docPr id="1581" name="Imagen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12130" cy="4227890"/>
                    </a:xfrm>
                    <a:prstGeom prst="rect">
                      <a:avLst/>
                    </a:prstGeom>
                    <a:noFill/>
                    <a:ln>
                      <a:noFill/>
                    </a:ln>
                  </pic:spPr>
                </pic:pic>
              </a:graphicData>
            </a:graphic>
          </wp:inline>
        </w:drawing>
      </w:r>
    </w:p>
    <w:p w14:paraId="4CEE7E43"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Después de pasar una década transformando </w:t>
      </w:r>
      <w:r w:rsidRPr="00E43AC9">
        <w:rPr>
          <w:rFonts w:eastAsia="Calibri"/>
          <w:i/>
          <w:sz w:val="26"/>
          <w:szCs w:val="26"/>
          <w:lang w:eastAsia="en-US"/>
        </w:rPr>
        <w:t>General Electric Co</w:t>
      </w:r>
      <w:r w:rsidRPr="00E43AC9">
        <w:rPr>
          <w:rFonts w:eastAsia="Calibri"/>
          <w:sz w:val="26"/>
          <w:szCs w:val="26"/>
          <w:lang w:eastAsia="en-US"/>
        </w:rPr>
        <w:t xml:space="preserve">., en un grupo industrial más sencillo, el Presidente Ejecutivo de </w:t>
      </w:r>
      <w:r w:rsidRPr="00E43AC9">
        <w:rPr>
          <w:rFonts w:eastAsia="Calibri"/>
          <w:i/>
          <w:sz w:val="26"/>
          <w:szCs w:val="26"/>
          <w:lang w:eastAsia="en-US"/>
        </w:rPr>
        <w:t>General Electric</w:t>
      </w:r>
      <w:r w:rsidRPr="00E43AC9">
        <w:rPr>
          <w:rFonts w:eastAsia="Calibri"/>
          <w:sz w:val="26"/>
          <w:szCs w:val="26"/>
          <w:lang w:eastAsia="en-US"/>
        </w:rPr>
        <w:t xml:space="preserve"> (GE) se encuentra con un nuevo problema: demasiado petróleo.</w:t>
      </w:r>
    </w:p>
    <w:p w14:paraId="746EAF6C" w14:textId="5A9FDD6B"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Los inversionistas presionan desde hace tiempo al Presidente Ejecutivo del conglomerado para que escinda la división financiera y ajuste el enfoque de sus negocios industriales. El año pasado se deshizo de segmentos como los electrodomésticos y las tarjetas de crédito de minoristas. Las desinversiones culminaron una prolongada reestructuración en la que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estima que vendió 65% de la empresa cuyo liderazgo heredó de Jack Welch hace 13 años.</w:t>
      </w:r>
    </w:p>
    <w:p w14:paraId="554CAF54"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lastRenderedPageBreak/>
        <w:t xml:space="preserve">Se suponía que ahora empezaría a recoger los frutos. Pero la caída de los precios del petróleo ha planteado un nuevo obstáculo para el crecimiento del grupo y ha generado renovadas preguntas sobre su legado. Algunos inversionistas y ejecutivos temen que ahora habría que esperar más tiempo antes de que las acciones de GE pongan fin a su racha bajista —han retrocedido 35% desde que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tomó las riendas, en septiembre de 2001, y 7.7% desde el cierre de 2013—, lo que profundizaría sus frustraciones en momentos en que el Presidente Ejecutivo ingresa a las etapas finales de su gestión.</w:t>
      </w:r>
    </w:p>
    <w:p w14:paraId="79EF1556"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Los resultados del cuarto trimestre de 2014 superaron las expectativas de </w:t>
      </w:r>
      <w:r w:rsidRPr="00E43AC9">
        <w:rPr>
          <w:rFonts w:eastAsia="Calibri"/>
          <w:i/>
          <w:sz w:val="26"/>
          <w:szCs w:val="26"/>
          <w:lang w:eastAsia="en-US"/>
        </w:rPr>
        <w:t>Wall Street</w:t>
      </w:r>
      <w:r w:rsidRPr="00E43AC9">
        <w:rPr>
          <w:rFonts w:eastAsia="Calibri"/>
          <w:sz w:val="26"/>
          <w:szCs w:val="26"/>
          <w:lang w:eastAsia="en-US"/>
        </w:rPr>
        <w:t>, con 5 mil 200 millones de dólares en ganancias sobre 42 mil millones de dólares en ingresos. No obstante, en el mismo período de 2007, las utilidades de GE llegaron a      6 mil 700 millones de dólares sobre una facturación de 48 mil 500 millones de dólares.</w:t>
      </w:r>
    </w:p>
    <w:p w14:paraId="64126CB1"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Ahora, el derrumbre del crudo ha oscurecido el panorama. La acción del conglomerado ha caído 4% desde que comenzó el declive del petróleo en junio, comparado con un alza de 7.6% del índice bursátil S&amp;P 500. Analistas de </w:t>
      </w:r>
      <w:r w:rsidRPr="00E43AC9">
        <w:rPr>
          <w:rFonts w:eastAsia="Calibri"/>
          <w:i/>
          <w:sz w:val="26"/>
          <w:szCs w:val="26"/>
          <w:lang w:eastAsia="en-US"/>
        </w:rPr>
        <w:t>J.P. Morgan Chase</w:t>
      </w:r>
      <w:r w:rsidRPr="00E43AC9">
        <w:rPr>
          <w:rFonts w:eastAsia="Calibri"/>
          <w:sz w:val="26"/>
          <w:szCs w:val="26"/>
          <w:lang w:eastAsia="en-US"/>
        </w:rPr>
        <w:t xml:space="preserve"> indicaron que los resultados de GE empeorarían debido al impacto del crudo.</w:t>
      </w:r>
    </w:p>
    <w:p w14:paraId="31E0A43C"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Esto pone al Presidente Ejecutivo de </w:t>
      </w:r>
      <w:r w:rsidRPr="00E43AC9">
        <w:rPr>
          <w:rFonts w:eastAsia="Calibri"/>
          <w:i/>
          <w:sz w:val="26"/>
          <w:szCs w:val="26"/>
          <w:lang w:eastAsia="en-US"/>
        </w:rPr>
        <w:t>General Electric</w:t>
      </w:r>
      <w:r w:rsidRPr="00E43AC9">
        <w:rPr>
          <w:rFonts w:eastAsia="Calibri"/>
          <w:sz w:val="26"/>
          <w:szCs w:val="26"/>
          <w:lang w:eastAsia="en-US"/>
        </w:rPr>
        <w:t xml:space="preserve">, de 59 años, en una situación que ya conoce: tener que demostrar su capacidad. “Creo que lo que han hecho con estas medidas es muy audaz”, dice un analista de la gestora de fondos TIAA-CREF, el decimonoveno mayor accionista de GE según </w:t>
      </w:r>
      <w:r w:rsidRPr="00E43AC9">
        <w:rPr>
          <w:rFonts w:eastAsia="Calibri"/>
          <w:i/>
          <w:sz w:val="26"/>
          <w:szCs w:val="26"/>
          <w:lang w:eastAsia="en-US"/>
        </w:rPr>
        <w:t>FactSet</w:t>
      </w:r>
      <w:r w:rsidRPr="00E43AC9">
        <w:rPr>
          <w:rFonts w:eastAsia="Calibri"/>
          <w:sz w:val="26"/>
          <w:szCs w:val="26"/>
          <w:lang w:eastAsia="en-US"/>
        </w:rPr>
        <w:t>. “Necesita demostrar su éxito”.</w:t>
      </w:r>
    </w:p>
    <w:p w14:paraId="120954C9"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GE no parecería ser la víctima más obvia de una caída del mercado petrolero. La compañía fundada por Thomas Edison es conocida por sus turbinas eléctricas, motores de aviones y equipos para realizar tomografías computarizadas. Su filial GE Capital es esencialmente uno de los mayores bancos de Estados Unidos de Norteamérica.</w:t>
      </w:r>
    </w:p>
    <w:p w14:paraId="0B066556"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lastRenderedPageBreak/>
        <w:t xml:space="preserve">Sin embargo, el Presidente Ejecutivo de </w:t>
      </w:r>
      <w:r w:rsidRPr="00E43AC9">
        <w:rPr>
          <w:rFonts w:eastAsia="Calibri"/>
          <w:i/>
          <w:sz w:val="26"/>
          <w:szCs w:val="26"/>
          <w:lang w:eastAsia="en-US"/>
        </w:rPr>
        <w:t>General Electric</w:t>
      </w:r>
      <w:r w:rsidRPr="00E43AC9">
        <w:rPr>
          <w:rFonts w:eastAsia="Calibri"/>
          <w:sz w:val="26"/>
          <w:szCs w:val="26"/>
          <w:lang w:eastAsia="en-US"/>
        </w:rPr>
        <w:t xml:space="preserve"> también apostó al auge energético, al invertir 14 mil millones de dólares en empresas que ayudan a perforadores de petróleo y gas a extraerlos y transportarlos. Los hidrocarburos generaron directa o indirectamente un cuarto de los 100 mil millones de dólares en ingresos industriales de GE en 2014.</w:t>
      </w:r>
    </w:p>
    <w:p w14:paraId="0F6A3E35"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En la asamblea anual de accionistas en diciembre,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advirtió que el negocio de petróleo y gas podría provocar caídas de hasta 5% en los ingresos y las ganancias en 2015.</w:t>
      </w:r>
    </w:p>
    <w:p w14:paraId="79E11FF0" w14:textId="4EA63960"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Estas perspectivas han reforzado la opinión de algunos en </w:t>
      </w:r>
      <w:r w:rsidRPr="00E43AC9">
        <w:rPr>
          <w:rFonts w:eastAsia="Calibri"/>
          <w:i/>
          <w:sz w:val="26"/>
          <w:szCs w:val="26"/>
          <w:lang w:eastAsia="en-US"/>
        </w:rPr>
        <w:t>Wall Street</w:t>
      </w:r>
      <w:r w:rsidRPr="00E43AC9">
        <w:rPr>
          <w:rFonts w:eastAsia="Calibri"/>
          <w:sz w:val="26"/>
          <w:szCs w:val="26"/>
          <w:lang w:eastAsia="en-US"/>
        </w:rPr>
        <w:t xml:space="preserve"> de que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no actuó lo suficientemente rápido para reorganizar el portafolio de GE incluso antes de la caída del crudo. “La idea más atemorizante es que </w:t>
      </w:r>
      <w:r w:rsidR="0020784B">
        <w:rPr>
          <w:rFonts w:eastAsia="Calibri"/>
          <w:sz w:val="26"/>
          <w:szCs w:val="26"/>
          <w:lang w:eastAsia="en-US"/>
        </w:rPr>
        <w:t>é</w:t>
      </w:r>
      <w:r w:rsidRPr="00E43AC9">
        <w:rPr>
          <w:rFonts w:eastAsia="Calibri"/>
          <w:sz w:val="26"/>
          <w:szCs w:val="26"/>
          <w:lang w:eastAsia="en-US"/>
        </w:rPr>
        <w:t xml:space="preserve">sta es una compañía que podría demorarse dos décadas en volver a su máximo anterior de 60 dólares” por acción, en 2000, dice un analista de </w:t>
      </w:r>
      <w:r w:rsidRPr="00E43AC9">
        <w:rPr>
          <w:rFonts w:eastAsia="Calibri"/>
          <w:i/>
          <w:sz w:val="26"/>
          <w:szCs w:val="26"/>
          <w:lang w:eastAsia="en-US"/>
        </w:rPr>
        <w:t>William Blair &amp; Co</w:t>
      </w:r>
      <w:r w:rsidRPr="00E43AC9">
        <w:rPr>
          <w:rFonts w:eastAsia="Calibri"/>
          <w:sz w:val="26"/>
          <w:szCs w:val="26"/>
          <w:lang w:eastAsia="en-US"/>
        </w:rPr>
        <w:t>. “Es como las décadas perdidas en Japón”.</w:t>
      </w:r>
    </w:p>
    <w:p w14:paraId="4C932C3A" w14:textId="219B64E8"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En declaraciones públicas desde diciembre,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y otros ejecutivos han dicho que siguen comprometidos con el petróleo a largo plazo. El Director financiero dijo</w:t>
      </w:r>
      <w:r w:rsidR="0020784B">
        <w:rPr>
          <w:rFonts w:eastAsia="Calibri"/>
          <w:sz w:val="26"/>
          <w:szCs w:val="26"/>
          <w:lang w:eastAsia="en-US"/>
        </w:rPr>
        <w:t>,</w:t>
      </w:r>
      <w:r w:rsidRPr="00E43AC9">
        <w:rPr>
          <w:rFonts w:eastAsia="Calibri"/>
          <w:sz w:val="26"/>
          <w:szCs w:val="26"/>
          <w:lang w:eastAsia="en-US"/>
        </w:rPr>
        <w:t xml:space="preserve"> en una entrevista en enero</w:t>
      </w:r>
      <w:r w:rsidR="0020784B">
        <w:rPr>
          <w:rFonts w:eastAsia="Calibri"/>
          <w:sz w:val="26"/>
          <w:szCs w:val="26"/>
          <w:lang w:eastAsia="en-US"/>
        </w:rPr>
        <w:t>,</w:t>
      </w:r>
      <w:r w:rsidRPr="00E43AC9">
        <w:rPr>
          <w:rFonts w:eastAsia="Calibri"/>
          <w:sz w:val="26"/>
          <w:szCs w:val="26"/>
          <w:lang w:eastAsia="en-US"/>
        </w:rPr>
        <w:t xml:space="preserve"> que GE usará el declive del mercado como “una oportunidad” para racionalizar las operaciones y superar a rivales en problemas.</w:t>
      </w:r>
    </w:p>
    <w:p w14:paraId="45149898"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El Presidente Ejecutivo de </w:t>
      </w:r>
      <w:r w:rsidRPr="00E43AC9">
        <w:rPr>
          <w:rFonts w:eastAsia="Calibri"/>
          <w:i/>
          <w:sz w:val="26"/>
          <w:szCs w:val="26"/>
          <w:lang w:eastAsia="en-US"/>
        </w:rPr>
        <w:t>General Electric</w:t>
      </w:r>
      <w:r w:rsidRPr="00E43AC9">
        <w:rPr>
          <w:rFonts w:eastAsia="Calibri"/>
          <w:sz w:val="26"/>
          <w:szCs w:val="26"/>
          <w:lang w:eastAsia="en-US"/>
        </w:rPr>
        <w:t xml:space="preserve"> está acostumbrado a las críticas a su gestión, entre ellas que tardó demasiado en reducir la dependencia en GE Capital, que ha sido la mayor preocupación de sus inversionistas. El cambio profundo lleva tiempo, dijo en una entrevista en septiembre, en la que también señaló que ha realizado inversiones en productos como motores de aviones y turbinas de gas que darán frutos durante décadas.</w:t>
      </w:r>
    </w:p>
    <w:p w14:paraId="422ECBCC"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lastRenderedPageBreak/>
        <w:t>“A mi parecer, a medida que crezcan nuestras ganancias (...) si llevamos a cabo las cosas que hemos delineado a los inversionistas, la acción va a subir”, afirmó.</w:t>
      </w:r>
    </w:p>
    <w:p w14:paraId="184D1D04"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El Presidente Ejecutivo de </w:t>
      </w:r>
      <w:r w:rsidRPr="00E43AC9">
        <w:rPr>
          <w:rFonts w:eastAsia="Calibri"/>
          <w:i/>
          <w:sz w:val="26"/>
          <w:szCs w:val="26"/>
          <w:lang w:eastAsia="en-US"/>
        </w:rPr>
        <w:t>General Electric</w:t>
      </w:r>
      <w:r w:rsidRPr="00E43AC9">
        <w:rPr>
          <w:rFonts w:eastAsia="Calibri"/>
          <w:sz w:val="26"/>
          <w:szCs w:val="26"/>
          <w:lang w:eastAsia="en-US"/>
        </w:rPr>
        <w:t xml:space="preserve"> sucedió a un Presidente Ejecutivo cuyo desempeño era difícil de igualar. Welch construyó un imperio que aumentó sus ganancias de forma constante y cuyas acciones se dispararon en los años 90. Cuatro días después de que el Presidente Ejecutivo de </w:t>
      </w:r>
      <w:r w:rsidRPr="00E43AC9">
        <w:rPr>
          <w:rFonts w:eastAsia="Calibri"/>
          <w:i/>
          <w:sz w:val="26"/>
          <w:szCs w:val="26"/>
          <w:lang w:eastAsia="en-US"/>
        </w:rPr>
        <w:t>General Electric</w:t>
      </w:r>
      <w:r w:rsidRPr="00E43AC9">
        <w:rPr>
          <w:rFonts w:eastAsia="Calibri"/>
          <w:sz w:val="26"/>
          <w:szCs w:val="26"/>
          <w:lang w:eastAsia="en-US"/>
        </w:rPr>
        <w:t xml:space="preserve"> asumiera el mando, en 2001, los ataques terroristas del 11 de septiembre golpearon su negocio de aviación. Luego, la crisis financiera convirtió su gigantesca división bancaria en un riesgo, lo que obligó a GE a recortar su dividendo por primera vez desde la Gran Depresión.</w:t>
      </w:r>
    </w:p>
    <w:p w14:paraId="615ED601"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Durante gran parte de la última década, la estrategia del Presidente Ejecutivo de </w:t>
      </w:r>
      <w:r w:rsidRPr="00E43AC9">
        <w:rPr>
          <w:rFonts w:eastAsia="Calibri"/>
          <w:i/>
          <w:sz w:val="26"/>
          <w:szCs w:val="26"/>
          <w:lang w:eastAsia="en-US"/>
        </w:rPr>
        <w:t>General Electric</w:t>
      </w:r>
      <w:r w:rsidRPr="00E43AC9">
        <w:rPr>
          <w:rFonts w:eastAsia="Calibri"/>
          <w:sz w:val="26"/>
          <w:szCs w:val="26"/>
          <w:lang w:eastAsia="en-US"/>
        </w:rPr>
        <w:t xml:space="preserve"> fue enfocarse en el suministro de equipamientos de infraestructura que necesitaban los países desarrollados —motores, turbinas, tecnología médica— y retirarse de otros segmentos, en particular de los mercados de consumo.</w:t>
      </w:r>
    </w:p>
    <w:p w14:paraId="0E44BD02"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Se deshizo de NBCUniversal, diciendo que distraía la misión principal de GE. Welch había adquirido aseguradoras; el Presidente Ejecutivo de </w:t>
      </w:r>
      <w:r w:rsidRPr="00E43AC9">
        <w:rPr>
          <w:rFonts w:eastAsia="Calibri"/>
          <w:i/>
          <w:sz w:val="26"/>
          <w:szCs w:val="26"/>
          <w:lang w:eastAsia="en-US"/>
        </w:rPr>
        <w:t>General Electric</w:t>
      </w:r>
      <w:r w:rsidRPr="00E43AC9">
        <w:rPr>
          <w:rFonts w:eastAsia="Calibri"/>
          <w:sz w:val="26"/>
          <w:szCs w:val="26"/>
          <w:lang w:eastAsia="en-US"/>
        </w:rPr>
        <w:t xml:space="preserve"> salió de ese sector en 2005. Se desprendió de </w:t>
      </w:r>
      <w:r w:rsidRPr="00E43AC9">
        <w:rPr>
          <w:rFonts w:eastAsia="Calibri"/>
          <w:i/>
          <w:sz w:val="26"/>
          <w:szCs w:val="26"/>
          <w:lang w:eastAsia="en-US"/>
        </w:rPr>
        <w:t>GE Plastics</w:t>
      </w:r>
      <w:r w:rsidRPr="00E43AC9">
        <w:rPr>
          <w:rFonts w:eastAsia="Calibri"/>
          <w:sz w:val="26"/>
          <w:szCs w:val="26"/>
          <w:lang w:eastAsia="en-US"/>
        </w:rPr>
        <w:t xml:space="preserve"> y </w:t>
      </w:r>
      <w:r w:rsidRPr="00E43AC9">
        <w:rPr>
          <w:rFonts w:eastAsia="Calibri"/>
          <w:i/>
          <w:sz w:val="26"/>
          <w:szCs w:val="26"/>
          <w:lang w:eastAsia="en-US"/>
        </w:rPr>
        <w:t>GE Appliances</w:t>
      </w:r>
      <w:r w:rsidRPr="00E43AC9">
        <w:rPr>
          <w:rFonts w:eastAsia="Calibri"/>
          <w:sz w:val="26"/>
          <w:szCs w:val="26"/>
          <w:lang w:eastAsia="en-US"/>
        </w:rPr>
        <w:t xml:space="preserve">, unas de las últimas conexiones que tenía con los consumidores, y compró activos industriales como la división de energía eólica de </w:t>
      </w:r>
      <w:r w:rsidRPr="00E43AC9">
        <w:rPr>
          <w:rFonts w:eastAsia="Calibri"/>
          <w:i/>
          <w:sz w:val="26"/>
          <w:szCs w:val="26"/>
          <w:lang w:eastAsia="en-US"/>
        </w:rPr>
        <w:t>Enron Corp</w:t>
      </w:r>
      <w:r w:rsidRPr="00E43AC9">
        <w:rPr>
          <w:rFonts w:eastAsia="Calibri"/>
          <w:sz w:val="26"/>
          <w:szCs w:val="26"/>
          <w:lang w:eastAsia="en-US"/>
        </w:rPr>
        <w:t xml:space="preserve">. y la firma de ciencias biológicas </w:t>
      </w:r>
      <w:r w:rsidRPr="00E43AC9">
        <w:rPr>
          <w:rFonts w:eastAsia="Calibri"/>
          <w:i/>
          <w:sz w:val="26"/>
          <w:szCs w:val="26"/>
          <w:lang w:eastAsia="en-US"/>
        </w:rPr>
        <w:t>Amersham PLC</w:t>
      </w:r>
      <w:r w:rsidRPr="00E43AC9">
        <w:rPr>
          <w:rFonts w:eastAsia="Calibri"/>
          <w:sz w:val="26"/>
          <w:szCs w:val="26"/>
          <w:lang w:eastAsia="en-US"/>
        </w:rPr>
        <w:t>.</w:t>
      </w:r>
    </w:p>
    <w:p w14:paraId="7E13A4A1"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Algunas apuestas salieron mal. Después de los atentados del 11 de septiembre compró varias empresas de seguridad que no dieron frutos. También invirtió fuerte en edificios de oficinas y otras propiedades comerciales a través de GE Capital antes del colapso del mercado inmobiliario estadounidense. </w:t>
      </w:r>
    </w:p>
    <w:p w14:paraId="529FA973"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En 2010, la energía parecía encajar bien con la visión que tenía el Presidente Ejecutivo de </w:t>
      </w:r>
      <w:r w:rsidRPr="00E43AC9">
        <w:rPr>
          <w:rFonts w:eastAsia="Calibri"/>
          <w:i/>
          <w:sz w:val="26"/>
          <w:szCs w:val="26"/>
          <w:lang w:eastAsia="en-US"/>
        </w:rPr>
        <w:t>General Electric</w:t>
      </w:r>
      <w:r w:rsidRPr="00E43AC9">
        <w:rPr>
          <w:rFonts w:eastAsia="Calibri"/>
          <w:sz w:val="26"/>
          <w:szCs w:val="26"/>
          <w:lang w:eastAsia="en-US"/>
        </w:rPr>
        <w:t xml:space="preserve"> de la cartera de GE: una creciente industria global en la cual podría </w:t>
      </w:r>
      <w:r w:rsidRPr="00E43AC9">
        <w:rPr>
          <w:rFonts w:eastAsia="Calibri"/>
          <w:sz w:val="26"/>
          <w:szCs w:val="26"/>
          <w:lang w:eastAsia="en-US"/>
        </w:rPr>
        <w:lastRenderedPageBreak/>
        <w:t xml:space="preserve">vender equipamientos de infraestructura. Supervisó una serie de compras a partir de ese año, cuando el crudo </w:t>
      </w:r>
      <w:r w:rsidRPr="00E43AC9">
        <w:rPr>
          <w:rFonts w:eastAsia="Calibri"/>
          <w:i/>
          <w:sz w:val="26"/>
          <w:szCs w:val="26"/>
          <w:lang w:eastAsia="en-US"/>
        </w:rPr>
        <w:t>Brent</w:t>
      </w:r>
      <w:r w:rsidRPr="00E43AC9">
        <w:rPr>
          <w:rFonts w:eastAsia="Calibri"/>
          <w:sz w:val="26"/>
          <w:szCs w:val="26"/>
          <w:lang w:eastAsia="en-US"/>
        </w:rPr>
        <w:t xml:space="preserve"> se cotizaba entre 80 dólares y 100 dólares el barril. En septiembre de 2014, la apuesta petrolera aún parecía sólida con buenas posibilidades en las operaciones de fracturación hidráulica en Estados Unidos de Norteamérica y en proyectos de exploración en Noruega y Escocia.</w:t>
      </w:r>
    </w:p>
    <w:p w14:paraId="52348F72"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A fin de año, el Presidente Ejecutivo de </w:t>
      </w:r>
      <w:r w:rsidRPr="00E43AC9">
        <w:rPr>
          <w:rFonts w:eastAsia="Calibri"/>
          <w:i/>
          <w:sz w:val="26"/>
          <w:szCs w:val="26"/>
          <w:lang w:eastAsia="en-US"/>
        </w:rPr>
        <w:t>General Electric</w:t>
      </w:r>
      <w:r w:rsidRPr="00E43AC9">
        <w:rPr>
          <w:rFonts w:eastAsia="Calibri"/>
          <w:sz w:val="26"/>
          <w:szCs w:val="26"/>
          <w:lang w:eastAsia="en-US"/>
        </w:rPr>
        <w:t xml:space="preserve"> adoptó un tono de despedida. Los cambios en el portafolio finalmente permitirían a GE dar un giro y enfocarse en el crecimiento orgánico de sus divisiones industriales. Sólo necesitaba que los inversionistas compartieran su visión. </w:t>
      </w:r>
    </w:p>
    <w:p w14:paraId="456FED1E"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Desde 2008, la acción de GE no ha superado el umbral de 30 dólares, frente a su récord de 60 dólares en 2000. Durante la recesión, se ubicó por debajo de 7 dólares.</w:t>
      </w:r>
    </w:p>
    <w:p w14:paraId="71E87688"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Hoy en día, el </w:t>
      </w:r>
      <w:r w:rsidRPr="00E43AC9">
        <w:rPr>
          <w:rFonts w:eastAsia="Calibri"/>
          <w:i/>
          <w:sz w:val="26"/>
          <w:szCs w:val="26"/>
          <w:lang w:eastAsia="en-US"/>
        </w:rPr>
        <w:t>Brent</w:t>
      </w:r>
      <w:r w:rsidRPr="00E43AC9">
        <w:rPr>
          <w:rFonts w:eastAsia="Calibri"/>
          <w:sz w:val="26"/>
          <w:szCs w:val="26"/>
          <w:lang w:eastAsia="en-US"/>
        </w:rPr>
        <w:t xml:space="preserve"> se cotiza en torno a 60 dólares, lo que ha dado lugar a una contracción en toda la industria. Los ejecutivos de GE dicen que 60% del negocio de petróleo y gas ya está bajo contrato y que la dificultad de algunos clientes para detener sus operaciones ayudará a la división. El Presidente Ejecutivo de </w:t>
      </w:r>
      <w:r w:rsidRPr="00E43AC9">
        <w:rPr>
          <w:rFonts w:eastAsia="Calibri"/>
          <w:i/>
          <w:sz w:val="26"/>
          <w:szCs w:val="26"/>
          <w:lang w:eastAsia="en-US"/>
        </w:rPr>
        <w:t>General Electric</w:t>
      </w:r>
      <w:r w:rsidRPr="00E43AC9">
        <w:rPr>
          <w:rFonts w:eastAsia="Calibri"/>
          <w:sz w:val="26"/>
          <w:szCs w:val="26"/>
          <w:lang w:eastAsia="en-US"/>
        </w:rPr>
        <w:t xml:space="preserve"> dijo en enero que recibe llamadas de clientes que buscan modificar los términos y una fuente indicó que probablemente pedirán descuentos.</w:t>
      </w:r>
    </w:p>
    <w:p w14:paraId="7E18290D" w14:textId="77777777" w:rsidR="00E43AC9" w:rsidRPr="00E43AC9" w:rsidRDefault="00E43AC9" w:rsidP="00E43AC9">
      <w:pPr>
        <w:spacing w:after="360" w:line="360" w:lineRule="auto"/>
        <w:ind w:right="-159"/>
        <w:jc w:val="both"/>
        <w:rPr>
          <w:rFonts w:eastAsia="Calibri"/>
          <w:sz w:val="26"/>
          <w:szCs w:val="26"/>
          <w:lang w:eastAsia="en-US"/>
        </w:rPr>
      </w:pPr>
      <w:r w:rsidRPr="00E43AC9">
        <w:rPr>
          <w:rFonts w:eastAsia="Calibri"/>
          <w:sz w:val="26"/>
          <w:szCs w:val="26"/>
          <w:lang w:eastAsia="en-US"/>
        </w:rPr>
        <w:t xml:space="preserve">“De una forma, yo creé todos estos problemas”, afirmó el Presidente Ejecutivo de </w:t>
      </w:r>
      <w:r w:rsidRPr="00E43AC9">
        <w:rPr>
          <w:rFonts w:eastAsia="Calibri"/>
          <w:i/>
          <w:sz w:val="26"/>
          <w:szCs w:val="26"/>
          <w:lang w:eastAsia="en-US"/>
        </w:rPr>
        <w:t>General Electric</w:t>
      </w:r>
      <w:r w:rsidRPr="00E43AC9">
        <w:rPr>
          <w:rFonts w:eastAsia="Calibri"/>
          <w:sz w:val="26"/>
          <w:szCs w:val="26"/>
          <w:lang w:eastAsia="en-US"/>
        </w:rPr>
        <w:t xml:space="preserve"> en septiembre al hablar sobre medidas para reducir capas de burocracia empresarial que se han formado durante su gestión. “No es como si pudiera decir (...) esto fue culpa de Jack Welch. Es nuestra culpa, y mi culpa”, sentenció.</w:t>
      </w:r>
    </w:p>
    <w:p w14:paraId="7FEBDC6B" w14:textId="77777777" w:rsidR="00E43AC9" w:rsidRPr="00E43AC9" w:rsidRDefault="00E43AC9" w:rsidP="00E43AC9">
      <w:pPr>
        <w:ind w:right="-159"/>
        <w:jc w:val="both"/>
        <w:rPr>
          <w:rFonts w:eastAsia="Calibri"/>
          <w:b/>
          <w:sz w:val="20"/>
          <w:szCs w:val="20"/>
          <w:lang w:eastAsia="en-US"/>
        </w:rPr>
      </w:pPr>
      <w:r w:rsidRPr="00E43AC9">
        <w:rPr>
          <w:rFonts w:eastAsia="Calibri"/>
          <w:b/>
          <w:sz w:val="20"/>
          <w:szCs w:val="20"/>
          <w:lang w:eastAsia="en-US"/>
        </w:rPr>
        <w:t>Fuente de información:</w:t>
      </w:r>
    </w:p>
    <w:p w14:paraId="1673E916" w14:textId="77777777" w:rsidR="00E43AC9" w:rsidRPr="004A08ED" w:rsidRDefault="00872B0E" w:rsidP="00E43AC9">
      <w:pPr>
        <w:ind w:right="-159"/>
        <w:jc w:val="both"/>
        <w:rPr>
          <w:rFonts w:eastAsia="Calibri"/>
          <w:color w:val="0000FF"/>
          <w:sz w:val="20"/>
          <w:szCs w:val="20"/>
          <w:lang w:eastAsia="en-US"/>
        </w:rPr>
      </w:pPr>
      <w:hyperlink r:id="rId63" w:history="1">
        <w:r w:rsidR="00E43AC9" w:rsidRPr="004A08ED">
          <w:rPr>
            <w:rFonts w:eastAsia="Calibri"/>
            <w:color w:val="0000FF"/>
            <w:sz w:val="20"/>
            <w:szCs w:val="20"/>
            <w:u w:val="single"/>
            <w:lang w:eastAsia="en-US"/>
          </w:rPr>
          <w:t>http://lat.wsj.com/articles/SB11235758984163043989104580496583389039238?tesla=y</w:t>
        </w:r>
      </w:hyperlink>
      <w:r w:rsidR="00E43AC9" w:rsidRPr="004A08ED">
        <w:rPr>
          <w:rFonts w:eastAsia="Calibri"/>
          <w:color w:val="0000FF"/>
          <w:sz w:val="20"/>
          <w:szCs w:val="20"/>
          <w:lang w:eastAsia="en-US"/>
        </w:rPr>
        <w:t xml:space="preserve"> </w:t>
      </w:r>
    </w:p>
    <w:p w14:paraId="4AFB274F" w14:textId="77777777" w:rsidR="00630046" w:rsidRDefault="00630046" w:rsidP="00630046">
      <w:pPr>
        <w:spacing w:after="360" w:line="360" w:lineRule="auto"/>
        <w:ind w:right="-159"/>
        <w:jc w:val="both"/>
        <w:rPr>
          <w:rFonts w:eastAsia="Calibri"/>
          <w:sz w:val="26"/>
          <w:szCs w:val="26"/>
          <w:lang w:eastAsia="en-US"/>
        </w:rPr>
      </w:pPr>
    </w:p>
    <w:p w14:paraId="4DC2132E" w14:textId="77777777" w:rsidR="00125F6B" w:rsidRDefault="00125F6B" w:rsidP="00630046">
      <w:pPr>
        <w:spacing w:after="360" w:line="360" w:lineRule="auto"/>
        <w:ind w:right="-159"/>
        <w:jc w:val="both"/>
        <w:rPr>
          <w:rFonts w:eastAsia="Calibri"/>
          <w:sz w:val="26"/>
          <w:szCs w:val="26"/>
          <w:lang w:eastAsia="en-US"/>
        </w:rPr>
      </w:pPr>
    </w:p>
    <w:p w14:paraId="4D217F65" w14:textId="77777777" w:rsidR="00434934" w:rsidRPr="00434934" w:rsidRDefault="00434934" w:rsidP="00434934">
      <w:pPr>
        <w:ind w:right="-159"/>
        <w:jc w:val="both"/>
        <w:rPr>
          <w:rFonts w:eastAsia="Calibri"/>
          <w:b/>
          <w:sz w:val="26"/>
          <w:szCs w:val="26"/>
          <w:lang w:eastAsia="en-US"/>
        </w:rPr>
      </w:pPr>
      <w:r w:rsidRPr="00434934">
        <w:rPr>
          <w:rFonts w:eastAsia="Calibri"/>
          <w:b/>
          <w:sz w:val="26"/>
          <w:szCs w:val="26"/>
          <w:lang w:eastAsia="en-US"/>
        </w:rPr>
        <w:lastRenderedPageBreak/>
        <w:t>Exportación de gas natural: Rusia entre</w:t>
      </w:r>
    </w:p>
    <w:p w14:paraId="19212587" w14:textId="77777777" w:rsidR="00434934" w:rsidRPr="00434934" w:rsidRDefault="00434934" w:rsidP="00434934">
      <w:pPr>
        <w:spacing w:after="360" w:line="360" w:lineRule="auto"/>
        <w:ind w:right="-159"/>
        <w:jc w:val="both"/>
        <w:rPr>
          <w:rFonts w:eastAsia="Calibri"/>
          <w:b/>
          <w:sz w:val="26"/>
          <w:szCs w:val="26"/>
          <w:lang w:eastAsia="en-US"/>
        </w:rPr>
      </w:pPr>
      <w:r w:rsidRPr="00434934">
        <w:rPr>
          <w:rFonts w:eastAsia="Calibri"/>
          <w:b/>
          <w:sz w:val="26"/>
          <w:szCs w:val="26"/>
          <w:lang w:eastAsia="en-US"/>
        </w:rPr>
        <w:t>Europa y China (’Express-L’Expansion)</w:t>
      </w:r>
    </w:p>
    <w:p w14:paraId="27A96BBC"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 xml:space="preserve">El 10 de marzo de 2015, el suplemento político </w:t>
      </w:r>
      <w:r w:rsidRPr="00434934">
        <w:rPr>
          <w:rFonts w:eastAsia="Calibri"/>
          <w:i/>
          <w:sz w:val="26"/>
          <w:szCs w:val="26"/>
          <w:lang w:eastAsia="en-US"/>
        </w:rPr>
        <w:t>L’Express-L’Expansion</w:t>
      </w:r>
      <w:r w:rsidRPr="00434934">
        <w:rPr>
          <w:rFonts w:eastAsia="Calibri"/>
          <w:sz w:val="26"/>
          <w:szCs w:val="26"/>
          <w:lang w:eastAsia="en-US"/>
        </w:rPr>
        <w:t xml:space="preserve"> del periódico </w:t>
      </w:r>
      <w:r w:rsidRPr="00434934">
        <w:rPr>
          <w:rFonts w:eastAsia="Calibri"/>
          <w:i/>
          <w:sz w:val="26"/>
          <w:szCs w:val="26"/>
          <w:lang w:eastAsia="en-US"/>
        </w:rPr>
        <w:t>Les Echos</w:t>
      </w:r>
      <w:r w:rsidRPr="00434934">
        <w:rPr>
          <w:rFonts w:eastAsia="Calibri"/>
          <w:sz w:val="26"/>
          <w:szCs w:val="26"/>
          <w:lang w:eastAsia="en-US"/>
        </w:rPr>
        <w:t xml:space="preserve"> publicó que la crisis entre Europa y Rusia empuja a esta última a dirigirse hacia el Este. Sin embargo, China no acepta depender de Rusia y diversifica su suministro de gas.</w:t>
      </w:r>
    </w:p>
    <w:p w14:paraId="2996CDE9"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 xml:space="preserve">El enfrentamiento continuó entre Rusia y la Unión Europea (UE), como lo demuestra la crisis política ucraniana, condujo al debilitamiento de sus relaciones tanto en el ámbito político como económico. La energía no fue la excepción, la anulación del proyecto de Gazprom South Stream, tan esperado por Moscú, constituye el ejemplo perfecto. </w:t>
      </w:r>
    </w:p>
    <w:p w14:paraId="1966297B"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 xml:space="preserve">Una de las consecuencias más destacadas de este debilitamiento es la confirmación de la reorientación del vector de exportación del gas ruso hacia el Este: el lanzamiento casi simultáneo de dos proyectos sino-rusos de gasoductos demuestran el “orientalismo energético” de Rusia, una nueva tendencia que está lejos de favorecer a Europa. Si creemos en los analistas rusos del sector gasero, la exportación del gas natural hacia China ofrecerá a Rusia no solo nuevas salidas energéticas para su producción sino también ganancias económicas en los precios de gas tradicionalmente elevados en la región. </w:t>
      </w:r>
    </w:p>
    <w:p w14:paraId="7F52123F"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No obstante, es necesario preguntarse sobre el lugar que ocupa el gas ruso en la política china de diversificación de sus fuentes de abastecimiento. ¿Acaso Rusia podrá exportar su gas natural en las mismas cantidades que aquellas que exporta en Europa actualmente?</w:t>
      </w:r>
    </w:p>
    <w:p w14:paraId="0A92EE6E"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 xml:space="preserve">Actualmente el mercado chino de gas natural evoluciona rápidamente, una tendencia que se va acentuar más todavía en los próximos años. En 2007, el consumo doméstico </w:t>
      </w:r>
      <w:r w:rsidRPr="00434934">
        <w:rPr>
          <w:rFonts w:eastAsia="Calibri"/>
          <w:sz w:val="26"/>
          <w:szCs w:val="26"/>
          <w:lang w:eastAsia="en-US"/>
        </w:rPr>
        <w:lastRenderedPageBreak/>
        <w:t>del gas aumentó de 23.8% para alcanzar 69 mil 500 millones de m</w:t>
      </w:r>
      <w:r w:rsidRPr="00434934">
        <w:rPr>
          <w:rFonts w:eastAsia="Calibri"/>
          <w:sz w:val="26"/>
          <w:szCs w:val="26"/>
          <w:vertAlign w:val="superscript"/>
          <w:lang w:eastAsia="en-US"/>
        </w:rPr>
        <w:t>3</w:t>
      </w:r>
      <w:r w:rsidRPr="00434934">
        <w:rPr>
          <w:rFonts w:eastAsia="Calibri"/>
          <w:sz w:val="26"/>
          <w:szCs w:val="26"/>
          <w:lang w:eastAsia="en-US"/>
        </w:rPr>
        <w:t>, momento crucial en la industria gasera de China que se convierte en la mayor consumidora del mundo.</w:t>
      </w:r>
    </w:p>
    <w:p w14:paraId="41D1A909" w14:textId="77777777" w:rsidR="00434934" w:rsidRPr="00434934" w:rsidRDefault="00434934" w:rsidP="00434934">
      <w:pPr>
        <w:spacing w:after="360" w:line="360" w:lineRule="auto"/>
        <w:ind w:right="-159"/>
        <w:jc w:val="both"/>
        <w:rPr>
          <w:rFonts w:eastAsia="Calibri"/>
          <w:b/>
          <w:sz w:val="26"/>
          <w:szCs w:val="26"/>
          <w:lang w:eastAsia="en-US"/>
        </w:rPr>
      </w:pPr>
      <w:r w:rsidRPr="00434934">
        <w:rPr>
          <w:rFonts w:eastAsia="Calibri"/>
          <w:b/>
          <w:sz w:val="26"/>
          <w:szCs w:val="26"/>
          <w:lang w:eastAsia="en-US"/>
        </w:rPr>
        <w:t>Esfuerzos chinos de diversificación</w:t>
      </w:r>
    </w:p>
    <w:p w14:paraId="234E8527"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Importador neto de gas a partir de este año. China se lanza en la construcción de terminales de gas natural licuado (GNL). Hoy en día, el país cuenta con diez terminales para una capacidad unitaria de 42 mil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otras cinco están actualmente en construcción para 16 mil 300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por año.</w:t>
      </w:r>
    </w:p>
    <w:p w14:paraId="1656FC91"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La capacidad china de importación de gas natural se reforzó con la llegada del gas por oleoductos que provienen de Asia Central: en 2013, Pekín importó 27 mil 500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centroasiático principalmente de turcomano, con una posibilidad de llevar esta cantidad justamente hasta los 38 mil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en 2016 y a 65 mil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en 2020.</w:t>
      </w:r>
    </w:p>
    <w:p w14:paraId="22240086"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Un pequeño gasoducto que procede de Birmania proporcionara 10 mil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por año a partir de 2020.</w:t>
      </w:r>
    </w:p>
    <w:p w14:paraId="5A34D0D9" w14:textId="77777777" w:rsid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Además de la importación, China cubre sus necesidades internas de gas natural con sus propios recursos incluye entre estos extracción de fuentes no convencionales. Según la Administración de Información Energética (EIA), China es el país más rico del mundo en gas esquisto (las reservas técnicamente recuperables alcanzarían 36 mil 100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y no se olvidó de aprovechar dicha situación. En 2013, la producción de gas esquisto alcanzó 200 millones de m</w:t>
      </w:r>
      <w:r w:rsidRPr="00434934">
        <w:rPr>
          <w:rFonts w:eastAsia="Calibri"/>
          <w:sz w:val="26"/>
          <w:szCs w:val="26"/>
          <w:vertAlign w:val="superscript"/>
          <w:lang w:eastAsia="en-US"/>
        </w:rPr>
        <w:t>3</w:t>
      </w:r>
      <w:r w:rsidRPr="00434934">
        <w:rPr>
          <w:rFonts w:eastAsia="Calibri"/>
          <w:sz w:val="26"/>
          <w:szCs w:val="26"/>
          <w:lang w:eastAsia="en-US"/>
        </w:rPr>
        <w:t>, es decir seis veces más que en 2012. En 2014, la producción nacional alcanzó mil 300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Este mismo año la producción de gas de hulla fue de 3 mil 600 millones de m</w:t>
      </w:r>
      <w:r w:rsidRPr="00434934">
        <w:rPr>
          <w:rFonts w:eastAsia="Calibri"/>
          <w:sz w:val="26"/>
          <w:szCs w:val="26"/>
          <w:vertAlign w:val="superscript"/>
          <w:lang w:eastAsia="en-US"/>
        </w:rPr>
        <w:t>3</w:t>
      </w:r>
      <w:r w:rsidRPr="00434934">
        <w:rPr>
          <w:rFonts w:eastAsia="Calibri"/>
          <w:sz w:val="26"/>
          <w:szCs w:val="26"/>
          <w:lang w:eastAsia="en-US"/>
        </w:rPr>
        <w:t xml:space="preserve">.   </w:t>
      </w:r>
    </w:p>
    <w:p w14:paraId="7C9D5756" w14:textId="77777777" w:rsidR="00AB1684" w:rsidRPr="00434934" w:rsidRDefault="00AB1684" w:rsidP="00434934">
      <w:pPr>
        <w:spacing w:after="360" w:line="360" w:lineRule="auto"/>
        <w:ind w:right="-159"/>
        <w:jc w:val="both"/>
        <w:rPr>
          <w:rFonts w:eastAsia="Calibri"/>
          <w:sz w:val="26"/>
          <w:szCs w:val="26"/>
          <w:lang w:eastAsia="en-US"/>
        </w:rPr>
      </w:pPr>
    </w:p>
    <w:p w14:paraId="373CE934" w14:textId="77777777" w:rsidR="00434934" w:rsidRPr="00434934" w:rsidRDefault="00434934" w:rsidP="00434934">
      <w:pPr>
        <w:spacing w:after="360" w:line="360" w:lineRule="auto"/>
        <w:ind w:right="-159"/>
        <w:jc w:val="both"/>
        <w:rPr>
          <w:rFonts w:eastAsia="Calibri"/>
          <w:b/>
          <w:sz w:val="26"/>
          <w:szCs w:val="26"/>
          <w:lang w:eastAsia="en-US"/>
        </w:rPr>
      </w:pPr>
      <w:r w:rsidRPr="00434934">
        <w:rPr>
          <w:rFonts w:eastAsia="Calibri"/>
          <w:b/>
          <w:sz w:val="26"/>
          <w:szCs w:val="26"/>
          <w:lang w:eastAsia="en-US"/>
        </w:rPr>
        <w:lastRenderedPageBreak/>
        <w:t>Rusia depende todavía del mercado europeo</w:t>
      </w:r>
    </w:p>
    <w:p w14:paraId="36CB3799"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La conclusión del 25 de mayo de 2014 del contrato gasero con Rusia trata sobre la exportación de 38 mil millones de m</w:t>
      </w:r>
      <w:r w:rsidRPr="00434934">
        <w:rPr>
          <w:rFonts w:eastAsia="Calibri"/>
          <w:sz w:val="26"/>
          <w:szCs w:val="26"/>
          <w:vertAlign w:val="superscript"/>
          <w:lang w:eastAsia="en-US"/>
        </w:rPr>
        <w:t>3</w:t>
      </w:r>
      <w:r w:rsidRPr="00434934">
        <w:rPr>
          <w:rFonts w:eastAsia="Calibri"/>
          <w:sz w:val="26"/>
          <w:szCs w:val="26"/>
          <w:lang w:eastAsia="en-US"/>
        </w:rPr>
        <w:t xml:space="preserve"> de gas por año (para el futuro gasoducto “la fuerza de Siberia” que toma la ruta del Este) y el memorándum que siguió prevé la exportación de 30 mil millones de m</w:t>
      </w:r>
      <w:r w:rsidRPr="00434934">
        <w:rPr>
          <w:rFonts w:eastAsia="Calibri"/>
          <w:sz w:val="26"/>
          <w:szCs w:val="26"/>
          <w:vertAlign w:val="superscript"/>
          <w:lang w:eastAsia="en-US"/>
        </w:rPr>
        <w:t>3</w:t>
      </w:r>
      <w:r w:rsidRPr="00434934">
        <w:rPr>
          <w:rFonts w:eastAsia="Calibri"/>
          <w:sz w:val="26"/>
          <w:szCs w:val="26"/>
          <w:lang w:eastAsia="en-US"/>
        </w:rPr>
        <w:t xml:space="preserve"> adicionales por el gasoducto del Oeste Altaï. Estos acuerdos se inscriben perfectamente en esta política china de diversificación de sus fuentes de abastecimiento. La proximidad geográfica, la ausencia de país de tránsito y el precio razonable de gas (contrariamente al GNL que es caro) vuelven parcialmente atractivas a las importaciones gaseras rusas. </w:t>
      </w:r>
    </w:p>
    <w:p w14:paraId="2D20BBE7" w14:textId="77777777" w:rsidR="00434934" w:rsidRPr="00434934" w:rsidRDefault="00434934" w:rsidP="00434934">
      <w:pPr>
        <w:spacing w:after="360" w:line="360" w:lineRule="auto"/>
        <w:ind w:right="-159"/>
        <w:jc w:val="both"/>
        <w:rPr>
          <w:rFonts w:eastAsia="Calibri"/>
          <w:sz w:val="26"/>
          <w:szCs w:val="26"/>
          <w:lang w:eastAsia="en-US"/>
        </w:rPr>
      </w:pPr>
      <w:r w:rsidRPr="00434934">
        <w:rPr>
          <w:rFonts w:eastAsia="Calibri"/>
          <w:sz w:val="26"/>
          <w:szCs w:val="26"/>
          <w:lang w:eastAsia="en-US"/>
        </w:rPr>
        <w:t xml:space="preserve"> Sin embargo, si la presencia rusa en el mercado gasero chino es percibida por Moscú como una gran victoria geopolítica sobre el Occidente, por otra parte le permite obtener un provecho económico, Rusia únicamente es para China uno más de los numerosos proveedores energéticos. Así, el margen de la maniobra rusa permanece limitado y el mercado europeo continuara jugando un papel predominante en la política rusa de exportación de gas natural.  </w:t>
      </w:r>
    </w:p>
    <w:p w14:paraId="5BD56628" w14:textId="77777777" w:rsidR="00434934" w:rsidRPr="00434934" w:rsidRDefault="00434934" w:rsidP="00434934">
      <w:pPr>
        <w:jc w:val="both"/>
        <w:rPr>
          <w:rFonts w:eastAsia="Calibri"/>
          <w:b/>
          <w:sz w:val="20"/>
          <w:szCs w:val="20"/>
          <w:lang w:eastAsia="en-US"/>
        </w:rPr>
      </w:pPr>
      <w:r w:rsidRPr="00434934">
        <w:rPr>
          <w:rFonts w:eastAsia="Calibri"/>
          <w:b/>
          <w:sz w:val="20"/>
          <w:szCs w:val="20"/>
          <w:lang w:eastAsia="en-US"/>
        </w:rPr>
        <w:t>Fuente de información:</w:t>
      </w:r>
    </w:p>
    <w:p w14:paraId="24BCF32F" w14:textId="77777777" w:rsidR="00434934" w:rsidRPr="004A08ED" w:rsidRDefault="00872B0E" w:rsidP="00434934">
      <w:pPr>
        <w:jc w:val="both"/>
        <w:rPr>
          <w:rFonts w:eastAsia="Calibri"/>
          <w:color w:val="0000FF"/>
          <w:sz w:val="20"/>
          <w:szCs w:val="20"/>
          <w:lang w:val="fr-FR" w:eastAsia="en-US"/>
        </w:rPr>
      </w:pPr>
      <w:hyperlink r:id="rId64" w:history="1">
        <w:r w:rsidR="00434934" w:rsidRPr="004A08ED">
          <w:rPr>
            <w:rFonts w:eastAsia="Calibri"/>
            <w:color w:val="0000FF"/>
            <w:sz w:val="20"/>
            <w:szCs w:val="20"/>
            <w:u w:val="single"/>
            <w:lang w:val="fr-FR" w:eastAsia="en-US"/>
          </w:rPr>
          <w:t>Via L’Express-L’Expansion</w:t>
        </w:r>
      </w:hyperlink>
    </w:p>
    <w:p w14:paraId="7FCA2611" w14:textId="77777777" w:rsidR="00434934" w:rsidRPr="004A08ED" w:rsidRDefault="00872B0E" w:rsidP="004A08ED">
      <w:pPr>
        <w:spacing w:after="720"/>
        <w:jc w:val="both"/>
        <w:rPr>
          <w:rFonts w:eastAsia="Calibri"/>
          <w:color w:val="0000FF"/>
          <w:sz w:val="20"/>
          <w:szCs w:val="20"/>
          <w:lang w:eastAsia="en-US"/>
        </w:rPr>
      </w:pPr>
      <w:hyperlink r:id="rId65" w:history="1">
        <w:r w:rsidR="00434934" w:rsidRPr="004A08ED">
          <w:rPr>
            <w:rFonts w:eastAsia="Calibri"/>
            <w:color w:val="0000FF"/>
            <w:sz w:val="20"/>
            <w:szCs w:val="20"/>
            <w:u w:val="single"/>
            <w:lang w:eastAsia="en-US"/>
          </w:rPr>
          <w:t>http://energie.lexpansion.com/energies-fossiles/exportations-de-gaz-naturel-la-russie-entre-l-europe-et-la-chine_a-31-8264.html</w:t>
        </w:r>
      </w:hyperlink>
    </w:p>
    <w:p w14:paraId="149ED3FD" w14:textId="77777777" w:rsidR="008203A6" w:rsidRPr="008203A6" w:rsidRDefault="008203A6" w:rsidP="008203A6">
      <w:pPr>
        <w:spacing w:after="360" w:line="360" w:lineRule="auto"/>
        <w:ind w:right="-159"/>
        <w:jc w:val="both"/>
        <w:rPr>
          <w:rFonts w:eastAsia="Calibri"/>
          <w:b/>
          <w:sz w:val="26"/>
          <w:szCs w:val="26"/>
          <w:lang w:eastAsia="en-US"/>
        </w:rPr>
      </w:pPr>
      <w:r w:rsidRPr="008203A6">
        <w:rPr>
          <w:rFonts w:eastAsia="Calibri"/>
          <w:b/>
          <w:sz w:val="26"/>
          <w:szCs w:val="26"/>
          <w:lang w:eastAsia="en-US"/>
        </w:rPr>
        <w:t>El mundo se queda sin espacio para guardar crudo (WSJ)</w:t>
      </w:r>
    </w:p>
    <w:p w14:paraId="2C37607C" w14:textId="7C666C6E"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El 10 de marzo de 2015, el periódico </w:t>
      </w:r>
      <w:r w:rsidRPr="008203A6">
        <w:rPr>
          <w:rFonts w:eastAsia="Calibri"/>
          <w:i/>
          <w:sz w:val="26"/>
          <w:szCs w:val="26"/>
          <w:lang w:eastAsia="en-US"/>
        </w:rPr>
        <w:t>The Wall Street Journal</w:t>
      </w:r>
      <w:r w:rsidRPr="008203A6">
        <w:rPr>
          <w:rFonts w:eastAsia="Calibri"/>
          <w:sz w:val="26"/>
          <w:szCs w:val="26"/>
          <w:lang w:eastAsia="en-US"/>
        </w:rPr>
        <w:t xml:space="preserve"> (WSJ) publicó la nota “El mundo se queda sin espacio para guardar crudo”</w:t>
      </w:r>
      <w:r w:rsidR="00AB17EB">
        <w:rPr>
          <w:rFonts w:eastAsia="Calibri"/>
          <w:sz w:val="26"/>
          <w:szCs w:val="26"/>
          <w:lang w:eastAsia="en-US"/>
        </w:rPr>
        <w:t>. A</w:t>
      </w:r>
      <w:r w:rsidRPr="008203A6">
        <w:rPr>
          <w:rFonts w:eastAsia="Calibri"/>
          <w:sz w:val="26"/>
          <w:szCs w:val="26"/>
          <w:lang w:eastAsia="en-US"/>
        </w:rPr>
        <w:t xml:space="preserve"> continuación se presenta la información.</w:t>
      </w:r>
    </w:p>
    <w:p w14:paraId="637D4B23" w14:textId="77777777" w:rsidR="008203A6" w:rsidRPr="008203A6" w:rsidRDefault="008203A6" w:rsidP="008203A6">
      <w:pPr>
        <w:spacing w:after="360" w:line="360" w:lineRule="auto"/>
        <w:ind w:right="-159"/>
        <w:jc w:val="center"/>
        <w:rPr>
          <w:rFonts w:eastAsia="Calibri"/>
          <w:sz w:val="26"/>
          <w:szCs w:val="26"/>
          <w:lang w:eastAsia="en-US"/>
        </w:rPr>
      </w:pPr>
      <w:r w:rsidRPr="008203A6">
        <w:rPr>
          <w:rFonts w:ascii="Calibri" w:eastAsia="Calibri" w:hAnsi="Calibri"/>
          <w:noProof/>
          <w:sz w:val="22"/>
          <w:szCs w:val="22"/>
          <w:lang w:eastAsia="es-MX"/>
        </w:rPr>
        <w:lastRenderedPageBreak/>
        <w:drawing>
          <wp:inline distT="0" distB="0" distL="0" distR="0" wp14:anchorId="156CF2A3" wp14:editId="0FA51063">
            <wp:extent cx="5612130" cy="4223714"/>
            <wp:effectExtent l="0" t="0" r="0" b="0"/>
            <wp:docPr id="1551" name="Imagen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12130" cy="4223714"/>
                    </a:xfrm>
                    <a:prstGeom prst="rect">
                      <a:avLst/>
                    </a:prstGeom>
                    <a:noFill/>
                    <a:ln>
                      <a:noFill/>
                    </a:ln>
                  </pic:spPr>
                </pic:pic>
              </a:graphicData>
            </a:graphic>
          </wp:inline>
        </w:drawing>
      </w:r>
    </w:p>
    <w:p w14:paraId="58B8729A"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En momentos en que el petróleo abunda en el mundo, los productores y operadores enfrentan un dilema de miles de millones de barriles: dónde almacenarlo.</w:t>
      </w:r>
    </w:p>
    <w:p w14:paraId="37116592" w14:textId="11F9A9A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El inventario de crudo en Estados Unidos de Norteamérica está en su mayor nivel en más de 80 años, según datos de la Administración de Información de Energía de ese p</w:t>
      </w:r>
      <w:r w:rsidR="00AF4ED7">
        <w:rPr>
          <w:rFonts w:eastAsia="Calibri"/>
          <w:sz w:val="26"/>
          <w:szCs w:val="26"/>
          <w:lang w:eastAsia="en-US"/>
        </w:rPr>
        <w:t>aís (EIA, por su siglas en inglé</w:t>
      </w:r>
      <w:r w:rsidRPr="008203A6">
        <w:rPr>
          <w:rFonts w:eastAsia="Calibri"/>
          <w:sz w:val="26"/>
          <w:szCs w:val="26"/>
          <w:lang w:eastAsia="en-US"/>
        </w:rPr>
        <w:t xml:space="preserve">s), equivalente a casi 70% de la capacidad de almacenamiento estadounidense. Se prevé que un centro de almacenamiento en el estado de Oklahoma alcance su capacidad máxima antes de mitad de año. Aunque los cálculos son aproximados, </w:t>
      </w:r>
      <w:r w:rsidRPr="008203A6">
        <w:rPr>
          <w:rFonts w:eastAsia="Calibri"/>
          <w:i/>
          <w:sz w:val="26"/>
          <w:szCs w:val="26"/>
          <w:lang w:eastAsia="en-US"/>
        </w:rPr>
        <w:t>Citigroup Inc</w:t>
      </w:r>
      <w:r w:rsidRPr="008203A6">
        <w:rPr>
          <w:rFonts w:eastAsia="Calibri"/>
          <w:sz w:val="26"/>
          <w:szCs w:val="26"/>
          <w:lang w:eastAsia="en-US"/>
        </w:rPr>
        <w:t>., cree que el almacenamiento de crudo comercial en Europa podría estar por encima de 90% de su capacidad, y los inventarios en Corea del Sur, Sudáfrica y Japón podrían ubicarse en más de 80% de su capacidad.</w:t>
      </w:r>
    </w:p>
    <w:p w14:paraId="317273E6"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lastRenderedPageBreak/>
        <w:t>El peligro de quedarse sin espacio para guardar el crudo es que los precios, que ya han caído 50% desde junio, sigan en baja, predicen algunos analistas. Esto sucedería a medida que los productores venden petróleo con descuento a los pocos compradores que quedan con espacio para acumularlo. Sin embargo, los consumidores seguirían beneficiándose conforme las refinerías convierten un océano de crudo en gasolina y otros combustibles.</w:t>
      </w:r>
    </w:p>
    <w:p w14:paraId="0ED4FA93"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“Los niveles de inventario han comenzado a dar miedo”, dice el gestor de portafolio y estratega sénior de commodities de </w:t>
      </w:r>
      <w:r w:rsidRPr="008203A6">
        <w:rPr>
          <w:rFonts w:eastAsia="Calibri"/>
          <w:i/>
          <w:sz w:val="26"/>
          <w:szCs w:val="26"/>
          <w:lang w:eastAsia="en-US"/>
        </w:rPr>
        <w:t>Loomis, Sayles</w:t>
      </w:r>
      <w:r w:rsidRPr="008203A6">
        <w:rPr>
          <w:rFonts w:eastAsia="Calibri"/>
          <w:sz w:val="26"/>
          <w:szCs w:val="26"/>
          <w:lang w:eastAsia="en-US"/>
        </w:rPr>
        <w:t xml:space="preserve"> y Co., que administra cerca de       230 mil millones de dólares. “Cuando veo el espacio de almacenamiento, no me parece que tengamos suficiente”.</w:t>
      </w:r>
    </w:p>
    <w:p w14:paraId="1B9D9FD6"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No obstante, la ayuda podría llegar pronto. En todo Estados Unidos de Norteamérica se están construyendo tanques de almacenamiento, al tiempo que se están alquilando algunos buques cisterna de gran tamaño para guardar el petróleo.</w:t>
      </w:r>
    </w:p>
    <w:p w14:paraId="0909A4B2"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Cuando la oferta y la demanda de petróleo están en cierta forma equilibradas, tanques de almacenamiento y cavernas de sal subterráneas sirven como lugares para depositar el crudo durante unos días mientras los operadores encuentran un comprador.</w:t>
      </w:r>
    </w:p>
    <w:p w14:paraId="51FFECDF"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De todos modos, los productores están bombeando casi 1.5 millones de barriles diarios más de lo que necesita el mundo, debido a una combinación de una menor demanda y una mayor producción en Estados Unidos de Norteamérica. Eso significa que el petróleo que se guarda hoy podría permanecer allí durante años, señalan analistas. Si el exceso empeora, más productores podrían verse obligados a cerrar sus pozos y, de hecho, dejar almacenado el petróleo en la tierra.</w:t>
      </w:r>
    </w:p>
    <w:p w14:paraId="622F074B"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El estratega sénior de commodities de </w:t>
      </w:r>
      <w:r w:rsidRPr="008203A6">
        <w:rPr>
          <w:rFonts w:eastAsia="Calibri"/>
          <w:i/>
          <w:sz w:val="26"/>
          <w:szCs w:val="26"/>
          <w:lang w:eastAsia="en-US"/>
        </w:rPr>
        <w:t>Loomis, Sayles</w:t>
      </w:r>
      <w:r w:rsidRPr="008203A6">
        <w:rPr>
          <w:rFonts w:eastAsia="Calibri"/>
          <w:sz w:val="26"/>
          <w:szCs w:val="26"/>
          <w:lang w:eastAsia="en-US"/>
        </w:rPr>
        <w:t xml:space="preserve"> y Co., y su equipo, quienes supervisan 5 mil millones de dólares, han apostado a que los precios del petróleo caerán debido a la escasez de espacio de almacenamiento. </w:t>
      </w:r>
    </w:p>
    <w:p w14:paraId="4137B1BF"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lastRenderedPageBreak/>
        <w:t xml:space="preserve">El espacio para guardar crudo se está convirtiendo en un commodity con el que se puede operar en el mercado. </w:t>
      </w:r>
      <w:r w:rsidRPr="008203A6">
        <w:rPr>
          <w:rFonts w:eastAsia="Calibri"/>
          <w:i/>
          <w:sz w:val="26"/>
          <w:szCs w:val="26"/>
          <w:lang w:eastAsia="en-US"/>
        </w:rPr>
        <w:t>CME Group Inc</w:t>
      </w:r>
      <w:r w:rsidRPr="008203A6">
        <w:rPr>
          <w:rFonts w:eastAsia="Calibri"/>
          <w:sz w:val="26"/>
          <w:szCs w:val="26"/>
          <w:lang w:eastAsia="en-US"/>
        </w:rPr>
        <w:t>., propietario de la Bolsa Mercantil de Nueva York (Nymex), planea lanzar el 29 de marzo el primer contrato a futuro de almacenamiento de petróleo. El contrato permitirá a corredores y productores comprar y vender el derecho de almacenar ciertos tipos de petróleo en Lafourche Parish, estado de Luisiana, durante un mes específico.</w:t>
      </w:r>
    </w:p>
    <w:p w14:paraId="10AABCA3"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Desde 2009, la última vez que los inventarios estuvieron altos, un auge de construcción de tanques ha añadido decenas de millones de barriles de capacidad de almacenamiento. De todos modos, se están llenando con rapidez.</w:t>
      </w:r>
    </w:p>
    <w:p w14:paraId="0113814D"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En las afueras de la ciudad de Cushing, en Oklahoma. Los contenedores, que en conjunto pueden guardar 6.6 millones de barriles de petróleo —suficiente para llenar más de 400 piscinas olímpicas— están alquilados hasta fin de año.</w:t>
      </w:r>
    </w:p>
    <w:p w14:paraId="64541068"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“Recibimos muchas llamadas estos días para ver si tenemos almacenamiento disponible”, cuenta el Presidente ejecutivo de </w:t>
      </w:r>
      <w:r w:rsidRPr="008203A6">
        <w:rPr>
          <w:rFonts w:eastAsia="Calibri"/>
          <w:i/>
          <w:sz w:val="26"/>
          <w:szCs w:val="26"/>
          <w:lang w:eastAsia="en-US"/>
        </w:rPr>
        <w:t>Blueknight Energy Partners</w:t>
      </w:r>
      <w:r w:rsidRPr="008203A6">
        <w:rPr>
          <w:rFonts w:eastAsia="Calibri"/>
          <w:sz w:val="26"/>
          <w:szCs w:val="26"/>
          <w:lang w:eastAsia="en-US"/>
        </w:rPr>
        <w:t xml:space="preserve"> LP, una unidad de </w:t>
      </w:r>
      <w:r w:rsidRPr="008203A6">
        <w:rPr>
          <w:rFonts w:eastAsia="Calibri"/>
          <w:i/>
          <w:sz w:val="26"/>
          <w:szCs w:val="26"/>
          <w:lang w:eastAsia="en-US"/>
        </w:rPr>
        <w:t>Vitol Holding</w:t>
      </w:r>
      <w:r w:rsidRPr="008203A6">
        <w:rPr>
          <w:rFonts w:eastAsia="Calibri"/>
          <w:sz w:val="26"/>
          <w:szCs w:val="26"/>
          <w:lang w:eastAsia="en-US"/>
        </w:rPr>
        <w:t xml:space="preserve"> BV y </w:t>
      </w:r>
      <w:r w:rsidRPr="008203A6">
        <w:rPr>
          <w:rFonts w:eastAsia="Calibri"/>
          <w:i/>
          <w:sz w:val="26"/>
          <w:szCs w:val="26"/>
          <w:lang w:eastAsia="en-US"/>
        </w:rPr>
        <w:t>Charlesbank Capital Partners</w:t>
      </w:r>
      <w:r w:rsidRPr="008203A6">
        <w:rPr>
          <w:rFonts w:eastAsia="Calibri"/>
          <w:sz w:val="26"/>
          <w:szCs w:val="26"/>
          <w:lang w:eastAsia="en-US"/>
        </w:rPr>
        <w:t>. La respuesta del Presidente ejecutivo.</w:t>
      </w:r>
    </w:p>
    <w:p w14:paraId="080650C9"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i/>
          <w:sz w:val="26"/>
          <w:szCs w:val="26"/>
          <w:lang w:eastAsia="en-US"/>
        </w:rPr>
        <w:t>Fairway Energy Partners</w:t>
      </w:r>
      <w:r w:rsidRPr="008203A6">
        <w:rPr>
          <w:rFonts w:eastAsia="Calibri"/>
          <w:sz w:val="26"/>
          <w:szCs w:val="26"/>
          <w:lang w:eastAsia="en-US"/>
        </w:rPr>
        <w:t xml:space="preserve"> LLC planea usar cinco cavernas de sal subterráneas para almacenar casi 19 millones de barriles de crudo para fines de 2016. Esas cavernas son aptas para guardar crudo o gas natural porque sus paredes son impermeables.</w:t>
      </w:r>
    </w:p>
    <w:p w14:paraId="7555D647"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La mayor parte del petróleo procesado en Houston solía importarse en buques que podían ser devueltos si el inventario crecía demasiado. Hoy, en cambio, las refinerías de Houston reciben gran parte de su petróleo de productores en Texas, Dakota del Norte y Canadá. Como la mayor parte del crudo estadounidense no se puede exportar por ley, los productores internos tienen menos mercados para vender su petróleo.</w:t>
      </w:r>
    </w:p>
    <w:p w14:paraId="790A68E3"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lastRenderedPageBreak/>
        <w:t>Muchos corredores consideran a Cushing como el epicentro del exceso global de crudo. La ciudad está en el punto de encuentro de oleoductos que conectan pozos petroleros en Canadá y el oeste de Texas con refinerías en la Costa del Golfo de Estados Unidos de Norteamérica, además de ser el mayor centro de almacenamiento comercial estadounidense por capacidad. También es un lugar popular para guardar petróleo porque es el punto de entrega de los barriles que respaldan los futuros que cotizan en la Nymex. Debido a una peculiaridad en el mercado —los precios de futuros para meses posteriores son más altos que para el contrato del mes más próximo—, los corredores que almacenan crudo en Cushing pueden cerrar un acuerdo para vender ese petróleo a un precio más alto.</w:t>
      </w:r>
    </w:p>
    <w:p w14:paraId="1F66B97D"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“Es dinero gratis”, dice el Director de mercados petroleros en </w:t>
      </w:r>
      <w:r w:rsidRPr="008203A6">
        <w:rPr>
          <w:rFonts w:eastAsia="Calibri"/>
          <w:i/>
          <w:sz w:val="26"/>
          <w:szCs w:val="26"/>
          <w:lang w:eastAsia="en-US"/>
        </w:rPr>
        <w:t>Genscape Inc</w:t>
      </w:r>
      <w:r w:rsidRPr="008203A6">
        <w:rPr>
          <w:rFonts w:eastAsia="Calibri"/>
          <w:sz w:val="26"/>
          <w:szCs w:val="26"/>
          <w:lang w:eastAsia="en-US"/>
        </w:rPr>
        <w:t>., una proveedora de datos que hace seguimiento de los niveles de almacenamiento en Cushing. “No hay absolutamente nada que pueda evitar” que las instalaciones de Cushing se llenen por completo.</w:t>
      </w:r>
    </w:p>
    <w:p w14:paraId="42E6AEFA" w14:textId="77777777"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El inventario almacenado en Cushing aumentó a 49.2 millones de barriles en la semana que terminó el 27 de febrero, según la EIA. Los niveles subieron en 7.8 millones de barriles en cuatro semanas; a ese ritmo, la capacidad que se puede usar en la zona llegaría a su máximo en mayo.</w:t>
      </w:r>
    </w:p>
    <w:p w14:paraId="2966BD14" w14:textId="77777777" w:rsidR="00125F6B"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t xml:space="preserve">Cuando eso suceda, la mayor parte del almacenamiento que quedará disponible en el mundo se ubicaría en tanques en la Costa del Golfo de Estados Unidos de Norteamérica o en buques cisterna. </w:t>
      </w:r>
    </w:p>
    <w:p w14:paraId="27368340" w14:textId="77777777" w:rsidR="00125F6B" w:rsidRDefault="00125F6B" w:rsidP="008203A6">
      <w:pPr>
        <w:spacing w:after="360" w:line="360" w:lineRule="auto"/>
        <w:ind w:right="-159"/>
        <w:jc w:val="both"/>
        <w:rPr>
          <w:rFonts w:eastAsia="Calibri"/>
          <w:sz w:val="26"/>
          <w:szCs w:val="26"/>
          <w:lang w:eastAsia="en-US"/>
        </w:rPr>
      </w:pPr>
    </w:p>
    <w:p w14:paraId="7155FF05" w14:textId="77777777" w:rsidR="00125F6B" w:rsidRDefault="00125F6B" w:rsidP="008203A6">
      <w:pPr>
        <w:spacing w:after="360" w:line="360" w:lineRule="auto"/>
        <w:ind w:right="-159"/>
        <w:jc w:val="both"/>
        <w:rPr>
          <w:rFonts w:eastAsia="Calibri"/>
          <w:sz w:val="26"/>
          <w:szCs w:val="26"/>
          <w:lang w:eastAsia="en-US"/>
        </w:rPr>
      </w:pPr>
    </w:p>
    <w:p w14:paraId="26D37A00" w14:textId="65707B49" w:rsidR="008203A6" w:rsidRPr="008203A6" w:rsidRDefault="008203A6" w:rsidP="008203A6">
      <w:pPr>
        <w:spacing w:after="360" w:line="360" w:lineRule="auto"/>
        <w:ind w:right="-159"/>
        <w:jc w:val="both"/>
        <w:rPr>
          <w:rFonts w:eastAsia="Calibri"/>
          <w:sz w:val="26"/>
          <w:szCs w:val="26"/>
          <w:lang w:eastAsia="en-US"/>
        </w:rPr>
      </w:pPr>
      <w:r w:rsidRPr="008203A6">
        <w:rPr>
          <w:rFonts w:eastAsia="Calibri"/>
          <w:sz w:val="26"/>
          <w:szCs w:val="26"/>
          <w:lang w:eastAsia="en-US"/>
        </w:rPr>
        <w:lastRenderedPageBreak/>
        <w:t>Entre los países industrializados, los inventarios de crudo comercial y productos petroleros podrían alcanzar un máximo histórico de 2 mil 830 millones de barriles para mediados de año, advirtió el mes pasado la Agencia Internacional de Energía. La última vez que estuvieron en ese nivel, en agosto de 1998, los precios del crudo promediaban 13.38 dólares por barril, equivalente a 19.18 dólares por barril actualmente.</w:t>
      </w:r>
    </w:p>
    <w:p w14:paraId="19FC08ED" w14:textId="77777777" w:rsidR="008203A6" w:rsidRPr="008203A6" w:rsidRDefault="008203A6" w:rsidP="008203A6">
      <w:pPr>
        <w:ind w:right="-159"/>
        <w:jc w:val="both"/>
        <w:rPr>
          <w:rFonts w:eastAsia="Calibri"/>
          <w:b/>
          <w:sz w:val="20"/>
          <w:szCs w:val="20"/>
          <w:lang w:eastAsia="en-US"/>
        </w:rPr>
      </w:pPr>
      <w:r w:rsidRPr="008203A6">
        <w:rPr>
          <w:rFonts w:eastAsia="Calibri"/>
          <w:b/>
          <w:sz w:val="20"/>
          <w:szCs w:val="20"/>
          <w:lang w:eastAsia="en-US"/>
        </w:rPr>
        <w:t>Fuente de información:</w:t>
      </w:r>
    </w:p>
    <w:p w14:paraId="74EF250A" w14:textId="77777777" w:rsidR="008203A6" w:rsidRPr="004A08ED" w:rsidRDefault="00872B0E" w:rsidP="004A08ED">
      <w:pPr>
        <w:spacing w:after="720"/>
        <w:ind w:right="-159"/>
        <w:jc w:val="both"/>
        <w:rPr>
          <w:rFonts w:eastAsia="Calibri"/>
          <w:color w:val="0000FF"/>
          <w:sz w:val="20"/>
          <w:szCs w:val="20"/>
          <w:lang w:eastAsia="en-US"/>
        </w:rPr>
      </w:pPr>
      <w:hyperlink r:id="rId67" w:history="1">
        <w:r w:rsidR="008203A6" w:rsidRPr="004A08ED">
          <w:rPr>
            <w:rFonts w:eastAsia="Calibri"/>
            <w:color w:val="0000FF"/>
            <w:sz w:val="20"/>
            <w:szCs w:val="20"/>
            <w:u w:val="single"/>
            <w:lang w:eastAsia="en-US"/>
          </w:rPr>
          <w:t>http://lat.wsj.com/articles/SB10722811844060803467804580508583561793538?tesla=y</w:t>
        </w:r>
      </w:hyperlink>
      <w:r w:rsidR="008203A6" w:rsidRPr="004A08ED">
        <w:rPr>
          <w:rFonts w:eastAsia="Calibri"/>
          <w:color w:val="0000FF"/>
          <w:sz w:val="20"/>
          <w:szCs w:val="20"/>
          <w:lang w:eastAsia="en-US"/>
        </w:rPr>
        <w:t xml:space="preserve"> </w:t>
      </w:r>
    </w:p>
    <w:p w14:paraId="03943659" w14:textId="77777777" w:rsidR="009E3AAD" w:rsidRPr="009E3AAD" w:rsidRDefault="009E3AAD" w:rsidP="009E3AAD">
      <w:pPr>
        <w:ind w:right="-159"/>
        <w:jc w:val="both"/>
        <w:rPr>
          <w:rFonts w:eastAsia="Calibri"/>
          <w:b/>
          <w:sz w:val="26"/>
          <w:szCs w:val="26"/>
          <w:lang w:eastAsia="en-US"/>
        </w:rPr>
      </w:pPr>
      <w:r w:rsidRPr="009E3AAD">
        <w:rPr>
          <w:rFonts w:eastAsia="Calibri"/>
          <w:b/>
          <w:sz w:val="26"/>
          <w:szCs w:val="26"/>
          <w:lang w:eastAsia="en-US"/>
        </w:rPr>
        <w:t xml:space="preserve">La caída de precios hace atractivo el crudo </w:t>
      </w:r>
    </w:p>
    <w:p w14:paraId="67F5B3DE" w14:textId="77777777" w:rsidR="009E3AAD" w:rsidRPr="009E3AAD" w:rsidRDefault="009E3AAD" w:rsidP="009E3AAD">
      <w:pPr>
        <w:spacing w:after="360" w:line="360" w:lineRule="auto"/>
        <w:ind w:right="-159"/>
        <w:jc w:val="both"/>
        <w:rPr>
          <w:rFonts w:eastAsia="Calibri"/>
          <w:b/>
          <w:sz w:val="26"/>
          <w:szCs w:val="26"/>
          <w:lang w:eastAsia="en-US"/>
        </w:rPr>
      </w:pPr>
      <w:r w:rsidRPr="009E3AAD">
        <w:rPr>
          <w:rFonts w:eastAsia="Calibri"/>
          <w:b/>
          <w:sz w:val="26"/>
          <w:szCs w:val="26"/>
          <w:lang w:eastAsia="en-US"/>
        </w:rPr>
        <w:t>latinoamericano  para  Asia  (WSJ)</w:t>
      </w:r>
    </w:p>
    <w:p w14:paraId="58024D0C"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El 16 de marzo de 2015, el periódico </w:t>
      </w:r>
      <w:r w:rsidRPr="009E3AAD">
        <w:rPr>
          <w:rFonts w:eastAsia="Calibri"/>
          <w:i/>
          <w:sz w:val="26"/>
          <w:szCs w:val="26"/>
          <w:lang w:eastAsia="en-US"/>
        </w:rPr>
        <w:t>The Wall Street Journal</w:t>
      </w:r>
      <w:r w:rsidRPr="009E3AAD">
        <w:rPr>
          <w:rFonts w:eastAsia="Calibri"/>
          <w:sz w:val="26"/>
          <w:szCs w:val="26"/>
          <w:lang w:eastAsia="en-US"/>
        </w:rPr>
        <w:t xml:space="preserve"> (WSJ) publicó la nota “La caída de precios hace atractivo el crudo latinoamericano para Asia”, a continuación se presenta la información.</w:t>
      </w:r>
    </w:p>
    <w:p w14:paraId="6B52B9CC" w14:textId="77777777" w:rsidR="009E3AAD" w:rsidRPr="009E3AAD" w:rsidRDefault="009E3AAD" w:rsidP="009E3AAD">
      <w:pPr>
        <w:spacing w:after="360" w:line="360" w:lineRule="auto"/>
        <w:ind w:right="-159"/>
        <w:jc w:val="center"/>
        <w:rPr>
          <w:rFonts w:eastAsia="Calibri"/>
          <w:sz w:val="26"/>
          <w:szCs w:val="26"/>
          <w:lang w:eastAsia="en-US"/>
        </w:rPr>
      </w:pPr>
      <w:r w:rsidRPr="009E3AAD">
        <w:rPr>
          <w:rFonts w:ascii="Calibri" w:eastAsia="Calibri" w:hAnsi="Calibri"/>
          <w:noProof/>
          <w:sz w:val="22"/>
          <w:szCs w:val="22"/>
          <w:lang w:eastAsia="es-MX"/>
        </w:rPr>
        <w:drawing>
          <wp:inline distT="0" distB="0" distL="0" distR="0" wp14:anchorId="782EBE0F" wp14:editId="343E3CA9">
            <wp:extent cx="5612130" cy="3623881"/>
            <wp:effectExtent l="0" t="0" r="0" b="0"/>
            <wp:docPr id="1604" name="Imagen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12130" cy="3623881"/>
                    </a:xfrm>
                    <a:prstGeom prst="rect">
                      <a:avLst/>
                    </a:prstGeom>
                    <a:noFill/>
                    <a:ln>
                      <a:noFill/>
                    </a:ln>
                  </pic:spPr>
                </pic:pic>
              </a:graphicData>
            </a:graphic>
          </wp:inline>
        </w:drawing>
      </w:r>
    </w:p>
    <w:p w14:paraId="5FAEAB49"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lastRenderedPageBreak/>
        <w:t>La caída en los precios del petróleo desde mediados del año pasado no es lo único que ha sacudido a la industria de hidrocarburos. Otro factor importante ha sido la forma que ha adoptado el derrumbe.</w:t>
      </w:r>
    </w:p>
    <w:p w14:paraId="4AEE0A2D"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El petróleo estadounidense, cuyo precio de referencia es el </w:t>
      </w:r>
      <w:r w:rsidRPr="009E3AAD">
        <w:rPr>
          <w:rFonts w:eastAsia="Calibri"/>
          <w:i/>
          <w:sz w:val="26"/>
          <w:szCs w:val="26"/>
          <w:lang w:eastAsia="en-US"/>
        </w:rPr>
        <w:t>West Texas Intermediate</w:t>
      </w:r>
      <w:r w:rsidRPr="009E3AAD">
        <w:rPr>
          <w:rFonts w:eastAsia="Calibri"/>
          <w:sz w:val="26"/>
          <w:szCs w:val="26"/>
          <w:lang w:eastAsia="en-US"/>
        </w:rPr>
        <w:t xml:space="preserve"> (WTI), ha descendido más que la referencia global, conocida como </w:t>
      </w:r>
      <w:r w:rsidRPr="009E3AAD">
        <w:rPr>
          <w:rFonts w:eastAsia="Calibri"/>
          <w:i/>
          <w:sz w:val="26"/>
          <w:szCs w:val="26"/>
          <w:lang w:eastAsia="en-US"/>
        </w:rPr>
        <w:t>Brent</w:t>
      </w:r>
      <w:r w:rsidRPr="009E3AAD">
        <w:rPr>
          <w:rFonts w:eastAsia="Calibri"/>
          <w:sz w:val="26"/>
          <w:szCs w:val="26"/>
          <w:lang w:eastAsia="en-US"/>
        </w:rPr>
        <w:t xml:space="preserve"> y que se cotiza en Londres. Esto ha causado que sea más atractivo para los compradores asiáticos adquirir petróleo de regiones como América Latina, en la que los precios de los productores se alinean de acuerdo a las variaciones del WTI, en lugar de acudir a los tradicionales proveedores de Medio Oriente que se basan en el </w:t>
      </w:r>
      <w:r w:rsidRPr="009E3AAD">
        <w:rPr>
          <w:rFonts w:eastAsia="Calibri"/>
          <w:i/>
          <w:sz w:val="26"/>
          <w:szCs w:val="26"/>
          <w:lang w:eastAsia="en-US"/>
        </w:rPr>
        <w:t>Brent</w:t>
      </w:r>
      <w:r w:rsidRPr="009E3AAD">
        <w:rPr>
          <w:rFonts w:eastAsia="Calibri"/>
          <w:sz w:val="26"/>
          <w:szCs w:val="26"/>
          <w:lang w:eastAsia="en-US"/>
        </w:rPr>
        <w:t>.</w:t>
      </w:r>
    </w:p>
    <w:p w14:paraId="29094773"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El buque carguero </w:t>
      </w:r>
      <w:r w:rsidRPr="009E3AAD">
        <w:rPr>
          <w:rFonts w:eastAsia="Calibri"/>
          <w:i/>
          <w:sz w:val="26"/>
          <w:szCs w:val="26"/>
          <w:lang w:eastAsia="en-US"/>
        </w:rPr>
        <w:t>Maran Penelope</w:t>
      </w:r>
      <w:r w:rsidRPr="009E3AAD">
        <w:rPr>
          <w:rFonts w:eastAsia="Calibri"/>
          <w:sz w:val="26"/>
          <w:szCs w:val="26"/>
          <w:lang w:eastAsia="en-US"/>
        </w:rPr>
        <w:t xml:space="preserve">, que transportaba 140 mil toneladas de crudo mexicano, atracó recientemente en un puerto de Corea del Sur para abastecer a la refinería </w:t>
      </w:r>
      <w:r w:rsidRPr="009E3AAD">
        <w:rPr>
          <w:rFonts w:eastAsia="Calibri"/>
          <w:i/>
          <w:sz w:val="26"/>
          <w:szCs w:val="26"/>
          <w:lang w:eastAsia="en-US"/>
        </w:rPr>
        <w:t>GS Caltex Corp</w:t>
      </w:r>
      <w:r w:rsidRPr="009E3AAD">
        <w:rPr>
          <w:rFonts w:eastAsia="Calibri"/>
          <w:sz w:val="26"/>
          <w:szCs w:val="26"/>
          <w:lang w:eastAsia="en-US"/>
        </w:rPr>
        <w:t>., la primera vez en más de dos décadas que Corea del Sur compra petróleo mexicano, señalan observadores del mercado. Japón adquirió el año pasado su primer cargamento de crudo mexicano en más de tres años.</w:t>
      </w:r>
    </w:p>
    <w:p w14:paraId="6406DE37"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Un vocero de </w:t>
      </w:r>
      <w:r w:rsidRPr="009E3AAD">
        <w:rPr>
          <w:rFonts w:eastAsia="Calibri"/>
          <w:i/>
          <w:sz w:val="26"/>
          <w:szCs w:val="26"/>
          <w:lang w:eastAsia="en-US"/>
        </w:rPr>
        <w:t>GS Caltex</w:t>
      </w:r>
      <w:r w:rsidRPr="009E3AAD">
        <w:rPr>
          <w:rFonts w:eastAsia="Calibri"/>
          <w:sz w:val="26"/>
          <w:szCs w:val="26"/>
          <w:lang w:eastAsia="en-US"/>
        </w:rPr>
        <w:t xml:space="preserve"> confirmó la entrega del petróleo mexicano e indicó que la empresa “está dispuesta a adquirir crudo en el mercado al contado siempre y cuando haya ofertas baratas, ya sea de México u otro país”. La portavoz aclaró, en todo caso, que por el momento no tenían contempladas futuras compras a México. </w:t>
      </w:r>
    </w:p>
    <w:p w14:paraId="7687E335"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La petrolera estatal Petróleos Mexicanos informó la semana pasada que despachará este año alrededor de 5 millones de barriles de petróleo a Corea del Sur hasta fines de abril. Cerca de 80% de esa cantidad serán absorbidos por </w:t>
      </w:r>
      <w:r w:rsidRPr="009E3AAD">
        <w:rPr>
          <w:rFonts w:eastAsia="Calibri"/>
          <w:i/>
          <w:sz w:val="26"/>
          <w:szCs w:val="26"/>
          <w:lang w:eastAsia="en-US"/>
        </w:rPr>
        <w:t>Hyundai Oilbank Co</w:t>
      </w:r>
      <w:r w:rsidRPr="009E3AAD">
        <w:rPr>
          <w:rFonts w:eastAsia="Calibri"/>
          <w:sz w:val="26"/>
          <w:szCs w:val="26"/>
          <w:lang w:eastAsia="en-US"/>
        </w:rPr>
        <w:t xml:space="preserve">. </w:t>
      </w:r>
      <w:r w:rsidRPr="009E3AAD">
        <w:rPr>
          <w:rFonts w:eastAsia="Calibri"/>
          <w:i/>
          <w:sz w:val="26"/>
          <w:szCs w:val="26"/>
          <w:lang w:eastAsia="en-US"/>
        </w:rPr>
        <w:t>Ltd</w:t>
      </w:r>
      <w:r w:rsidRPr="009E3AAD">
        <w:rPr>
          <w:rFonts w:eastAsia="Calibri"/>
          <w:sz w:val="26"/>
          <w:szCs w:val="26"/>
          <w:lang w:eastAsia="en-US"/>
        </w:rPr>
        <w:t xml:space="preserve">. y el resto irá a parar a </w:t>
      </w:r>
      <w:r w:rsidRPr="009E3AAD">
        <w:rPr>
          <w:rFonts w:eastAsia="Calibri"/>
          <w:i/>
          <w:sz w:val="26"/>
          <w:szCs w:val="26"/>
          <w:lang w:eastAsia="en-US"/>
        </w:rPr>
        <w:t>GS Caltex Singapore Pte. Ltd</w:t>
      </w:r>
      <w:r w:rsidRPr="009E3AAD">
        <w:rPr>
          <w:rFonts w:eastAsia="Calibri"/>
          <w:sz w:val="26"/>
          <w:szCs w:val="26"/>
          <w:lang w:eastAsia="en-US"/>
        </w:rPr>
        <w:t>.</w:t>
      </w:r>
    </w:p>
    <w:p w14:paraId="5624526D"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El precio del petróleo WTI ha disminuido de manera más pronunciada que el </w:t>
      </w:r>
      <w:r w:rsidRPr="009E3AAD">
        <w:rPr>
          <w:rFonts w:eastAsia="Calibri"/>
          <w:i/>
          <w:sz w:val="26"/>
          <w:szCs w:val="26"/>
          <w:lang w:eastAsia="en-US"/>
        </w:rPr>
        <w:t>Brent</w:t>
      </w:r>
      <w:r w:rsidRPr="009E3AAD">
        <w:rPr>
          <w:rFonts w:eastAsia="Calibri"/>
          <w:sz w:val="26"/>
          <w:szCs w:val="26"/>
          <w:lang w:eastAsia="en-US"/>
        </w:rPr>
        <w:t xml:space="preserve"> puesto que el auge de la energía de esquisto en Estados Unidos de Norteamérica ha generado un superávit de crudo que termina en los tanques de almacenamiento de ese </w:t>
      </w:r>
      <w:r w:rsidRPr="009E3AAD">
        <w:rPr>
          <w:rFonts w:eastAsia="Calibri"/>
          <w:sz w:val="26"/>
          <w:szCs w:val="26"/>
          <w:lang w:eastAsia="en-US"/>
        </w:rPr>
        <w:lastRenderedPageBreak/>
        <w:t>país. La diferencia entre las dos cotizaciones de referencia pasó en menos de seis semanas de cero a cerca de 10 dólares el barril en febrero.</w:t>
      </w:r>
    </w:p>
    <w:p w14:paraId="4A7B0846"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El lunes, la cotización del WTI para entrega en abril se ubicó en 43.88 dólares por barril en Nueva York, mientras que el </w:t>
      </w:r>
      <w:r w:rsidRPr="009E3AAD">
        <w:rPr>
          <w:rFonts w:eastAsia="Calibri"/>
          <w:i/>
          <w:sz w:val="26"/>
          <w:szCs w:val="26"/>
          <w:lang w:eastAsia="en-US"/>
        </w:rPr>
        <w:t>Brent</w:t>
      </w:r>
      <w:r w:rsidRPr="009E3AAD">
        <w:rPr>
          <w:rFonts w:eastAsia="Calibri"/>
          <w:sz w:val="26"/>
          <w:szCs w:val="26"/>
          <w:lang w:eastAsia="en-US"/>
        </w:rPr>
        <w:t xml:space="preserve"> se negoció a 53.44 el barril en Londres. </w:t>
      </w:r>
    </w:p>
    <w:p w14:paraId="6CF935C0"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Los compradores asiáticos disponen de una selección más amplia de proveedores ansiosos por encontrar nuevos mercados, ya que muchos países productores de crudo están exportando menos petróleo a Estados Unidos de Norteamérica, que es cada vez más autosuficiente.</w:t>
      </w:r>
    </w:p>
    <w:p w14:paraId="2F8FFC2A"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Los envíos marítimos muestran el aumento del petróleo que ha salido de América Latina con destino a China, Japón y Corea del Sur durante los últimos doce meses. La mayor parte del crudo es comprado por China, según el proveedor de datos de energía </w:t>
      </w:r>
      <w:r w:rsidRPr="009E3AAD">
        <w:rPr>
          <w:rFonts w:eastAsia="Calibri"/>
          <w:i/>
          <w:sz w:val="26"/>
          <w:szCs w:val="26"/>
          <w:lang w:eastAsia="en-US"/>
        </w:rPr>
        <w:t>ClipperData</w:t>
      </w:r>
      <w:r w:rsidRPr="009E3AAD">
        <w:rPr>
          <w:rFonts w:eastAsia="Calibri"/>
          <w:sz w:val="26"/>
          <w:szCs w:val="26"/>
          <w:lang w:eastAsia="en-US"/>
        </w:rPr>
        <w:t>. Se prevé que alrededor de 35 millones de barriles de América Latina lleguen a puertos asiáticos en el próximo mes procedentes de puertos de Brasil, Ecuador, Venezuela, Colombia, Argentina y México, según la información. Brasil y Colombia son los principales exportadores de petróleo a Asia, con envíos combinados de 445 mil barriles al día en 2014.</w:t>
      </w:r>
    </w:p>
    <w:p w14:paraId="41C9A303"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“Las negociaciones al contado entre Asia y América Latina son altamente susceptibles a los precios”, anotaron analistas de BMI </w:t>
      </w:r>
      <w:r w:rsidRPr="009E3AAD">
        <w:rPr>
          <w:rFonts w:eastAsia="Calibri"/>
          <w:i/>
          <w:sz w:val="26"/>
          <w:szCs w:val="26"/>
          <w:lang w:eastAsia="en-US"/>
        </w:rPr>
        <w:t>Research</w:t>
      </w:r>
      <w:r w:rsidRPr="009E3AAD">
        <w:rPr>
          <w:rFonts w:eastAsia="Calibri"/>
          <w:sz w:val="26"/>
          <w:szCs w:val="26"/>
          <w:lang w:eastAsia="en-US"/>
        </w:rPr>
        <w:t xml:space="preserve">, una división de la calificadora de riesgo </w:t>
      </w:r>
      <w:r w:rsidRPr="009E3AAD">
        <w:rPr>
          <w:rFonts w:eastAsia="Calibri"/>
          <w:i/>
          <w:sz w:val="26"/>
          <w:szCs w:val="26"/>
          <w:lang w:eastAsia="en-US"/>
        </w:rPr>
        <w:t>Fitch Ratings</w:t>
      </w:r>
      <w:r w:rsidRPr="009E3AAD">
        <w:rPr>
          <w:rFonts w:eastAsia="Calibri"/>
          <w:sz w:val="26"/>
          <w:szCs w:val="26"/>
          <w:lang w:eastAsia="en-US"/>
        </w:rPr>
        <w:t>, quienes agregaron que la última vez en que la diferencia de precio se mantuvo fue en el tercer trimestre de 2013, cuando las importaciones asiáticas de crudo de Colombia y Brasil se dispararon 36 por ciento.</w:t>
      </w:r>
    </w:p>
    <w:p w14:paraId="6F7F7611"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La dinámica actual de los precios también ha creado oportunidades para exportar petróleo condensado o ligero de Estados Unidos de Norteamérica a Asia. El año pasado, el país norteamericano exportó un cargamento de crudo ligero a Corea del Sur por primera vez en décadas.</w:t>
      </w:r>
    </w:p>
    <w:p w14:paraId="07E14B10"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lastRenderedPageBreak/>
        <w:t xml:space="preserve">El diferencial entre el WTI y el </w:t>
      </w:r>
      <w:r w:rsidRPr="009E3AAD">
        <w:rPr>
          <w:rFonts w:eastAsia="Calibri"/>
          <w:i/>
          <w:sz w:val="26"/>
          <w:szCs w:val="26"/>
          <w:lang w:eastAsia="en-US"/>
        </w:rPr>
        <w:t>Brent</w:t>
      </w:r>
      <w:r w:rsidRPr="009E3AAD">
        <w:rPr>
          <w:rFonts w:eastAsia="Calibri"/>
          <w:sz w:val="26"/>
          <w:szCs w:val="26"/>
          <w:lang w:eastAsia="en-US"/>
        </w:rPr>
        <w:t xml:space="preserve"> les ha dado la posibilidad a los operadores en el mercado físico, a diferencia del mercado de futuros, de beneficiarse de la disparidad de precios de un </w:t>
      </w:r>
      <w:r w:rsidRPr="009E3AAD">
        <w:rPr>
          <w:rFonts w:eastAsia="Calibri"/>
          <w:i/>
          <w:sz w:val="26"/>
          <w:szCs w:val="26"/>
          <w:lang w:eastAsia="en-US"/>
        </w:rPr>
        <w:t>commodity</w:t>
      </w:r>
      <w:r w:rsidRPr="009E3AAD">
        <w:rPr>
          <w:rFonts w:eastAsia="Calibri"/>
          <w:sz w:val="26"/>
          <w:szCs w:val="26"/>
          <w:lang w:eastAsia="en-US"/>
        </w:rPr>
        <w:t xml:space="preserve"> entre dos regiones. </w:t>
      </w:r>
    </w:p>
    <w:p w14:paraId="6909530B"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Para que el llamado “arbitraje” físico funcione, un operador debe comprar el cargamento a precios bajos, hacer gestiones para conseguir un buque y vender el producto a un precio suficientemente alto para cubrir el costo del envío y generar ganancias. Los operadores también se cubren contra el riesgo del precio utilizando derivados y cierran dicha cobertura una vez que la mercancía es vendida y entregada.</w:t>
      </w:r>
    </w:p>
    <w:p w14:paraId="25C3A99C"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Algunas de las principales firmas de corretaje de materias primas como </w:t>
      </w:r>
      <w:r w:rsidRPr="009E3AAD">
        <w:rPr>
          <w:rFonts w:eastAsia="Calibri"/>
          <w:i/>
          <w:sz w:val="26"/>
          <w:szCs w:val="26"/>
          <w:lang w:eastAsia="en-US"/>
        </w:rPr>
        <w:t>Trafigura Beheer BV, Vitol Group, Glencore</w:t>
      </w:r>
      <w:r w:rsidRPr="009E3AAD">
        <w:rPr>
          <w:rFonts w:eastAsia="Calibri"/>
          <w:sz w:val="26"/>
          <w:szCs w:val="26"/>
          <w:lang w:eastAsia="en-US"/>
        </w:rPr>
        <w:t xml:space="preserve"> </w:t>
      </w:r>
      <w:r w:rsidRPr="009E3AAD">
        <w:rPr>
          <w:rFonts w:eastAsia="Calibri"/>
          <w:i/>
          <w:sz w:val="26"/>
          <w:szCs w:val="26"/>
          <w:lang w:eastAsia="en-US"/>
        </w:rPr>
        <w:t>PLC</w:t>
      </w:r>
      <w:r w:rsidRPr="009E3AAD">
        <w:rPr>
          <w:rFonts w:eastAsia="Calibri"/>
          <w:sz w:val="26"/>
          <w:szCs w:val="26"/>
          <w:lang w:eastAsia="en-US"/>
        </w:rPr>
        <w:t xml:space="preserve"> y </w:t>
      </w:r>
      <w:r w:rsidRPr="009E3AAD">
        <w:rPr>
          <w:rFonts w:eastAsia="Calibri"/>
          <w:i/>
          <w:sz w:val="26"/>
          <w:szCs w:val="26"/>
          <w:lang w:eastAsia="en-US"/>
        </w:rPr>
        <w:t>Cargill Inc.,</w:t>
      </w:r>
      <w:r w:rsidRPr="009E3AAD">
        <w:rPr>
          <w:rFonts w:eastAsia="Calibri"/>
          <w:sz w:val="26"/>
          <w:szCs w:val="26"/>
          <w:lang w:eastAsia="en-US"/>
        </w:rPr>
        <w:t xml:space="preserve"> prosperan con el negocio del arbitraje. De todos modos, los corredores tienen que ser veloces para sacar ventaja.</w:t>
      </w:r>
    </w:p>
    <w:p w14:paraId="5E4E8CA1" w14:textId="77777777" w:rsidR="009E3AAD" w:rsidRPr="009E3AAD" w:rsidRDefault="009E3AAD" w:rsidP="009E3AAD">
      <w:pPr>
        <w:spacing w:after="360" w:line="360" w:lineRule="auto"/>
        <w:ind w:right="-159"/>
        <w:jc w:val="both"/>
        <w:rPr>
          <w:rFonts w:eastAsia="Calibri"/>
          <w:sz w:val="26"/>
          <w:szCs w:val="26"/>
          <w:lang w:eastAsia="en-US"/>
        </w:rPr>
      </w:pPr>
      <w:r w:rsidRPr="009E3AAD">
        <w:rPr>
          <w:rFonts w:eastAsia="Calibri"/>
          <w:sz w:val="26"/>
          <w:szCs w:val="26"/>
          <w:lang w:eastAsia="en-US"/>
        </w:rPr>
        <w:t xml:space="preserve">“A medida que los mercados se han vuelto más eficientes y transparentes debido a los adelantos tecnológicos en la informática y las comunicaciones, el arbitraje se ha vuelto más difícil de implementar”, aseveró el consultor de </w:t>
      </w:r>
      <w:r w:rsidRPr="009E3AAD">
        <w:rPr>
          <w:rFonts w:eastAsia="Calibri"/>
          <w:i/>
          <w:sz w:val="26"/>
          <w:szCs w:val="26"/>
          <w:lang w:eastAsia="en-US"/>
        </w:rPr>
        <w:t>JBC Energy Asia</w:t>
      </w:r>
      <w:r w:rsidRPr="009E3AAD">
        <w:rPr>
          <w:rFonts w:eastAsia="Calibri"/>
          <w:sz w:val="26"/>
          <w:szCs w:val="26"/>
          <w:lang w:eastAsia="en-US"/>
        </w:rPr>
        <w:t>. El consultor resaltó que para cuando la mayoría de los corredores se percatan de una oportunidad de arbitraje, los actores más audaces ya han conseguido posiciones óptimas, buques y líneas de entrega, lo que implica que otros llegan tarde al negocio.</w:t>
      </w:r>
    </w:p>
    <w:p w14:paraId="0675D6DB" w14:textId="77777777" w:rsidR="009E3AAD" w:rsidRPr="009E3AAD" w:rsidRDefault="009E3AAD" w:rsidP="009E3AAD">
      <w:pPr>
        <w:ind w:right="-159"/>
        <w:jc w:val="both"/>
        <w:rPr>
          <w:rFonts w:eastAsia="Calibri"/>
          <w:b/>
          <w:sz w:val="20"/>
          <w:szCs w:val="26"/>
          <w:lang w:eastAsia="en-US"/>
        </w:rPr>
      </w:pPr>
      <w:r w:rsidRPr="009E3AAD">
        <w:rPr>
          <w:rFonts w:eastAsia="Calibri"/>
          <w:b/>
          <w:sz w:val="20"/>
          <w:szCs w:val="26"/>
          <w:lang w:eastAsia="en-US"/>
        </w:rPr>
        <w:t>Fuente de información:</w:t>
      </w:r>
    </w:p>
    <w:p w14:paraId="71C04548" w14:textId="77777777" w:rsidR="009E3AAD" w:rsidRPr="004A08ED" w:rsidRDefault="00872B0E" w:rsidP="004A08ED">
      <w:pPr>
        <w:spacing w:after="720"/>
        <w:ind w:right="-159"/>
        <w:jc w:val="both"/>
        <w:rPr>
          <w:rFonts w:eastAsia="Calibri"/>
          <w:color w:val="0000FF"/>
          <w:sz w:val="20"/>
          <w:szCs w:val="20"/>
          <w:lang w:eastAsia="en-US"/>
        </w:rPr>
      </w:pPr>
      <w:hyperlink r:id="rId69" w:history="1">
        <w:r w:rsidR="009E3AAD" w:rsidRPr="004A08ED">
          <w:rPr>
            <w:rFonts w:eastAsia="Calibri"/>
            <w:color w:val="0000FF"/>
            <w:sz w:val="20"/>
            <w:szCs w:val="20"/>
            <w:u w:val="single"/>
            <w:lang w:eastAsia="en-US"/>
          </w:rPr>
          <w:t>http://lat.wsj.com/articles/SB10048647422150643754404580522662719422070?tesla=y</w:t>
        </w:r>
      </w:hyperlink>
      <w:r w:rsidR="009E3AAD" w:rsidRPr="004A08ED">
        <w:rPr>
          <w:rFonts w:eastAsia="Calibri"/>
          <w:color w:val="0000FF"/>
          <w:sz w:val="20"/>
          <w:szCs w:val="20"/>
          <w:lang w:eastAsia="en-US"/>
        </w:rPr>
        <w:t xml:space="preserve"> </w:t>
      </w:r>
    </w:p>
    <w:p w14:paraId="747F88F7" w14:textId="77777777" w:rsidR="00312F9F" w:rsidRPr="00312F9F" w:rsidRDefault="00312F9F" w:rsidP="00312F9F">
      <w:pPr>
        <w:spacing w:after="360" w:line="360" w:lineRule="auto"/>
        <w:ind w:right="-159"/>
        <w:jc w:val="both"/>
        <w:rPr>
          <w:rFonts w:eastAsia="Calibri"/>
          <w:b/>
          <w:sz w:val="26"/>
          <w:szCs w:val="26"/>
          <w:lang w:eastAsia="en-US"/>
        </w:rPr>
      </w:pPr>
      <w:r w:rsidRPr="00312F9F">
        <w:rPr>
          <w:rFonts w:eastAsia="Calibri"/>
          <w:b/>
          <w:sz w:val="26"/>
          <w:szCs w:val="26"/>
          <w:lang w:eastAsia="en-US"/>
        </w:rPr>
        <w:t>El poder de una unión energética europea (Project Syndicate)</w:t>
      </w:r>
    </w:p>
    <w:p w14:paraId="5BB65EBE" w14:textId="55E5F5CC"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El 23 de febrero de 2015, la organización Project Syndicate (</w:t>
      </w:r>
      <w:r w:rsidRPr="00312F9F">
        <w:rPr>
          <w:rFonts w:eastAsia="Calibri"/>
          <w:i/>
          <w:sz w:val="26"/>
          <w:szCs w:val="26"/>
          <w:lang w:val="es-ES" w:eastAsia="en-US"/>
        </w:rPr>
        <w:t>PS</w:t>
      </w:r>
      <w:r w:rsidRPr="00312F9F">
        <w:rPr>
          <w:rFonts w:eastAsia="Calibri"/>
          <w:sz w:val="26"/>
          <w:szCs w:val="26"/>
          <w:lang w:val="es-ES" w:eastAsia="en-US"/>
        </w:rPr>
        <w:t>) publicó el artículo “El poder de una unión energética europea”, elaborado por Eamon Ryan</w:t>
      </w:r>
      <w:r w:rsidRPr="00312F9F">
        <w:rPr>
          <w:rFonts w:eastAsia="Calibri"/>
          <w:sz w:val="26"/>
          <w:szCs w:val="26"/>
          <w:vertAlign w:val="superscript"/>
          <w:lang w:val="es-ES" w:eastAsia="en-US"/>
        </w:rPr>
        <w:footnoteReference w:id="15"/>
      </w:r>
      <w:r w:rsidRPr="00312F9F">
        <w:rPr>
          <w:rFonts w:eastAsia="Calibri"/>
          <w:sz w:val="26"/>
          <w:szCs w:val="26"/>
          <w:lang w:val="es-ES" w:eastAsia="en-US"/>
        </w:rPr>
        <w:t xml:space="preserve"> </w:t>
      </w:r>
      <w:r w:rsidR="006B134F">
        <w:rPr>
          <w:rFonts w:eastAsia="Calibri"/>
          <w:sz w:val="26"/>
          <w:szCs w:val="26"/>
          <w:lang w:val="es-ES" w:eastAsia="en-US"/>
        </w:rPr>
        <w:t>relativo</w:t>
      </w:r>
      <w:r w:rsidRPr="00312F9F">
        <w:rPr>
          <w:rFonts w:eastAsia="Calibri"/>
          <w:sz w:val="26"/>
          <w:szCs w:val="26"/>
          <w:lang w:val="es-ES" w:eastAsia="en-US"/>
        </w:rPr>
        <w:t xml:space="preserve"> al poder </w:t>
      </w:r>
      <w:r w:rsidRPr="00312F9F">
        <w:rPr>
          <w:rFonts w:eastAsia="Calibri"/>
          <w:sz w:val="26"/>
          <w:szCs w:val="26"/>
          <w:lang w:val="es-ES" w:eastAsia="en-US"/>
        </w:rPr>
        <w:lastRenderedPageBreak/>
        <w:t>que puede ejercer una unión energética europea al estímulo económico. A continuación se presenta el contenido.</w:t>
      </w:r>
    </w:p>
    <w:p w14:paraId="7E5D9854"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Una de las máximas prioridades establecidas por el presidente de la Comisión Europea, antes de su elección el verano pasado fue la creación de una unión energética europea. Estaba en lo cierto. Si se la implementa de manera apropiada, una política energética más cohesiva podría lograr tres objetivos estratégicos simultáneamente.</w:t>
      </w:r>
    </w:p>
    <w:p w14:paraId="67A9D1A3"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Al coordinar la investigación y la inversión, fomentar la conservación e integrar los mercados de energía, una unión energética ayudaría a combatir el cambio climático, le proporcionaría a Europa el estímulo económico que tanto necesita y protegería al continente de las oscilaciones en el suministro, como las causadas por las crisis en el norte de África y Ucrania.</w:t>
      </w:r>
    </w:p>
    <w:p w14:paraId="78DC559E"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Por supuesto, la capacidad de acción de la Unión Europea depende de la voluntad de los estados que la conforman; y, aunque algunos líderes del continente han defendido la iniciativa, otros se han mostrado menos entusiastas. Una prueba crucial de su resolución colectiva será si están dispuestos o no a respaldar proyectos clave de infraestructura que cumplan con los tres objetivos.</w:t>
      </w:r>
    </w:p>
    <w:p w14:paraId="37CD94D2"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Un buen ejemplo de un proyecto de estas características es la Iniciativa de Red Marítima de los Países del Mar del Norte, una propuesta que asociaría parques eólicos marítimos con una nueva red regional, y les permitiría a los países equilibrar los suministros variables de energía entre fronteras. La idea —propuesta por primera vez en un memorándum de entendimiento de 2009 firmado por nueve estados miembro de la Unión Europea y Noruega— tiene un enorme potencial; para 2030, los vientos del Mar del Norte podrían proporcionarle a Europa un 10% de su electricidad —libre de carbono—. Pero si el proyecto ha de seguir adelante, necesita con urgencia un mandato político.</w:t>
      </w:r>
    </w:p>
    <w:p w14:paraId="64D31108"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lastRenderedPageBreak/>
        <w:t>La red integrada se puede concebir como un gran anillo que conecte Noruega con el Reino Unido, y luego cruce el canal hacia Francia, Bélgica y Holanda, antes de adentrarse en Alemania y regresar a Escandinavia. Su implementación le permitiría a Europa introducir una zona de libre comercio para energía renovable, reduciendo la necesidad de almacenamiento y de capacidad excedente para responder ante suministros variables de energía. La red no sólo se solventaría a sí misma; una vez implementada, reduciría el costo de los nuevos parques eólicos en un 30%, al brindarles una conexión existente a los mercados de energía.</w:t>
      </w:r>
    </w:p>
    <w:p w14:paraId="10414A75"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Un sistema energético interconectado tendría particularmente sentido para el Reino Unido y Alemania, que podrían utilizar la diferencia horaria de una hora entre ellos para suavizar los picos y bajas en la demanda. La producción de energía renovable es, por naturaleza, intermitente, y sólo la cantidad de fuentes de energía fluctuantes en Alemania ya está llevando su red existente al límite. La interconexión también reduciría la cantidad de nuevas líneas de transmisión en tierra que el país necesita. El gobierno alemán generó un documento de políticas que describe de qué manera podría funcionar un mercado regional más integrado.</w:t>
      </w:r>
    </w:p>
    <w:p w14:paraId="33D22938"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 xml:space="preserve">El año pasado, el Reino Unido igualó las inversiones de Alemania en energía limpia. Gastó unos 15 mil 200 millones de dólares en paneles solares y parques eólicos. Sin embargo, Gran Bretaña necesitará hacer mucho más si quiere cumplir con los objetivos climáticos. Según un informe parlamentario, “el costo de desarrollar una supergrilla de estas características podría ser muy elevado… pero quizá traiga aparejado un conjunto de beneficios económicos que incluyen decenas de miles de nuevos empleos en la industria renovable marítima”. Una iniciativa regional también le permitiría al primer ministro responder a la oposición dentro de su partido a las plantas energéticas renovables en tierra. </w:t>
      </w:r>
    </w:p>
    <w:p w14:paraId="20842475"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lastRenderedPageBreak/>
        <w:t>Cada uno de los países involucrados en el proyecto se beneficiaría con su construcción. Holanda y Bélgica necesitan una manera costo-eficiente de desarrollar sus propios recursos marítimos. Dinamarca ya se beneficia de un mercado de electricidad interconectado; y la lección que ha aprendido es que tiene sentido aumentar la integración. Noruega podría vender su hidroelectricidad y asegurar un suministro de respaldo en caso de que el cambio climático agotara sus recursos. Los avances en la tecnología de cableado le permitirían a Irlanda conectarse a Francia, ofreciendo una ruta alternativa para los mercados europeos si el Reino Unido decide permanecer fuera de la red.</w:t>
      </w:r>
    </w:p>
    <w:p w14:paraId="0877718D"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El plan de inversión de 315 mil millones de euros (360 mil millones de dólares) del presidente de la Comisión Europea, propuesto en diciembre, incluye unos 87 mil millones de euros en proyectos de interconexión. Sería sensato combinarlos en una iniciativa única, con normas comunes en materia de tecnología, planificación y regulaciones. Esto reduciría el costo del capital en préstamos del Banco Europeo de Inversiones y le daría un impulso a las compañías de tecnología europeas.</w:t>
      </w:r>
    </w:p>
    <w:p w14:paraId="694BE7EA"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Los estados bálticos también están planeando su propia red marítima. Pero no es sólo el norte de Europa el que podría beneficiarse con una estrategia de esta naturaleza. Los países del sudeste y mediterráneos de Europa también podrían resultar favorecidos si compartieran la energía.</w:t>
      </w:r>
    </w:p>
    <w:p w14:paraId="200CF6F8"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Gran parte del marco legal y regulatorio necesario ya existe. No hay ninguna necesidad de cambios en los tratados o de una legislación nueva y compleja. Lo único que se necesita es dirección política, para que la Comisión Europea pueda establecer las estructuras de gobernancia necesarias.</w:t>
      </w:r>
    </w:p>
    <w:p w14:paraId="2C6B3E58" w14:textId="77777777" w:rsidR="00312F9F" w:rsidRPr="00312F9F" w:rsidRDefault="00312F9F" w:rsidP="00312F9F">
      <w:pPr>
        <w:spacing w:after="360" w:line="360" w:lineRule="auto"/>
        <w:ind w:right="-159"/>
        <w:jc w:val="both"/>
        <w:rPr>
          <w:rFonts w:eastAsia="Calibri"/>
          <w:sz w:val="26"/>
          <w:szCs w:val="26"/>
          <w:lang w:val="es-ES" w:eastAsia="en-US"/>
        </w:rPr>
      </w:pPr>
      <w:r w:rsidRPr="00312F9F">
        <w:rPr>
          <w:rFonts w:eastAsia="Calibri"/>
          <w:sz w:val="26"/>
          <w:szCs w:val="26"/>
          <w:lang w:val="es-ES" w:eastAsia="en-US"/>
        </w:rPr>
        <w:t xml:space="preserve">La fortaleza del compromiso de Europa con una verdadera unión energética se revelará cuando el Consejo Europeo se reúna el 19 de marzo. Entre las decisiones que tomará está la de decidir si construirá o no redes regionales. Si la Unión Europea y sus estados </w:t>
      </w:r>
      <w:r w:rsidRPr="00312F9F">
        <w:rPr>
          <w:rFonts w:eastAsia="Calibri"/>
          <w:sz w:val="26"/>
          <w:szCs w:val="26"/>
          <w:lang w:val="es-ES" w:eastAsia="en-US"/>
        </w:rPr>
        <w:lastRenderedPageBreak/>
        <w:t>miembro llegan a un acuerdo, podrían impulsar sus economías y, al mismo tiempo, mejorar su seguridad energética. Si no, podrían terminar comprándole la tecnología a China o a Estados Unidos de Norteamérica, que estarán invirtiendo en sus propias redes en los próximos años.</w:t>
      </w:r>
    </w:p>
    <w:p w14:paraId="29437CED" w14:textId="77777777" w:rsidR="00312F9F" w:rsidRPr="00312F9F" w:rsidRDefault="00312F9F" w:rsidP="00312F9F">
      <w:pPr>
        <w:ind w:right="-159"/>
        <w:jc w:val="both"/>
        <w:rPr>
          <w:rFonts w:eastAsia="Calibri"/>
          <w:b/>
          <w:sz w:val="20"/>
          <w:szCs w:val="20"/>
          <w:lang w:eastAsia="en-US"/>
        </w:rPr>
      </w:pPr>
      <w:r w:rsidRPr="00312F9F">
        <w:rPr>
          <w:rFonts w:eastAsia="Calibri"/>
          <w:b/>
          <w:sz w:val="20"/>
          <w:szCs w:val="20"/>
          <w:lang w:eastAsia="en-US"/>
        </w:rPr>
        <w:t>Fuente de información:</w:t>
      </w:r>
    </w:p>
    <w:p w14:paraId="1D1C6A77" w14:textId="77777777" w:rsidR="00312F9F" w:rsidRPr="004A08ED" w:rsidRDefault="00872B0E" w:rsidP="004A08ED">
      <w:pPr>
        <w:spacing w:after="720"/>
        <w:ind w:right="-159"/>
        <w:jc w:val="both"/>
        <w:rPr>
          <w:rFonts w:eastAsia="Calibri"/>
          <w:color w:val="0000FF"/>
          <w:sz w:val="20"/>
          <w:szCs w:val="20"/>
          <w:lang w:val="es-ES" w:eastAsia="en-US"/>
        </w:rPr>
      </w:pPr>
      <w:hyperlink r:id="rId70" w:history="1">
        <w:r w:rsidR="00312F9F" w:rsidRPr="004A08ED">
          <w:rPr>
            <w:rFonts w:eastAsia="Calibri"/>
            <w:color w:val="0000FF"/>
            <w:sz w:val="20"/>
            <w:szCs w:val="20"/>
            <w:u w:val="single"/>
            <w:lang w:val="es-ES" w:eastAsia="en-US"/>
          </w:rPr>
          <w:t>http://www.project-syndicate.org/commentary/european-energy-union-by-eamon-ryan-2015-02/spanish</w:t>
        </w:r>
      </w:hyperlink>
    </w:p>
    <w:p w14:paraId="43667C80" w14:textId="77777777" w:rsidR="00B63484" w:rsidRPr="00B63484" w:rsidRDefault="00B63484" w:rsidP="00B63484">
      <w:pPr>
        <w:ind w:right="-159"/>
        <w:jc w:val="both"/>
        <w:rPr>
          <w:rFonts w:eastAsia="Calibri"/>
          <w:b/>
          <w:sz w:val="26"/>
          <w:szCs w:val="26"/>
          <w:lang w:eastAsia="en-US"/>
        </w:rPr>
      </w:pPr>
      <w:r w:rsidRPr="00B63484">
        <w:rPr>
          <w:rFonts w:eastAsia="Calibri"/>
          <w:b/>
          <w:sz w:val="26"/>
          <w:szCs w:val="26"/>
          <w:lang w:eastAsia="en-US"/>
        </w:rPr>
        <w:t>Bruselas propone una estrategia para romper</w:t>
      </w:r>
    </w:p>
    <w:p w14:paraId="4DC32067" w14:textId="77777777" w:rsidR="00B63484" w:rsidRPr="00B63484" w:rsidRDefault="00B63484" w:rsidP="00B63484">
      <w:pPr>
        <w:spacing w:after="360" w:line="360" w:lineRule="auto"/>
        <w:ind w:right="-159"/>
        <w:jc w:val="both"/>
        <w:rPr>
          <w:rFonts w:eastAsia="Calibri"/>
          <w:b/>
          <w:sz w:val="26"/>
          <w:szCs w:val="26"/>
          <w:lang w:eastAsia="en-US"/>
        </w:rPr>
      </w:pPr>
      <w:r w:rsidRPr="00B63484">
        <w:rPr>
          <w:rFonts w:eastAsia="Calibri"/>
          <w:b/>
          <w:sz w:val="26"/>
          <w:szCs w:val="26"/>
          <w:lang w:eastAsia="en-US"/>
        </w:rPr>
        <w:t>la  dependencia  de  la  UE  con   Rusia  (AFP)</w:t>
      </w:r>
    </w:p>
    <w:p w14:paraId="51BEEA75" w14:textId="411B09CD"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 xml:space="preserve">El 24 de febrero de 2015, </w:t>
      </w:r>
      <w:r w:rsidRPr="00B63484">
        <w:rPr>
          <w:rFonts w:eastAsia="Calibri"/>
          <w:i/>
          <w:sz w:val="26"/>
          <w:szCs w:val="26"/>
          <w:lang w:eastAsia="en-US"/>
        </w:rPr>
        <w:t>L’Agence France-Presse (AFP)</w:t>
      </w:r>
      <w:r w:rsidRPr="00B63484">
        <w:rPr>
          <w:rFonts w:eastAsia="Calibri"/>
          <w:sz w:val="26"/>
          <w:szCs w:val="26"/>
          <w:lang w:eastAsia="en-US"/>
        </w:rPr>
        <w:t xml:space="preserve"> informó que la Unión Europea (UE) debe romper su dependencia frente a Rusia y fortalecer el papel de Ucrania como país de tránsito para las compras de gas ruso, afirm</w:t>
      </w:r>
      <w:r w:rsidR="0020784B">
        <w:rPr>
          <w:rFonts w:eastAsia="Calibri"/>
          <w:sz w:val="26"/>
          <w:szCs w:val="26"/>
          <w:lang w:eastAsia="en-US"/>
        </w:rPr>
        <w:t>ó</w:t>
      </w:r>
      <w:r w:rsidRPr="00B63484">
        <w:rPr>
          <w:rFonts w:eastAsia="Calibri"/>
          <w:sz w:val="26"/>
          <w:szCs w:val="26"/>
          <w:lang w:eastAsia="en-US"/>
        </w:rPr>
        <w:t xml:space="preserve"> la Comisión Europea (CE) en un proyecto de estrategia de energía.</w:t>
      </w:r>
    </w:p>
    <w:p w14:paraId="24355895"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El documento, estrategia para lograr una Unión de la Energía, elaborado por el Vicepresidente a cargo de la Energía Maros Sefcovic, fue oficialmente aprobado por la CE dirigida por Jean-Claude Juncker con dos comunicados sobre el clima y las interconexiones de electricidad dentro de la UE y después por los Estados miembro.</w:t>
      </w:r>
    </w:p>
    <w:p w14:paraId="2D9409F2"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La estrategia desarrollada por Maros Sefcovic tiene por objeto garantizar la seguridad del suministro de gas a la UE, amenazada por el conflicto entre Rusia y Ucrania.</w:t>
      </w:r>
    </w:p>
    <w:p w14:paraId="234E5D23"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La Unión Europea compra 300 mil millones de m</w:t>
      </w:r>
      <w:r w:rsidRPr="00B63484">
        <w:rPr>
          <w:rFonts w:eastAsia="Calibri"/>
          <w:sz w:val="26"/>
          <w:szCs w:val="26"/>
          <w:vertAlign w:val="superscript"/>
          <w:lang w:eastAsia="en-US"/>
        </w:rPr>
        <w:t>3</w:t>
      </w:r>
      <w:r w:rsidRPr="00B63484">
        <w:rPr>
          <w:rFonts w:eastAsia="Calibri"/>
          <w:sz w:val="26"/>
          <w:szCs w:val="26"/>
          <w:lang w:eastAsia="en-US"/>
        </w:rPr>
        <w:t xml:space="preserve"> de gas al año, de los cuales 125 mil millones de m</w:t>
      </w:r>
      <w:r w:rsidRPr="00B63484">
        <w:rPr>
          <w:rFonts w:eastAsia="Calibri"/>
          <w:sz w:val="26"/>
          <w:szCs w:val="26"/>
          <w:vertAlign w:val="superscript"/>
          <w:lang w:eastAsia="en-US"/>
        </w:rPr>
        <w:t>3</w:t>
      </w:r>
      <w:r w:rsidRPr="00B63484">
        <w:rPr>
          <w:rFonts w:eastAsia="Calibri"/>
          <w:sz w:val="26"/>
          <w:szCs w:val="26"/>
          <w:lang w:eastAsia="en-US"/>
        </w:rPr>
        <w:t xml:space="preserve"> son solamente del grupo ruso Gazprom. La mitad de estas compras transitan por los oleoductos de Ucrania, que proporciona una fuente de ingresos para el país.</w:t>
      </w:r>
    </w:p>
    <w:p w14:paraId="1057C17D"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 xml:space="preserve">“La seguridad del suministro obliga a diversificar las fuentes, los proveedores y las rutas”. </w:t>
      </w:r>
    </w:p>
    <w:p w14:paraId="11A68D9D"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lastRenderedPageBreak/>
        <w:t>Maros Sefcovic recomendó a la UE reajustar la relación energética con Rusia con el fin de construirla a partir de la apertura de los mercados, una competencia leal, la protección al ambiente y la seguridad.</w:t>
      </w:r>
    </w:p>
    <w:p w14:paraId="3D93722A"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Por otra parte, insiste en la importancia de conservar el papel de países de tránsito para Ucrania y en desarrollar su cooperación con Noruega su segundo proveedor de petróleo y gas.</w:t>
      </w:r>
    </w:p>
    <w:p w14:paraId="5C8F7C97"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Si esta toma de posición es aceptada por los Estados miembro será una respuesta a la voluntad anunciada por el director de Gazprom de dejar de entregar gas por Ucrania.</w:t>
      </w:r>
    </w:p>
    <w:p w14:paraId="07AB83B3" w14:textId="77D44944" w:rsid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 xml:space="preserve">Alexei Miller, </w:t>
      </w:r>
      <w:r w:rsidR="00E43AC9">
        <w:rPr>
          <w:rFonts w:eastAsia="Calibri"/>
          <w:sz w:val="26"/>
          <w:szCs w:val="26"/>
          <w:lang w:eastAsia="en-US"/>
        </w:rPr>
        <w:t>D</w:t>
      </w:r>
      <w:r w:rsidRPr="00B63484">
        <w:rPr>
          <w:rFonts w:eastAsia="Calibri"/>
          <w:sz w:val="26"/>
          <w:szCs w:val="26"/>
          <w:lang w:eastAsia="en-US"/>
        </w:rPr>
        <w:t xml:space="preserve">irector </w:t>
      </w:r>
      <w:r w:rsidR="00E43AC9">
        <w:rPr>
          <w:rFonts w:eastAsia="Calibri"/>
          <w:sz w:val="26"/>
          <w:szCs w:val="26"/>
          <w:lang w:eastAsia="en-US"/>
        </w:rPr>
        <w:t>G</w:t>
      </w:r>
      <w:r w:rsidRPr="00B63484">
        <w:rPr>
          <w:rFonts w:eastAsia="Calibri"/>
          <w:sz w:val="26"/>
          <w:szCs w:val="26"/>
          <w:lang w:eastAsia="en-US"/>
        </w:rPr>
        <w:t>eneral de Gazprom expuso esta posición a Maros Sefcovic durante una reunión en Moscú el 14 de enero. As</w:t>
      </w:r>
      <w:r w:rsidR="0020784B">
        <w:rPr>
          <w:rFonts w:eastAsia="Calibri"/>
          <w:sz w:val="26"/>
          <w:szCs w:val="26"/>
          <w:lang w:eastAsia="en-US"/>
        </w:rPr>
        <w:t>i</w:t>
      </w:r>
      <w:r w:rsidRPr="00B63484">
        <w:rPr>
          <w:rFonts w:eastAsia="Calibri"/>
          <w:sz w:val="26"/>
          <w:szCs w:val="26"/>
          <w:lang w:eastAsia="en-US"/>
        </w:rPr>
        <w:t>mismo explicó que este cambio era la consecuencia directa de proyectos de creación de la Unión Energética Europea, que se supone permitirá a los países miembro hacer frente al poderoso grupo ruso. También advirtió a Maros Sefcovic que esta decisión tendría un precio.</w:t>
      </w:r>
    </w:p>
    <w:p w14:paraId="59E83182" w14:textId="77777777" w:rsidR="00B63484" w:rsidRPr="00B63484" w:rsidRDefault="00B63484" w:rsidP="00B63484">
      <w:pPr>
        <w:spacing w:after="360" w:line="360" w:lineRule="auto"/>
        <w:ind w:right="-159"/>
        <w:jc w:val="both"/>
        <w:rPr>
          <w:rFonts w:eastAsia="Calibri"/>
          <w:sz w:val="26"/>
          <w:szCs w:val="26"/>
          <w:lang w:eastAsia="en-US"/>
        </w:rPr>
      </w:pPr>
      <w:r w:rsidRPr="00B63484">
        <w:rPr>
          <w:rFonts w:eastAsia="Calibri"/>
          <w:sz w:val="26"/>
          <w:szCs w:val="26"/>
          <w:lang w:eastAsia="en-US"/>
        </w:rPr>
        <w:t>El grupo gasero ruso quiere construir un gasoducto submarino hacia Turquía, que pretende remplazar a Ucrania para el tránsito de gas ruso hacia la UE. Las otras rutas son los gasoductos Nord Stream construido únicamente para Alemania y Yamal hacia Polonia vía Bielorrusia.</w:t>
      </w:r>
    </w:p>
    <w:p w14:paraId="3BC02D01" w14:textId="77777777" w:rsidR="00B63484" w:rsidRPr="00B63484" w:rsidRDefault="00B63484" w:rsidP="00B63484">
      <w:pPr>
        <w:jc w:val="both"/>
        <w:rPr>
          <w:rFonts w:eastAsia="Calibri"/>
          <w:b/>
          <w:sz w:val="20"/>
          <w:szCs w:val="20"/>
          <w:lang w:eastAsia="en-US"/>
        </w:rPr>
      </w:pPr>
      <w:r w:rsidRPr="00B63484">
        <w:rPr>
          <w:rFonts w:eastAsia="Calibri"/>
          <w:b/>
          <w:sz w:val="20"/>
          <w:szCs w:val="20"/>
          <w:lang w:eastAsia="en-US"/>
        </w:rPr>
        <w:t>Fuente de información:</w:t>
      </w:r>
    </w:p>
    <w:p w14:paraId="568B64F7" w14:textId="77777777" w:rsidR="00B63484" w:rsidRPr="004A08ED" w:rsidRDefault="00872B0E" w:rsidP="00B63484">
      <w:pPr>
        <w:ind w:right="-159"/>
        <w:jc w:val="both"/>
        <w:rPr>
          <w:rFonts w:eastAsia="Calibri"/>
          <w:color w:val="0000FF"/>
          <w:sz w:val="20"/>
          <w:szCs w:val="20"/>
          <w:lang w:eastAsia="en-US"/>
        </w:rPr>
      </w:pPr>
      <w:hyperlink r:id="rId71" w:history="1">
        <w:r w:rsidR="00B63484" w:rsidRPr="004A08ED">
          <w:rPr>
            <w:rFonts w:eastAsia="Calibri"/>
            <w:color w:val="0000FF"/>
            <w:sz w:val="20"/>
            <w:szCs w:val="20"/>
            <w:u w:val="single"/>
            <w:lang w:eastAsia="en-US"/>
          </w:rPr>
          <w:t>http://www.planete-energies.com/fr/depeches-afp/energie-bruxelles-propose-une-strategie-pour-briser-la-dependance-de-l-ue-vis-vis-de--0</w:t>
        </w:r>
      </w:hyperlink>
    </w:p>
    <w:p w14:paraId="3CAD3D42" w14:textId="77777777" w:rsidR="00B63484" w:rsidRDefault="00B63484" w:rsidP="00B63484">
      <w:pPr>
        <w:spacing w:after="360" w:line="360" w:lineRule="auto"/>
        <w:ind w:right="-159"/>
        <w:jc w:val="both"/>
        <w:rPr>
          <w:rFonts w:eastAsia="Calibri"/>
          <w:sz w:val="26"/>
          <w:szCs w:val="26"/>
          <w:lang w:eastAsia="en-US"/>
        </w:rPr>
      </w:pPr>
    </w:p>
    <w:p w14:paraId="203C3125" w14:textId="77777777" w:rsidR="000170C9" w:rsidRDefault="000170C9" w:rsidP="00B63484">
      <w:pPr>
        <w:spacing w:after="360" w:line="360" w:lineRule="auto"/>
        <w:ind w:right="-159"/>
        <w:jc w:val="both"/>
        <w:rPr>
          <w:rFonts w:eastAsia="Calibri"/>
          <w:b/>
          <w:sz w:val="26"/>
          <w:szCs w:val="26"/>
          <w:lang w:eastAsia="en-US"/>
        </w:rPr>
      </w:pPr>
    </w:p>
    <w:p w14:paraId="40361057" w14:textId="77777777" w:rsidR="000170C9" w:rsidRDefault="000170C9" w:rsidP="00B63484">
      <w:pPr>
        <w:spacing w:after="360" w:line="360" w:lineRule="auto"/>
        <w:ind w:right="-159"/>
        <w:jc w:val="both"/>
        <w:rPr>
          <w:rFonts w:eastAsia="Calibri"/>
          <w:b/>
          <w:sz w:val="26"/>
          <w:szCs w:val="26"/>
          <w:lang w:eastAsia="en-US"/>
        </w:rPr>
      </w:pPr>
    </w:p>
    <w:p w14:paraId="751DA069" w14:textId="77777777" w:rsidR="000170C9" w:rsidRDefault="000170C9" w:rsidP="00B63484">
      <w:pPr>
        <w:spacing w:after="360" w:line="360" w:lineRule="auto"/>
        <w:ind w:right="-159"/>
        <w:jc w:val="both"/>
        <w:rPr>
          <w:rFonts w:eastAsia="Calibri"/>
          <w:b/>
          <w:sz w:val="26"/>
          <w:szCs w:val="26"/>
          <w:lang w:eastAsia="en-US"/>
        </w:rPr>
      </w:pPr>
    </w:p>
    <w:p w14:paraId="7B94EF77" w14:textId="77777777" w:rsidR="00457C2B" w:rsidRPr="00457C2B" w:rsidRDefault="00457C2B" w:rsidP="00457C2B">
      <w:pPr>
        <w:spacing w:after="360" w:line="360" w:lineRule="auto"/>
        <w:ind w:right="-159"/>
        <w:jc w:val="both"/>
        <w:rPr>
          <w:rFonts w:eastAsia="Calibri"/>
          <w:b/>
          <w:sz w:val="26"/>
          <w:szCs w:val="26"/>
          <w:lang w:eastAsia="en-US"/>
        </w:rPr>
      </w:pPr>
      <w:r w:rsidRPr="00457C2B">
        <w:rPr>
          <w:rFonts w:eastAsia="Calibri"/>
          <w:b/>
          <w:sz w:val="26"/>
          <w:szCs w:val="26"/>
          <w:lang w:eastAsia="en-US"/>
        </w:rPr>
        <w:lastRenderedPageBreak/>
        <w:t>Eslovaquia pone fin a su dependencia petrolera con Rusia (ADIT)</w:t>
      </w:r>
    </w:p>
    <w:p w14:paraId="1BB3B15A" w14:textId="2B5D6625"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 xml:space="preserve">El 3 de marzo de 2015, la </w:t>
      </w:r>
      <w:r>
        <w:rPr>
          <w:rFonts w:eastAsia="Calibri"/>
          <w:sz w:val="26"/>
          <w:szCs w:val="26"/>
          <w:lang w:eastAsia="en-US"/>
        </w:rPr>
        <w:t>A</w:t>
      </w:r>
      <w:r w:rsidRPr="00457C2B">
        <w:rPr>
          <w:rFonts w:eastAsia="Calibri"/>
          <w:sz w:val="26"/>
          <w:szCs w:val="26"/>
          <w:lang w:eastAsia="en-US"/>
        </w:rPr>
        <w:t xml:space="preserve">gencia </w:t>
      </w:r>
      <w:r>
        <w:rPr>
          <w:rFonts w:eastAsia="Calibri"/>
          <w:sz w:val="26"/>
          <w:szCs w:val="26"/>
          <w:lang w:eastAsia="en-US"/>
        </w:rPr>
        <w:t>F</w:t>
      </w:r>
      <w:r w:rsidRPr="00457C2B">
        <w:rPr>
          <w:rFonts w:eastAsia="Calibri"/>
          <w:sz w:val="26"/>
          <w:szCs w:val="26"/>
          <w:lang w:eastAsia="en-US"/>
        </w:rPr>
        <w:t xml:space="preserve">rancesa para la </w:t>
      </w:r>
      <w:r>
        <w:rPr>
          <w:rFonts w:eastAsia="Calibri"/>
          <w:sz w:val="26"/>
          <w:szCs w:val="26"/>
          <w:lang w:eastAsia="en-US"/>
        </w:rPr>
        <w:t>D</w:t>
      </w:r>
      <w:r w:rsidRPr="00457C2B">
        <w:rPr>
          <w:rFonts w:eastAsia="Calibri"/>
          <w:sz w:val="26"/>
          <w:szCs w:val="26"/>
          <w:lang w:eastAsia="en-US"/>
        </w:rPr>
        <w:t xml:space="preserve">ifusión de la </w:t>
      </w:r>
      <w:r>
        <w:rPr>
          <w:rFonts w:eastAsia="Calibri"/>
          <w:sz w:val="26"/>
          <w:szCs w:val="26"/>
          <w:lang w:eastAsia="en-US"/>
        </w:rPr>
        <w:t>I</w:t>
      </w:r>
      <w:r w:rsidRPr="00457C2B">
        <w:rPr>
          <w:rFonts w:eastAsia="Calibri"/>
          <w:sz w:val="26"/>
          <w:szCs w:val="26"/>
          <w:lang w:eastAsia="en-US"/>
        </w:rPr>
        <w:t xml:space="preserve">nformación </w:t>
      </w:r>
      <w:r>
        <w:rPr>
          <w:rFonts w:eastAsia="Calibri"/>
          <w:sz w:val="26"/>
          <w:szCs w:val="26"/>
          <w:lang w:eastAsia="en-US"/>
        </w:rPr>
        <w:t>T</w:t>
      </w:r>
      <w:r w:rsidRPr="00457C2B">
        <w:rPr>
          <w:rFonts w:eastAsia="Calibri"/>
          <w:sz w:val="26"/>
          <w:szCs w:val="26"/>
          <w:lang w:eastAsia="en-US"/>
        </w:rPr>
        <w:t xml:space="preserve">ecnológica (ADIT) publicó a través de su Boletín Digital, </w:t>
      </w:r>
      <w:r>
        <w:rPr>
          <w:rFonts w:eastAsia="Calibri"/>
          <w:sz w:val="26"/>
          <w:szCs w:val="26"/>
          <w:lang w:eastAsia="en-US"/>
        </w:rPr>
        <w:t>l</w:t>
      </w:r>
      <w:r w:rsidRPr="00457C2B">
        <w:rPr>
          <w:rFonts w:eastAsia="Calibri"/>
          <w:sz w:val="26"/>
          <w:szCs w:val="26"/>
          <w:lang w:eastAsia="en-US"/>
        </w:rPr>
        <w:t xml:space="preserve">a nota </w:t>
      </w:r>
      <w:r>
        <w:rPr>
          <w:rFonts w:eastAsia="Calibri"/>
          <w:sz w:val="26"/>
          <w:szCs w:val="26"/>
          <w:lang w:eastAsia="en-US"/>
        </w:rPr>
        <w:t>denominada</w:t>
      </w:r>
      <w:r w:rsidRPr="00457C2B">
        <w:rPr>
          <w:rFonts w:eastAsia="Calibri"/>
          <w:sz w:val="26"/>
          <w:szCs w:val="26"/>
          <w:lang w:eastAsia="en-US"/>
        </w:rPr>
        <w:t xml:space="preserve"> </w:t>
      </w:r>
      <w:r>
        <w:rPr>
          <w:rFonts w:eastAsia="Calibri"/>
          <w:sz w:val="26"/>
          <w:szCs w:val="26"/>
          <w:lang w:eastAsia="en-US"/>
        </w:rPr>
        <w:t>“</w:t>
      </w:r>
      <w:r w:rsidRPr="00457C2B">
        <w:rPr>
          <w:rFonts w:eastAsia="Calibri"/>
          <w:sz w:val="26"/>
          <w:szCs w:val="26"/>
          <w:lang w:eastAsia="en-US"/>
        </w:rPr>
        <w:t>Eslovaquia no depende más del petróleo ruso gracias a la apertura de un oleoducto que une a Hungría y Eslovaquia</w:t>
      </w:r>
      <w:r>
        <w:rPr>
          <w:rFonts w:eastAsia="Calibri"/>
          <w:sz w:val="26"/>
          <w:szCs w:val="26"/>
          <w:lang w:eastAsia="en-US"/>
        </w:rPr>
        <w:t>”</w:t>
      </w:r>
      <w:r w:rsidRPr="00457C2B">
        <w:rPr>
          <w:rFonts w:eastAsia="Calibri"/>
          <w:sz w:val="26"/>
          <w:szCs w:val="26"/>
          <w:lang w:eastAsia="en-US"/>
        </w:rPr>
        <w:t>. De los aspectos a destacar se encuentran</w:t>
      </w:r>
      <w:r>
        <w:rPr>
          <w:rFonts w:eastAsia="Calibri"/>
          <w:sz w:val="26"/>
          <w:szCs w:val="26"/>
          <w:lang w:eastAsia="en-US"/>
        </w:rPr>
        <w:t xml:space="preserve"> los siguientes</w:t>
      </w:r>
      <w:r w:rsidRPr="00457C2B">
        <w:rPr>
          <w:rFonts w:eastAsia="Calibri"/>
          <w:sz w:val="26"/>
          <w:szCs w:val="26"/>
          <w:lang w:eastAsia="en-US"/>
        </w:rPr>
        <w:t>:</w:t>
      </w:r>
    </w:p>
    <w:p w14:paraId="57A78CC1"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 xml:space="preserve">La compañía eslovaca Transpetrol y el grupo húngaro MOL iniciaron en marzo de 2014, la renovación completa del oleoducto que conecta la red </w:t>
      </w:r>
      <w:r w:rsidRPr="00457C2B">
        <w:rPr>
          <w:rFonts w:eastAsia="Calibri"/>
          <w:sz w:val="26"/>
          <w:szCs w:val="26"/>
          <w:lang w:val="fr-FR" w:eastAsia="en-US"/>
        </w:rPr>
        <w:t>Amitié 1 en</w:t>
      </w:r>
      <w:r w:rsidRPr="00457C2B">
        <w:rPr>
          <w:rFonts w:eastAsia="Calibri"/>
          <w:sz w:val="26"/>
          <w:szCs w:val="26"/>
          <w:lang w:eastAsia="en-US"/>
        </w:rPr>
        <w:t xml:space="preserve"> Eslovaquia con la red Adria en Hungría (representada en rojo en siguiente mapa). Estos trabajos fueron terminados a principios de 2015. El nombre </w:t>
      </w:r>
      <w:r w:rsidRPr="00457C2B">
        <w:rPr>
          <w:rFonts w:eastAsia="Calibri"/>
          <w:sz w:val="26"/>
          <w:szCs w:val="26"/>
          <w:lang w:val="fr-FR" w:eastAsia="en-US"/>
        </w:rPr>
        <w:t>Amitié</w:t>
      </w:r>
      <w:r w:rsidRPr="00457C2B">
        <w:rPr>
          <w:rFonts w:eastAsia="Calibri"/>
          <w:sz w:val="26"/>
          <w:szCs w:val="26"/>
          <w:lang w:eastAsia="en-US"/>
        </w:rPr>
        <w:t xml:space="preserve"> proviene de la traducción del ruso</w:t>
      </w:r>
      <w:r w:rsidRPr="00457C2B">
        <w:rPr>
          <w:rFonts w:eastAsia="Calibri"/>
          <w:sz w:val="26"/>
          <w:szCs w:val="26"/>
          <w:lang w:val="fr-FR" w:eastAsia="en-US"/>
        </w:rPr>
        <w:t> </w:t>
      </w:r>
      <w:r w:rsidRPr="00457C2B">
        <w:rPr>
          <w:rFonts w:eastAsia="Calibri"/>
          <w:sz w:val="26"/>
          <w:szCs w:val="26"/>
          <w:lang w:eastAsia="en-US"/>
        </w:rPr>
        <w:t>“</w:t>
      </w:r>
      <w:r w:rsidRPr="00457C2B">
        <w:rPr>
          <w:rFonts w:eastAsia="Calibri"/>
          <w:sz w:val="26"/>
          <w:szCs w:val="26"/>
          <w:lang w:val="fr-FR" w:eastAsia="en-US"/>
        </w:rPr>
        <w:t>Droujba</w:t>
      </w:r>
      <w:r w:rsidRPr="00457C2B">
        <w:rPr>
          <w:rFonts w:eastAsia="Calibri"/>
          <w:sz w:val="26"/>
          <w:szCs w:val="26"/>
          <w:lang w:eastAsia="en-US"/>
        </w:rPr>
        <w:t>”</w:t>
      </w:r>
      <w:r w:rsidRPr="00457C2B">
        <w:rPr>
          <w:rFonts w:eastAsia="Calibri"/>
          <w:sz w:val="26"/>
          <w:szCs w:val="26"/>
          <w:lang w:val="fr-FR" w:eastAsia="en-US"/>
        </w:rPr>
        <w:t xml:space="preserve">. </w:t>
      </w:r>
      <w:r w:rsidRPr="00457C2B">
        <w:rPr>
          <w:rFonts w:eastAsia="Calibri"/>
          <w:sz w:val="26"/>
          <w:szCs w:val="26"/>
          <w:lang w:eastAsia="en-US"/>
        </w:rPr>
        <w:t xml:space="preserve">Renovar de nuevo este oleoducto fue de gran importancia para el reforzamiento de la seguridad energética en Europa Central. La modernización del oleoducto </w:t>
      </w:r>
      <w:r w:rsidRPr="00457C2B">
        <w:rPr>
          <w:rFonts w:eastAsia="Calibri"/>
          <w:sz w:val="26"/>
          <w:szCs w:val="26"/>
          <w:lang w:val="fr-FR" w:eastAsia="en-US"/>
        </w:rPr>
        <w:t>Amitié 1</w:t>
      </w:r>
      <w:r w:rsidRPr="00457C2B">
        <w:rPr>
          <w:rFonts w:eastAsia="Calibri"/>
          <w:sz w:val="26"/>
          <w:szCs w:val="26"/>
          <w:lang w:eastAsia="en-US"/>
        </w:rPr>
        <w:t>/Adria costo 80 millones de dólares. Su inauguración oficial fue el 9 de febrero de 2015, por el Primer Ministro de la República de Eslovaquia, Robert Fico, acompañado del Primer Ministro húngaro Viktor Orba.</w:t>
      </w:r>
    </w:p>
    <w:p w14:paraId="51CFB7C1"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Este oleoducto estaba en muy mal estado, desde su apertura en 1962. En menos de un año 128 kilómetros de tuberías fueron reemplazadas entre la ciudad de Sahy Eslovaquia y la de Tököl, a unos treinta kilómetros al sur de Budapest en Hungría. Esta reconstrucción aumento significativamente la capacidad del oleoducto, que pasó de 3.5-6 millones de toneladas por año.</w:t>
      </w:r>
    </w:p>
    <w:p w14:paraId="28C959AE" w14:textId="77777777" w:rsidR="00457C2B" w:rsidRPr="00457C2B" w:rsidRDefault="00457C2B" w:rsidP="00457C2B">
      <w:pPr>
        <w:spacing w:after="360" w:line="360" w:lineRule="auto"/>
        <w:ind w:right="-159"/>
        <w:jc w:val="both"/>
        <w:rPr>
          <w:rFonts w:eastAsia="Calibri"/>
          <w:sz w:val="26"/>
          <w:szCs w:val="26"/>
          <w:lang w:val="fr-FR" w:eastAsia="en-US"/>
        </w:rPr>
      </w:pPr>
      <w:r w:rsidRPr="00457C2B">
        <w:rPr>
          <w:rFonts w:eastAsia="Calibri"/>
          <w:sz w:val="26"/>
          <w:szCs w:val="26"/>
          <w:lang w:eastAsia="en-US"/>
        </w:rPr>
        <w:t>Al mismo tiempo, el Grupo MOL realizó trabajos de renovación en la parte húngara del oleoducto Adria. La capacidad de suministro de petróleo crudo bruto también mejoró significativamente pasando de 10 a 14 millones de toneladas por año.</w:t>
      </w:r>
    </w:p>
    <w:p w14:paraId="4F8237A2"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 xml:space="preserve">Adria está conectada al mar Adriático desde el puerto de Omisalj en Croacia. Así, puede también transportar el petróleo que llega por vía marítima, que proviene principalmente del Medio Oriente. Representa un tema crítico en la política energética de los países de </w:t>
      </w:r>
      <w:r w:rsidRPr="00457C2B">
        <w:rPr>
          <w:rFonts w:eastAsia="Calibri"/>
          <w:sz w:val="26"/>
          <w:szCs w:val="26"/>
          <w:lang w:eastAsia="en-US"/>
        </w:rPr>
        <w:lastRenderedPageBreak/>
        <w:t xml:space="preserve">Europa Central. </w:t>
      </w:r>
      <w:r w:rsidRPr="00457C2B">
        <w:rPr>
          <w:rFonts w:eastAsia="Calibri"/>
          <w:sz w:val="26"/>
          <w:szCs w:val="26"/>
          <w:lang w:val="fr-FR" w:eastAsia="en-US"/>
        </w:rPr>
        <w:t xml:space="preserve"> </w:t>
      </w:r>
      <w:r w:rsidRPr="00457C2B">
        <w:rPr>
          <w:rFonts w:eastAsia="Calibri"/>
          <w:sz w:val="26"/>
          <w:szCs w:val="26"/>
          <w:lang w:eastAsia="en-US"/>
        </w:rPr>
        <w:t>En un comunicado publicado el 9 de febrero</w:t>
      </w:r>
      <w:r w:rsidRPr="00457C2B">
        <w:rPr>
          <w:rFonts w:ascii="Calibri" w:eastAsia="Calibri" w:hAnsi="Calibri"/>
          <w:bCs/>
          <w:sz w:val="26"/>
          <w:szCs w:val="26"/>
          <w:vertAlign w:val="superscript"/>
          <w:lang w:eastAsia="en-US"/>
        </w:rPr>
        <w:footnoteReference w:id="16"/>
      </w:r>
      <w:r w:rsidRPr="00457C2B">
        <w:rPr>
          <w:rFonts w:eastAsia="Calibri"/>
          <w:sz w:val="26"/>
          <w:szCs w:val="26"/>
          <w:lang w:eastAsia="en-US"/>
        </w:rPr>
        <w:t>, el Grupo MOL afirmó que “estas inversiones tienen una importancia estratégica ya que permiten responder a las necesidades de petróleo crudo bruto de la refinería en Bratislava.” Sandor Fasimon, Director de explotación de MOL ha añadido que “la reconstrucción de tramos húngaros y eslovacos del oleoducto era de interés regional. Eslovaquia y Hungría podrán disfrutar de una mayor seguridad energética. Este será también el caso de países cercanos como la República Checa ya que sus refinerías ahora son capaces de recibir el petróleo crudo bruto a partir de otra fuente de suministro que pasa por el mar Adriático. El impacto se sentirá en toda la región de Europa Central”.</w:t>
      </w:r>
    </w:p>
    <w:p w14:paraId="519D305F" w14:textId="6DF873D8" w:rsidR="00457C2B" w:rsidRPr="00457C2B" w:rsidRDefault="00457C2B" w:rsidP="00457C2B">
      <w:pPr>
        <w:spacing w:after="360" w:line="360" w:lineRule="auto"/>
        <w:ind w:right="-159"/>
        <w:jc w:val="center"/>
        <w:rPr>
          <w:rFonts w:eastAsia="Calibri"/>
          <w:sz w:val="26"/>
          <w:szCs w:val="26"/>
          <w:lang w:eastAsia="en-US"/>
        </w:rPr>
      </w:pPr>
      <w:r w:rsidRPr="00457C2B">
        <w:rPr>
          <w:rFonts w:eastAsia="Calibri"/>
          <w:sz w:val="26"/>
          <w:szCs w:val="26"/>
          <w:lang w:eastAsia="en-US"/>
        </w:rPr>
        <w:fldChar w:fldCharType="begin"/>
      </w:r>
      <w:r w:rsidRPr="00457C2B">
        <w:rPr>
          <w:rFonts w:eastAsia="Calibri"/>
          <w:sz w:val="26"/>
          <w:szCs w:val="26"/>
          <w:lang w:eastAsia="en-US"/>
        </w:rPr>
        <w:instrText xml:space="preserve"> LINK PowerPoint.Slide.8 "D:\\2015\\MARZO 2014\\GRÁFICAS EN POWER POINT\\19.- eslovaquia.pptx!259" "" \a \p </w:instrText>
      </w:r>
      <w:r w:rsidRPr="00457C2B">
        <w:rPr>
          <w:rFonts w:eastAsia="Calibri"/>
          <w:sz w:val="26"/>
          <w:szCs w:val="26"/>
          <w:lang w:eastAsia="en-US"/>
        </w:rPr>
        <w:fldChar w:fldCharType="separate"/>
      </w:r>
      <w:r w:rsidRPr="00457C2B">
        <w:rPr>
          <w:rFonts w:eastAsia="Calibri"/>
          <w:noProof/>
          <w:sz w:val="26"/>
          <w:szCs w:val="26"/>
          <w:lang w:eastAsia="es-MX"/>
        </w:rPr>
        <w:drawing>
          <wp:inline distT="0" distB="0" distL="0" distR="0" wp14:anchorId="63C444EC" wp14:editId="0EA86A08">
            <wp:extent cx="5640705" cy="3429000"/>
            <wp:effectExtent l="0" t="0" r="0" b="0"/>
            <wp:docPr id="1552" name="Imagen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2" cstate="print">
                      <a:extLst>
                        <a:ext uri="{28A0092B-C50C-407E-A947-70E740481C1C}">
                          <a14:useLocalDpi xmlns:a14="http://schemas.microsoft.com/office/drawing/2010/main" val="0"/>
                        </a:ext>
                      </a:extLst>
                    </a:blip>
                    <a:srcRect l="4449" r="2768"/>
                    <a:stretch>
                      <a:fillRect/>
                    </a:stretch>
                  </pic:blipFill>
                  <pic:spPr bwMode="auto">
                    <a:xfrm>
                      <a:off x="0" y="0"/>
                      <a:ext cx="5640705" cy="3429000"/>
                    </a:xfrm>
                    <a:prstGeom prst="rect">
                      <a:avLst/>
                    </a:prstGeom>
                    <a:noFill/>
                    <a:ln>
                      <a:noFill/>
                    </a:ln>
                  </pic:spPr>
                </pic:pic>
              </a:graphicData>
            </a:graphic>
          </wp:inline>
        </w:drawing>
      </w:r>
      <w:r w:rsidRPr="00457C2B">
        <w:rPr>
          <w:rFonts w:eastAsia="Calibri"/>
          <w:sz w:val="26"/>
          <w:szCs w:val="26"/>
          <w:lang w:eastAsia="en-US"/>
        </w:rPr>
        <w:fldChar w:fldCharType="end"/>
      </w:r>
    </w:p>
    <w:p w14:paraId="16558348"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La renovación del oleoducto Amistié 1/Adria es una solución al problema planteado por el conflicto entre Rusia y Ucrania, que amenaza el suministro de petróleo y gas de Europa.</w:t>
      </w:r>
    </w:p>
    <w:p w14:paraId="699A21AB" w14:textId="77777777" w:rsidR="00457C2B" w:rsidRPr="00457C2B" w:rsidRDefault="00457C2B" w:rsidP="00457C2B">
      <w:pPr>
        <w:spacing w:after="360" w:line="360" w:lineRule="auto"/>
        <w:ind w:right="-159"/>
        <w:jc w:val="both"/>
        <w:rPr>
          <w:rFonts w:eastAsia="Calibri"/>
          <w:sz w:val="26"/>
          <w:szCs w:val="26"/>
          <w:lang w:val="fr-FR" w:eastAsia="en-US"/>
        </w:rPr>
      </w:pPr>
      <w:r w:rsidRPr="00457C2B">
        <w:rPr>
          <w:rFonts w:eastAsia="Calibri"/>
          <w:sz w:val="26"/>
          <w:szCs w:val="26"/>
          <w:lang w:eastAsia="en-US"/>
        </w:rPr>
        <w:lastRenderedPageBreak/>
        <w:t>Rusia es la estación servicio de gas de Europa. Es la principal proveedora de petróleo y gas a la Unión Europea (UE). En 2013, se importaron casi 180 millones de toneladas de petróleo ruso, lo que representa casi el 35% de las importaciones europeas. La dependencia energética es mutua: más del 80% de las exportaciones de Rusia se hacen hacia países de la UE</w:t>
      </w:r>
      <w:r w:rsidRPr="00457C2B">
        <w:rPr>
          <w:rFonts w:ascii="Calibri" w:eastAsia="Calibri" w:hAnsi="Calibri"/>
          <w:bCs/>
          <w:sz w:val="26"/>
          <w:szCs w:val="26"/>
          <w:vertAlign w:val="superscript"/>
          <w:lang w:eastAsia="en-US"/>
        </w:rPr>
        <w:footnoteReference w:id="17"/>
      </w:r>
      <w:r w:rsidRPr="00457C2B">
        <w:rPr>
          <w:rFonts w:eastAsia="Calibri"/>
          <w:sz w:val="26"/>
          <w:szCs w:val="26"/>
          <w:lang w:eastAsia="en-US"/>
        </w:rPr>
        <w:t xml:space="preserve">. </w:t>
      </w:r>
    </w:p>
    <w:p w14:paraId="590A8605"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Ucrania ocupa una posición estratégica entre Rusia y Europa. Es el punto de tránsito para el gas y petróleo ruso hacia la UE a través de una red de oleoductos que la atraviesan. Los conflictos entre Ucrania y Rusia a menudo generan recortes de suministro, que tienen repercusiones hasta Europa Occidental. Las recaídas de las crisis políticas entre estos dos países pueden rápidamente centrarse en las problemáticas energéticas.</w:t>
      </w:r>
    </w:p>
    <w:p w14:paraId="03C4530C"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La interdependencia de los países en esta materia tiene como consecuencia que estos recursos naturales sean la palanca principal de presión de Moscú para evitar sanciones por parte de la UE. Más allá de las amenazas militares, está claro que el arma económica se ha convertido para ambas partes en un elemento esencial de las relaciones diplomáticas.</w:t>
      </w:r>
    </w:p>
    <w:p w14:paraId="1DB2B60C"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La política energética de cualquier país tiene un alcance geopolítico considerable. Rusia busca diversificar sus clientes y fortalece el desarrollo de sus oleoductos hacia China. Los países europeos están buscando mientras tanto independizarse de Rusia para garantizar su seguridad energética en caso de interrupción del suministro. Se trata también de mantener los medios de acción de la UE en caso de conflicto que involucra a uno de sus miembros o sus aliados frente Rusia.</w:t>
      </w:r>
    </w:p>
    <w:p w14:paraId="6BFEB729" w14:textId="77777777" w:rsidR="00457C2B" w:rsidRPr="00457C2B" w:rsidRDefault="00457C2B" w:rsidP="00457C2B">
      <w:pPr>
        <w:spacing w:after="360" w:line="360" w:lineRule="auto"/>
        <w:ind w:right="-159"/>
        <w:jc w:val="both"/>
        <w:rPr>
          <w:rFonts w:eastAsia="Calibri"/>
          <w:sz w:val="26"/>
          <w:szCs w:val="26"/>
          <w:lang w:eastAsia="en-US"/>
        </w:rPr>
      </w:pPr>
      <w:r w:rsidRPr="00457C2B">
        <w:rPr>
          <w:rFonts w:eastAsia="Calibri"/>
          <w:sz w:val="26"/>
          <w:szCs w:val="26"/>
          <w:lang w:eastAsia="en-US"/>
        </w:rPr>
        <w:t xml:space="preserve">A la luz de la actual tensión entre la UE y Rusia, las importaciones de petróleo de Oriente Medio, facilitadas por la renovación del oleoducto </w:t>
      </w:r>
      <w:r w:rsidRPr="00457C2B">
        <w:rPr>
          <w:rFonts w:eastAsia="Calibri"/>
          <w:sz w:val="26"/>
          <w:szCs w:val="26"/>
          <w:lang w:val="fr-FR" w:eastAsia="en-US"/>
        </w:rPr>
        <w:t>Amitié 1/Adria</w:t>
      </w:r>
      <w:r w:rsidRPr="00457C2B">
        <w:rPr>
          <w:rFonts w:eastAsia="Calibri"/>
          <w:sz w:val="26"/>
          <w:szCs w:val="26"/>
          <w:lang w:eastAsia="en-US"/>
        </w:rPr>
        <w:t xml:space="preserve"> podrían </w:t>
      </w:r>
      <w:r w:rsidRPr="00457C2B">
        <w:rPr>
          <w:rFonts w:eastAsia="Calibri"/>
          <w:sz w:val="26"/>
          <w:szCs w:val="26"/>
          <w:lang w:eastAsia="en-US"/>
        </w:rPr>
        <w:lastRenderedPageBreak/>
        <w:t>convertirse en una alternativa clave para diversificar las fuentes de suministro de combustible.</w:t>
      </w:r>
    </w:p>
    <w:p w14:paraId="25C580B4" w14:textId="77777777" w:rsidR="00457C2B" w:rsidRPr="00457C2B" w:rsidRDefault="00457C2B" w:rsidP="00457C2B">
      <w:pPr>
        <w:jc w:val="both"/>
        <w:rPr>
          <w:rFonts w:eastAsia="Calibri"/>
          <w:b/>
          <w:sz w:val="20"/>
          <w:szCs w:val="20"/>
          <w:lang w:eastAsia="en-US"/>
        </w:rPr>
      </w:pPr>
      <w:r w:rsidRPr="00457C2B">
        <w:rPr>
          <w:rFonts w:eastAsia="Calibri"/>
          <w:b/>
          <w:sz w:val="20"/>
          <w:szCs w:val="20"/>
          <w:lang w:eastAsia="en-US"/>
        </w:rPr>
        <w:t>Fuente de información:</w:t>
      </w:r>
    </w:p>
    <w:p w14:paraId="24E746F2" w14:textId="77777777" w:rsidR="00457C2B" w:rsidRPr="008B7504" w:rsidRDefault="00872B0E" w:rsidP="008B7504">
      <w:pPr>
        <w:spacing w:after="720"/>
        <w:jc w:val="both"/>
        <w:rPr>
          <w:rFonts w:eastAsia="Calibri"/>
          <w:color w:val="0000FF"/>
          <w:sz w:val="20"/>
          <w:szCs w:val="20"/>
          <w:u w:val="single"/>
          <w:lang w:eastAsia="en-US"/>
        </w:rPr>
      </w:pPr>
      <w:hyperlink r:id="rId73" w:history="1">
        <w:r w:rsidR="00457C2B" w:rsidRPr="008B7504">
          <w:rPr>
            <w:rFonts w:eastAsia="Calibri"/>
            <w:color w:val="0000FF"/>
            <w:sz w:val="20"/>
            <w:szCs w:val="20"/>
            <w:u w:val="single"/>
            <w:lang w:eastAsia="en-US"/>
          </w:rPr>
          <w:t>http://www.bulletins-electroniques.com/actualites/78034.htm</w:t>
        </w:r>
      </w:hyperlink>
    </w:p>
    <w:p w14:paraId="541EF417" w14:textId="3220CCD5" w:rsidR="00B473F5" w:rsidRPr="000E3A45" w:rsidRDefault="00B473F5" w:rsidP="00B473F5">
      <w:pPr>
        <w:spacing w:after="360" w:line="360" w:lineRule="auto"/>
        <w:ind w:right="-159"/>
        <w:jc w:val="both"/>
        <w:rPr>
          <w:b/>
          <w:sz w:val="26"/>
          <w:szCs w:val="26"/>
          <w:lang w:val="es-ES"/>
        </w:rPr>
      </w:pPr>
      <w:r w:rsidRPr="000E3A45">
        <w:rPr>
          <w:b/>
          <w:sz w:val="26"/>
          <w:szCs w:val="26"/>
          <w:lang w:val="es-ES"/>
        </w:rPr>
        <w:t>Canasta de crudos de la OPEP</w:t>
      </w:r>
    </w:p>
    <w:p w14:paraId="42870B8B" w14:textId="77777777" w:rsidR="00B473F5" w:rsidRPr="000E3A45" w:rsidRDefault="00B473F5" w:rsidP="00B473F5">
      <w:pPr>
        <w:spacing w:after="360" w:line="360" w:lineRule="auto"/>
        <w:ind w:right="-159"/>
        <w:jc w:val="both"/>
        <w:rPr>
          <w:bCs/>
          <w:spacing w:val="-4"/>
          <w:sz w:val="26"/>
          <w:szCs w:val="26"/>
          <w:lang w:val="es-ES"/>
        </w:rPr>
      </w:pPr>
      <w:r w:rsidRPr="000E3A45">
        <w:rPr>
          <w:bCs/>
          <w:spacing w:val="-4"/>
          <w:sz w:val="26"/>
          <w:szCs w:val="26"/>
          <w:lang w:val="es-ES"/>
        </w:rPr>
        <w:t>La Organización de Países Exportadores de Petróleo (OPEP) que se integra por los siguientes países: Angola, Arabia Saudita, Argelia, Ecuador, Emiratos Árabes Unidos, Libia, Nigeria, Irán, Iraq, Kuwait, Qatar y Venezuela,  informó el 12 de marzo de 2014 que la nueva canasta de crudos de referencia de la OPEP, que se integra regularmente por los crudos de exportación de los principales países miembros de la Organización, de acuerdo con su producción y exportación a los principales mercados; y refleja, además, la calidad media de los crudos de exportación del cártel. Así, en términos generales, se incluyeron los siguientes tipos de crudos: Saharan Blend (Argelia), Girassol (Angola), Oriente (Ecuador), Iran Heavy (República Islámica de Irán), Basra Light (Iraq), Kuwait Export (Kuwait), Es Sider (Libia), Bonny Light (Nigeria), Qatar Marine (Qatar), Arab Light (Arabia Saudita), Murban (Emiratos Arabes Unidos) y Merey (Venezuela).</w:t>
      </w:r>
    </w:p>
    <w:p w14:paraId="51D2B0A2" w14:textId="77777777" w:rsidR="00B473F5" w:rsidRPr="000E3A45" w:rsidRDefault="00B473F5" w:rsidP="00B473F5">
      <w:pPr>
        <w:spacing w:after="360" w:line="360" w:lineRule="auto"/>
        <w:ind w:right="-159"/>
        <w:jc w:val="both"/>
        <w:rPr>
          <w:bCs/>
          <w:spacing w:val="-4"/>
          <w:sz w:val="26"/>
          <w:szCs w:val="26"/>
          <w:lang w:val="es-ES"/>
        </w:rPr>
      </w:pPr>
      <w:r w:rsidRPr="000E3A45">
        <w:rPr>
          <w:bCs/>
          <w:spacing w:val="-4"/>
          <w:sz w:val="26"/>
          <w:szCs w:val="26"/>
          <w:lang w:val="es-ES"/>
        </w:rPr>
        <w:t>Cabe destacar que el Girasol (Angola) y el Oriente (Ecuador) se incluyen en la canasta a partir de enero y de octubre de 2007, respectivamente. Además, en enero de 2009 se excluyó del precio de la canasta el crudo Minas (Indonesia); en tanto que el venzolano BCF-17 fue sustituido por el Merey.</w:t>
      </w:r>
    </w:p>
    <w:p w14:paraId="1ACF083A" w14:textId="651180DF" w:rsidR="00B473F5" w:rsidRDefault="00FB0251" w:rsidP="00B473F5">
      <w:pPr>
        <w:spacing w:after="360" w:line="360" w:lineRule="auto"/>
        <w:ind w:right="-159"/>
        <w:jc w:val="both"/>
        <w:rPr>
          <w:bCs/>
          <w:spacing w:val="-4"/>
          <w:sz w:val="26"/>
          <w:szCs w:val="26"/>
          <w:lang w:val="es-ES"/>
        </w:rPr>
      </w:pPr>
      <w:r>
        <w:rPr>
          <w:bCs/>
          <w:spacing w:val="-4"/>
          <w:sz w:val="26"/>
          <w:szCs w:val="26"/>
          <w:lang w:val="es-ES"/>
        </w:rPr>
        <w:t xml:space="preserve">En este </w:t>
      </w:r>
      <w:r w:rsidR="00D55DE3">
        <w:rPr>
          <w:bCs/>
          <w:spacing w:val="-4"/>
          <w:sz w:val="26"/>
          <w:szCs w:val="26"/>
          <w:lang w:val="es-ES"/>
        </w:rPr>
        <w:t>marco</w:t>
      </w:r>
      <w:r>
        <w:rPr>
          <w:bCs/>
          <w:spacing w:val="-4"/>
          <w:sz w:val="26"/>
          <w:szCs w:val="26"/>
          <w:lang w:val="es-ES"/>
        </w:rPr>
        <w:t xml:space="preserve">, </w:t>
      </w:r>
      <w:r w:rsidR="002A1FFB" w:rsidRPr="000E3A45">
        <w:rPr>
          <w:bCs/>
          <w:spacing w:val="-4"/>
          <w:sz w:val="26"/>
          <w:szCs w:val="26"/>
          <w:lang w:val="es-ES"/>
        </w:rPr>
        <w:t>durante los primeros 1</w:t>
      </w:r>
      <w:r w:rsidR="008549C6">
        <w:rPr>
          <w:bCs/>
          <w:spacing w:val="-4"/>
          <w:sz w:val="26"/>
          <w:szCs w:val="26"/>
          <w:lang w:val="es-ES"/>
        </w:rPr>
        <w:t>7</w:t>
      </w:r>
      <w:r w:rsidR="002A1FFB" w:rsidRPr="000E3A45">
        <w:rPr>
          <w:bCs/>
          <w:spacing w:val="-4"/>
          <w:sz w:val="26"/>
          <w:szCs w:val="26"/>
          <w:lang w:val="es-ES"/>
        </w:rPr>
        <w:t xml:space="preserve"> días </w:t>
      </w:r>
      <w:r w:rsidR="00B473F5" w:rsidRPr="000E3A45">
        <w:rPr>
          <w:bCs/>
          <w:spacing w:val="-4"/>
          <w:sz w:val="26"/>
          <w:szCs w:val="26"/>
          <w:lang w:val="es-ES"/>
        </w:rPr>
        <w:t xml:space="preserve">de </w:t>
      </w:r>
      <w:r w:rsidR="008549C6">
        <w:rPr>
          <w:bCs/>
          <w:spacing w:val="-4"/>
          <w:sz w:val="26"/>
          <w:szCs w:val="26"/>
          <w:lang w:val="es-ES"/>
        </w:rPr>
        <w:t>marzo</w:t>
      </w:r>
      <w:r w:rsidR="00B473F5" w:rsidRPr="000E3A45">
        <w:rPr>
          <w:bCs/>
          <w:spacing w:val="-4"/>
          <w:sz w:val="26"/>
          <w:szCs w:val="26"/>
          <w:lang w:val="es-ES"/>
        </w:rPr>
        <w:t xml:space="preserve"> de 2014, la canasta de crudos de la OPEP registró una cotización promedio de </w:t>
      </w:r>
      <w:r w:rsidR="00C61D04">
        <w:rPr>
          <w:bCs/>
          <w:spacing w:val="-4"/>
          <w:sz w:val="26"/>
          <w:szCs w:val="26"/>
          <w:lang w:val="es-ES"/>
        </w:rPr>
        <w:t>5</w:t>
      </w:r>
      <w:r w:rsidR="008549C6">
        <w:rPr>
          <w:bCs/>
          <w:spacing w:val="-4"/>
          <w:sz w:val="26"/>
          <w:szCs w:val="26"/>
          <w:lang w:val="es-ES"/>
        </w:rPr>
        <w:t>3.56</w:t>
      </w:r>
      <w:r w:rsidR="00B473F5" w:rsidRPr="000E3A45">
        <w:rPr>
          <w:bCs/>
          <w:spacing w:val="-4"/>
          <w:sz w:val="26"/>
          <w:szCs w:val="26"/>
          <w:lang w:val="es-ES"/>
        </w:rPr>
        <w:t xml:space="preserve"> dólares por barril (d/b), cifra </w:t>
      </w:r>
      <w:r w:rsidR="008549C6">
        <w:rPr>
          <w:bCs/>
          <w:spacing w:val="-4"/>
          <w:sz w:val="26"/>
          <w:szCs w:val="26"/>
          <w:lang w:val="es-ES"/>
        </w:rPr>
        <w:t>1.29</w:t>
      </w:r>
      <w:r w:rsidR="00B473F5" w:rsidRPr="000E3A45">
        <w:rPr>
          <w:bCs/>
          <w:spacing w:val="-4"/>
          <w:sz w:val="26"/>
          <w:szCs w:val="26"/>
          <w:lang w:val="es-ES"/>
        </w:rPr>
        <w:t xml:space="preserve">% </w:t>
      </w:r>
      <w:r w:rsidR="008549C6">
        <w:rPr>
          <w:bCs/>
          <w:spacing w:val="-4"/>
          <w:sz w:val="26"/>
          <w:szCs w:val="26"/>
          <w:lang w:val="es-ES"/>
        </w:rPr>
        <w:t>inferior</w:t>
      </w:r>
      <w:r w:rsidR="00B473F5" w:rsidRPr="000E3A45">
        <w:rPr>
          <w:bCs/>
          <w:spacing w:val="-4"/>
          <w:sz w:val="26"/>
          <w:szCs w:val="26"/>
          <w:lang w:val="es-ES"/>
        </w:rPr>
        <w:t xml:space="preserve"> con relación al mes inmediato anterior (</w:t>
      </w:r>
      <w:r w:rsidR="008549C6">
        <w:rPr>
          <w:bCs/>
          <w:spacing w:val="-4"/>
          <w:sz w:val="26"/>
          <w:szCs w:val="26"/>
          <w:lang w:val="es-ES"/>
        </w:rPr>
        <w:t>5</w:t>
      </w:r>
      <w:r w:rsidR="00136020">
        <w:rPr>
          <w:bCs/>
          <w:spacing w:val="-4"/>
          <w:sz w:val="26"/>
          <w:szCs w:val="26"/>
          <w:lang w:val="es-ES"/>
        </w:rPr>
        <w:t>4.</w:t>
      </w:r>
      <w:r w:rsidR="008549C6">
        <w:rPr>
          <w:bCs/>
          <w:spacing w:val="-4"/>
          <w:sz w:val="26"/>
          <w:szCs w:val="26"/>
          <w:lang w:val="es-ES"/>
        </w:rPr>
        <w:t>06</w:t>
      </w:r>
      <w:r w:rsidR="00B473F5" w:rsidRPr="000E3A45">
        <w:rPr>
          <w:bCs/>
          <w:spacing w:val="-4"/>
          <w:sz w:val="26"/>
          <w:szCs w:val="26"/>
          <w:lang w:val="es-ES"/>
        </w:rPr>
        <w:t xml:space="preserve"> d/b), </w:t>
      </w:r>
      <w:r w:rsidR="00C61D04">
        <w:rPr>
          <w:bCs/>
          <w:spacing w:val="-4"/>
          <w:sz w:val="26"/>
          <w:szCs w:val="26"/>
          <w:lang w:val="es-ES"/>
        </w:rPr>
        <w:t xml:space="preserve"> </w:t>
      </w:r>
      <w:r w:rsidR="00B473F5" w:rsidRPr="000E3A45">
        <w:rPr>
          <w:bCs/>
          <w:spacing w:val="-4"/>
          <w:sz w:val="26"/>
          <w:szCs w:val="26"/>
          <w:lang w:val="es-ES"/>
        </w:rPr>
        <w:t xml:space="preserve">menor en </w:t>
      </w:r>
      <w:r w:rsidR="008B7504">
        <w:rPr>
          <w:bCs/>
          <w:spacing w:val="-4"/>
          <w:sz w:val="26"/>
          <w:szCs w:val="26"/>
          <w:lang w:val="es-ES"/>
        </w:rPr>
        <w:t>0</w:t>
      </w:r>
      <w:r w:rsidR="008549C6">
        <w:rPr>
          <w:bCs/>
          <w:spacing w:val="-4"/>
          <w:sz w:val="26"/>
          <w:szCs w:val="26"/>
          <w:lang w:val="es-ES"/>
        </w:rPr>
        <w:t>.92</w:t>
      </w:r>
      <w:r w:rsidR="00B473F5" w:rsidRPr="000E3A45">
        <w:rPr>
          <w:bCs/>
          <w:spacing w:val="-4"/>
          <w:sz w:val="26"/>
          <w:szCs w:val="26"/>
          <w:lang w:val="es-ES"/>
        </w:rPr>
        <w:t xml:space="preserve">% </w:t>
      </w:r>
      <w:r w:rsidR="00136020">
        <w:rPr>
          <w:bCs/>
          <w:spacing w:val="-4"/>
          <w:sz w:val="26"/>
          <w:szCs w:val="26"/>
          <w:lang w:val="es-ES"/>
        </w:rPr>
        <w:t xml:space="preserve">respecto al promedio de diciembre de 2014 (59.46 d/b), y </w:t>
      </w:r>
      <w:r w:rsidR="008549C6">
        <w:rPr>
          <w:bCs/>
          <w:spacing w:val="-4"/>
          <w:sz w:val="26"/>
          <w:szCs w:val="26"/>
          <w:lang w:val="es-ES"/>
        </w:rPr>
        <w:t>48.57</w:t>
      </w:r>
      <w:r w:rsidR="00136020">
        <w:rPr>
          <w:bCs/>
          <w:spacing w:val="-4"/>
          <w:sz w:val="26"/>
          <w:szCs w:val="26"/>
          <w:lang w:val="es-ES"/>
        </w:rPr>
        <w:t xml:space="preserve">% inferior </w:t>
      </w:r>
      <w:r w:rsidR="00B473F5" w:rsidRPr="000E3A45">
        <w:rPr>
          <w:bCs/>
          <w:spacing w:val="-4"/>
          <w:sz w:val="26"/>
          <w:szCs w:val="26"/>
          <w:lang w:val="es-ES"/>
        </w:rPr>
        <w:t xml:space="preserve">si se le compara con el promedio de </w:t>
      </w:r>
      <w:r w:rsidR="008549C6">
        <w:rPr>
          <w:bCs/>
          <w:spacing w:val="-4"/>
          <w:sz w:val="26"/>
          <w:szCs w:val="26"/>
          <w:lang w:val="es-ES"/>
        </w:rPr>
        <w:t>marzo</w:t>
      </w:r>
      <w:r w:rsidR="00B473F5" w:rsidRPr="000E3A45">
        <w:rPr>
          <w:bCs/>
          <w:spacing w:val="-4"/>
          <w:sz w:val="26"/>
          <w:szCs w:val="26"/>
          <w:lang w:val="es-ES"/>
        </w:rPr>
        <w:t xml:space="preserve"> de 201</w:t>
      </w:r>
      <w:r w:rsidR="00E82DE3">
        <w:rPr>
          <w:bCs/>
          <w:spacing w:val="-4"/>
          <w:sz w:val="26"/>
          <w:szCs w:val="26"/>
          <w:lang w:val="es-ES"/>
        </w:rPr>
        <w:t>4</w:t>
      </w:r>
      <w:r w:rsidR="00B473F5" w:rsidRPr="000E3A45">
        <w:rPr>
          <w:bCs/>
          <w:spacing w:val="-4"/>
          <w:sz w:val="26"/>
          <w:szCs w:val="26"/>
          <w:lang w:val="es-ES"/>
        </w:rPr>
        <w:t xml:space="preserve"> (10</w:t>
      </w:r>
      <w:r w:rsidR="008549C6">
        <w:rPr>
          <w:bCs/>
          <w:spacing w:val="-4"/>
          <w:sz w:val="26"/>
          <w:szCs w:val="26"/>
          <w:lang w:val="es-ES"/>
        </w:rPr>
        <w:t>4</w:t>
      </w:r>
      <w:r w:rsidR="002A1FFB" w:rsidRPr="000E3A45">
        <w:rPr>
          <w:bCs/>
          <w:spacing w:val="-4"/>
          <w:sz w:val="26"/>
          <w:szCs w:val="26"/>
          <w:lang w:val="es-ES"/>
        </w:rPr>
        <w:t>.</w:t>
      </w:r>
      <w:r w:rsidR="008549C6">
        <w:rPr>
          <w:bCs/>
          <w:spacing w:val="-4"/>
          <w:sz w:val="26"/>
          <w:szCs w:val="26"/>
          <w:lang w:val="es-ES"/>
        </w:rPr>
        <w:t>15</w:t>
      </w:r>
      <w:r w:rsidR="00B473F5" w:rsidRPr="000E3A45">
        <w:rPr>
          <w:bCs/>
          <w:spacing w:val="-4"/>
          <w:sz w:val="26"/>
          <w:szCs w:val="26"/>
          <w:lang w:val="es-ES"/>
        </w:rPr>
        <w:t xml:space="preserve"> d/b).</w:t>
      </w:r>
    </w:p>
    <w:p w14:paraId="29855AC5" w14:textId="6ED90D9F" w:rsidR="00C61D04" w:rsidRPr="000E3A45" w:rsidRDefault="008549C6" w:rsidP="00C61D04">
      <w:pPr>
        <w:spacing w:after="360" w:line="360" w:lineRule="auto"/>
        <w:ind w:right="-159"/>
        <w:jc w:val="center"/>
        <w:rPr>
          <w:bCs/>
          <w:spacing w:val="-4"/>
          <w:sz w:val="26"/>
          <w:szCs w:val="26"/>
          <w:lang w:val="es-ES"/>
        </w:rPr>
      </w:pPr>
      <w:r w:rsidRPr="008549C6">
        <w:rPr>
          <w:rFonts w:ascii="Calibri" w:eastAsia="Calibri" w:hAnsi="Calibri"/>
          <w:sz w:val="22"/>
          <w:szCs w:val="22"/>
          <w:lang w:eastAsia="en-US"/>
        </w:rPr>
        <w:lastRenderedPageBreak/>
        <w:fldChar w:fldCharType="begin"/>
      </w:r>
      <w:r w:rsidRPr="008549C6">
        <w:rPr>
          <w:rFonts w:ascii="Calibri" w:eastAsia="Calibri" w:hAnsi="Calibri"/>
          <w:sz w:val="22"/>
          <w:szCs w:val="22"/>
          <w:lang w:eastAsia="en-US"/>
        </w:rPr>
        <w:instrText xml:space="preserve"> LINK PowerPoint.Slide.8 "D:\\2015\\MARZO 2014\\GRÁFICAS EN POWER POINT\\25.- GRÁFICA DE LA OPEC.pptx!262" "" \a \p </w:instrText>
      </w:r>
      <w:r w:rsidRPr="008549C6">
        <w:rPr>
          <w:rFonts w:ascii="Calibri" w:eastAsia="Calibri" w:hAnsi="Calibri"/>
          <w:sz w:val="22"/>
          <w:szCs w:val="22"/>
          <w:lang w:eastAsia="en-US"/>
        </w:rPr>
        <w:fldChar w:fldCharType="separate"/>
      </w:r>
      <w:r w:rsidRPr="008549C6">
        <w:rPr>
          <w:rFonts w:ascii="Calibri" w:eastAsia="Calibri" w:hAnsi="Calibri"/>
          <w:noProof/>
          <w:sz w:val="22"/>
          <w:szCs w:val="22"/>
          <w:lang w:eastAsia="es-MX"/>
        </w:rPr>
        <w:drawing>
          <wp:inline distT="0" distB="0" distL="0" distR="0" wp14:anchorId="63769931" wp14:editId="17B75232">
            <wp:extent cx="6097905" cy="3422650"/>
            <wp:effectExtent l="0" t="0" r="0" b="6350"/>
            <wp:docPr id="1624" name="Imagen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097905" cy="3422650"/>
                    </a:xfrm>
                    <a:prstGeom prst="rect">
                      <a:avLst/>
                    </a:prstGeom>
                    <a:noFill/>
                    <a:ln>
                      <a:noFill/>
                    </a:ln>
                  </pic:spPr>
                </pic:pic>
              </a:graphicData>
            </a:graphic>
          </wp:inline>
        </w:drawing>
      </w:r>
      <w:r w:rsidRPr="008549C6">
        <w:rPr>
          <w:rFonts w:ascii="Calibri" w:eastAsia="Calibri" w:hAnsi="Calibri"/>
          <w:sz w:val="22"/>
          <w:szCs w:val="22"/>
          <w:lang w:eastAsia="en-US"/>
        </w:rPr>
        <w:fldChar w:fldCharType="end"/>
      </w:r>
    </w:p>
    <w:p w14:paraId="7DB59733" w14:textId="77777777" w:rsidR="00B473F5" w:rsidRPr="000E3A45" w:rsidRDefault="00B473F5" w:rsidP="00B473F5">
      <w:pPr>
        <w:ind w:right="-159"/>
        <w:rPr>
          <w:b/>
          <w:sz w:val="20"/>
          <w:szCs w:val="20"/>
        </w:rPr>
      </w:pPr>
      <w:r w:rsidRPr="000E3A45">
        <w:rPr>
          <w:b/>
          <w:sz w:val="20"/>
          <w:szCs w:val="20"/>
        </w:rPr>
        <w:t>Fuente de información:</w:t>
      </w:r>
    </w:p>
    <w:p w14:paraId="3A767025" w14:textId="77777777" w:rsidR="00B473F5" w:rsidRPr="008B7504" w:rsidRDefault="00872B0E" w:rsidP="008B7504">
      <w:pPr>
        <w:spacing w:after="720"/>
        <w:ind w:right="-159"/>
        <w:rPr>
          <w:rStyle w:val="Hipervnculo"/>
          <w:sz w:val="20"/>
          <w:szCs w:val="20"/>
        </w:rPr>
      </w:pPr>
      <w:hyperlink r:id="rId75" w:history="1">
        <w:r w:rsidR="00B473F5" w:rsidRPr="008B7504">
          <w:rPr>
            <w:rStyle w:val="Hipervnculo"/>
            <w:sz w:val="20"/>
            <w:szCs w:val="20"/>
          </w:rPr>
          <w:t>http://www.opec.org/opec_web/en/data_graphs/40.htm</w:t>
        </w:r>
      </w:hyperlink>
    </w:p>
    <w:p w14:paraId="4AE908A2" w14:textId="77777777" w:rsidR="00AE3654" w:rsidRPr="00AE3654" w:rsidRDefault="00AE3654" w:rsidP="00AE3654">
      <w:pPr>
        <w:spacing w:after="360" w:line="360" w:lineRule="auto"/>
        <w:ind w:right="-159"/>
        <w:jc w:val="both"/>
        <w:rPr>
          <w:rFonts w:eastAsia="Calibri"/>
          <w:b/>
          <w:sz w:val="26"/>
          <w:szCs w:val="26"/>
          <w:lang w:eastAsia="en-US"/>
        </w:rPr>
      </w:pPr>
      <w:r w:rsidRPr="00AE3654">
        <w:rPr>
          <w:rFonts w:eastAsia="Calibri"/>
          <w:b/>
          <w:sz w:val="26"/>
          <w:szCs w:val="26"/>
          <w:lang w:eastAsia="en-US"/>
        </w:rPr>
        <w:t>Estrategia de la OPEP frente a un cambio en la estructura del mercado (IFPEN)</w:t>
      </w:r>
    </w:p>
    <w:p w14:paraId="68FD0398" w14:textId="77777777" w:rsidR="00AE3654" w:rsidRPr="00AE3654" w:rsidRDefault="00AE3654" w:rsidP="00AE3654">
      <w:pPr>
        <w:spacing w:after="360" w:line="360" w:lineRule="auto"/>
        <w:ind w:right="-159"/>
        <w:jc w:val="both"/>
        <w:rPr>
          <w:rFonts w:eastAsia="Calibri"/>
          <w:b/>
          <w:sz w:val="26"/>
          <w:szCs w:val="26"/>
          <w:lang w:eastAsia="en-US"/>
        </w:rPr>
      </w:pPr>
      <w:r w:rsidRPr="00AE3654">
        <w:rPr>
          <w:rFonts w:eastAsia="Calibri"/>
          <w:sz w:val="26"/>
          <w:szCs w:val="26"/>
          <w:lang w:eastAsia="en-US"/>
        </w:rPr>
        <w:t>El 18 de marzo de 2015, el Instituto Francés del Petróleo y Energías Renovables (IFPEN) público en París, Francia, el artículo “Estrategia de la OPEP frente a un cambio en la estructura del mercado”. A continuación se presenta la información.</w:t>
      </w:r>
    </w:p>
    <w:p w14:paraId="4D7FC8C4"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La disminución rápida del precio del petróleo desde hace seis meses lleva a interrogarse sobre la estructura del mercado petrolero. ¿Acaso es este es un movimiento cíclico clásico en los mercados de materias primas semejante aquellos que se han presentado desde el primer choque petrolero?  ¿O bien es un cambio estructural comparado con el cambio radical del sistema de las siete compañías petroleras debido al surgimiento de la OPEP hace más de 40 años?</w:t>
      </w:r>
    </w:p>
    <w:p w14:paraId="3A45EC48"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lastRenderedPageBreak/>
        <w:t>A corto plazo, son los ajustes progresivos de la triada oferta/demanda/ precios de petróleo quienes permitirán determinar un nuevo equilibrio con el fin de eliminar los excedentes. Considerando el contexto geopolítico y la atonía del sector energético, el mercado debería permanecer muy volátil en los futuros meses. El impacto sobre la producción, la disminución de los precios del petróleo y de las inversiones no deriva de inmediato de la naturaleza de los contratos de perforación y de la práctica de algunos operadores de recurrir algunas coberturas financieras de su producción.  También el impacto en la demanda es diferente y se atenúa por las tasas o los subsidios aplicados en los productos.</w:t>
      </w:r>
    </w:p>
    <w:p w14:paraId="27866145"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A mediano plazo (de uno a tres años), podemos considerar diversos escenarios en función de las hipótesis aceptadas referentes al carácter cíclico del mercado, el surgimiento de un nuevo modelo y el papel de la OPEP.</w:t>
      </w:r>
    </w:p>
    <w:p w14:paraId="694E691C"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Concerniente al carácter cíclico del mercado este es un fenómeno que el sector petrolero comparte con todas las materias primas. La caída de los precios del petróleo lleva a una disminución de las inversiones y por lo tanto de la producción. La demanda de los países consumidores se incrementa. Seguida de un restablecimiento de un equilibrio entre la oferta y la demanda y por consiguiente de una recuperación de los precios. Es esto lo que se ha observado desde hace 40 años: un precio bajo en 1970, un despunte del precio en 1980, de nuevo un abismo de los precios a mediados de los 90 y un máximo entre 2008 y 2014 (a excepción de 2009 dado el ajuste coyuntural y la crisis de las subprime).</w:t>
      </w:r>
    </w:p>
    <w:p w14:paraId="0023373C" w14:textId="5CCE3752" w:rsidR="00AE3654" w:rsidRPr="00AE3654" w:rsidRDefault="00AE3654" w:rsidP="00AE3654">
      <w:pPr>
        <w:spacing w:after="360" w:line="360" w:lineRule="auto"/>
        <w:ind w:right="-159"/>
        <w:jc w:val="center"/>
        <w:rPr>
          <w:rFonts w:eastAsia="Calibri"/>
          <w:sz w:val="26"/>
          <w:szCs w:val="26"/>
          <w:lang w:eastAsia="en-US"/>
        </w:rPr>
      </w:pPr>
      <w:r w:rsidRPr="00AE3654">
        <w:rPr>
          <w:rFonts w:eastAsia="Calibri"/>
          <w:sz w:val="26"/>
          <w:szCs w:val="26"/>
          <w:lang w:eastAsia="en-US"/>
        </w:rPr>
        <w:lastRenderedPageBreak/>
        <w:fldChar w:fldCharType="begin"/>
      </w:r>
      <w:r w:rsidRPr="00AE3654">
        <w:rPr>
          <w:rFonts w:eastAsia="Calibri"/>
          <w:sz w:val="26"/>
          <w:szCs w:val="26"/>
          <w:lang w:eastAsia="en-US"/>
        </w:rPr>
        <w:instrText xml:space="preserve"> LINK PowerPoint.Slide.8 "D:\\2015\\MARZO 2014\\GRÁFICAS EN POWER POINT\\32.-.-GRÁFICAS DEL IFPEN.pptx!379" "" \a \p </w:instrText>
      </w:r>
      <w:r w:rsidRPr="00AE3654">
        <w:rPr>
          <w:rFonts w:eastAsia="Calibri"/>
          <w:sz w:val="26"/>
          <w:szCs w:val="26"/>
          <w:lang w:eastAsia="en-US"/>
        </w:rPr>
        <w:fldChar w:fldCharType="separate"/>
      </w:r>
      <w:r w:rsidRPr="00AE3654">
        <w:rPr>
          <w:rFonts w:eastAsia="Calibri"/>
          <w:noProof/>
          <w:sz w:val="26"/>
          <w:szCs w:val="26"/>
          <w:lang w:eastAsia="es-MX"/>
        </w:rPr>
        <w:drawing>
          <wp:inline distT="0" distB="0" distL="0" distR="0" wp14:anchorId="624E69E0" wp14:editId="4AA5FC55">
            <wp:extent cx="4287520" cy="2934970"/>
            <wp:effectExtent l="0" t="0" r="0" b="0"/>
            <wp:docPr id="1662" name="Imagen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76" cstate="print">
                      <a:extLst>
                        <a:ext uri="{28A0092B-C50C-407E-A947-70E740481C1C}">
                          <a14:useLocalDpi xmlns:a14="http://schemas.microsoft.com/office/drawing/2010/main" val="0"/>
                        </a:ext>
                      </a:extLst>
                    </a:blip>
                    <a:srcRect l="4179" t="7173" r="1797" b="7155"/>
                    <a:stretch>
                      <a:fillRect/>
                    </a:stretch>
                  </pic:blipFill>
                  <pic:spPr bwMode="auto">
                    <a:xfrm>
                      <a:off x="0" y="0"/>
                      <a:ext cx="4287520" cy="2934970"/>
                    </a:xfrm>
                    <a:prstGeom prst="rect">
                      <a:avLst/>
                    </a:prstGeom>
                    <a:noFill/>
                    <a:ln>
                      <a:noFill/>
                    </a:ln>
                  </pic:spPr>
                </pic:pic>
              </a:graphicData>
            </a:graphic>
          </wp:inline>
        </w:drawing>
      </w:r>
      <w:r w:rsidRPr="00AE3654">
        <w:rPr>
          <w:rFonts w:eastAsia="Calibri"/>
          <w:sz w:val="26"/>
          <w:szCs w:val="26"/>
          <w:lang w:eastAsia="en-US"/>
        </w:rPr>
        <w:fldChar w:fldCharType="end"/>
      </w:r>
    </w:p>
    <w:p w14:paraId="620AA707"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 xml:space="preserve">En este último período los altos precios favorecieron evidentemente las inversiones petroleras en las zonas de riesgo tal y como sucedió en el extranjero en 1970. El surgimiento del “gas esquisto” o el </w:t>
      </w:r>
      <w:r w:rsidRPr="00AE3654">
        <w:rPr>
          <w:rFonts w:eastAsia="Calibri"/>
          <w:i/>
          <w:sz w:val="26"/>
          <w:szCs w:val="26"/>
          <w:lang w:eastAsia="en-US"/>
        </w:rPr>
        <w:t>Light Tight Oil</w:t>
      </w:r>
      <w:r w:rsidRPr="00AE3654">
        <w:rPr>
          <w:rFonts w:eastAsia="Calibri"/>
          <w:sz w:val="26"/>
          <w:szCs w:val="26"/>
          <w:lang w:eastAsia="en-US"/>
        </w:rPr>
        <w:t xml:space="preserve"> (LTO) es el resultado de esta toma de riesgo que fue posible por el anterior aumento de los precios del petróleo. El resultado es un cambio inesperado del mercado petrolero caracterizado por el crecimiento excepcional del LTO en Estados Unidos de Norteamérica. </w:t>
      </w:r>
      <w:r w:rsidRPr="00AE3654">
        <w:rPr>
          <w:rFonts w:eastAsia="Calibri"/>
          <w:sz w:val="26"/>
          <w:szCs w:val="26"/>
          <w:lang w:val="es-ES" w:eastAsia="en-US"/>
        </w:rPr>
        <w:t>El exceso de oferta resultante en relación con la demanda más baja de lo esperado llevó a los precios a disminuir a la mitad.</w:t>
      </w:r>
    </w:p>
    <w:p w14:paraId="4DB69428"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 xml:space="preserve">Queda por determinar cuál será la reacción de la OPEP durante la reunión de junio. La historia reciente muestra que durante los anteriores contra choques petroleros (1986-1998-2008), la OPEP envió, después de algunos meses, una fuerte señal al mercado decidiendo una reducción de su producción (véase la nota 18 de noviembre 2014 anexo). El mercado se recuperó de inmediato, los precios aumentaron gradualmente. Las diferencias actuales dentro de la OPEP hacen dudar de un acuerdo en un futuro próximo. Arabia Saudita claramente está a favor de la hipótesis de un cambio estructural en el mercado del petróleo y parece poco creíble ver a este país cambiar de estrategia a corto plazo. Así, la OPEP y en particular las monarquías del Golfo no </w:t>
      </w:r>
      <w:r w:rsidRPr="00AE3654">
        <w:rPr>
          <w:rFonts w:eastAsia="Calibri"/>
          <w:sz w:val="26"/>
          <w:szCs w:val="26"/>
          <w:lang w:eastAsia="en-US"/>
        </w:rPr>
        <w:lastRenderedPageBreak/>
        <w:t>quieren ser los “</w:t>
      </w:r>
      <w:r w:rsidRPr="00AE3654">
        <w:rPr>
          <w:rFonts w:eastAsia="Calibri"/>
          <w:i/>
          <w:sz w:val="26"/>
          <w:szCs w:val="26"/>
          <w:lang w:eastAsia="en-US"/>
        </w:rPr>
        <w:t>swing producer</w:t>
      </w:r>
      <w:r w:rsidRPr="00AE3654">
        <w:rPr>
          <w:rFonts w:eastAsia="Calibri"/>
          <w:sz w:val="26"/>
          <w:szCs w:val="26"/>
          <w:lang w:eastAsia="en-US"/>
        </w:rPr>
        <w:t>” que aseguren el equilibrio entre la oferta y la demanda en consecuencia dominan los precios. Pero no se puede excluir llegado el momento por razones geopolíticas particularmente un segundo escenario de recuperación a manos del mercado por la OPEP.</w:t>
      </w:r>
    </w:p>
    <w:p w14:paraId="705E97DF"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En el primer escenario, la decisión de la OPEP de no disminuir su producción tiene por consecuencia transferir el papel de “</w:t>
      </w:r>
      <w:r w:rsidRPr="00AE3654">
        <w:rPr>
          <w:rFonts w:eastAsia="Calibri"/>
          <w:i/>
          <w:sz w:val="26"/>
          <w:szCs w:val="26"/>
          <w:lang w:eastAsia="en-US"/>
        </w:rPr>
        <w:t>swing producer</w:t>
      </w:r>
      <w:r w:rsidRPr="00AE3654">
        <w:rPr>
          <w:rFonts w:eastAsia="Calibri"/>
          <w:sz w:val="26"/>
          <w:szCs w:val="26"/>
          <w:lang w:eastAsia="en-US"/>
        </w:rPr>
        <w:t>” no solamente a los productores norteamericanos, sino en general a todos los países no pertenecientes a la OPEP. La “acumulación” de ofertas se invertirá, los países de la OPEP aseguraran la base y los no pertenecientes a la OPEP completaran las necesidades del mercado. Los LTO de Estados Unidos de Norteamérica más sensibles a los precios, definirán los precios de referencia. Sin embargo, a mediano y largo plazo es posible que los petróleos con mayores costos vuelvan a ser necesarios si el potencial de LTO se muestre insuficiente o si la oferta de la OPEP falla. Este escenario representa un cambio estructural importante en el mercado del petróleo tal como funcionaba desde 1973 después del colapso del sistema de las siete compañías petroleras.</w:t>
      </w:r>
    </w:p>
    <w:p w14:paraId="77F541F1"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En esta configuración, que significa el fin de la reputación, algunos analistas creen que el precio debería recuperarse en la segunda mitad del año en aproximadamente 70 dólares por barril (dpb). Otros analistas consideran que el precio podría mantenerse en un rango de 40-60 dpb en los próximos 18 meses. Basan su análisis en un débil rebote de la oferta y un efecto moderado de la disminución de los precios en la demanda de productos del petróleo. Cabe recordar que para los países que subsidian los productos del petróleo, la disminución de precios tiene poco impacto en los consumidores. A mediano plazo, los ajustes violentos de los precios son posibles a falta de “un regulador del mercados”, que disponga de márgenes de producción. Teniendo en cuenta el peso de los países del Golfo en las reservas y la producción, el mercado también podría incorporar una prima de riesgo relacionada con la situación geopolítica de esta región.</w:t>
      </w:r>
    </w:p>
    <w:p w14:paraId="16EFA52D"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lastRenderedPageBreak/>
        <w:t>En el segundo escenario, que postula una intervención de la OPEP, los países no pertenecientes valorarían sin restricción su producción. Habría espacio para LTO a costos más altos en comparación con el primer escenario. Este segundo escenario conlleva a una pérdida gradual de la parte de mercado para la OPEP. Por tanto, el problema es saber si la optimización de los ingresos del petróleo, es decir, un precio multiplicado por las cantidades, sería favorecida para esta estrategia. El potencial de desarrollo de los LTO es lo que se cuestiona aquí. Arabia Saudita prefirió no esperar una desviación hipotética de los LTO optando por el primer escenario. En una reciente declaración, el ministro del Petróleo de Arabia Saudita indicó claramente que esperaba que los países productores no pertenecientes a la OPEP tuvieran una acción concertada. La respuesta de Rusia será determinante.</w:t>
      </w:r>
    </w:p>
    <w:p w14:paraId="02A0751C" w14:textId="77777777" w:rsidR="00AE3654" w:rsidRPr="00AE3654" w:rsidRDefault="00AE3654" w:rsidP="00AE3654">
      <w:pPr>
        <w:spacing w:after="360" w:line="360" w:lineRule="auto"/>
        <w:ind w:right="-159"/>
        <w:jc w:val="both"/>
        <w:rPr>
          <w:rFonts w:eastAsia="Calibri"/>
          <w:sz w:val="26"/>
          <w:szCs w:val="26"/>
          <w:lang w:val="es-ES" w:eastAsia="en-US"/>
        </w:rPr>
      </w:pPr>
      <w:r w:rsidRPr="00AE3654">
        <w:rPr>
          <w:rFonts w:eastAsia="Calibri"/>
          <w:sz w:val="26"/>
          <w:szCs w:val="26"/>
          <w:lang w:val="es-ES" w:eastAsia="en-US"/>
        </w:rPr>
        <w:t>Cualquiera que sea el escenario, los impactos en los países productores serán mayores. La disminución de los ingresos debilita a sus economías. Los precios actuales son insuficientes para asegurar el equilibrio del presupuesto de casi todos los países productores. La estabilidad política de algunos puede ser cuestionada.</w:t>
      </w:r>
    </w:p>
    <w:p w14:paraId="60B96AC4" w14:textId="77777777" w:rsidR="00AE3654" w:rsidRPr="00AE3654" w:rsidRDefault="00AE3654" w:rsidP="00AE3654">
      <w:pPr>
        <w:spacing w:after="360" w:line="360" w:lineRule="auto"/>
        <w:ind w:right="-159"/>
        <w:jc w:val="both"/>
        <w:rPr>
          <w:rFonts w:eastAsia="Calibri"/>
          <w:color w:val="222222"/>
          <w:sz w:val="26"/>
          <w:szCs w:val="26"/>
          <w:lang w:val="es-ES" w:eastAsia="en-US"/>
        </w:rPr>
      </w:pPr>
      <w:r w:rsidRPr="00AE3654">
        <w:rPr>
          <w:rFonts w:eastAsia="Calibri"/>
          <w:color w:val="222222"/>
          <w:sz w:val="26"/>
          <w:szCs w:val="26"/>
          <w:lang w:val="es-ES" w:eastAsia="en-US"/>
        </w:rPr>
        <w:t>La situación actual del mercado petrolero es muy incierta. Su evolución dependerá de varios factores entre ellos dos principales:</w:t>
      </w:r>
    </w:p>
    <w:p w14:paraId="4441D8DE"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color w:val="222222"/>
          <w:sz w:val="26"/>
          <w:szCs w:val="26"/>
          <w:lang w:val="es-ES" w:eastAsia="en-US"/>
        </w:rPr>
        <w:t>El potencial de los LTO y su resistencia frente a la caída de los precios del petróleo. Estos puntos son actualmente objeto de debate, pero existe una certidumbre: la búsqueda de ganancias de productividad y los avances tecnológicos han permitido reducciones de costo extremadamente importantes desde hace 5 años. El aumento constante de la producción también sugiere un potencial considerable, lejos de ser un simple fenómeno de auge.</w:t>
      </w:r>
    </w:p>
    <w:p w14:paraId="2D298A33" w14:textId="77777777" w:rsidR="00AE3654" w:rsidRPr="00AE3654" w:rsidRDefault="00AE3654" w:rsidP="00AE3654">
      <w:pPr>
        <w:spacing w:after="360" w:line="360" w:lineRule="auto"/>
        <w:ind w:right="-159"/>
        <w:jc w:val="both"/>
        <w:rPr>
          <w:rFonts w:eastAsia="Calibri"/>
          <w:sz w:val="26"/>
          <w:szCs w:val="26"/>
          <w:lang w:eastAsia="en-US"/>
        </w:rPr>
      </w:pPr>
      <w:r w:rsidRPr="00AE3654">
        <w:rPr>
          <w:rFonts w:eastAsia="Calibri"/>
          <w:sz w:val="26"/>
          <w:szCs w:val="26"/>
          <w:lang w:eastAsia="en-US"/>
        </w:rPr>
        <w:t xml:space="preserve">El contexto geopolítico y su impacto en las inversiones y los flujos petroleros. La estabilidad de los países productores que no disponen de reservas financieras de un país como Arabia Saudita (700 mil millones de euros) es una verdadera interrogante. El </w:t>
      </w:r>
      <w:r w:rsidRPr="00AE3654">
        <w:rPr>
          <w:rFonts w:eastAsia="Calibri"/>
          <w:sz w:val="26"/>
          <w:szCs w:val="26"/>
          <w:lang w:eastAsia="en-US"/>
        </w:rPr>
        <w:lastRenderedPageBreak/>
        <w:t>levantamiento del embargo de Irán puede cambiar la situación (potencial de un millón de barriles por día a corto plazo). Por último, un mayor deterioro de la situación geopolítica en el Medio Oriente no se puede excluir.</w:t>
      </w:r>
    </w:p>
    <w:p w14:paraId="2DA7A04B" w14:textId="47360562" w:rsidR="00AE3654" w:rsidRPr="00AE3654" w:rsidRDefault="00AE3654" w:rsidP="00AE3654">
      <w:pPr>
        <w:spacing w:after="360" w:line="360" w:lineRule="auto"/>
        <w:ind w:right="-159"/>
        <w:jc w:val="center"/>
        <w:rPr>
          <w:rFonts w:eastAsia="Calibri"/>
          <w:sz w:val="26"/>
          <w:szCs w:val="26"/>
          <w:lang w:eastAsia="en-US"/>
        </w:rPr>
      </w:pPr>
      <w:r w:rsidRPr="00AE3654">
        <w:rPr>
          <w:rFonts w:eastAsia="Calibri"/>
          <w:sz w:val="26"/>
          <w:szCs w:val="26"/>
          <w:lang w:eastAsia="en-US"/>
        </w:rPr>
        <w:fldChar w:fldCharType="begin"/>
      </w:r>
      <w:r w:rsidRPr="00AE3654">
        <w:rPr>
          <w:rFonts w:eastAsia="Calibri"/>
          <w:sz w:val="26"/>
          <w:szCs w:val="26"/>
          <w:lang w:eastAsia="en-US"/>
        </w:rPr>
        <w:instrText xml:space="preserve"> LINK PowerPoint.Slide.8 "D:\\2015\\MARZO 2014\\GRÁFICAS EN POWER POINT\\32.-.-GRÁFICAS DEL IFPEN.pptx!380" "" \a \p </w:instrText>
      </w:r>
      <w:r w:rsidRPr="00AE3654">
        <w:rPr>
          <w:rFonts w:eastAsia="Calibri"/>
          <w:sz w:val="26"/>
          <w:szCs w:val="26"/>
          <w:lang w:eastAsia="en-US"/>
        </w:rPr>
        <w:fldChar w:fldCharType="separate"/>
      </w:r>
      <w:r w:rsidRPr="00AE3654">
        <w:rPr>
          <w:rFonts w:eastAsia="Calibri"/>
          <w:noProof/>
          <w:sz w:val="26"/>
          <w:szCs w:val="26"/>
          <w:lang w:eastAsia="es-MX"/>
        </w:rPr>
        <w:drawing>
          <wp:inline distT="0" distB="0" distL="0" distR="0" wp14:anchorId="75409D8C" wp14:editId="0259B9B5">
            <wp:extent cx="3849370" cy="3237230"/>
            <wp:effectExtent l="0" t="0" r="0" b="1270"/>
            <wp:docPr id="1650" name="Imagen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77" cstate="print">
                      <a:extLst>
                        <a:ext uri="{28A0092B-C50C-407E-A947-70E740481C1C}">
                          <a14:useLocalDpi xmlns:a14="http://schemas.microsoft.com/office/drawing/2010/main" val="0"/>
                        </a:ext>
                      </a:extLst>
                    </a:blip>
                    <a:srcRect l="4945" t="5376" r="10628"/>
                    <a:stretch>
                      <a:fillRect/>
                    </a:stretch>
                  </pic:blipFill>
                  <pic:spPr bwMode="auto">
                    <a:xfrm>
                      <a:off x="0" y="0"/>
                      <a:ext cx="3849370" cy="3237230"/>
                    </a:xfrm>
                    <a:prstGeom prst="rect">
                      <a:avLst/>
                    </a:prstGeom>
                    <a:noFill/>
                    <a:ln>
                      <a:noFill/>
                    </a:ln>
                  </pic:spPr>
                </pic:pic>
              </a:graphicData>
            </a:graphic>
          </wp:inline>
        </w:drawing>
      </w:r>
      <w:r w:rsidRPr="00AE3654">
        <w:rPr>
          <w:rFonts w:eastAsia="Calibri"/>
          <w:sz w:val="26"/>
          <w:szCs w:val="26"/>
          <w:lang w:eastAsia="en-US"/>
        </w:rPr>
        <w:fldChar w:fldCharType="end"/>
      </w:r>
    </w:p>
    <w:p w14:paraId="12BD27F4" w14:textId="77777777" w:rsidR="00AE3654" w:rsidRPr="00AE3654" w:rsidRDefault="00AE3654" w:rsidP="00AE3654">
      <w:pPr>
        <w:spacing w:after="360" w:line="360" w:lineRule="auto"/>
        <w:ind w:right="-159"/>
        <w:jc w:val="both"/>
        <w:rPr>
          <w:rFonts w:eastAsia="Calibri"/>
          <w:sz w:val="26"/>
          <w:szCs w:val="26"/>
          <w:lang w:eastAsia="en-US"/>
        </w:rPr>
      </w:pPr>
    </w:p>
    <w:p w14:paraId="7DB272C9" w14:textId="77777777" w:rsidR="00AE3654" w:rsidRPr="00AE3654" w:rsidRDefault="00AE3654" w:rsidP="00AE3654">
      <w:pPr>
        <w:jc w:val="both"/>
        <w:rPr>
          <w:rFonts w:eastAsia="Calibri"/>
          <w:b/>
          <w:sz w:val="20"/>
          <w:szCs w:val="20"/>
          <w:lang w:eastAsia="en-US"/>
        </w:rPr>
      </w:pPr>
      <w:r w:rsidRPr="00AE3654">
        <w:rPr>
          <w:rFonts w:eastAsia="Calibri"/>
          <w:b/>
          <w:sz w:val="20"/>
          <w:szCs w:val="20"/>
          <w:lang w:eastAsia="en-US"/>
        </w:rPr>
        <w:t>Fuente de información:</w:t>
      </w:r>
    </w:p>
    <w:p w14:paraId="41EA7D3C" w14:textId="77777777" w:rsidR="00AE3654" w:rsidRPr="008B7504" w:rsidRDefault="00872B0E" w:rsidP="008B7504">
      <w:pPr>
        <w:spacing w:after="720"/>
        <w:jc w:val="both"/>
        <w:rPr>
          <w:rFonts w:eastAsia="Calibri"/>
          <w:color w:val="0000FF"/>
          <w:sz w:val="20"/>
          <w:szCs w:val="20"/>
          <w:lang w:eastAsia="en-US"/>
        </w:rPr>
      </w:pPr>
      <w:hyperlink r:id="rId78" w:history="1">
        <w:r w:rsidR="00AE3654" w:rsidRPr="008B7504">
          <w:rPr>
            <w:rFonts w:eastAsia="Calibri"/>
            <w:color w:val="0000FF"/>
            <w:sz w:val="20"/>
            <w:szCs w:val="20"/>
            <w:u w:val="single"/>
            <w:lang w:eastAsia="en-US"/>
          </w:rPr>
          <w:t>http://www.ifpenergiesnouvelles.fr/Actualites/Actualite/Fil-d-actu/Marche-petrolier-strategie-OPEP-face-a-un-changement-de-structure-du-marche</w:t>
        </w:r>
      </w:hyperlink>
    </w:p>
    <w:p w14:paraId="695DE544" w14:textId="77777777" w:rsidR="00101EB3" w:rsidRPr="00101EB3" w:rsidRDefault="00101EB3" w:rsidP="00101EB3">
      <w:pPr>
        <w:ind w:right="-159"/>
        <w:jc w:val="both"/>
        <w:rPr>
          <w:rFonts w:eastAsia="Calibri"/>
          <w:b/>
          <w:sz w:val="26"/>
          <w:szCs w:val="26"/>
          <w:lang w:eastAsia="en-US"/>
        </w:rPr>
      </w:pPr>
      <w:r w:rsidRPr="00101EB3">
        <w:rPr>
          <w:rFonts w:eastAsia="Calibri"/>
          <w:b/>
          <w:sz w:val="26"/>
          <w:szCs w:val="26"/>
          <w:lang w:eastAsia="en-US"/>
        </w:rPr>
        <w:t>Petróleo  más  barato  en  los  países de</w:t>
      </w:r>
    </w:p>
    <w:p w14:paraId="523145F5" w14:textId="77777777" w:rsidR="00101EB3" w:rsidRPr="00101EB3" w:rsidRDefault="00101EB3" w:rsidP="00101EB3">
      <w:pPr>
        <w:spacing w:after="360" w:line="360" w:lineRule="auto"/>
        <w:ind w:right="-159"/>
        <w:jc w:val="both"/>
        <w:rPr>
          <w:rFonts w:eastAsia="Calibri"/>
          <w:b/>
          <w:sz w:val="26"/>
          <w:szCs w:val="26"/>
          <w:lang w:eastAsia="en-US"/>
        </w:rPr>
      </w:pPr>
      <w:r w:rsidRPr="00101EB3">
        <w:rPr>
          <w:rFonts w:eastAsia="Calibri"/>
          <w:b/>
          <w:sz w:val="26"/>
          <w:szCs w:val="26"/>
          <w:lang w:eastAsia="en-US"/>
        </w:rPr>
        <w:t>Petrocaribe: Un sabor agridulce (FMI)</w:t>
      </w:r>
    </w:p>
    <w:p w14:paraId="4755A331" w14:textId="4DEA471C" w:rsidR="00101EB3" w:rsidRP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t xml:space="preserve">El 18 de marzo de 2015, el Fondo Monetario Internacional (FMI) presentó el documento </w:t>
      </w:r>
      <w:r w:rsidR="008B7504">
        <w:rPr>
          <w:rFonts w:eastAsia="Calibri"/>
          <w:sz w:val="26"/>
          <w:szCs w:val="26"/>
          <w:lang w:eastAsia="en-US"/>
        </w:rPr>
        <w:t>“P</w:t>
      </w:r>
      <w:r w:rsidRPr="00101EB3">
        <w:rPr>
          <w:rFonts w:eastAsia="Calibri"/>
          <w:sz w:val="26"/>
          <w:szCs w:val="26"/>
          <w:lang w:eastAsia="en-US"/>
        </w:rPr>
        <w:t>etróleo más barato en los países de Petrocaribe: Un sabor agridulce</w:t>
      </w:r>
      <w:r w:rsidR="008B7504">
        <w:rPr>
          <w:rFonts w:eastAsia="Calibri"/>
          <w:sz w:val="26"/>
          <w:szCs w:val="26"/>
          <w:lang w:eastAsia="en-US"/>
        </w:rPr>
        <w:t>”</w:t>
      </w:r>
      <w:r w:rsidRPr="00101EB3">
        <w:rPr>
          <w:rFonts w:eastAsia="Calibri"/>
          <w:sz w:val="26"/>
          <w:szCs w:val="26"/>
          <w:lang w:eastAsia="en-US"/>
        </w:rPr>
        <w:t>. A continuación se presenta la información.</w:t>
      </w:r>
    </w:p>
    <w:p w14:paraId="3B626AD0" w14:textId="77777777" w:rsidR="00101EB3" w:rsidRP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lastRenderedPageBreak/>
        <w:t>La impresionante caída de los precios del petróleo genera ganancias y pérdidas para los países que participan en Petrocaribe, un programa venezolano de cooperación en materia energética dirigido a algunos países de América Central y el Caribe. Desde 2005, esta iniciativa ha permitido que algunos gobiernos de América Central y el Caribe reciban préstamos a tasas inferiores a las de mercado si sus países compran petróleo a Venezuela. Cuando los precios del petróleo eran altos, los costos de importar petróleo eran grandes y también lo era el financiamiento de Petrocaribe, que alcanzó, en promedio, el 2.5% del Producto Interno Bruto (PIB) de los países importadores en 2014. Los actuales precios bajos significan que en 2015 los costos de importar petróleo de los miembros de Petrocaribe descenderán en un promedio del 3.75 del PIB. Pero este importante beneficio se verá contrarrestado en cierta medida por un menor acceso al financiamiento (de alrededor del 1% del PIB para el país beneficiario promedio), ya que la cuantía de los préstamos de Petrocaribe disminuye junto con los pagos por las importaciones de petróleo y, al bajar los precios del petróleo, las condiciones de los préstamos se vuelven menos generosas.</w:t>
      </w:r>
    </w:p>
    <w:tbl>
      <w:tblPr>
        <w:tblW w:w="0" w:type="auto"/>
        <w:jc w:val="center"/>
        <w:tblBorders>
          <w:insideV w:val="single" w:sz="4" w:space="0" w:color="auto"/>
        </w:tblBorders>
        <w:tblLook w:val="04A0" w:firstRow="1" w:lastRow="0" w:firstColumn="1" w:lastColumn="0" w:noHBand="0" w:noVBand="1"/>
      </w:tblPr>
      <w:tblGrid>
        <w:gridCol w:w="6606"/>
      </w:tblGrid>
      <w:tr w:rsidR="00101EB3" w:rsidRPr="00101EB3" w14:paraId="2E13F5A1" w14:textId="77777777" w:rsidTr="000B6ABA">
        <w:trPr>
          <w:jc w:val="center"/>
        </w:trPr>
        <w:tc>
          <w:tcPr>
            <w:tcW w:w="6606" w:type="dxa"/>
          </w:tcPr>
          <w:p w14:paraId="135CD91F" w14:textId="77777777" w:rsidR="00101EB3" w:rsidRPr="00101EB3" w:rsidRDefault="00101EB3" w:rsidP="00101EB3">
            <w:pPr>
              <w:jc w:val="center"/>
              <w:rPr>
                <w:rFonts w:eastAsia="Calibri"/>
                <w:b/>
                <w:sz w:val="22"/>
                <w:szCs w:val="26"/>
                <w:vertAlign w:val="superscript"/>
                <w:lang w:eastAsia="en-US"/>
              </w:rPr>
            </w:pPr>
            <w:r w:rsidRPr="00101EB3">
              <w:rPr>
                <w:rFonts w:eastAsia="Calibri"/>
                <w:b/>
                <w:sz w:val="22"/>
                <w:szCs w:val="26"/>
                <w:lang w:eastAsia="en-US"/>
              </w:rPr>
              <w:t>FINANCIAMIENTO DE PETROCARIBE EN 2014</w:t>
            </w:r>
            <w:r w:rsidRPr="00101EB3">
              <w:rPr>
                <w:rFonts w:eastAsia="Calibri"/>
                <w:b/>
                <w:sz w:val="22"/>
                <w:szCs w:val="26"/>
                <w:u w:val="single"/>
                <w:vertAlign w:val="superscript"/>
                <w:lang w:eastAsia="en-US"/>
              </w:rPr>
              <w:t>1</w:t>
            </w:r>
            <w:r w:rsidRPr="00101EB3">
              <w:rPr>
                <w:rFonts w:eastAsia="Calibri"/>
                <w:b/>
                <w:sz w:val="22"/>
                <w:szCs w:val="26"/>
                <w:vertAlign w:val="superscript"/>
                <w:lang w:eastAsia="en-US"/>
              </w:rPr>
              <w:t>/</w:t>
            </w:r>
          </w:p>
          <w:p w14:paraId="6C0244BD" w14:textId="77777777" w:rsidR="00101EB3" w:rsidRPr="00101EB3" w:rsidRDefault="00101EB3" w:rsidP="00101EB3">
            <w:pPr>
              <w:jc w:val="center"/>
              <w:rPr>
                <w:rFonts w:eastAsia="Calibri"/>
                <w:b/>
                <w:sz w:val="22"/>
                <w:szCs w:val="26"/>
                <w:lang w:eastAsia="en-US"/>
              </w:rPr>
            </w:pPr>
            <w:r w:rsidRPr="00101EB3">
              <w:rPr>
                <w:rFonts w:eastAsia="Calibri"/>
                <w:b/>
                <w:sz w:val="22"/>
                <w:szCs w:val="26"/>
                <w:lang w:eastAsia="en-US"/>
              </w:rPr>
              <w:t>-Porcentaje del PIB-</w:t>
            </w:r>
          </w:p>
        </w:tc>
      </w:tr>
      <w:tr w:rsidR="00101EB3" w:rsidRPr="00101EB3" w14:paraId="2941D66A" w14:textId="77777777" w:rsidTr="000B6ABA">
        <w:trPr>
          <w:jc w:val="center"/>
        </w:trPr>
        <w:tc>
          <w:tcPr>
            <w:tcW w:w="6606" w:type="dxa"/>
          </w:tcPr>
          <w:p w14:paraId="4EC2FBC7" w14:textId="77777777" w:rsidR="00101EB3" w:rsidRPr="00101EB3" w:rsidRDefault="00101EB3" w:rsidP="00101EB3">
            <w:pPr>
              <w:jc w:val="center"/>
              <w:rPr>
                <w:rFonts w:eastAsia="Calibri"/>
                <w:sz w:val="26"/>
                <w:szCs w:val="26"/>
                <w:lang w:eastAsia="en-US"/>
              </w:rPr>
            </w:pPr>
            <w:r w:rsidRPr="00101EB3">
              <w:rPr>
                <w:rFonts w:eastAsia="Calibri"/>
                <w:noProof/>
                <w:sz w:val="26"/>
                <w:szCs w:val="26"/>
                <w:lang w:eastAsia="es-MX"/>
              </w:rPr>
              <w:drawing>
                <wp:inline distT="0" distB="0" distL="0" distR="0" wp14:anchorId="413EEA20" wp14:editId="25A8A2BF">
                  <wp:extent cx="4057786" cy="2772000"/>
                  <wp:effectExtent l="0" t="0" r="0" b="0"/>
                  <wp:docPr id="1651" name="Imagen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057786" cy="2772000"/>
                          </a:xfrm>
                          <a:prstGeom prst="rect">
                            <a:avLst/>
                          </a:prstGeom>
                          <a:noFill/>
                          <a:ln>
                            <a:noFill/>
                          </a:ln>
                        </pic:spPr>
                      </pic:pic>
                    </a:graphicData>
                  </a:graphic>
                </wp:inline>
              </w:drawing>
            </w:r>
          </w:p>
        </w:tc>
      </w:tr>
      <w:tr w:rsidR="00101EB3" w:rsidRPr="00101EB3" w14:paraId="7CE7567D" w14:textId="77777777" w:rsidTr="000B6ABA">
        <w:trPr>
          <w:jc w:val="center"/>
        </w:trPr>
        <w:tc>
          <w:tcPr>
            <w:tcW w:w="6606" w:type="dxa"/>
          </w:tcPr>
          <w:p w14:paraId="5DCB612B" w14:textId="77777777" w:rsidR="00101EB3" w:rsidRPr="00101EB3" w:rsidRDefault="00101EB3" w:rsidP="00101EB3">
            <w:pPr>
              <w:ind w:left="227" w:hanging="227"/>
              <w:jc w:val="both"/>
              <w:rPr>
                <w:rFonts w:eastAsia="Calibri"/>
                <w:sz w:val="20"/>
                <w:szCs w:val="26"/>
                <w:lang w:eastAsia="en-US"/>
              </w:rPr>
            </w:pPr>
            <w:r w:rsidRPr="00101EB3">
              <w:rPr>
                <w:rFonts w:eastAsia="Calibri"/>
                <w:sz w:val="20"/>
                <w:szCs w:val="26"/>
                <w:u w:val="single"/>
                <w:lang w:eastAsia="en-US"/>
              </w:rPr>
              <w:t>1</w:t>
            </w:r>
            <w:r w:rsidRPr="00101EB3">
              <w:rPr>
                <w:rFonts w:eastAsia="Calibri"/>
                <w:sz w:val="20"/>
                <w:szCs w:val="26"/>
                <w:lang w:eastAsia="en-US"/>
              </w:rPr>
              <w:t>/ Santa Lucia y Suriname son miembros de Petrocaribe pero no han recibido financiamiento en el marco de esta iniciativa.</w:t>
            </w:r>
          </w:p>
          <w:p w14:paraId="5E5BA575"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FUENTE: Autoridades nacionales y estimaciones del personal técnico del FMI.</w:t>
            </w:r>
          </w:p>
        </w:tc>
      </w:tr>
    </w:tbl>
    <w:p w14:paraId="51EDE335" w14:textId="77777777" w:rsidR="00101EB3" w:rsidRPr="00101EB3" w:rsidRDefault="00101EB3" w:rsidP="00101EB3">
      <w:pPr>
        <w:spacing w:after="360" w:line="360" w:lineRule="auto"/>
        <w:ind w:right="-159"/>
        <w:jc w:val="both"/>
        <w:rPr>
          <w:rFonts w:eastAsia="Calibri"/>
          <w:sz w:val="26"/>
          <w:szCs w:val="26"/>
          <w:lang w:eastAsia="en-US"/>
        </w:rPr>
      </w:pPr>
    </w:p>
    <w:p w14:paraId="2E325460" w14:textId="77777777" w:rsidR="00101EB3" w:rsidRP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lastRenderedPageBreak/>
        <w:t>A fin de cuentas, la caída del precio del petróleo mejorará la situación de todos los miembros de Petrocaribe ya que el beneficio resultante del abaratamiento del petróleo superará la disminución prevista de la asistencia de Petrocaribe.</w:t>
      </w:r>
    </w:p>
    <w:p w14:paraId="5BDBC4D5" w14:textId="77777777" w:rsidR="00101EB3" w:rsidRPr="00101EB3" w:rsidRDefault="00101EB3" w:rsidP="00101EB3">
      <w:pPr>
        <w:spacing w:after="360" w:line="360" w:lineRule="auto"/>
        <w:ind w:right="-159"/>
        <w:jc w:val="both"/>
        <w:rPr>
          <w:rFonts w:eastAsia="Calibri"/>
          <w:b/>
          <w:sz w:val="26"/>
          <w:szCs w:val="26"/>
          <w:lang w:eastAsia="en-US"/>
        </w:rPr>
      </w:pPr>
      <w:r w:rsidRPr="00101EB3">
        <w:rPr>
          <w:rFonts w:eastAsia="Calibri"/>
          <w:b/>
          <w:sz w:val="26"/>
          <w:szCs w:val="26"/>
          <w:lang w:eastAsia="en-US"/>
        </w:rPr>
        <w:t>Efecto del abaratamiento del petróleo</w:t>
      </w:r>
    </w:p>
    <w:p w14:paraId="191B170B" w14:textId="77777777" w:rsid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t>La posible interrupción de los fondos de Petrocaribe podría ser más manejable que en otras oportunidades. La pérdida de ingreso de Venezuela debido a la caída del precio del petróleo ha llevado a los analistas a cuestionar si el apoyo de Petrocaribe se mantendrá. Si se interrumpiera, el efecto variaría en función de los distintos miembros de Petrocaribe. Los gobiernos que reciben importantes aportes y carecen de otras fuentes de financiación (como los de Nicaragua y Haití) serían los más afectados aunque en menor medida de lo que habría sido si el precio del petróleo estuviera alto. Los gobiernos que han creado reservas (como Guyana) o que cuentan con otras fuentes de financiación (como la República Dominicana y Jamaica), seguramente sufran un impacto menor. Belice se vería especialmente afectado ya que el abaratamiento del precio del petróleo tiene un efecto negativo en el valor de sus exportaciones de petróleo crudo. Hasta ahora, Venezuela ha asegurado a los miembros de Petrocaribe que la ayuda financiera continuará.</w:t>
      </w:r>
    </w:p>
    <w:p w14:paraId="2FB6EDF1" w14:textId="77777777" w:rsidR="008B7504" w:rsidRDefault="008B7504" w:rsidP="00101EB3">
      <w:pPr>
        <w:spacing w:after="360" w:line="360" w:lineRule="auto"/>
        <w:ind w:right="-159"/>
        <w:jc w:val="both"/>
        <w:rPr>
          <w:rFonts w:eastAsia="Calibri"/>
          <w:sz w:val="26"/>
          <w:szCs w:val="26"/>
          <w:lang w:eastAsia="en-US"/>
        </w:rPr>
      </w:pPr>
    </w:p>
    <w:p w14:paraId="17D2F831" w14:textId="77777777" w:rsidR="008B7504" w:rsidRDefault="008B7504" w:rsidP="00101EB3">
      <w:pPr>
        <w:spacing w:after="360" w:line="360" w:lineRule="auto"/>
        <w:ind w:right="-159"/>
        <w:jc w:val="both"/>
        <w:rPr>
          <w:rFonts w:eastAsia="Calibri"/>
          <w:sz w:val="26"/>
          <w:szCs w:val="26"/>
          <w:lang w:eastAsia="en-US"/>
        </w:rPr>
      </w:pPr>
    </w:p>
    <w:p w14:paraId="138827C6" w14:textId="77777777" w:rsidR="008B7504" w:rsidRDefault="008B7504" w:rsidP="00101EB3">
      <w:pPr>
        <w:spacing w:after="360" w:line="360" w:lineRule="auto"/>
        <w:ind w:right="-159"/>
        <w:jc w:val="both"/>
        <w:rPr>
          <w:rFonts w:eastAsia="Calibri"/>
          <w:sz w:val="26"/>
          <w:szCs w:val="26"/>
          <w:lang w:eastAsia="en-US"/>
        </w:rPr>
      </w:pPr>
    </w:p>
    <w:p w14:paraId="696AA4B4" w14:textId="77777777" w:rsidR="008B7504" w:rsidRDefault="008B7504" w:rsidP="00101EB3">
      <w:pPr>
        <w:spacing w:after="360" w:line="360" w:lineRule="auto"/>
        <w:ind w:right="-159"/>
        <w:jc w:val="both"/>
        <w:rPr>
          <w:rFonts w:eastAsia="Calibri"/>
          <w:sz w:val="26"/>
          <w:szCs w:val="26"/>
          <w:lang w:eastAsia="en-US"/>
        </w:rPr>
      </w:pPr>
    </w:p>
    <w:p w14:paraId="3B3D7C0F" w14:textId="77777777" w:rsidR="008B7504" w:rsidRDefault="008B7504" w:rsidP="00101EB3">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310"/>
      </w:tblGrid>
      <w:tr w:rsidR="00101EB3" w:rsidRPr="00101EB3" w14:paraId="10348A66" w14:textId="77777777" w:rsidTr="008B7504">
        <w:trPr>
          <w:jc w:val="center"/>
        </w:trPr>
        <w:tc>
          <w:tcPr>
            <w:tcW w:w="7310" w:type="dxa"/>
          </w:tcPr>
          <w:p w14:paraId="1ABD26CE" w14:textId="77777777" w:rsidR="008B7504" w:rsidRDefault="008B7504" w:rsidP="00101EB3">
            <w:pPr>
              <w:jc w:val="center"/>
              <w:rPr>
                <w:rFonts w:eastAsia="Calibri"/>
                <w:b/>
                <w:sz w:val="22"/>
                <w:szCs w:val="26"/>
                <w:lang w:eastAsia="en-US"/>
              </w:rPr>
            </w:pPr>
          </w:p>
          <w:p w14:paraId="3F4FB78B" w14:textId="77777777" w:rsidR="00101EB3" w:rsidRPr="00101EB3" w:rsidRDefault="00101EB3" w:rsidP="00101EB3">
            <w:pPr>
              <w:jc w:val="center"/>
              <w:rPr>
                <w:rFonts w:eastAsia="Calibri"/>
                <w:b/>
                <w:sz w:val="22"/>
                <w:szCs w:val="26"/>
                <w:vertAlign w:val="superscript"/>
                <w:lang w:eastAsia="en-US"/>
              </w:rPr>
            </w:pPr>
            <w:r w:rsidRPr="00101EB3">
              <w:rPr>
                <w:rFonts w:eastAsia="Calibri"/>
                <w:b/>
                <w:sz w:val="22"/>
                <w:szCs w:val="26"/>
                <w:lang w:eastAsia="en-US"/>
              </w:rPr>
              <w:lastRenderedPageBreak/>
              <w:t>MEJORA DEL DÉFICIT DEL COMERCIO DE PETRÓLEO EN 2015</w:t>
            </w:r>
          </w:p>
          <w:p w14:paraId="70413253" w14:textId="77777777" w:rsidR="00101EB3" w:rsidRPr="00101EB3" w:rsidRDefault="00101EB3" w:rsidP="00101EB3">
            <w:pPr>
              <w:jc w:val="center"/>
              <w:rPr>
                <w:rFonts w:eastAsia="Calibri"/>
                <w:b/>
                <w:sz w:val="22"/>
                <w:szCs w:val="26"/>
                <w:lang w:eastAsia="en-US"/>
              </w:rPr>
            </w:pPr>
            <w:r w:rsidRPr="00101EB3">
              <w:rPr>
                <w:rFonts w:eastAsia="Calibri"/>
                <w:b/>
                <w:sz w:val="22"/>
                <w:szCs w:val="26"/>
                <w:lang w:eastAsia="en-US"/>
              </w:rPr>
              <w:t>-Porcentaje del PIB-</w:t>
            </w:r>
          </w:p>
        </w:tc>
      </w:tr>
      <w:tr w:rsidR="00101EB3" w:rsidRPr="00101EB3" w14:paraId="156B925B" w14:textId="77777777" w:rsidTr="008B7504">
        <w:trPr>
          <w:jc w:val="center"/>
        </w:trPr>
        <w:tc>
          <w:tcPr>
            <w:tcW w:w="7310" w:type="dxa"/>
          </w:tcPr>
          <w:p w14:paraId="4AAE226D" w14:textId="77777777" w:rsidR="00101EB3" w:rsidRPr="00101EB3" w:rsidRDefault="00101EB3" w:rsidP="00101EB3">
            <w:pPr>
              <w:jc w:val="center"/>
              <w:rPr>
                <w:rFonts w:eastAsia="Calibri"/>
                <w:sz w:val="26"/>
                <w:szCs w:val="26"/>
                <w:lang w:eastAsia="en-US"/>
              </w:rPr>
            </w:pPr>
            <w:r w:rsidRPr="00101EB3">
              <w:rPr>
                <w:rFonts w:eastAsia="Calibri"/>
                <w:noProof/>
                <w:sz w:val="26"/>
                <w:szCs w:val="26"/>
                <w:lang w:eastAsia="es-MX"/>
              </w:rPr>
              <w:lastRenderedPageBreak/>
              <w:drawing>
                <wp:inline distT="0" distB="0" distL="0" distR="0" wp14:anchorId="51783A0D" wp14:editId="0C57D533">
                  <wp:extent cx="4504905" cy="3240000"/>
                  <wp:effectExtent l="0" t="0" r="0" b="0"/>
                  <wp:docPr id="1652" name="Imagen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04905" cy="3240000"/>
                          </a:xfrm>
                          <a:prstGeom prst="rect">
                            <a:avLst/>
                          </a:prstGeom>
                          <a:noFill/>
                          <a:ln>
                            <a:noFill/>
                          </a:ln>
                        </pic:spPr>
                      </pic:pic>
                    </a:graphicData>
                  </a:graphic>
                </wp:inline>
              </w:drawing>
            </w:r>
          </w:p>
        </w:tc>
      </w:tr>
      <w:tr w:rsidR="00101EB3" w:rsidRPr="00101EB3" w14:paraId="09065ECE" w14:textId="77777777" w:rsidTr="008B7504">
        <w:trPr>
          <w:jc w:val="center"/>
        </w:trPr>
        <w:tc>
          <w:tcPr>
            <w:tcW w:w="7310" w:type="dxa"/>
          </w:tcPr>
          <w:p w14:paraId="5ADA6FF8"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FUENTE: Autoridades nacionales y estimaciones del personal técnico del FMI.</w:t>
            </w:r>
          </w:p>
        </w:tc>
      </w:tr>
    </w:tbl>
    <w:p w14:paraId="6586701F" w14:textId="77777777" w:rsidR="008B7504" w:rsidRDefault="008B7504" w:rsidP="00101EB3">
      <w:pPr>
        <w:spacing w:after="360" w:line="360" w:lineRule="auto"/>
        <w:ind w:right="-159"/>
        <w:jc w:val="both"/>
        <w:rPr>
          <w:rFonts w:eastAsia="Calibri"/>
          <w:sz w:val="26"/>
          <w:szCs w:val="26"/>
          <w:lang w:eastAsia="en-US"/>
        </w:rPr>
      </w:pPr>
    </w:p>
    <w:p w14:paraId="5C2FB00B" w14:textId="77777777" w:rsid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t>Sin embargo, la disminución del precio del petróleo y el financiamiento de Petrocaribe podría generar problemas. La caída del precio del petróleo afectará de forma diferente al sector público y al privado. En el sector privado seguramente se registre un aumento del ingreso disponible y las ganancias: la aplicación de los actuales mecanismos de precios de los países tendría como consecuencia un traslado total, o casi total, a los precios de venta al consumidor en unos dos tercios de la región para fines de 2015. Pero la reducción (o interrupción) del financiamiento de Petrocaribe hará que algunos gobiernos enfrenten dificultades financieras. Si no se reciclan recursos del sector privado al público (en la forma de financiamiento o reducciones de las subvenciones a la energía), algunos gobiernos podrían verse obligados a interrumpir los programas sociales o de inversión. Casi todos los países sufrirían algunas presiones fiscales adicionales.</w:t>
      </w:r>
    </w:p>
    <w:p w14:paraId="71883372" w14:textId="77777777" w:rsidR="008B7504" w:rsidRPr="00101EB3" w:rsidRDefault="008B7504" w:rsidP="00101EB3">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107"/>
      </w:tblGrid>
      <w:tr w:rsidR="00101EB3" w:rsidRPr="00101EB3" w14:paraId="57756571" w14:textId="77777777" w:rsidTr="00CB7B3D">
        <w:trPr>
          <w:jc w:val="center"/>
        </w:trPr>
        <w:tc>
          <w:tcPr>
            <w:tcW w:w="6423" w:type="dxa"/>
          </w:tcPr>
          <w:p w14:paraId="2C818B8F" w14:textId="77777777" w:rsidR="00101EB3" w:rsidRPr="00101EB3" w:rsidRDefault="00101EB3" w:rsidP="00101EB3">
            <w:pPr>
              <w:jc w:val="center"/>
              <w:rPr>
                <w:rFonts w:eastAsia="Calibri"/>
                <w:b/>
                <w:sz w:val="22"/>
                <w:szCs w:val="26"/>
                <w:vertAlign w:val="superscript"/>
                <w:lang w:eastAsia="en-US"/>
              </w:rPr>
            </w:pPr>
            <w:r w:rsidRPr="00101EB3">
              <w:rPr>
                <w:rFonts w:eastAsia="Calibri"/>
                <w:b/>
                <w:sz w:val="22"/>
                <w:szCs w:val="26"/>
                <w:lang w:eastAsia="en-US"/>
              </w:rPr>
              <w:lastRenderedPageBreak/>
              <w:t>DESCENSO DE LOS FLUJOS DE FINANCIAMIENTO DE PETROCARIBE EN 2015</w:t>
            </w:r>
          </w:p>
          <w:p w14:paraId="00D3C691" w14:textId="77777777" w:rsidR="00101EB3" w:rsidRPr="00101EB3" w:rsidRDefault="00101EB3" w:rsidP="00101EB3">
            <w:pPr>
              <w:jc w:val="center"/>
              <w:rPr>
                <w:rFonts w:eastAsia="Calibri"/>
                <w:b/>
                <w:sz w:val="22"/>
                <w:szCs w:val="26"/>
                <w:lang w:eastAsia="en-US"/>
              </w:rPr>
            </w:pPr>
            <w:r w:rsidRPr="00101EB3">
              <w:rPr>
                <w:rFonts w:eastAsia="Calibri"/>
                <w:b/>
                <w:sz w:val="22"/>
                <w:szCs w:val="26"/>
                <w:lang w:eastAsia="en-US"/>
              </w:rPr>
              <w:t>-Porcentaje del PIB-</w:t>
            </w:r>
          </w:p>
        </w:tc>
      </w:tr>
      <w:tr w:rsidR="00101EB3" w:rsidRPr="00101EB3" w14:paraId="14370867" w14:textId="77777777" w:rsidTr="00CB7B3D">
        <w:trPr>
          <w:jc w:val="center"/>
        </w:trPr>
        <w:tc>
          <w:tcPr>
            <w:tcW w:w="6423" w:type="dxa"/>
          </w:tcPr>
          <w:p w14:paraId="4DC185CE" w14:textId="77777777" w:rsidR="00101EB3" w:rsidRPr="00101EB3" w:rsidRDefault="00101EB3" w:rsidP="00101EB3">
            <w:pPr>
              <w:jc w:val="center"/>
              <w:rPr>
                <w:rFonts w:eastAsia="Calibri"/>
                <w:sz w:val="26"/>
                <w:szCs w:val="26"/>
                <w:lang w:eastAsia="en-US"/>
              </w:rPr>
            </w:pPr>
            <w:r w:rsidRPr="00101EB3">
              <w:rPr>
                <w:rFonts w:eastAsia="Calibri"/>
                <w:noProof/>
                <w:sz w:val="26"/>
                <w:szCs w:val="26"/>
                <w:lang w:eastAsia="es-MX"/>
              </w:rPr>
              <w:drawing>
                <wp:inline distT="0" distB="0" distL="0" distR="0" wp14:anchorId="209ABC27" wp14:editId="6B30E79A">
                  <wp:extent cx="4376032" cy="3060000"/>
                  <wp:effectExtent l="0" t="0" r="0" b="0"/>
                  <wp:docPr id="1653" name="Imagen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14837"/>
                          <a:stretch/>
                        </pic:blipFill>
                        <pic:spPr bwMode="auto">
                          <a:xfrm>
                            <a:off x="0" y="0"/>
                            <a:ext cx="437603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1EB3" w:rsidRPr="00101EB3" w14:paraId="1D95D691" w14:textId="77777777" w:rsidTr="00CB7B3D">
        <w:trPr>
          <w:jc w:val="center"/>
        </w:trPr>
        <w:tc>
          <w:tcPr>
            <w:tcW w:w="6423" w:type="dxa"/>
          </w:tcPr>
          <w:p w14:paraId="1E4A25B8"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FUENTE: Autoridades nacionales y estimaciones del personal técnico del FMI.</w:t>
            </w:r>
          </w:p>
        </w:tc>
      </w:tr>
    </w:tbl>
    <w:p w14:paraId="18554089" w14:textId="77777777" w:rsidR="00101EB3" w:rsidRPr="00101EB3" w:rsidRDefault="00101EB3" w:rsidP="00101EB3">
      <w:pPr>
        <w:spacing w:after="360" w:line="360" w:lineRule="auto"/>
        <w:ind w:right="-159"/>
        <w:jc w:val="both"/>
        <w:rPr>
          <w:rFonts w:eastAsia="Calibri"/>
          <w:sz w:val="26"/>
          <w:szCs w:val="26"/>
          <w:lang w:eastAsia="en-US"/>
        </w:rPr>
      </w:pPr>
    </w:p>
    <w:p w14:paraId="199982AA" w14:textId="77777777" w:rsid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t>Algunos programas de gasto público podrían verse especialmente afectados. Aunque Petrocaribe continuara, la disminución del financiamiento requeriría nuevos fondos o un ajuste promedio del orden del 0.8% del PIB (para países de los que se dispone de información). Es posible que Nicaragua y Haití, con poco acceso a mercados, ni reservas importantes o mercados financieros profundos, sean los que deban efectuar mayores ajustes. Guyana y San Cristóbal (y en menor medida Jamaica) han creado reservas para compensar el impacto. En caso de interrupción de los fondos, se prevé que los déficit aumenten en Antigua, Dominica, Granada, Haití, Jamaica y Nicaragua, en la medida en que los gobiernos tomen el control de programas sociales o proyectos de infraestructura sin fondos. Un par de países que proporcionan subsidios a la energía, especialmente Haití, se proponen compensar el costo adicional recuperando los ingresos de los impuestos a los productos energéticos a los que habían renunciado.</w:t>
      </w:r>
    </w:p>
    <w:p w14:paraId="112A829F" w14:textId="77777777" w:rsidR="008B7504" w:rsidRDefault="008B7504" w:rsidP="00101EB3">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369"/>
        <w:gridCol w:w="1598"/>
        <w:gridCol w:w="1548"/>
        <w:gridCol w:w="1632"/>
        <w:gridCol w:w="1693"/>
      </w:tblGrid>
      <w:tr w:rsidR="00101EB3" w:rsidRPr="00101EB3" w14:paraId="0DE5DFE8" w14:textId="77777777" w:rsidTr="00101EB3">
        <w:trPr>
          <w:jc w:val="center"/>
        </w:trPr>
        <w:tc>
          <w:tcPr>
            <w:tcW w:w="8840" w:type="dxa"/>
            <w:gridSpan w:val="5"/>
            <w:tcBorders>
              <w:top w:val="nil"/>
              <w:left w:val="nil"/>
              <w:bottom w:val="single" w:sz="4" w:space="0" w:color="auto"/>
              <w:right w:val="nil"/>
            </w:tcBorders>
          </w:tcPr>
          <w:p w14:paraId="313684C2" w14:textId="77777777" w:rsidR="00101EB3" w:rsidRPr="00101EB3" w:rsidRDefault="00101EB3" w:rsidP="00101EB3">
            <w:pPr>
              <w:jc w:val="center"/>
              <w:rPr>
                <w:rFonts w:eastAsia="Calibri"/>
                <w:b/>
                <w:sz w:val="22"/>
                <w:szCs w:val="20"/>
                <w:lang w:eastAsia="en-US"/>
              </w:rPr>
            </w:pPr>
            <w:r w:rsidRPr="00101EB3">
              <w:rPr>
                <w:rFonts w:eastAsia="Calibri"/>
                <w:b/>
                <w:sz w:val="22"/>
                <w:szCs w:val="20"/>
                <w:lang w:eastAsia="en-US"/>
              </w:rPr>
              <w:lastRenderedPageBreak/>
              <w:t>BENEFICIO NETO DEL DESCENSO DE LOS PRECIOS DEL PETRÓLEO</w:t>
            </w:r>
          </w:p>
          <w:p w14:paraId="138FC784" w14:textId="77777777" w:rsidR="00101EB3" w:rsidRPr="00101EB3" w:rsidRDefault="00101EB3" w:rsidP="00101EB3">
            <w:pPr>
              <w:jc w:val="center"/>
              <w:rPr>
                <w:rFonts w:eastAsia="Calibri"/>
                <w:b/>
                <w:sz w:val="22"/>
                <w:szCs w:val="20"/>
                <w:lang w:eastAsia="en-US"/>
              </w:rPr>
            </w:pPr>
            <w:r w:rsidRPr="00101EB3">
              <w:rPr>
                <w:rFonts w:eastAsia="Calibri"/>
                <w:b/>
                <w:sz w:val="22"/>
                <w:szCs w:val="20"/>
                <w:lang w:eastAsia="en-US"/>
              </w:rPr>
              <w:t>-Porcentaje del PIB-</w:t>
            </w:r>
          </w:p>
        </w:tc>
      </w:tr>
      <w:tr w:rsidR="00101EB3" w:rsidRPr="00101EB3" w14:paraId="0E1F99F7" w14:textId="77777777" w:rsidTr="00101EB3">
        <w:trPr>
          <w:jc w:val="center"/>
        </w:trPr>
        <w:tc>
          <w:tcPr>
            <w:tcW w:w="2369" w:type="dxa"/>
            <w:vMerge w:val="restart"/>
            <w:tcBorders>
              <w:top w:val="single" w:sz="4" w:space="0" w:color="auto"/>
              <w:left w:val="single" w:sz="4" w:space="0" w:color="auto"/>
              <w:right w:val="single" w:sz="4" w:space="0" w:color="auto"/>
            </w:tcBorders>
            <w:vAlign w:val="center"/>
          </w:tcPr>
          <w:p w14:paraId="46CB8FA9" w14:textId="0618E48A"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Petrocaribe:</w:t>
            </w:r>
          </w:p>
        </w:tc>
        <w:tc>
          <w:tcPr>
            <w:tcW w:w="4778" w:type="dxa"/>
            <w:gridSpan w:val="3"/>
            <w:tcBorders>
              <w:top w:val="single" w:sz="4" w:space="0" w:color="auto"/>
              <w:left w:val="single" w:sz="4" w:space="0" w:color="auto"/>
              <w:bottom w:val="single" w:sz="4" w:space="0" w:color="auto"/>
              <w:right w:val="single" w:sz="4" w:space="0" w:color="auto"/>
            </w:tcBorders>
          </w:tcPr>
          <w:p w14:paraId="0A533212"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Continúan</w:t>
            </w:r>
          </w:p>
        </w:tc>
        <w:tc>
          <w:tcPr>
            <w:tcW w:w="1693" w:type="dxa"/>
            <w:tcBorders>
              <w:top w:val="single" w:sz="4" w:space="0" w:color="auto"/>
              <w:left w:val="single" w:sz="4" w:space="0" w:color="auto"/>
              <w:bottom w:val="single" w:sz="4" w:space="0" w:color="auto"/>
              <w:right w:val="single" w:sz="4" w:space="0" w:color="auto"/>
            </w:tcBorders>
          </w:tcPr>
          <w:p w14:paraId="34B490B1"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Se interrumpen</w:t>
            </w:r>
          </w:p>
        </w:tc>
      </w:tr>
      <w:tr w:rsidR="00101EB3" w:rsidRPr="00101EB3" w14:paraId="2053E802" w14:textId="77777777" w:rsidTr="00101EB3">
        <w:trPr>
          <w:jc w:val="center"/>
        </w:trPr>
        <w:tc>
          <w:tcPr>
            <w:tcW w:w="2369" w:type="dxa"/>
            <w:vMerge/>
            <w:tcBorders>
              <w:left w:val="single" w:sz="4" w:space="0" w:color="auto"/>
              <w:bottom w:val="single" w:sz="4" w:space="0" w:color="auto"/>
              <w:right w:val="single" w:sz="4" w:space="0" w:color="auto"/>
            </w:tcBorders>
            <w:vAlign w:val="center"/>
          </w:tcPr>
          <w:p w14:paraId="6D624D07" w14:textId="1A13D681" w:rsidR="00101EB3" w:rsidRPr="00101EB3" w:rsidRDefault="00101EB3" w:rsidP="00101EB3">
            <w:pPr>
              <w:jc w:val="center"/>
              <w:rPr>
                <w:rFonts w:eastAsia="Calibri"/>
                <w:b/>
                <w:sz w:val="20"/>
                <w:szCs w:val="20"/>
                <w:lang w:eastAsia="en-US"/>
              </w:rPr>
            </w:pPr>
          </w:p>
        </w:tc>
        <w:tc>
          <w:tcPr>
            <w:tcW w:w="1598" w:type="dxa"/>
            <w:tcBorders>
              <w:top w:val="single" w:sz="4" w:space="0" w:color="auto"/>
              <w:left w:val="single" w:sz="4" w:space="0" w:color="auto"/>
              <w:bottom w:val="single" w:sz="4" w:space="0" w:color="auto"/>
              <w:right w:val="single" w:sz="4" w:space="0" w:color="auto"/>
            </w:tcBorders>
            <w:vAlign w:val="center"/>
          </w:tcPr>
          <w:p w14:paraId="6F31FD80"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Descenso déficit comercial de petróleo (A)</w:t>
            </w:r>
          </w:p>
        </w:tc>
        <w:tc>
          <w:tcPr>
            <w:tcW w:w="1548" w:type="dxa"/>
            <w:tcBorders>
              <w:top w:val="single" w:sz="4" w:space="0" w:color="auto"/>
              <w:left w:val="single" w:sz="4" w:space="0" w:color="auto"/>
              <w:bottom w:val="single" w:sz="4" w:space="0" w:color="auto"/>
              <w:right w:val="single" w:sz="4" w:space="0" w:color="auto"/>
            </w:tcBorders>
            <w:vAlign w:val="center"/>
          </w:tcPr>
          <w:p w14:paraId="6BD7105B"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Descenso financiero de Petrocaribe (B)</w:t>
            </w:r>
          </w:p>
        </w:tc>
        <w:tc>
          <w:tcPr>
            <w:tcW w:w="1632" w:type="dxa"/>
            <w:tcBorders>
              <w:top w:val="single" w:sz="4" w:space="0" w:color="auto"/>
              <w:left w:val="single" w:sz="4" w:space="0" w:color="auto"/>
              <w:bottom w:val="single" w:sz="4" w:space="0" w:color="auto"/>
              <w:right w:val="single" w:sz="4" w:space="0" w:color="auto"/>
            </w:tcBorders>
            <w:vAlign w:val="center"/>
          </w:tcPr>
          <w:p w14:paraId="349B72D0"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Mejora de la posición externa (A-B)</w:t>
            </w:r>
          </w:p>
        </w:tc>
        <w:tc>
          <w:tcPr>
            <w:tcW w:w="1693" w:type="dxa"/>
            <w:tcBorders>
              <w:top w:val="single" w:sz="4" w:space="0" w:color="auto"/>
              <w:left w:val="single" w:sz="4" w:space="0" w:color="auto"/>
              <w:bottom w:val="single" w:sz="4" w:space="0" w:color="auto"/>
              <w:right w:val="single" w:sz="4" w:space="0" w:color="auto"/>
            </w:tcBorders>
            <w:vAlign w:val="center"/>
          </w:tcPr>
          <w:p w14:paraId="4A9063DD" w14:textId="77777777" w:rsidR="00101EB3" w:rsidRPr="00101EB3" w:rsidRDefault="00101EB3" w:rsidP="00101EB3">
            <w:pPr>
              <w:jc w:val="center"/>
              <w:rPr>
                <w:rFonts w:eastAsia="Calibri"/>
                <w:b/>
                <w:sz w:val="20"/>
                <w:szCs w:val="20"/>
                <w:lang w:eastAsia="en-US"/>
              </w:rPr>
            </w:pPr>
            <w:r w:rsidRPr="00101EB3">
              <w:rPr>
                <w:rFonts w:eastAsia="Calibri"/>
                <w:b/>
                <w:sz w:val="20"/>
                <w:szCs w:val="20"/>
                <w:lang w:eastAsia="en-US"/>
              </w:rPr>
              <w:t>Mejora de la posición externa</w:t>
            </w:r>
          </w:p>
        </w:tc>
      </w:tr>
      <w:tr w:rsidR="00101EB3" w:rsidRPr="00101EB3" w14:paraId="153C13B3" w14:textId="77777777" w:rsidTr="00101EB3">
        <w:trPr>
          <w:jc w:val="center"/>
        </w:trPr>
        <w:tc>
          <w:tcPr>
            <w:tcW w:w="2369" w:type="dxa"/>
            <w:tcBorders>
              <w:top w:val="single" w:sz="4" w:space="0" w:color="auto"/>
              <w:left w:val="single" w:sz="4" w:space="0" w:color="auto"/>
              <w:right w:val="single" w:sz="4" w:space="0" w:color="auto"/>
            </w:tcBorders>
          </w:tcPr>
          <w:p w14:paraId="4DF85C95"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Antigua</w:t>
            </w:r>
          </w:p>
        </w:tc>
        <w:tc>
          <w:tcPr>
            <w:tcW w:w="1598" w:type="dxa"/>
            <w:tcBorders>
              <w:top w:val="single" w:sz="4" w:space="0" w:color="auto"/>
              <w:left w:val="single" w:sz="4" w:space="0" w:color="auto"/>
              <w:right w:val="single" w:sz="4" w:space="0" w:color="auto"/>
            </w:tcBorders>
          </w:tcPr>
          <w:p w14:paraId="4C04A163"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5.1</w:t>
            </w:r>
          </w:p>
        </w:tc>
        <w:tc>
          <w:tcPr>
            <w:tcW w:w="1548" w:type="dxa"/>
            <w:tcBorders>
              <w:top w:val="single" w:sz="4" w:space="0" w:color="auto"/>
              <w:left w:val="single" w:sz="4" w:space="0" w:color="auto"/>
              <w:right w:val="single" w:sz="4" w:space="0" w:color="auto"/>
            </w:tcBorders>
          </w:tcPr>
          <w:p w14:paraId="68B023F6"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1.3</w:t>
            </w:r>
          </w:p>
        </w:tc>
        <w:tc>
          <w:tcPr>
            <w:tcW w:w="1632" w:type="dxa"/>
            <w:tcBorders>
              <w:top w:val="single" w:sz="4" w:space="0" w:color="auto"/>
              <w:left w:val="single" w:sz="4" w:space="0" w:color="auto"/>
              <w:right w:val="single" w:sz="4" w:space="0" w:color="auto"/>
            </w:tcBorders>
          </w:tcPr>
          <w:p w14:paraId="48607BC5"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3.8</w:t>
            </w:r>
          </w:p>
        </w:tc>
        <w:tc>
          <w:tcPr>
            <w:tcW w:w="1693" w:type="dxa"/>
            <w:tcBorders>
              <w:top w:val="single" w:sz="4" w:space="0" w:color="auto"/>
              <w:left w:val="single" w:sz="4" w:space="0" w:color="auto"/>
              <w:right w:val="single" w:sz="4" w:space="0" w:color="auto"/>
            </w:tcBorders>
          </w:tcPr>
          <w:p w14:paraId="38790185"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3.1</w:t>
            </w:r>
          </w:p>
        </w:tc>
      </w:tr>
      <w:tr w:rsidR="00101EB3" w:rsidRPr="00101EB3" w14:paraId="44C8452A" w14:textId="77777777" w:rsidTr="00101EB3">
        <w:trPr>
          <w:jc w:val="center"/>
        </w:trPr>
        <w:tc>
          <w:tcPr>
            <w:tcW w:w="2369" w:type="dxa"/>
            <w:tcBorders>
              <w:left w:val="single" w:sz="4" w:space="0" w:color="auto"/>
              <w:right w:val="single" w:sz="4" w:space="0" w:color="auto"/>
            </w:tcBorders>
          </w:tcPr>
          <w:p w14:paraId="3CCC7F56"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Belice</w:t>
            </w:r>
          </w:p>
        </w:tc>
        <w:tc>
          <w:tcPr>
            <w:tcW w:w="1598" w:type="dxa"/>
            <w:tcBorders>
              <w:left w:val="single" w:sz="4" w:space="0" w:color="auto"/>
              <w:right w:val="single" w:sz="4" w:space="0" w:color="auto"/>
            </w:tcBorders>
          </w:tcPr>
          <w:p w14:paraId="0C3DE0C2"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2.4</w:t>
            </w:r>
          </w:p>
        </w:tc>
        <w:tc>
          <w:tcPr>
            <w:tcW w:w="1548" w:type="dxa"/>
            <w:tcBorders>
              <w:left w:val="single" w:sz="4" w:space="0" w:color="auto"/>
              <w:right w:val="single" w:sz="4" w:space="0" w:color="auto"/>
            </w:tcBorders>
          </w:tcPr>
          <w:p w14:paraId="3CE43623"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2.4</w:t>
            </w:r>
          </w:p>
        </w:tc>
        <w:tc>
          <w:tcPr>
            <w:tcW w:w="1632" w:type="dxa"/>
            <w:tcBorders>
              <w:left w:val="single" w:sz="4" w:space="0" w:color="auto"/>
              <w:right w:val="single" w:sz="4" w:space="0" w:color="auto"/>
            </w:tcBorders>
          </w:tcPr>
          <w:p w14:paraId="19FDB761"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0.0</w:t>
            </w:r>
          </w:p>
        </w:tc>
        <w:tc>
          <w:tcPr>
            <w:tcW w:w="1693" w:type="dxa"/>
            <w:tcBorders>
              <w:left w:val="single" w:sz="4" w:space="0" w:color="auto"/>
              <w:right w:val="single" w:sz="4" w:space="0" w:color="auto"/>
            </w:tcBorders>
          </w:tcPr>
          <w:p w14:paraId="3570D5D6"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-1.0</w:t>
            </w:r>
          </w:p>
        </w:tc>
      </w:tr>
      <w:tr w:rsidR="00101EB3" w:rsidRPr="00101EB3" w14:paraId="0DFE4382" w14:textId="77777777" w:rsidTr="00101EB3">
        <w:trPr>
          <w:jc w:val="center"/>
        </w:trPr>
        <w:tc>
          <w:tcPr>
            <w:tcW w:w="2369" w:type="dxa"/>
            <w:tcBorders>
              <w:left w:val="single" w:sz="4" w:space="0" w:color="auto"/>
              <w:right w:val="single" w:sz="4" w:space="0" w:color="auto"/>
            </w:tcBorders>
          </w:tcPr>
          <w:p w14:paraId="52122E9A" w14:textId="6C13C935" w:rsidR="00101EB3" w:rsidRPr="00101EB3" w:rsidRDefault="00101EB3" w:rsidP="00101EB3">
            <w:pPr>
              <w:jc w:val="both"/>
              <w:rPr>
                <w:rFonts w:eastAsia="Calibri"/>
                <w:sz w:val="20"/>
                <w:szCs w:val="20"/>
                <w:lang w:eastAsia="en-US"/>
              </w:rPr>
            </w:pPr>
            <w:r w:rsidRPr="00101EB3">
              <w:rPr>
                <w:rFonts w:eastAsia="Calibri"/>
                <w:sz w:val="20"/>
                <w:szCs w:val="20"/>
                <w:lang w:eastAsia="en-US"/>
              </w:rPr>
              <w:t>Dominica</w:t>
            </w:r>
          </w:p>
        </w:tc>
        <w:tc>
          <w:tcPr>
            <w:tcW w:w="1598" w:type="dxa"/>
            <w:tcBorders>
              <w:left w:val="single" w:sz="4" w:space="0" w:color="auto"/>
              <w:right w:val="single" w:sz="4" w:space="0" w:color="auto"/>
            </w:tcBorders>
          </w:tcPr>
          <w:p w14:paraId="1E92BBB0"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2.2</w:t>
            </w:r>
          </w:p>
        </w:tc>
        <w:tc>
          <w:tcPr>
            <w:tcW w:w="1548" w:type="dxa"/>
            <w:tcBorders>
              <w:left w:val="single" w:sz="4" w:space="0" w:color="auto"/>
              <w:right w:val="single" w:sz="4" w:space="0" w:color="auto"/>
            </w:tcBorders>
          </w:tcPr>
          <w:p w14:paraId="7E371E6F"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0.4</w:t>
            </w:r>
          </w:p>
        </w:tc>
        <w:tc>
          <w:tcPr>
            <w:tcW w:w="1632" w:type="dxa"/>
            <w:tcBorders>
              <w:left w:val="single" w:sz="4" w:space="0" w:color="auto"/>
              <w:right w:val="single" w:sz="4" w:space="0" w:color="auto"/>
            </w:tcBorders>
          </w:tcPr>
          <w:p w14:paraId="23977DD0"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1.8</w:t>
            </w:r>
          </w:p>
        </w:tc>
        <w:tc>
          <w:tcPr>
            <w:tcW w:w="1693" w:type="dxa"/>
            <w:tcBorders>
              <w:left w:val="single" w:sz="4" w:space="0" w:color="auto"/>
              <w:right w:val="single" w:sz="4" w:space="0" w:color="auto"/>
            </w:tcBorders>
          </w:tcPr>
          <w:p w14:paraId="05C26736"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0.6</w:t>
            </w:r>
          </w:p>
        </w:tc>
      </w:tr>
      <w:tr w:rsidR="00101EB3" w:rsidRPr="00101EB3" w14:paraId="4DDA9621" w14:textId="77777777" w:rsidTr="00101EB3">
        <w:trPr>
          <w:jc w:val="center"/>
        </w:trPr>
        <w:tc>
          <w:tcPr>
            <w:tcW w:w="2369" w:type="dxa"/>
            <w:tcBorders>
              <w:left w:val="single" w:sz="4" w:space="0" w:color="auto"/>
              <w:right w:val="single" w:sz="4" w:space="0" w:color="auto"/>
            </w:tcBorders>
          </w:tcPr>
          <w:p w14:paraId="6E70913D"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República dominicana</w:t>
            </w:r>
          </w:p>
        </w:tc>
        <w:tc>
          <w:tcPr>
            <w:tcW w:w="1598" w:type="dxa"/>
            <w:tcBorders>
              <w:left w:val="single" w:sz="4" w:space="0" w:color="auto"/>
              <w:right w:val="single" w:sz="4" w:space="0" w:color="auto"/>
            </w:tcBorders>
          </w:tcPr>
          <w:p w14:paraId="6F80C825"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2.3</w:t>
            </w:r>
          </w:p>
        </w:tc>
        <w:tc>
          <w:tcPr>
            <w:tcW w:w="1548" w:type="dxa"/>
            <w:tcBorders>
              <w:left w:val="single" w:sz="4" w:space="0" w:color="auto"/>
              <w:right w:val="single" w:sz="4" w:space="0" w:color="auto"/>
            </w:tcBorders>
          </w:tcPr>
          <w:p w14:paraId="3A8B1E5D"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0.4</w:t>
            </w:r>
          </w:p>
        </w:tc>
        <w:tc>
          <w:tcPr>
            <w:tcW w:w="1632" w:type="dxa"/>
            <w:tcBorders>
              <w:left w:val="single" w:sz="4" w:space="0" w:color="auto"/>
              <w:right w:val="single" w:sz="4" w:space="0" w:color="auto"/>
            </w:tcBorders>
          </w:tcPr>
          <w:p w14:paraId="0618B76C"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1.9</w:t>
            </w:r>
          </w:p>
        </w:tc>
        <w:tc>
          <w:tcPr>
            <w:tcW w:w="1693" w:type="dxa"/>
            <w:tcBorders>
              <w:left w:val="single" w:sz="4" w:space="0" w:color="auto"/>
              <w:right w:val="single" w:sz="4" w:space="0" w:color="auto"/>
            </w:tcBorders>
          </w:tcPr>
          <w:p w14:paraId="7D415158"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1.5</w:t>
            </w:r>
          </w:p>
        </w:tc>
      </w:tr>
      <w:tr w:rsidR="00101EB3" w:rsidRPr="00101EB3" w14:paraId="22CD1FB2" w14:textId="77777777" w:rsidTr="00101EB3">
        <w:trPr>
          <w:jc w:val="center"/>
        </w:trPr>
        <w:tc>
          <w:tcPr>
            <w:tcW w:w="2369" w:type="dxa"/>
            <w:tcBorders>
              <w:left w:val="single" w:sz="4" w:space="0" w:color="auto"/>
              <w:right w:val="single" w:sz="4" w:space="0" w:color="auto"/>
            </w:tcBorders>
          </w:tcPr>
          <w:p w14:paraId="55BE3EE3"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Granada</w:t>
            </w:r>
          </w:p>
        </w:tc>
        <w:tc>
          <w:tcPr>
            <w:tcW w:w="1598" w:type="dxa"/>
            <w:tcBorders>
              <w:left w:val="single" w:sz="4" w:space="0" w:color="auto"/>
              <w:right w:val="single" w:sz="4" w:space="0" w:color="auto"/>
            </w:tcBorders>
          </w:tcPr>
          <w:p w14:paraId="7E7F6E91"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3.1</w:t>
            </w:r>
          </w:p>
        </w:tc>
        <w:tc>
          <w:tcPr>
            <w:tcW w:w="1548" w:type="dxa"/>
            <w:tcBorders>
              <w:left w:val="single" w:sz="4" w:space="0" w:color="auto"/>
              <w:right w:val="single" w:sz="4" w:space="0" w:color="auto"/>
            </w:tcBorders>
          </w:tcPr>
          <w:p w14:paraId="79C1A449"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0.8</w:t>
            </w:r>
          </w:p>
        </w:tc>
        <w:tc>
          <w:tcPr>
            <w:tcW w:w="1632" w:type="dxa"/>
            <w:tcBorders>
              <w:left w:val="single" w:sz="4" w:space="0" w:color="auto"/>
              <w:right w:val="single" w:sz="4" w:space="0" w:color="auto"/>
            </w:tcBorders>
          </w:tcPr>
          <w:p w14:paraId="14C88F37"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2.3</w:t>
            </w:r>
          </w:p>
        </w:tc>
        <w:tc>
          <w:tcPr>
            <w:tcW w:w="1693" w:type="dxa"/>
            <w:tcBorders>
              <w:left w:val="single" w:sz="4" w:space="0" w:color="auto"/>
              <w:right w:val="single" w:sz="4" w:space="0" w:color="auto"/>
            </w:tcBorders>
          </w:tcPr>
          <w:p w14:paraId="6D2AECD9"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1.7</w:t>
            </w:r>
          </w:p>
        </w:tc>
      </w:tr>
      <w:tr w:rsidR="00101EB3" w:rsidRPr="00101EB3" w14:paraId="6A1D3334" w14:textId="77777777" w:rsidTr="00101EB3">
        <w:trPr>
          <w:jc w:val="center"/>
        </w:trPr>
        <w:tc>
          <w:tcPr>
            <w:tcW w:w="2369" w:type="dxa"/>
            <w:tcBorders>
              <w:left w:val="single" w:sz="4" w:space="0" w:color="auto"/>
              <w:right w:val="single" w:sz="4" w:space="0" w:color="auto"/>
            </w:tcBorders>
          </w:tcPr>
          <w:p w14:paraId="3245A1A4"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Guyana</w:t>
            </w:r>
          </w:p>
        </w:tc>
        <w:tc>
          <w:tcPr>
            <w:tcW w:w="1598" w:type="dxa"/>
            <w:tcBorders>
              <w:left w:val="single" w:sz="4" w:space="0" w:color="auto"/>
              <w:right w:val="single" w:sz="4" w:space="0" w:color="auto"/>
            </w:tcBorders>
          </w:tcPr>
          <w:p w14:paraId="3456F056"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8.6</w:t>
            </w:r>
          </w:p>
        </w:tc>
        <w:tc>
          <w:tcPr>
            <w:tcW w:w="1548" w:type="dxa"/>
            <w:tcBorders>
              <w:left w:val="single" w:sz="4" w:space="0" w:color="auto"/>
              <w:right w:val="single" w:sz="4" w:space="0" w:color="auto"/>
            </w:tcBorders>
          </w:tcPr>
          <w:p w14:paraId="064EF254"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1.6</w:t>
            </w:r>
          </w:p>
        </w:tc>
        <w:tc>
          <w:tcPr>
            <w:tcW w:w="1632" w:type="dxa"/>
            <w:tcBorders>
              <w:left w:val="single" w:sz="4" w:space="0" w:color="auto"/>
              <w:right w:val="single" w:sz="4" w:space="0" w:color="auto"/>
            </w:tcBorders>
          </w:tcPr>
          <w:p w14:paraId="1DB34740"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7.0</w:t>
            </w:r>
          </w:p>
        </w:tc>
        <w:tc>
          <w:tcPr>
            <w:tcW w:w="1693" w:type="dxa"/>
            <w:tcBorders>
              <w:left w:val="single" w:sz="4" w:space="0" w:color="auto"/>
              <w:right w:val="single" w:sz="4" w:space="0" w:color="auto"/>
            </w:tcBorders>
          </w:tcPr>
          <w:p w14:paraId="01C127B6"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3.9</w:t>
            </w:r>
          </w:p>
        </w:tc>
      </w:tr>
      <w:tr w:rsidR="00101EB3" w:rsidRPr="00101EB3" w14:paraId="7EA55973" w14:textId="77777777" w:rsidTr="00101EB3">
        <w:trPr>
          <w:jc w:val="center"/>
        </w:trPr>
        <w:tc>
          <w:tcPr>
            <w:tcW w:w="2369" w:type="dxa"/>
            <w:tcBorders>
              <w:left w:val="single" w:sz="4" w:space="0" w:color="auto"/>
              <w:right w:val="single" w:sz="4" w:space="0" w:color="auto"/>
            </w:tcBorders>
          </w:tcPr>
          <w:p w14:paraId="7D4233AC"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Haití</w:t>
            </w:r>
          </w:p>
        </w:tc>
        <w:tc>
          <w:tcPr>
            <w:tcW w:w="1598" w:type="dxa"/>
            <w:tcBorders>
              <w:left w:val="single" w:sz="4" w:space="0" w:color="auto"/>
              <w:right w:val="single" w:sz="4" w:space="0" w:color="auto"/>
            </w:tcBorders>
          </w:tcPr>
          <w:p w14:paraId="6FC53FE6"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4.1</w:t>
            </w:r>
          </w:p>
        </w:tc>
        <w:tc>
          <w:tcPr>
            <w:tcW w:w="1548" w:type="dxa"/>
            <w:tcBorders>
              <w:left w:val="single" w:sz="4" w:space="0" w:color="auto"/>
              <w:right w:val="single" w:sz="4" w:space="0" w:color="auto"/>
            </w:tcBorders>
          </w:tcPr>
          <w:p w14:paraId="7D31427A"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1.8</w:t>
            </w:r>
          </w:p>
        </w:tc>
        <w:tc>
          <w:tcPr>
            <w:tcW w:w="1632" w:type="dxa"/>
            <w:tcBorders>
              <w:left w:val="single" w:sz="4" w:space="0" w:color="auto"/>
              <w:right w:val="single" w:sz="4" w:space="0" w:color="auto"/>
            </w:tcBorders>
          </w:tcPr>
          <w:p w14:paraId="65D0401F"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2.3</w:t>
            </w:r>
          </w:p>
        </w:tc>
        <w:tc>
          <w:tcPr>
            <w:tcW w:w="1693" w:type="dxa"/>
            <w:tcBorders>
              <w:left w:val="single" w:sz="4" w:space="0" w:color="auto"/>
              <w:right w:val="single" w:sz="4" w:space="0" w:color="auto"/>
            </w:tcBorders>
          </w:tcPr>
          <w:p w14:paraId="0138E492"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0.0</w:t>
            </w:r>
          </w:p>
        </w:tc>
      </w:tr>
      <w:tr w:rsidR="00101EB3" w:rsidRPr="00101EB3" w14:paraId="4B910449" w14:textId="77777777" w:rsidTr="00101EB3">
        <w:trPr>
          <w:jc w:val="center"/>
        </w:trPr>
        <w:tc>
          <w:tcPr>
            <w:tcW w:w="2369" w:type="dxa"/>
            <w:tcBorders>
              <w:left w:val="single" w:sz="4" w:space="0" w:color="auto"/>
              <w:right w:val="single" w:sz="4" w:space="0" w:color="auto"/>
            </w:tcBorders>
          </w:tcPr>
          <w:p w14:paraId="28659B9F"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Jamaica</w:t>
            </w:r>
          </w:p>
        </w:tc>
        <w:tc>
          <w:tcPr>
            <w:tcW w:w="1598" w:type="dxa"/>
            <w:tcBorders>
              <w:left w:val="single" w:sz="4" w:space="0" w:color="auto"/>
              <w:right w:val="single" w:sz="4" w:space="0" w:color="auto"/>
            </w:tcBorders>
          </w:tcPr>
          <w:p w14:paraId="5D0FF81B"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4.0</w:t>
            </w:r>
          </w:p>
        </w:tc>
        <w:tc>
          <w:tcPr>
            <w:tcW w:w="1548" w:type="dxa"/>
            <w:tcBorders>
              <w:left w:val="single" w:sz="4" w:space="0" w:color="auto"/>
              <w:right w:val="single" w:sz="4" w:space="0" w:color="auto"/>
            </w:tcBorders>
          </w:tcPr>
          <w:p w14:paraId="48ADF960"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1.3</w:t>
            </w:r>
          </w:p>
        </w:tc>
        <w:tc>
          <w:tcPr>
            <w:tcW w:w="1632" w:type="dxa"/>
            <w:tcBorders>
              <w:left w:val="single" w:sz="4" w:space="0" w:color="auto"/>
              <w:right w:val="single" w:sz="4" w:space="0" w:color="auto"/>
            </w:tcBorders>
          </w:tcPr>
          <w:p w14:paraId="5544C259"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2.7</w:t>
            </w:r>
          </w:p>
        </w:tc>
        <w:tc>
          <w:tcPr>
            <w:tcW w:w="1693" w:type="dxa"/>
            <w:tcBorders>
              <w:left w:val="single" w:sz="4" w:space="0" w:color="auto"/>
              <w:right w:val="single" w:sz="4" w:space="0" w:color="auto"/>
            </w:tcBorders>
          </w:tcPr>
          <w:p w14:paraId="49E0AE71"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1.5</w:t>
            </w:r>
          </w:p>
        </w:tc>
      </w:tr>
      <w:tr w:rsidR="00101EB3" w:rsidRPr="00101EB3" w14:paraId="165F37A3" w14:textId="77777777" w:rsidTr="00101EB3">
        <w:trPr>
          <w:jc w:val="center"/>
        </w:trPr>
        <w:tc>
          <w:tcPr>
            <w:tcW w:w="2369" w:type="dxa"/>
            <w:tcBorders>
              <w:left w:val="single" w:sz="4" w:space="0" w:color="auto"/>
              <w:right w:val="single" w:sz="4" w:space="0" w:color="auto"/>
            </w:tcBorders>
          </w:tcPr>
          <w:p w14:paraId="155E3931"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Nicaragua</w:t>
            </w:r>
          </w:p>
        </w:tc>
        <w:tc>
          <w:tcPr>
            <w:tcW w:w="1598" w:type="dxa"/>
            <w:tcBorders>
              <w:left w:val="single" w:sz="4" w:space="0" w:color="auto"/>
              <w:right w:val="single" w:sz="4" w:space="0" w:color="auto"/>
            </w:tcBorders>
          </w:tcPr>
          <w:p w14:paraId="5AC4CA04"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4.0</w:t>
            </w:r>
          </w:p>
        </w:tc>
        <w:tc>
          <w:tcPr>
            <w:tcW w:w="1548" w:type="dxa"/>
            <w:tcBorders>
              <w:left w:val="single" w:sz="4" w:space="0" w:color="auto"/>
              <w:right w:val="single" w:sz="4" w:space="0" w:color="auto"/>
            </w:tcBorders>
          </w:tcPr>
          <w:p w14:paraId="4A86E4A7"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1.8</w:t>
            </w:r>
          </w:p>
        </w:tc>
        <w:tc>
          <w:tcPr>
            <w:tcW w:w="1632" w:type="dxa"/>
            <w:tcBorders>
              <w:left w:val="single" w:sz="4" w:space="0" w:color="auto"/>
              <w:right w:val="single" w:sz="4" w:space="0" w:color="auto"/>
            </w:tcBorders>
          </w:tcPr>
          <w:p w14:paraId="33FEB568"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2.2</w:t>
            </w:r>
          </w:p>
        </w:tc>
        <w:tc>
          <w:tcPr>
            <w:tcW w:w="1693" w:type="dxa"/>
            <w:tcBorders>
              <w:left w:val="single" w:sz="4" w:space="0" w:color="auto"/>
              <w:right w:val="single" w:sz="4" w:space="0" w:color="auto"/>
            </w:tcBorders>
          </w:tcPr>
          <w:p w14:paraId="4D822F59"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-0.3</w:t>
            </w:r>
          </w:p>
        </w:tc>
      </w:tr>
      <w:tr w:rsidR="00101EB3" w:rsidRPr="00101EB3" w14:paraId="2D14BFC2" w14:textId="77777777" w:rsidTr="00101EB3">
        <w:trPr>
          <w:jc w:val="center"/>
        </w:trPr>
        <w:tc>
          <w:tcPr>
            <w:tcW w:w="2369" w:type="dxa"/>
            <w:tcBorders>
              <w:left w:val="single" w:sz="4" w:space="0" w:color="auto"/>
              <w:right w:val="single" w:sz="4" w:space="0" w:color="auto"/>
            </w:tcBorders>
          </w:tcPr>
          <w:p w14:paraId="5DE61492"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San Cristóbal y Nieves</w:t>
            </w:r>
          </w:p>
        </w:tc>
        <w:tc>
          <w:tcPr>
            <w:tcW w:w="1598" w:type="dxa"/>
            <w:tcBorders>
              <w:left w:val="single" w:sz="4" w:space="0" w:color="auto"/>
              <w:right w:val="single" w:sz="4" w:space="0" w:color="auto"/>
            </w:tcBorders>
          </w:tcPr>
          <w:p w14:paraId="5EB01342"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1.9</w:t>
            </w:r>
          </w:p>
        </w:tc>
        <w:tc>
          <w:tcPr>
            <w:tcW w:w="1548" w:type="dxa"/>
            <w:tcBorders>
              <w:left w:val="single" w:sz="4" w:space="0" w:color="auto"/>
              <w:right w:val="single" w:sz="4" w:space="0" w:color="auto"/>
            </w:tcBorders>
          </w:tcPr>
          <w:p w14:paraId="23DFAC3C"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0.7</w:t>
            </w:r>
          </w:p>
        </w:tc>
        <w:tc>
          <w:tcPr>
            <w:tcW w:w="1632" w:type="dxa"/>
            <w:tcBorders>
              <w:left w:val="single" w:sz="4" w:space="0" w:color="auto"/>
              <w:right w:val="single" w:sz="4" w:space="0" w:color="auto"/>
            </w:tcBorders>
          </w:tcPr>
          <w:p w14:paraId="56DF4ACB"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1.2</w:t>
            </w:r>
          </w:p>
        </w:tc>
        <w:tc>
          <w:tcPr>
            <w:tcW w:w="1693" w:type="dxa"/>
            <w:tcBorders>
              <w:left w:val="single" w:sz="4" w:space="0" w:color="auto"/>
              <w:right w:val="single" w:sz="4" w:space="0" w:color="auto"/>
            </w:tcBorders>
          </w:tcPr>
          <w:p w14:paraId="4F453526"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0.6</w:t>
            </w:r>
          </w:p>
        </w:tc>
      </w:tr>
      <w:tr w:rsidR="00101EB3" w:rsidRPr="00101EB3" w14:paraId="14E8F9CC" w14:textId="77777777" w:rsidTr="00101EB3">
        <w:trPr>
          <w:jc w:val="center"/>
        </w:trPr>
        <w:tc>
          <w:tcPr>
            <w:tcW w:w="2369" w:type="dxa"/>
            <w:tcBorders>
              <w:left w:val="single" w:sz="4" w:space="0" w:color="auto"/>
              <w:right w:val="single" w:sz="4" w:space="0" w:color="auto"/>
            </w:tcBorders>
          </w:tcPr>
          <w:p w14:paraId="100D3DDC"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Santa Lucia</w:t>
            </w:r>
          </w:p>
        </w:tc>
        <w:tc>
          <w:tcPr>
            <w:tcW w:w="1598" w:type="dxa"/>
            <w:tcBorders>
              <w:left w:val="single" w:sz="4" w:space="0" w:color="auto"/>
              <w:right w:val="single" w:sz="4" w:space="0" w:color="auto"/>
            </w:tcBorders>
          </w:tcPr>
          <w:p w14:paraId="670AE63A"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1.5</w:t>
            </w:r>
          </w:p>
        </w:tc>
        <w:tc>
          <w:tcPr>
            <w:tcW w:w="1548" w:type="dxa"/>
            <w:tcBorders>
              <w:left w:val="single" w:sz="4" w:space="0" w:color="auto"/>
              <w:right w:val="single" w:sz="4" w:space="0" w:color="auto"/>
            </w:tcBorders>
          </w:tcPr>
          <w:p w14:paraId="282F3FF3"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0.0</w:t>
            </w:r>
          </w:p>
        </w:tc>
        <w:tc>
          <w:tcPr>
            <w:tcW w:w="1632" w:type="dxa"/>
            <w:tcBorders>
              <w:left w:val="single" w:sz="4" w:space="0" w:color="auto"/>
              <w:right w:val="single" w:sz="4" w:space="0" w:color="auto"/>
            </w:tcBorders>
          </w:tcPr>
          <w:p w14:paraId="37B510F0"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1.5</w:t>
            </w:r>
          </w:p>
        </w:tc>
        <w:tc>
          <w:tcPr>
            <w:tcW w:w="1693" w:type="dxa"/>
            <w:tcBorders>
              <w:left w:val="single" w:sz="4" w:space="0" w:color="auto"/>
              <w:right w:val="single" w:sz="4" w:space="0" w:color="auto"/>
            </w:tcBorders>
          </w:tcPr>
          <w:p w14:paraId="3857A1DA"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1.5</w:t>
            </w:r>
          </w:p>
        </w:tc>
      </w:tr>
      <w:tr w:rsidR="00101EB3" w:rsidRPr="00101EB3" w14:paraId="6000DA01" w14:textId="77777777" w:rsidTr="00101EB3">
        <w:trPr>
          <w:jc w:val="center"/>
        </w:trPr>
        <w:tc>
          <w:tcPr>
            <w:tcW w:w="2369" w:type="dxa"/>
            <w:tcBorders>
              <w:left w:val="single" w:sz="4" w:space="0" w:color="auto"/>
              <w:right w:val="single" w:sz="4" w:space="0" w:color="auto"/>
            </w:tcBorders>
          </w:tcPr>
          <w:p w14:paraId="48C3B32B"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San Vicente y las Granadas</w:t>
            </w:r>
          </w:p>
        </w:tc>
        <w:tc>
          <w:tcPr>
            <w:tcW w:w="1598" w:type="dxa"/>
            <w:tcBorders>
              <w:left w:val="single" w:sz="4" w:space="0" w:color="auto"/>
              <w:right w:val="single" w:sz="4" w:space="0" w:color="auto"/>
            </w:tcBorders>
          </w:tcPr>
          <w:p w14:paraId="16BD4AF8"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1.8</w:t>
            </w:r>
          </w:p>
        </w:tc>
        <w:tc>
          <w:tcPr>
            <w:tcW w:w="1548" w:type="dxa"/>
            <w:tcBorders>
              <w:left w:val="single" w:sz="4" w:space="0" w:color="auto"/>
              <w:right w:val="single" w:sz="4" w:space="0" w:color="auto"/>
            </w:tcBorders>
          </w:tcPr>
          <w:p w14:paraId="76F1D778"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0.7</w:t>
            </w:r>
          </w:p>
        </w:tc>
        <w:tc>
          <w:tcPr>
            <w:tcW w:w="1632" w:type="dxa"/>
            <w:tcBorders>
              <w:left w:val="single" w:sz="4" w:space="0" w:color="auto"/>
              <w:right w:val="single" w:sz="4" w:space="0" w:color="auto"/>
            </w:tcBorders>
          </w:tcPr>
          <w:p w14:paraId="36E40C75"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1.1</w:t>
            </w:r>
          </w:p>
        </w:tc>
        <w:tc>
          <w:tcPr>
            <w:tcW w:w="1693" w:type="dxa"/>
            <w:tcBorders>
              <w:left w:val="single" w:sz="4" w:space="0" w:color="auto"/>
              <w:right w:val="single" w:sz="4" w:space="0" w:color="auto"/>
            </w:tcBorders>
          </w:tcPr>
          <w:p w14:paraId="65BEB3B3"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0.4</w:t>
            </w:r>
          </w:p>
        </w:tc>
      </w:tr>
      <w:tr w:rsidR="00101EB3" w:rsidRPr="00101EB3" w14:paraId="30A1078C" w14:textId="77777777" w:rsidTr="00101EB3">
        <w:trPr>
          <w:jc w:val="center"/>
        </w:trPr>
        <w:tc>
          <w:tcPr>
            <w:tcW w:w="2369" w:type="dxa"/>
            <w:tcBorders>
              <w:left w:val="single" w:sz="4" w:space="0" w:color="auto"/>
              <w:right w:val="single" w:sz="4" w:space="0" w:color="auto"/>
            </w:tcBorders>
          </w:tcPr>
          <w:p w14:paraId="1BB83B7F"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Suriname</w:t>
            </w:r>
          </w:p>
        </w:tc>
        <w:tc>
          <w:tcPr>
            <w:tcW w:w="1598" w:type="dxa"/>
            <w:tcBorders>
              <w:left w:val="single" w:sz="4" w:space="0" w:color="auto"/>
              <w:right w:val="single" w:sz="4" w:space="0" w:color="auto"/>
            </w:tcBorders>
          </w:tcPr>
          <w:p w14:paraId="05CF3688"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5.0</w:t>
            </w:r>
          </w:p>
        </w:tc>
        <w:tc>
          <w:tcPr>
            <w:tcW w:w="1548" w:type="dxa"/>
            <w:tcBorders>
              <w:left w:val="single" w:sz="4" w:space="0" w:color="auto"/>
              <w:right w:val="single" w:sz="4" w:space="0" w:color="auto"/>
            </w:tcBorders>
          </w:tcPr>
          <w:p w14:paraId="796BA624"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0.0</w:t>
            </w:r>
          </w:p>
        </w:tc>
        <w:tc>
          <w:tcPr>
            <w:tcW w:w="1632" w:type="dxa"/>
            <w:tcBorders>
              <w:left w:val="single" w:sz="4" w:space="0" w:color="auto"/>
              <w:right w:val="single" w:sz="4" w:space="0" w:color="auto"/>
            </w:tcBorders>
          </w:tcPr>
          <w:p w14:paraId="31D1AFC3"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5.0</w:t>
            </w:r>
          </w:p>
        </w:tc>
        <w:tc>
          <w:tcPr>
            <w:tcW w:w="1693" w:type="dxa"/>
            <w:tcBorders>
              <w:left w:val="single" w:sz="4" w:space="0" w:color="auto"/>
              <w:right w:val="single" w:sz="4" w:space="0" w:color="auto"/>
            </w:tcBorders>
          </w:tcPr>
          <w:p w14:paraId="545088E8"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5.0</w:t>
            </w:r>
          </w:p>
        </w:tc>
      </w:tr>
      <w:tr w:rsidR="00101EB3" w:rsidRPr="00101EB3" w14:paraId="452B1435" w14:textId="77777777" w:rsidTr="00101EB3">
        <w:trPr>
          <w:jc w:val="center"/>
        </w:trPr>
        <w:tc>
          <w:tcPr>
            <w:tcW w:w="2369" w:type="dxa"/>
            <w:tcBorders>
              <w:left w:val="single" w:sz="4" w:space="0" w:color="auto"/>
              <w:bottom w:val="single" w:sz="4" w:space="0" w:color="auto"/>
              <w:right w:val="single" w:sz="4" w:space="0" w:color="auto"/>
            </w:tcBorders>
          </w:tcPr>
          <w:p w14:paraId="2CAB427A"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Promedio</w:t>
            </w:r>
          </w:p>
        </w:tc>
        <w:tc>
          <w:tcPr>
            <w:tcW w:w="1598" w:type="dxa"/>
            <w:tcBorders>
              <w:left w:val="single" w:sz="4" w:space="0" w:color="auto"/>
              <w:bottom w:val="single" w:sz="4" w:space="0" w:color="auto"/>
              <w:right w:val="single" w:sz="4" w:space="0" w:color="auto"/>
            </w:tcBorders>
          </w:tcPr>
          <w:p w14:paraId="41221A23"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3.5</w:t>
            </w:r>
          </w:p>
        </w:tc>
        <w:tc>
          <w:tcPr>
            <w:tcW w:w="1548" w:type="dxa"/>
            <w:tcBorders>
              <w:left w:val="single" w:sz="4" w:space="0" w:color="auto"/>
              <w:bottom w:val="single" w:sz="4" w:space="0" w:color="auto"/>
              <w:right w:val="single" w:sz="4" w:space="0" w:color="auto"/>
            </w:tcBorders>
          </w:tcPr>
          <w:p w14:paraId="5451860F"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1.0</w:t>
            </w:r>
          </w:p>
        </w:tc>
        <w:tc>
          <w:tcPr>
            <w:tcW w:w="1632" w:type="dxa"/>
            <w:tcBorders>
              <w:left w:val="single" w:sz="4" w:space="0" w:color="auto"/>
              <w:bottom w:val="single" w:sz="4" w:space="0" w:color="auto"/>
              <w:right w:val="single" w:sz="4" w:space="0" w:color="auto"/>
            </w:tcBorders>
          </w:tcPr>
          <w:p w14:paraId="5690C304" w14:textId="77777777" w:rsidR="00101EB3" w:rsidRPr="00101EB3" w:rsidRDefault="00101EB3" w:rsidP="00101EB3">
            <w:pPr>
              <w:jc w:val="center"/>
              <w:rPr>
                <w:rFonts w:eastAsia="Calibri"/>
                <w:sz w:val="20"/>
                <w:szCs w:val="20"/>
                <w:lang w:eastAsia="en-US"/>
              </w:rPr>
            </w:pPr>
            <w:r w:rsidRPr="00101EB3">
              <w:rPr>
                <w:rFonts w:eastAsia="Calibri"/>
                <w:sz w:val="20"/>
                <w:szCs w:val="20"/>
                <w:lang w:eastAsia="en-US"/>
              </w:rPr>
              <w:t>2.5</w:t>
            </w:r>
          </w:p>
        </w:tc>
        <w:tc>
          <w:tcPr>
            <w:tcW w:w="1693" w:type="dxa"/>
            <w:tcBorders>
              <w:left w:val="single" w:sz="4" w:space="0" w:color="auto"/>
              <w:bottom w:val="single" w:sz="4" w:space="0" w:color="auto"/>
              <w:right w:val="single" w:sz="4" w:space="0" w:color="auto"/>
            </w:tcBorders>
          </w:tcPr>
          <w:p w14:paraId="0A965AEE" w14:textId="77777777" w:rsidR="00101EB3" w:rsidRPr="00101EB3" w:rsidRDefault="00101EB3" w:rsidP="00101EB3">
            <w:pPr>
              <w:ind w:right="680"/>
              <w:jc w:val="right"/>
              <w:rPr>
                <w:rFonts w:eastAsia="Calibri"/>
                <w:sz w:val="20"/>
                <w:szCs w:val="20"/>
                <w:lang w:eastAsia="en-US"/>
              </w:rPr>
            </w:pPr>
            <w:r w:rsidRPr="00101EB3">
              <w:rPr>
                <w:rFonts w:eastAsia="Calibri"/>
                <w:sz w:val="20"/>
                <w:szCs w:val="20"/>
                <w:lang w:eastAsia="en-US"/>
              </w:rPr>
              <w:t>1.4</w:t>
            </w:r>
          </w:p>
        </w:tc>
      </w:tr>
      <w:tr w:rsidR="00101EB3" w:rsidRPr="00101EB3" w14:paraId="1125D415" w14:textId="77777777" w:rsidTr="00101EB3">
        <w:trPr>
          <w:jc w:val="center"/>
        </w:trPr>
        <w:tc>
          <w:tcPr>
            <w:tcW w:w="8840" w:type="dxa"/>
            <w:gridSpan w:val="5"/>
            <w:tcBorders>
              <w:left w:val="nil"/>
              <w:bottom w:val="nil"/>
              <w:right w:val="nil"/>
            </w:tcBorders>
          </w:tcPr>
          <w:p w14:paraId="20B3147D" w14:textId="77777777" w:rsidR="00101EB3" w:rsidRPr="00101EB3" w:rsidRDefault="00101EB3" w:rsidP="00101EB3">
            <w:pPr>
              <w:jc w:val="both"/>
              <w:rPr>
                <w:rFonts w:eastAsia="Calibri"/>
                <w:sz w:val="20"/>
                <w:szCs w:val="20"/>
                <w:lang w:eastAsia="en-US"/>
              </w:rPr>
            </w:pPr>
            <w:r w:rsidRPr="00101EB3">
              <w:rPr>
                <w:rFonts w:eastAsia="Calibri"/>
                <w:sz w:val="20"/>
                <w:szCs w:val="20"/>
                <w:lang w:eastAsia="en-US"/>
              </w:rPr>
              <w:t>FUENTE: Estimaciones del personal técnico del FMI.</w:t>
            </w:r>
          </w:p>
        </w:tc>
      </w:tr>
    </w:tbl>
    <w:p w14:paraId="7345E6D8" w14:textId="77777777" w:rsidR="00101EB3" w:rsidRPr="00101EB3" w:rsidRDefault="00101EB3" w:rsidP="00101EB3">
      <w:pPr>
        <w:spacing w:after="360" w:line="360" w:lineRule="auto"/>
        <w:ind w:right="-159"/>
        <w:jc w:val="both"/>
        <w:rPr>
          <w:rFonts w:eastAsia="Calibri"/>
          <w:sz w:val="26"/>
          <w:szCs w:val="26"/>
          <w:lang w:eastAsia="en-US"/>
        </w:rPr>
      </w:pPr>
    </w:p>
    <w:p w14:paraId="5BB5D5AB" w14:textId="77777777" w:rsidR="00101EB3" w:rsidRPr="00101EB3" w:rsidRDefault="00101EB3" w:rsidP="00101EB3">
      <w:pPr>
        <w:spacing w:after="360" w:line="360" w:lineRule="auto"/>
        <w:ind w:right="-159"/>
        <w:jc w:val="both"/>
        <w:rPr>
          <w:rFonts w:eastAsia="Calibri"/>
          <w:sz w:val="26"/>
          <w:szCs w:val="26"/>
          <w:lang w:eastAsia="en-US"/>
        </w:rPr>
      </w:pPr>
      <w:r w:rsidRPr="00101EB3">
        <w:rPr>
          <w:rFonts w:eastAsia="Calibri"/>
          <w:sz w:val="26"/>
          <w:szCs w:val="26"/>
          <w:lang w:eastAsia="en-US"/>
        </w:rPr>
        <w:t>En suma, la caída de los precios del petróleo es más compleja para los miembros de Petrocaribe que para otros importadores de petróleo. Al igual que los demás, estos países se beneficiarán. Pero es posible que, de todas formas, sus gobiernos se vean perjudicados. Resultará más que nada dulce, pero con una pizca amarga.</w:t>
      </w:r>
    </w:p>
    <w:tbl>
      <w:tblPr>
        <w:tblW w:w="0" w:type="auto"/>
        <w:tblInd w:w="1696" w:type="dxa"/>
        <w:tblLook w:val="04A0" w:firstRow="1" w:lastRow="0" w:firstColumn="1" w:lastColumn="0" w:noHBand="0" w:noVBand="1"/>
      </w:tblPr>
      <w:tblGrid>
        <w:gridCol w:w="1246"/>
        <w:gridCol w:w="1448"/>
        <w:gridCol w:w="1867"/>
      </w:tblGrid>
      <w:tr w:rsidR="00101EB3" w:rsidRPr="00101EB3" w14:paraId="6EE10CB5" w14:textId="77777777" w:rsidTr="00101EB3">
        <w:tc>
          <w:tcPr>
            <w:tcW w:w="4561" w:type="dxa"/>
            <w:gridSpan w:val="3"/>
            <w:tcBorders>
              <w:top w:val="nil"/>
              <w:left w:val="nil"/>
              <w:bottom w:val="single" w:sz="4" w:space="0" w:color="auto"/>
              <w:right w:val="nil"/>
            </w:tcBorders>
          </w:tcPr>
          <w:p w14:paraId="69D2DBDB" w14:textId="77777777" w:rsidR="00101EB3" w:rsidRPr="00101EB3" w:rsidRDefault="00101EB3" w:rsidP="00101EB3">
            <w:pPr>
              <w:jc w:val="center"/>
              <w:rPr>
                <w:rFonts w:eastAsia="Calibri"/>
                <w:b/>
                <w:sz w:val="22"/>
                <w:szCs w:val="26"/>
                <w:lang w:eastAsia="en-US"/>
              </w:rPr>
            </w:pPr>
            <w:r w:rsidRPr="00101EB3">
              <w:rPr>
                <w:rFonts w:eastAsia="Calibri"/>
                <w:b/>
                <w:sz w:val="22"/>
                <w:szCs w:val="26"/>
                <w:lang w:eastAsia="en-US"/>
              </w:rPr>
              <w:t>ESFUERZO FISCAL CONTINGENTE EN 2015</w:t>
            </w:r>
          </w:p>
          <w:p w14:paraId="59495F7C" w14:textId="77777777" w:rsidR="00101EB3" w:rsidRPr="00101EB3" w:rsidRDefault="00101EB3" w:rsidP="00101EB3">
            <w:pPr>
              <w:jc w:val="center"/>
              <w:rPr>
                <w:rFonts w:eastAsia="Calibri"/>
                <w:b/>
                <w:sz w:val="22"/>
                <w:szCs w:val="26"/>
                <w:lang w:eastAsia="en-US"/>
              </w:rPr>
            </w:pPr>
            <w:r w:rsidRPr="00101EB3">
              <w:rPr>
                <w:rFonts w:eastAsia="Calibri"/>
                <w:b/>
                <w:sz w:val="22"/>
                <w:szCs w:val="26"/>
                <w:lang w:eastAsia="en-US"/>
              </w:rPr>
              <w:t>-Países seleccionados, porcentaje del PIB-</w:t>
            </w:r>
          </w:p>
        </w:tc>
      </w:tr>
      <w:tr w:rsidR="00101EB3" w:rsidRPr="00101EB3" w14:paraId="5C5C759F" w14:textId="77777777" w:rsidTr="00101EB3">
        <w:tc>
          <w:tcPr>
            <w:tcW w:w="1246" w:type="dxa"/>
            <w:tcBorders>
              <w:top w:val="single" w:sz="4" w:space="0" w:color="auto"/>
              <w:left w:val="single" w:sz="4" w:space="0" w:color="auto"/>
              <w:bottom w:val="single" w:sz="4" w:space="0" w:color="auto"/>
              <w:right w:val="single" w:sz="4" w:space="0" w:color="auto"/>
            </w:tcBorders>
          </w:tcPr>
          <w:p w14:paraId="4AB174D6" w14:textId="77777777" w:rsidR="00101EB3" w:rsidRPr="00101EB3" w:rsidRDefault="00101EB3" w:rsidP="00101EB3">
            <w:pPr>
              <w:jc w:val="both"/>
              <w:rPr>
                <w:rFonts w:eastAsia="Calibri"/>
                <w:sz w:val="20"/>
                <w:szCs w:val="26"/>
                <w:lang w:eastAsia="en-US"/>
              </w:rPr>
            </w:pPr>
          </w:p>
        </w:tc>
        <w:tc>
          <w:tcPr>
            <w:tcW w:w="3315" w:type="dxa"/>
            <w:gridSpan w:val="2"/>
            <w:tcBorders>
              <w:top w:val="single" w:sz="4" w:space="0" w:color="auto"/>
              <w:left w:val="single" w:sz="4" w:space="0" w:color="auto"/>
              <w:bottom w:val="single" w:sz="4" w:space="0" w:color="auto"/>
              <w:right w:val="single" w:sz="4" w:space="0" w:color="auto"/>
            </w:tcBorders>
          </w:tcPr>
          <w:p w14:paraId="14DC23F7" w14:textId="77777777" w:rsidR="00101EB3" w:rsidRPr="00101EB3" w:rsidRDefault="00101EB3" w:rsidP="00101EB3">
            <w:pPr>
              <w:jc w:val="center"/>
              <w:rPr>
                <w:rFonts w:eastAsia="Calibri"/>
                <w:b/>
                <w:sz w:val="20"/>
                <w:szCs w:val="26"/>
                <w:lang w:eastAsia="en-US"/>
              </w:rPr>
            </w:pPr>
            <w:r w:rsidRPr="00101EB3">
              <w:rPr>
                <w:rFonts w:eastAsia="Calibri"/>
                <w:b/>
                <w:sz w:val="20"/>
                <w:szCs w:val="26"/>
                <w:lang w:eastAsia="en-US"/>
              </w:rPr>
              <w:t>Flujos de Petrocaribe</w:t>
            </w:r>
          </w:p>
        </w:tc>
      </w:tr>
      <w:tr w:rsidR="00101EB3" w:rsidRPr="00101EB3" w14:paraId="2174E493" w14:textId="77777777" w:rsidTr="00101EB3">
        <w:tc>
          <w:tcPr>
            <w:tcW w:w="1246" w:type="dxa"/>
            <w:tcBorders>
              <w:top w:val="single" w:sz="4" w:space="0" w:color="auto"/>
              <w:left w:val="single" w:sz="4" w:space="0" w:color="auto"/>
              <w:bottom w:val="single" w:sz="4" w:space="0" w:color="auto"/>
              <w:right w:val="single" w:sz="4" w:space="0" w:color="auto"/>
            </w:tcBorders>
          </w:tcPr>
          <w:p w14:paraId="62194C1F" w14:textId="77777777" w:rsidR="00101EB3" w:rsidRPr="00101EB3" w:rsidRDefault="00101EB3" w:rsidP="00101EB3">
            <w:pPr>
              <w:jc w:val="both"/>
              <w:rPr>
                <w:rFonts w:eastAsia="Calibri"/>
                <w:sz w:val="20"/>
                <w:szCs w:val="26"/>
                <w:lang w:eastAsia="en-US"/>
              </w:rPr>
            </w:pPr>
          </w:p>
        </w:tc>
        <w:tc>
          <w:tcPr>
            <w:tcW w:w="1448" w:type="dxa"/>
            <w:tcBorders>
              <w:top w:val="single" w:sz="4" w:space="0" w:color="auto"/>
              <w:left w:val="single" w:sz="4" w:space="0" w:color="auto"/>
              <w:bottom w:val="single" w:sz="4" w:space="0" w:color="auto"/>
              <w:right w:val="single" w:sz="4" w:space="0" w:color="auto"/>
            </w:tcBorders>
          </w:tcPr>
          <w:p w14:paraId="7F8A28A9" w14:textId="77777777" w:rsidR="00101EB3" w:rsidRPr="00101EB3" w:rsidRDefault="00101EB3" w:rsidP="00101EB3">
            <w:pPr>
              <w:jc w:val="center"/>
              <w:rPr>
                <w:rFonts w:eastAsia="Calibri"/>
                <w:b/>
                <w:sz w:val="20"/>
                <w:szCs w:val="26"/>
                <w:lang w:eastAsia="en-US"/>
              </w:rPr>
            </w:pPr>
            <w:r w:rsidRPr="00101EB3">
              <w:rPr>
                <w:rFonts w:eastAsia="Calibri"/>
                <w:b/>
                <w:sz w:val="20"/>
                <w:szCs w:val="26"/>
                <w:lang w:eastAsia="en-US"/>
              </w:rPr>
              <w:t>Continúan</w:t>
            </w:r>
          </w:p>
        </w:tc>
        <w:tc>
          <w:tcPr>
            <w:tcW w:w="1867" w:type="dxa"/>
            <w:tcBorders>
              <w:top w:val="single" w:sz="4" w:space="0" w:color="auto"/>
              <w:left w:val="single" w:sz="4" w:space="0" w:color="auto"/>
              <w:bottom w:val="single" w:sz="4" w:space="0" w:color="auto"/>
              <w:right w:val="single" w:sz="4" w:space="0" w:color="auto"/>
            </w:tcBorders>
          </w:tcPr>
          <w:p w14:paraId="7246CEB5" w14:textId="77777777" w:rsidR="00101EB3" w:rsidRPr="00101EB3" w:rsidRDefault="00101EB3" w:rsidP="00101EB3">
            <w:pPr>
              <w:jc w:val="center"/>
              <w:rPr>
                <w:rFonts w:eastAsia="Calibri"/>
                <w:b/>
                <w:sz w:val="20"/>
                <w:szCs w:val="26"/>
                <w:lang w:eastAsia="en-US"/>
              </w:rPr>
            </w:pPr>
            <w:r w:rsidRPr="00101EB3">
              <w:rPr>
                <w:rFonts w:eastAsia="Calibri"/>
                <w:b/>
                <w:sz w:val="20"/>
                <w:szCs w:val="26"/>
                <w:lang w:eastAsia="en-US"/>
              </w:rPr>
              <w:t>Se interrumpen</w:t>
            </w:r>
          </w:p>
        </w:tc>
      </w:tr>
      <w:tr w:rsidR="00101EB3" w:rsidRPr="00101EB3" w14:paraId="326FD150" w14:textId="77777777" w:rsidTr="00101EB3">
        <w:tc>
          <w:tcPr>
            <w:tcW w:w="1246" w:type="dxa"/>
            <w:tcBorders>
              <w:top w:val="single" w:sz="4" w:space="0" w:color="auto"/>
              <w:left w:val="single" w:sz="4" w:space="0" w:color="auto"/>
              <w:right w:val="single" w:sz="4" w:space="0" w:color="auto"/>
            </w:tcBorders>
          </w:tcPr>
          <w:p w14:paraId="1C71A7C2"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Antigua</w:t>
            </w:r>
          </w:p>
        </w:tc>
        <w:tc>
          <w:tcPr>
            <w:tcW w:w="1448" w:type="dxa"/>
            <w:tcBorders>
              <w:top w:val="single" w:sz="4" w:space="0" w:color="auto"/>
              <w:left w:val="single" w:sz="4" w:space="0" w:color="auto"/>
              <w:right w:val="single" w:sz="4" w:space="0" w:color="auto"/>
            </w:tcBorders>
          </w:tcPr>
          <w:p w14:paraId="4F3D7479"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0.1</w:t>
            </w:r>
          </w:p>
        </w:tc>
        <w:tc>
          <w:tcPr>
            <w:tcW w:w="1867" w:type="dxa"/>
            <w:tcBorders>
              <w:top w:val="single" w:sz="4" w:space="0" w:color="auto"/>
              <w:left w:val="single" w:sz="4" w:space="0" w:color="auto"/>
              <w:right w:val="single" w:sz="4" w:space="0" w:color="auto"/>
            </w:tcBorders>
          </w:tcPr>
          <w:p w14:paraId="03AA2C3D"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0.5</w:t>
            </w:r>
          </w:p>
        </w:tc>
      </w:tr>
      <w:tr w:rsidR="00101EB3" w:rsidRPr="00101EB3" w14:paraId="0C2C9756" w14:textId="77777777" w:rsidTr="00101EB3">
        <w:tc>
          <w:tcPr>
            <w:tcW w:w="1246" w:type="dxa"/>
            <w:tcBorders>
              <w:left w:val="single" w:sz="4" w:space="0" w:color="auto"/>
              <w:right w:val="single" w:sz="4" w:space="0" w:color="auto"/>
            </w:tcBorders>
          </w:tcPr>
          <w:p w14:paraId="06BDC9E6"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Dominica</w:t>
            </w:r>
          </w:p>
        </w:tc>
        <w:tc>
          <w:tcPr>
            <w:tcW w:w="1448" w:type="dxa"/>
            <w:tcBorders>
              <w:left w:val="single" w:sz="4" w:space="0" w:color="auto"/>
              <w:right w:val="single" w:sz="4" w:space="0" w:color="auto"/>
            </w:tcBorders>
          </w:tcPr>
          <w:p w14:paraId="39F73C3F"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0.0</w:t>
            </w:r>
          </w:p>
        </w:tc>
        <w:tc>
          <w:tcPr>
            <w:tcW w:w="1867" w:type="dxa"/>
            <w:tcBorders>
              <w:left w:val="single" w:sz="4" w:space="0" w:color="auto"/>
              <w:right w:val="single" w:sz="4" w:space="0" w:color="auto"/>
            </w:tcBorders>
          </w:tcPr>
          <w:p w14:paraId="5CCEFF7F"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0.1</w:t>
            </w:r>
          </w:p>
        </w:tc>
      </w:tr>
      <w:tr w:rsidR="00101EB3" w:rsidRPr="00101EB3" w14:paraId="5E5B9234" w14:textId="77777777" w:rsidTr="00101EB3">
        <w:tc>
          <w:tcPr>
            <w:tcW w:w="1246" w:type="dxa"/>
            <w:tcBorders>
              <w:left w:val="single" w:sz="4" w:space="0" w:color="auto"/>
              <w:right w:val="single" w:sz="4" w:space="0" w:color="auto"/>
            </w:tcBorders>
          </w:tcPr>
          <w:p w14:paraId="25B67CCF"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Granad</w:t>
            </w:r>
          </w:p>
        </w:tc>
        <w:tc>
          <w:tcPr>
            <w:tcW w:w="1448" w:type="dxa"/>
            <w:tcBorders>
              <w:left w:val="single" w:sz="4" w:space="0" w:color="auto"/>
              <w:right w:val="single" w:sz="4" w:space="0" w:color="auto"/>
            </w:tcBorders>
          </w:tcPr>
          <w:p w14:paraId="64DEDE60"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0.2</w:t>
            </w:r>
          </w:p>
        </w:tc>
        <w:tc>
          <w:tcPr>
            <w:tcW w:w="1867" w:type="dxa"/>
            <w:tcBorders>
              <w:left w:val="single" w:sz="4" w:space="0" w:color="auto"/>
              <w:right w:val="single" w:sz="4" w:space="0" w:color="auto"/>
            </w:tcBorders>
          </w:tcPr>
          <w:p w14:paraId="5505E629"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1.0</w:t>
            </w:r>
          </w:p>
        </w:tc>
      </w:tr>
      <w:tr w:rsidR="00101EB3" w:rsidRPr="00101EB3" w14:paraId="781501DB" w14:textId="77777777" w:rsidTr="00101EB3">
        <w:tc>
          <w:tcPr>
            <w:tcW w:w="1246" w:type="dxa"/>
            <w:tcBorders>
              <w:left w:val="single" w:sz="4" w:space="0" w:color="auto"/>
              <w:right w:val="single" w:sz="4" w:space="0" w:color="auto"/>
            </w:tcBorders>
          </w:tcPr>
          <w:p w14:paraId="7A04B086"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Haití</w:t>
            </w:r>
          </w:p>
        </w:tc>
        <w:tc>
          <w:tcPr>
            <w:tcW w:w="1448" w:type="dxa"/>
            <w:tcBorders>
              <w:left w:val="single" w:sz="4" w:space="0" w:color="auto"/>
              <w:right w:val="single" w:sz="4" w:space="0" w:color="auto"/>
            </w:tcBorders>
          </w:tcPr>
          <w:p w14:paraId="20F50A81"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1.4</w:t>
            </w:r>
          </w:p>
        </w:tc>
        <w:tc>
          <w:tcPr>
            <w:tcW w:w="1867" w:type="dxa"/>
            <w:tcBorders>
              <w:left w:val="single" w:sz="4" w:space="0" w:color="auto"/>
              <w:right w:val="single" w:sz="4" w:space="0" w:color="auto"/>
            </w:tcBorders>
          </w:tcPr>
          <w:p w14:paraId="73A0BA39"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4.6</w:t>
            </w:r>
          </w:p>
        </w:tc>
      </w:tr>
      <w:tr w:rsidR="00101EB3" w:rsidRPr="00101EB3" w14:paraId="2DE1FE03" w14:textId="77777777" w:rsidTr="00101EB3">
        <w:tc>
          <w:tcPr>
            <w:tcW w:w="1246" w:type="dxa"/>
            <w:tcBorders>
              <w:left w:val="single" w:sz="4" w:space="0" w:color="auto"/>
              <w:right w:val="single" w:sz="4" w:space="0" w:color="auto"/>
            </w:tcBorders>
          </w:tcPr>
          <w:p w14:paraId="58F53727"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Jamaica</w:t>
            </w:r>
          </w:p>
        </w:tc>
        <w:tc>
          <w:tcPr>
            <w:tcW w:w="1448" w:type="dxa"/>
            <w:tcBorders>
              <w:left w:val="single" w:sz="4" w:space="0" w:color="auto"/>
              <w:right w:val="single" w:sz="4" w:space="0" w:color="auto"/>
            </w:tcBorders>
          </w:tcPr>
          <w:p w14:paraId="5251B21A"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1.3</w:t>
            </w:r>
          </w:p>
        </w:tc>
        <w:tc>
          <w:tcPr>
            <w:tcW w:w="1867" w:type="dxa"/>
            <w:tcBorders>
              <w:left w:val="single" w:sz="4" w:space="0" w:color="auto"/>
              <w:right w:val="single" w:sz="4" w:space="0" w:color="auto"/>
            </w:tcBorders>
          </w:tcPr>
          <w:p w14:paraId="232A6E9B"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2.5</w:t>
            </w:r>
          </w:p>
        </w:tc>
      </w:tr>
      <w:tr w:rsidR="00101EB3" w:rsidRPr="00101EB3" w14:paraId="3DEB97F2" w14:textId="77777777" w:rsidTr="00101EB3">
        <w:tc>
          <w:tcPr>
            <w:tcW w:w="1246" w:type="dxa"/>
            <w:tcBorders>
              <w:left w:val="single" w:sz="4" w:space="0" w:color="auto"/>
              <w:right w:val="single" w:sz="4" w:space="0" w:color="auto"/>
            </w:tcBorders>
          </w:tcPr>
          <w:p w14:paraId="51DA7A6D"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Nicaragua</w:t>
            </w:r>
          </w:p>
        </w:tc>
        <w:tc>
          <w:tcPr>
            <w:tcW w:w="1448" w:type="dxa"/>
            <w:tcBorders>
              <w:left w:val="single" w:sz="4" w:space="0" w:color="auto"/>
              <w:right w:val="single" w:sz="4" w:space="0" w:color="auto"/>
            </w:tcBorders>
          </w:tcPr>
          <w:p w14:paraId="4597906C"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1.7</w:t>
            </w:r>
          </w:p>
        </w:tc>
        <w:tc>
          <w:tcPr>
            <w:tcW w:w="1867" w:type="dxa"/>
            <w:tcBorders>
              <w:left w:val="single" w:sz="4" w:space="0" w:color="auto"/>
              <w:right w:val="single" w:sz="4" w:space="0" w:color="auto"/>
            </w:tcBorders>
          </w:tcPr>
          <w:p w14:paraId="628C5D7E"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4.0</w:t>
            </w:r>
          </w:p>
        </w:tc>
      </w:tr>
      <w:tr w:rsidR="00101EB3" w:rsidRPr="00101EB3" w14:paraId="382FCB3A" w14:textId="77777777" w:rsidTr="00101EB3">
        <w:tc>
          <w:tcPr>
            <w:tcW w:w="1246" w:type="dxa"/>
            <w:tcBorders>
              <w:left w:val="single" w:sz="4" w:space="0" w:color="auto"/>
              <w:bottom w:val="single" w:sz="4" w:space="0" w:color="auto"/>
              <w:right w:val="single" w:sz="4" w:space="0" w:color="auto"/>
            </w:tcBorders>
          </w:tcPr>
          <w:p w14:paraId="1230EB58" w14:textId="77777777" w:rsidR="00101EB3" w:rsidRPr="00101EB3" w:rsidRDefault="00101EB3" w:rsidP="00101EB3">
            <w:pPr>
              <w:jc w:val="both"/>
              <w:rPr>
                <w:rFonts w:eastAsia="Calibri"/>
                <w:sz w:val="20"/>
                <w:szCs w:val="26"/>
                <w:lang w:eastAsia="en-US"/>
              </w:rPr>
            </w:pPr>
            <w:r w:rsidRPr="00101EB3">
              <w:rPr>
                <w:rFonts w:eastAsia="Calibri"/>
                <w:sz w:val="20"/>
                <w:szCs w:val="26"/>
                <w:lang w:eastAsia="en-US"/>
              </w:rPr>
              <w:t>Promedio</w:t>
            </w:r>
          </w:p>
        </w:tc>
        <w:tc>
          <w:tcPr>
            <w:tcW w:w="1448" w:type="dxa"/>
            <w:tcBorders>
              <w:left w:val="single" w:sz="4" w:space="0" w:color="auto"/>
              <w:bottom w:val="single" w:sz="4" w:space="0" w:color="auto"/>
              <w:right w:val="single" w:sz="4" w:space="0" w:color="auto"/>
            </w:tcBorders>
          </w:tcPr>
          <w:p w14:paraId="79C14CEE"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0.8</w:t>
            </w:r>
          </w:p>
        </w:tc>
        <w:tc>
          <w:tcPr>
            <w:tcW w:w="1867" w:type="dxa"/>
            <w:tcBorders>
              <w:left w:val="single" w:sz="4" w:space="0" w:color="auto"/>
              <w:bottom w:val="single" w:sz="4" w:space="0" w:color="auto"/>
              <w:right w:val="single" w:sz="4" w:space="0" w:color="auto"/>
            </w:tcBorders>
          </w:tcPr>
          <w:p w14:paraId="07B14EFC" w14:textId="77777777" w:rsidR="00101EB3" w:rsidRPr="00101EB3" w:rsidRDefault="00101EB3" w:rsidP="00101EB3">
            <w:pPr>
              <w:jc w:val="center"/>
              <w:rPr>
                <w:rFonts w:eastAsia="Calibri"/>
                <w:sz w:val="20"/>
                <w:szCs w:val="26"/>
                <w:lang w:eastAsia="en-US"/>
              </w:rPr>
            </w:pPr>
            <w:r w:rsidRPr="00101EB3">
              <w:rPr>
                <w:rFonts w:eastAsia="Calibri"/>
                <w:sz w:val="20"/>
                <w:szCs w:val="26"/>
                <w:lang w:eastAsia="en-US"/>
              </w:rPr>
              <w:t>2.1</w:t>
            </w:r>
          </w:p>
        </w:tc>
      </w:tr>
      <w:tr w:rsidR="00101EB3" w:rsidRPr="00101EB3" w14:paraId="7C9A0735" w14:textId="77777777" w:rsidTr="00CB7B3D">
        <w:tc>
          <w:tcPr>
            <w:tcW w:w="4561" w:type="dxa"/>
            <w:gridSpan w:val="3"/>
            <w:tcBorders>
              <w:left w:val="nil"/>
              <w:bottom w:val="nil"/>
              <w:right w:val="nil"/>
            </w:tcBorders>
          </w:tcPr>
          <w:p w14:paraId="1C9433F5" w14:textId="77777777" w:rsidR="00101EB3" w:rsidRPr="00101EB3" w:rsidRDefault="00101EB3" w:rsidP="00101EB3">
            <w:pPr>
              <w:jc w:val="both"/>
              <w:rPr>
                <w:rFonts w:eastAsia="Calibri"/>
                <w:sz w:val="20"/>
                <w:szCs w:val="26"/>
                <w:lang w:eastAsia="en-US"/>
              </w:rPr>
            </w:pPr>
            <w:r w:rsidRPr="00101EB3">
              <w:rPr>
                <w:rFonts w:eastAsia="Calibri"/>
                <w:sz w:val="20"/>
                <w:szCs w:val="20"/>
                <w:lang w:eastAsia="en-US"/>
              </w:rPr>
              <w:t>FUENTE: Estimaciones del personal técnico del FMI.</w:t>
            </w:r>
          </w:p>
        </w:tc>
      </w:tr>
    </w:tbl>
    <w:p w14:paraId="3C1367DA" w14:textId="77777777" w:rsidR="00101EB3" w:rsidRPr="00101EB3" w:rsidRDefault="00101EB3" w:rsidP="00101EB3">
      <w:pPr>
        <w:spacing w:after="360" w:line="360" w:lineRule="auto"/>
        <w:ind w:right="-159"/>
        <w:jc w:val="both"/>
        <w:rPr>
          <w:rFonts w:eastAsia="Calibri"/>
          <w:sz w:val="26"/>
          <w:szCs w:val="26"/>
          <w:lang w:eastAsia="en-US"/>
        </w:rPr>
      </w:pPr>
    </w:p>
    <w:p w14:paraId="4F83E9BD" w14:textId="77777777" w:rsidR="00101EB3" w:rsidRPr="00101EB3" w:rsidRDefault="00101EB3" w:rsidP="00101EB3">
      <w:pPr>
        <w:ind w:right="-159"/>
        <w:jc w:val="both"/>
        <w:rPr>
          <w:rFonts w:eastAsia="Calibri"/>
          <w:b/>
          <w:sz w:val="20"/>
          <w:szCs w:val="20"/>
          <w:lang w:eastAsia="en-US"/>
        </w:rPr>
      </w:pPr>
      <w:r w:rsidRPr="00101EB3">
        <w:rPr>
          <w:rFonts w:eastAsia="Calibri"/>
          <w:b/>
          <w:sz w:val="20"/>
          <w:szCs w:val="20"/>
          <w:lang w:eastAsia="en-US"/>
        </w:rPr>
        <w:t>Fuente de información:</w:t>
      </w:r>
    </w:p>
    <w:p w14:paraId="12AAE5CF" w14:textId="77777777" w:rsidR="00101EB3" w:rsidRPr="008B7504" w:rsidRDefault="00872B0E" w:rsidP="00101EB3">
      <w:pPr>
        <w:ind w:right="-159"/>
        <w:jc w:val="both"/>
        <w:rPr>
          <w:rFonts w:eastAsia="Calibri"/>
          <w:color w:val="0000FF"/>
          <w:sz w:val="20"/>
          <w:szCs w:val="20"/>
          <w:lang w:eastAsia="en-US"/>
        </w:rPr>
      </w:pPr>
      <w:hyperlink r:id="rId82" w:history="1">
        <w:r w:rsidR="00101EB3" w:rsidRPr="008B7504">
          <w:rPr>
            <w:rFonts w:eastAsia="Calibri"/>
            <w:color w:val="0000FF"/>
            <w:sz w:val="20"/>
            <w:szCs w:val="20"/>
            <w:u w:val="single"/>
            <w:lang w:eastAsia="en-US"/>
          </w:rPr>
          <w:t>http://blog-dialogoafondo.org/?p=5022</w:t>
        </w:r>
      </w:hyperlink>
      <w:r w:rsidR="00101EB3" w:rsidRPr="008B7504">
        <w:rPr>
          <w:rFonts w:eastAsia="Calibri"/>
          <w:color w:val="0000FF"/>
          <w:sz w:val="20"/>
          <w:szCs w:val="20"/>
          <w:lang w:eastAsia="en-US"/>
        </w:rPr>
        <w:t xml:space="preserve"> </w:t>
      </w:r>
    </w:p>
    <w:p w14:paraId="27340653" w14:textId="77777777" w:rsidR="00101EB3" w:rsidRDefault="00101EB3" w:rsidP="00B473F5">
      <w:pPr>
        <w:spacing w:after="360" w:line="360" w:lineRule="auto"/>
        <w:ind w:right="-159"/>
        <w:rPr>
          <w:rStyle w:val="Hipervnculo"/>
          <w:color w:val="auto"/>
          <w:sz w:val="20"/>
          <w:szCs w:val="20"/>
        </w:rPr>
      </w:pPr>
    </w:p>
    <w:sectPr w:rsidR="00101EB3" w:rsidSect="00E4326F">
      <w:headerReference w:type="even" r:id="rId83"/>
      <w:headerReference w:type="default" r:id="rId84"/>
      <w:pgSz w:w="12242" w:h="15842" w:code="1"/>
      <w:pgMar w:top="1417" w:right="1701" w:bottom="1417" w:left="1701" w:header="709" w:footer="709" w:gutter="0"/>
      <w:pgNumType w:start="869"/>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198E5C" w14:textId="77777777" w:rsidR="00872B0E" w:rsidRDefault="00872B0E">
      <w:r>
        <w:separator/>
      </w:r>
    </w:p>
  </w:endnote>
  <w:endnote w:type="continuationSeparator" w:id="0">
    <w:p w14:paraId="4511283C" w14:textId="77777777" w:rsidR="00872B0E" w:rsidRDefault="00872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1"/>
    <w:family w:val="roman"/>
    <w:notTrueType/>
    <w:pitch w:val="variable"/>
  </w:font>
  <w:font w:name="Vladimir Script">
    <w:panose1 w:val="03050402040407070305"/>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03722F" w14:textId="77777777" w:rsidR="00872B0E" w:rsidRDefault="00872B0E">
      <w:r>
        <w:separator/>
      </w:r>
    </w:p>
  </w:footnote>
  <w:footnote w:type="continuationSeparator" w:id="0">
    <w:p w14:paraId="56CDB5FB" w14:textId="77777777" w:rsidR="00872B0E" w:rsidRDefault="00872B0E">
      <w:r>
        <w:continuationSeparator/>
      </w:r>
    </w:p>
  </w:footnote>
  <w:footnote w:id="1">
    <w:p w14:paraId="192B1393" w14:textId="77777777" w:rsidR="002B6043" w:rsidRPr="003B1F37" w:rsidRDefault="002B6043" w:rsidP="00E9162D">
      <w:pPr>
        <w:pStyle w:val="Textonotapie"/>
        <w:jc w:val="both"/>
        <w:rPr>
          <w:color w:val="0000FF"/>
        </w:rPr>
      </w:pPr>
      <w:r w:rsidRPr="00E1255F">
        <w:rPr>
          <w:rStyle w:val="Refdenotaalpie"/>
        </w:rPr>
        <w:footnoteRef/>
      </w:r>
      <w:r w:rsidRPr="00E1255F">
        <w:t xml:space="preserve"> </w:t>
      </w:r>
      <w:hyperlink r:id="rId1" w:history="1">
        <w:r w:rsidRPr="003B1F37">
          <w:rPr>
            <w:rStyle w:val="Hipervnculo"/>
          </w:rPr>
          <w:t>https://www.youtube.com/embed/4yO9XgsSkZI</w:t>
        </w:r>
      </w:hyperlink>
      <w:r w:rsidRPr="003B1F37">
        <w:rPr>
          <w:color w:val="0000FF"/>
        </w:rPr>
        <w:t xml:space="preserve"> </w:t>
      </w:r>
    </w:p>
  </w:footnote>
  <w:footnote w:id="2">
    <w:p w14:paraId="249AA7A6" w14:textId="77777777" w:rsidR="002B6043" w:rsidRPr="003B1F37" w:rsidRDefault="002B6043" w:rsidP="00E9162D">
      <w:pPr>
        <w:ind w:right="-159"/>
        <w:jc w:val="both"/>
        <w:rPr>
          <w:color w:val="0000FF"/>
          <w:sz w:val="20"/>
          <w:szCs w:val="20"/>
        </w:rPr>
      </w:pPr>
      <w:r w:rsidRPr="00E1255F">
        <w:rPr>
          <w:rStyle w:val="Refdenotaalpie"/>
          <w:sz w:val="20"/>
          <w:szCs w:val="20"/>
        </w:rPr>
        <w:footnoteRef/>
      </w:r>
      <w:r w:rsidRPr="00E1255F">
        <w:rPr>
          <w:sz w:val="20"/>
          <w:szCs w:val="20"/>
        </w:rPr>
        <w:t xml:space="preserve"> </w:t>
      </w:r>
      <w:hyperlink r:id="rId2" w:anchor=".VQrgc46G9ps" w:history="1">
        <w:r w:rsidRPr="003B1F37">
          <w:rPr>
            <w:rStyle w:val="Hipervnculo"/>
            <w:sz w:val="20"/>
            <w:szCs w:val="20"/>
          </w:rPr>
          <w:t>http://www.pemex.com/prensa/discursos/Paginas/2015-discurso180315.aspx#.VQrgc46G9ps</w:t>
        </w:r>
      </w:hyperlink>
    </w:p>
  </w:footnote>
  <w:footnote w:id="3">
    <w:p w14:paraId="01A4BB4A" w14:textId="66E3CE9C" w:rsidR="002B6043" w:rsidRPr="0040356D" w:rsidRDefault="002B6043" w:rsidP="00F176B3">
      <w:pPr>
        <w:pStyle w:val="Textonotapie"/>
        <w:ind w:right="-159"/>
        <w:jc w:val="both"/>
      </w:pPr>
      <w:r w:rsidRPr="0040356D">
        <w:rPr>
          <w:rStyle w:val="Refdenotaalpie"/>
        </w:rPr>
        <w:footnoteRef/>
      </w:r>
      <w:r w:rsidRPr="0040356D">
        <w:t xml:space="preserve"> </w:t>
      </w:r>
      <w:r>
        <w:t>Elaborado por</w:t>
      </w:r>
      <w:r w:rsidRPr="0040356D">
        <w:t xml:space="preserve"> Jorge Álvarez </w:t>
      </w:r>
      <w:r>
        <w:t>y</w:t>
      </w:r>
      <w:r w:rsidRPr="0040356D">
        <w:t xml:space="preserve"> Fabián Valencia</w:t>
      </w:r>
      <w:r>
        <w:t xml:space="preserve">, de la Universidad de </w:t>
      </w:r>
      <w:r w:rsidRPr="0040356D">
        <w:t>Princeton</w:t>
      </w:r>
      <w:r>
        <w:t xml:space="preserve"> y del FMI</w:t>
      </w:r>
      <w:r w:rsidRPr="0040356D">
        <w:t xml:space="preserve">, </w:t>
      </w:r>
      <w:r>
        <w:t>r</w:t>
      </w:r>
      <w:r w:rsidRPr="0040356D">
        <w:t>espectiv</w:t>
      </w:r>
      <w:r>
        <w:t>amente.</w:t>
      </w:r>
    </w:p>
  </w:footnote>
  <w:footnote w:id="4">
    <w:p w14:paraId="0BC5504E" w14:textId="6F37C663" w:rsidR="002B6043" w:rsidRPr="00882CA8" w:rsidRDefault="002B6043" w:rsidP="004A08ED">
      <w:pPr>
        <w:pStyle w:val="Textonotapie"/>
        <w:ind w:left="140" w:right="-159" w:hanging="140"/>
        <w:jc w:val="both"/>
      </w:pPr>
      <w:r w:rsidRPr="00882CA8">
        <w:rPr>
          <w:rStyle w:val="Refdenotaalpie"/>
        </w:rPr>
        <w:footnoteRef/>
      </w:r>
      <w:r w:rsidR="004A08ED">
        <w:tab/>
      </w:r>
      <w:r w:rsidRPr="00882CA8">
        <w:t>El análisis de OCDE (2011), sugiere que, en México y la mayoría de los países del mundo, la remoción de los subsidios a los energéticos incrementarían su   nivel de PIB e ingreso real en el largo plazo, ya que se trasladarían los recursos hacia sectores más productivos de la economía.</w:t>
      </w:r>
    </w:p>
  </w:footnote>
  <w:footnote w:id="5">
    <w:p w14:paraId="2BA670F7" w14:textId="4ECA2481" w:rsidR="002B6043" w:rsidRPr="00882CA8" w:rsidRDefault="002B6043" w:rsidP="004A08ED">
      <w:pPr>
        <w:pStyle w:val="Textonotapie"/>
        <w:ind w:left="140" w:right="-159" w:hanging="140"/>
        <w:jc w:val="both"/>
      </w:pPr>
      <w:r w:rsidRPr="00882CA8">
        <w:rPr>
          <w:rStyle w:val="Refdenotaalpie"/>
        </w:rPr>
        <w:footnoteRef/>
      </w:r>
      <w:r w:rsidR="004A08ED">
        <w:tab/>
      </w:r>
      <w:r w:rsidRPr="00882CA8">
        <w:t>En un estudio de 124 países, Dahl (2011) estimó que una disminución del 10% en el precio de las gasolina, puede aumentar el consumo de gasolina entre 1.1 y 3.3%.  Por lo que el subsidio en el precio de la gasolina influye positiva y significativamente en su nivel de consumo.</w:t>
      </w:r>
    </w:p>
  </w:footnote>
  <w:footnote w:id="6">
    <w:p w14:paraId="2B488926" w14:textId="331ED7BE" w:rsidR="002B6043" w:rsidRPr="00882CA8" w:rsidRDefault="002B6043" w:rsidP="004A08ED">
      <w:pPr>
        <w:pStyle w:val="Textonotapie"/>
        <w:ind w:left="140" w:right="-159" w:hanging="140"/>
        <w:jc w:val="both"/>
      </w:pPr>
      <w:r w:rsidRPr="00882CA8">
        <w:rPr>
          <w:rStyle w:val="Refdenotaalpie"/>
        </w:rPr>
        <w:footnoteRef/>
      </w:r>
      <w:r w:rsidR="004A08ED">
        <w:tab/>
      </w:r>
      <w:r w:rsidRPr="00882CA8">
        <w:t xml:space="preserve">De acuerdo con la </w:t>
      </w:r>
      <w:r>
        <w:t>OCDE</w:t>
      </w:r>
      <w:r w:rsidRPr="00882CA8">
        <w:t>, si se completara la remoción de los subsidios a los energéticos a nivel mundial para el año 2020, las emisiones de GEI disminuirían en un 10% para el año 2050 con relación al escenario</w:t>
      </w:r>
      <w:r>
        <w:t xml:space="preserve"> </w:t>
      </w:r>
      <w:r w:rsidRPr="00882CA8">
        <w:t>base (OCDE, 2010b).</w:t>
      </w:r>
    </w:p>
  </w:footnote>
  <w:footnote w:id="7">
    <w:p w14:paraId="18C25358" w14:textId="77777777" w:rsidR="002B6043" w:rsidRPr="002F6C55" w:rsidRDefault="002B6043" w:rsidP="004A08ED">
      <w:pPr>
        <w:pStyle w:val="Textonotapie"/>
        <w:ind w:left="126" w:right="-142" w:hanging="126"/>
        <w:jc w:val="both"/>
      </w:pPr>
      <w:r w:rsidRPr="002F6C55">
        <w:rPr>
          <w:rStyle w:val="Refdenotaalpie"/>
        </w:rPr>
        <w:footnoteRef/>
      </w:r>
      <w:r w:rsidRPr="002F6C55">
        <w:t xml:space="preserve"> Las externalidades son efectos indirectos de las actividades de consumo o producción sobre agentes distintos al originador de tal actividad y no son reconocidas a través del sistema de precios.</w:t>
      </w:r>
    </w:p>
  </w:footnote>
  <w:footnote w:id="8">
    <w:p w14:paraId="720416F4" w14:textId="4DF6A1D1" w:rsidR="002B6043" w:rsidRPr="005A7B5A" w:rsidRDefault="002B6043" w:rsidP="00F443FB">
      <w:pPr>
        <w:pStyle w:val="Textonotapie"/>
        <w:ind w:left="113" w:hanging="113"/>
        <w:jc w:val="both"/>
      </w:pPr>
      <w:r w:rsidRPr="005A7B5A">
        <w:rPr>
          <w:rStyle w:val="Refdenotaalpie"/>
        </w:rPr>
        <w:footnoteRef/>
      </w:r>
      <w:r w:rsidRPr="005A7B5A">
        <w:t xml:space="preserve"> La desagregación de la metodología de dicho estudio no permite establecer qué energéticos</w:t>
      </w:r>
      <w:r>
        <w:t xml:space="preserve"> </w:t>
      </w:r>
      <w:r w:rsidRPr="005A7B5A">
        <w:t xml:space="preserve">en particular. </w:t>
      </w:r>
    </w:p>
  </w:footnote>
  <w:footnote w:id="9">
    <w:p w14:paraId="7C4771D9" w14:textId="77777777" w:rsidR="002B6043" w:rsidRPr="00FC047B" w:rsidRDefault="002B6043" w:rsidP="002A1806">
      <w:pPr>
        <w:pStyle w:val="Textonotapie"/>
        <w:ind w:left="113" w:right="-142" w:hanging="113"/>
        <w:jc w:val="both"/>
      </w:pPr>
      <w:r w:rsidRPr="00FC047B">
        <w:rPr>
          <w:rStyle w:val="Refdenotaalpie"/>
        </w:rPr>
        <w:footnoteRef/>
      </w:r>
      <w:r w:rsidRPr="00FC047B">
        <w:t xml:space="preserve"> Colección de sietes: hoy se cumplen 77 años de la nacionalización de la industria petrolera mexicana; hace 7 meses y 7 días se volvió a abrir al capital extranjero.</w:t>
      </w:r>
    </w:p>
  </w:footnote>
  <w:footnote w:id="10">
    <w:p w14:paraId="5BE78107" w14:textId="77777777" w:rsidR="002B6043" w:rsidRPr="00FC047B" w:rsidRDefault="002B6043" w:rsidP="002A1806">
      <w:pPr>
        <w:pStyle w:val="Textonotapie"/>
        <w:ind w:left="113" w:right="-142" w:hanging="113"/>
        <w:jc w:val="both"/>
      </w:pPr>
      <w:r w:rsidRPr="00FC047B">
        <w:rPr>
          <w:rStyle w:val="Refdenotaalpie"/>
        </w:rPr>
        <w:footnoteRef/>
      </w:r>
      <w:r w:rsidRPr="00FC047B">
        <w:t xml:space="preserve"> 112th Congress (2012). </w:t>
      </w:r>
      <w:r w:rsidRPr="004A08ED">
        <w:rPr>
          <w:i/>
        </w:rPr>
        <w:t>Oil, Mexico and the Transboundary Agreement: a Minority Staff Report. Committee on Foreign Relations.</w:t>
      </w:r>
      <w:r w:rsidRPr="00FC047B">
        <w:t xml:space="preserve"> 21 de diciembre de 2012. 33 pp. Washington, DC. (Puede consultarse este reporte en la página web del Senado de E</w:t>
      </w:r>
      <w:r>
        <w:t xml:space="preserve">stados </w:t>
      </w:r>
      <w:r w:rsidRPr="00FC047B">
        <w:t>U</w:t>
      </w:r>
      <w:r>
        <w:t>nidos de Norteamérica</w:t>
      </w:r>
      <w:r w:rsidRPr="00FC047B">
        <w:t>.</w:t>
      </w:r>
    </w:p>
  </w:footnote>
  <w:footnote w:id="11">
    <w:p w14:paraId="5B4DBDD6" w14:textId="3CEFA01C" w:rsidR="002B6043" w:rsidRPr="00F63B45" w:rsidRDefault="002B6043" w:rsidP="002A1806">
      <w:pPr>
        <w:pStyle w:val="Textonotapie"/>
        <w:jc w:val="both"/>
      </w:pPr>
      <w:r w:rsidRPr="00F63B45">
        <w:rPr>
          <w:rStyle w:val="Refdenotaalpie"/>
        </w:rPr>
        <w:footnoteRef/>
      </w:r>
      <w:r w:rsidRPr="00F63B45">
        <w:t xml:space="preserve"> </w:t>
      </w:r>
      <w:r w:rsidRPr="004A08ED">
        <w:rPr>
          <w:i/>
        </w:rPr>
        <w:t>The Economist</w:t>
      </w:r>
      <w:r w:rsidRPr="00F63B45">
        <w:t xml:space="preserve"> (2013). </w:t>
      </w:r>
      <w:r w:rsidRPr="004A08ED">
        <w:rPr>
          <w:i/>
        </w:rPr>
        <w:t>Can India become a great power?</w:t>
      </w:r>
      <w:r w:rsidRPr="00F63B45">
        <w:t xml:space="preserve"> 30 de marzo de 2013. </w:t>
      </w:r>
    </w:p>
  </w:footnote>
  <w:footnote w:id="12">
    <w:p w14:paraId="5078A1D8" w14:textId="77777777" w:rsidR="002B6043" w:rsidRPr="00F63B45" w:rsidRDefault="002B6043" w:rsidP="002A1806">
      <w:pPr>
        <w:pStyle w:val="Textonotapie"/>
        <w:ind w:left="113" w:right="-142" w:hanging="113"/>
        <w:jc w:val="both"/>
      </w:pPr>
      <w:r w:rsidRPr="00F63B45">
        <w:rPr>
          <w:rStyle w:val="Refdenotaalpie"/>
        </w:rPr>
        <w:footnoteRef/>
      </w:r>
      <w:r w:rsidRPr="00F63B45">
        <w:t xml:space="preserve"> Cordesman, Anthony (2013). </w:t>
      </w:r>
      <w:r w:rsidRPr="004A08ED">
        <w:rPr>
          <w:i/>
        </w:rPr>
        <w:t>Red Lines, Deadlines, and Thinking the Unthinkable: India, Pakistan, Iran, North Korea, and China. Center for Strategic and International Studies. Washington, DC.</w:t>
      </w:r>
    </w:p>
  </w:footnote>
  <w:footnote w:id="13">
    <w:p w14:paraId="201FE488" w14:textId="639A1AE2" w:rsidR="002B6043" w:rsidRPr="00505C4C" w:rsidRDefault="002B6043" w:rsidP="00630046">
      <w:pPr>
        <w:pStyle w:val="Textonotapie"/>
        <w:ind w:left="170" w:hanging="170"/>
        <w:jc w:val="both"/>
        <w:rPr>
          <w:lang w:val="es-MX"/>
        </w:rPr>
      </w:pPr>
      <w:r w:rsidRPr="00505C4C">
        <w:rPr>
          <w:rStyle w:val="Refdenotaalpie"/>
        </w:rPr>
        <w:footnoteRef/>
      </w:r>
      <w:r w:rsidRPr="00505C4C">
        <w:t xml:space="preserve"> </w:t>
      </w:r>
      <w:r>
        <w:t>Chipre, Estonia, Irlanda, Italia, Lituania, Letonia, Malta, Polonia, Portugal, Rumania, España y Reino Unido.</w:t>
      </w:r>
    </w:p>
  </w:footnote>
  <w:footnote w:id="14">
    <w:p w14:paraId="028EFF4A" w14:textId="77777777" w:rsidR="002B6043" w:rsidRPr="00505C4C" w:rsidRDefault="002B6043" w:rsidP="00630046">
      <w:pPr>
        <w:pStyle w:val="Textonotapie"/>
        <w:ind w:left="170" w:hanging="170"/>
        <w:jc w:val="both"/>
        <w:rPr>
          <w:lang w:val="es-MX"/>
        </w:rPr>
      </w:pPr>
      <w:r w:rsidRPr="00505C4C">
        <w:rPr>
          <w:rStyle w:val="Refdenotaalpie"/>
        </w:rPr>
        <w:footnoteRef/>
      </w:r>
      <w:r w:rsidRPr="00505C4C">
        <w:t xml:space="preserve"> </w:t>
      </w:r>
      <w:r w:rsidRPr="005F2F99">
        <w:t>Bulgaria, Estonia, Finlandia, Letonia, Lituania y Eslovaquia.</w:t>
      </w:r>
    </w:p>
  </w:footnote>
  <w:footnote w:id="15">
    <w:p w14:paraId="6956CF8B" w14:textId="77777777" w:rsidR="002B6043" w:rsidRPr="00261605" w:rsidRDefault="002B6043" w:rsidP="004A08ED">
      <w:pPr>
        <w:pStyle w:val="Textonotapie"/>
        <w:ind w:left="210" w:right="-159" w:hanging="202"/>
        <w:jc w:val="both"/>
      </w:pPr>
      <w:r w:rsidRPr="00E06EFC">
        <w:rPr>
          <w:rStyle w:val="Refdenotaalpie"/>
        </w:rPr>
        <w:footnoteRef/>
      </w:r>
      <w:r w:rsidRPr="00E06EFC">
        <w:t xml:space="preserve"> </w:t>
      </w:r>
      <w:r w:rsidRPr="00075CFA">
        <w:t xml:space="preserve">Eamon Ryan </w:t>
      </w:r>
      <w:r>
        <w:t>fue</w:t>
      </w:r>
      <w:r w:rsidRPr="00075CFA">
        <w:t xml:space="preserve"> ministro irlandés de Comunicaciones, Energía y Recursos Naturales, </w:t>
      </w:r>
      <w:r>
        <w:t xml:space="preserve">ahora </w:t>
      </w:r>
      <w:r w:rsidRPr="00075CFA">
        <w:t>es lí</w:t>
      </w:r>
      <w:r>
        <w:t>der del Partido Verde irlandés.</w:t>
      </w:r>
    </w:p>
  </w:footnote>
  <w:footnote w:id="16">
    <w:p w14:paraId="2182065A" w14:textId="77777777" w:rsidR="002B6043" w:rsidRPr="008B7504" w:rsidRDefault="002B6043" w:rsidP="00457C2B">
      <w:pPr>
        <w:pStyle w:val="Textonotapie"/>
        <w:ind w:left="170" w:hanging="170"/>
        <w:jc w:val="both"/>
        <w:rPr>
          <w:color w:val="0000FF"/>
          <w:lang w:val="es-MX"/>
        </w:rPr>
      </w:pPr>
      <w:r w:rsidRPr="000170C9">
        <w:rPr>
          <w:rStyle w:val="Refdenotaalpie"/>
        </w:rPr>
        <w:footnoteRef/>
      </w:r>
      <w:r w:rsidRPr="000170C9">
        <w:t xml:space="preserve"> Comunicado del grupo MOL - 09/02/2015 (EN) - </w:t>
      </w:r>
      <w:hyperlink r:id="rId3" w:history="1">
        <w:r w:rsidRPr="008B7504">
          <w:rPr>
            <w:rStyle w:val="Hipervnculo"/>
          </w:rPr>
          <w:t>http://redirectix.bulletins-electroniques.com/I7dXy</w:t>
        </w:r>
      </w:hyperlink>
    </w:p>
  </w:footnote>
  <w:footnote w:id="17">
    <w:p w14:paraId="2265FFAE" w14:textId="69D28B27" w:rsidR="002B6043" w:rsidRPr="008B7504" w:rsidRDefault="002B6043" w:rsidP="008B7504">
      <w:pPr>
        <w:pStyle w:val="Textonotapie"/>
        <w:ind w:left="210" w:right="-159" w:hanging="210"/>
        <w:jc w:val="both"/>
        <w:rPr>
          <w:color w:val="0000FF"/>
          <w:lang w:val="es-MX"/>
        </w:rPr>
      </w:pPr>
      <w:r w:rsidRPr="00505C4C">
        <w:rPr>
          <w:rStyle w:val="Refdenotaalpie"/>
        </w:rPr>
        <w:footnoteRef/>
      </w:r>
      <w:r w:rsidRPr="00505C4C">
        <w:t xml:space="preserve"> </w:t>
      </w:r>
      <w:r>
        <w:t>Informe de la Comisión Europea</w:t>
      </w:r>
      <w:r w:rsidRPr="009D0926">
        <w:t xml:space="preserve">, </w:t>
      </w:r>
      <w:r>
        <w:t>producción e importaciones de energía-</w:t>
      </w:r>
      <w:r w:rsidRPr="009D0926">
        <w:t xml:space="preserve">2014 (FR)- </w:t>
      </w:r>
      <w:hyperlink r:id="rId4" w:history="1">
        <w:r w:rsidRPr="008B7504">
          <w:rPr>
            <w:rStyle w:val="Hipervnculo"/>
          </w:rPr>
          <w:t>http://redirectix.bulletins-electroniques.com/PUbSg</w:t>
        </w:r>
      </w:hyperlink>
      <w:r w:rsidRPr="008B7504">
        <w:rPr>
          <w:color w:val="0000FF"/>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2B6043" w:rsidRPr="00832DFD" w:rsidRDefault="002B6043" w:rsidP="00832DFD">
    <w:pPr>
      <w:pStyle w:val="Encabezado"/>
      <w:pBdr>
        <w:bottom w:val="single" w:sz="4" w:space="1" w:color="660033"/>
      </w:pBdr>
      <w:tabs>
        <w:tab w:val="clear" w:pos="8504"/>
        <w:tab w:val="left" w:pos="4545"/>
        <w:tab w:val="right" w:pos="8820"/>
      </w:tabs>
      <w:ind w:right="-159"/>
      <w:rPr>
        <w:i/>
        <w:color w:val="660033"/>
        <w:sz w:val="22"/>
        <w:szCs w:val="22"/>
      </w:rPr>
    </w:pPr>
    <w:r w:rsidRPr="00832DFD">
      <w:rPr>
        <w:rStyle w:val="Nmerodepgina"/>
        <w:i/>
        <w:color w:val="660033"/>
        <w:sz w:val="22"/>
        <w:szCs w:val="22"/>
      </w:rPr>
      <w:fldChar w:fldCharType="begin"/>
    </w:r>
    <w:r w:rsidRPr="00832DFD">
      <w:rPr>
        <w:rStyle w:val="Nmerodepgina"/>
        <w:i/>
        <w:color w:val="660033"/>
        <w:sz w:val="22"/>
        <w:szCs w:val="22"/>
      </w:rPr>
      <w:instrText xml:space="preserve"> PAGE </w:instrText>
    </w:r>
    <w:r w:rsidRPr="00832DFD">
      <w:rPr>
        <w:rStyle w:val="Nmerodepgina"/>
        <w:i/>
        <w:color w:val="660033"/>
        <w:sz w:val="22"/>
        <w:szCs w:val="22"/>
      </w:rPr>
      <w:fldChar w:fldCharType="separate"/>
    </w:r>
    <w:r w:rsidR="00832DFD">
      <w:rPr>
        <w:rStyle w:val="Nmerodepgina"/>
        <w:i/>
        <w:noProof/>
        <w:color w:val="660033"/>
        <w:sz w:val="22"/>
        <w:szCs w:val="22"/>
      </w:rPr>
      <w:t>870</w:t>
    </w:r>
    <w:r w:rsidRPr="00832DFD">
      <w:rPr>
        <w:rStyle w:val="Nmerodepgina"/>
        <w:i/>
        <w:color w:val="660033"/>
        <w:sz w:val="22"/>
        <w:szCs w:val="22"/>
      </w:rPr>
      <w:fldChar w:fldCharType="end"/>
    </w:r>
    <w:r w:rsidRPr="00832DFD">
      <w:rPr>
        <w:rStyle w:val="Nmerodepgina"/>
        <w:i/>
        <w:color w:val="660033"/>
        <w:sz w:val="22"/>
        <w:szCs w:val="22"/>
      </w:rPr>
      <w:tab/>
    </w:r>
    <w:r w:rsidRPr="00832DFD">
      <w:rPr>
        <w:rStyle w:val="Nmerodepgina"/>
        <w:i/>
        <w:color w:val="660033"/>
        <w:sz w:val="22"/>
        <w:szCs w:val="22"/>
      </w:rPr>
      <w:tab/>
    </w:r>
    <w:r w:rsidRPr="00832DFD">
      <w:rPr>
        <w:rStyle w:val="Nmerodepgina"/>
        <w:i/>
        <w:color w:val="660033"/>
        <w:sz w:val="22"/>
        <w:szCs w:val="22"/>
      </w:rPr>
      <w:tab/>
    </w:r>
    <w:r w:rsidRPr="00832DFD">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5F050A0A" w:rsidR="002B6043" w:rsidRPr="00832DFD" w:rsidRDefault="003B1F37" w:rsidP="00832DFD">
    <w:pPr>
      <w:pStyle w:val="Encabezado"/>
      <w:pBdr>
        <w:bottom w:val="single" w:sz="4" w:space="1" w:color="660033"/>
      </w:pBdr>
      <w:tabs>
        <w:tab w:val="clear" w:pos="8504"/>
        <w:tab w:val="right" w:pos="9000"/>
      </w:tabs>
      <w:ind w:right="-159"/>
      <w:rPr>
        <w:i/>
        <w:color w:val="660033"/>
        <w:sz w:val="22"/>
        <w:szCs w:val="22"/>
      </w:rPr>
    </w:pPr>
    <w:r w:rsidRPr="00832DFD">
      <w:rPr>
        <w:i/>
        <w:color w:val="660033"/>
        <w:sz w:val="22"/>
        <w:szCs w:val="22"/>
      </w:rPr>
      <w:t>Política Energética</w:t>
    </w:r>
    <w:r w:rsidR="002B6043" w:rsidRPr="00832DFD">
      <w:rPr>
        <w:i/>
        <w:color w:val="660033"/>
        <w:sz w:val="22"/>
        <w:szCs w:val="22"/>
      </w:rPr>
      <w:tab/>
    </w:r>
    <w:r w:rsidR="002B6043" w:rsidRPr="00832DFD">
      <w:rPr>
        <w:i/>
        <w:color w:val="660033"/>
        <w:sz w:val="22"/>
        <w:szCs w:val="22"/>
      </w:rPr>
      <w:tab/>
      <w:t xml:space="preserve">    </w:t>
    </w:r>
    <w:r w:rsidR="002B6043" w:rsidRPr="00832DFD">
      <w:rPr>
        <w:rStyle w:val="Nmerodepgina"/>
        <w:i/>
        <w:color w:val="660033"/>
        <w:sz w:val="22"/>
        <w:szCs w:val="22"/>
      </w:rPr>
      <w:fldChar w:fldCharType="begin"/>
    </w:r>
    <w:r w:rsidR="002B6043" w:rsidRPr="00832DFD">
      <w:rPr>
        <w:rStyle w:val="Nmerodepgina"/>
        <w:i/>
        <w:color w:val="660033"/>
        <w:sz w:val="22"/>
        <w:szCs w:val="22"/>
      </w:rPr>
      <w:instrText xml:space="preserve"> PAGE </w:instrText>
    </w:r>
    <w:r w:rsidR="002B6043" w:rsidRPr="00832DFD">
      <w:rPr>
        <w:rStyle w:val="Nmerodepgina"/>
        <w:i/>
        <w:color w:val="660033"/>
        <w:sz w:val="22"/>
        <w:szCs w:val="22"/>
      </w:rPr>
      <w:fldChar w:fldCharType="separate"/>
    </w:r>
    <w:r w:rsidR="00832DFD">
      <w:rPr>
        <w:rStyle w:val="Nmerodepgina"/>
        <w:i/>
        <w:noProof/>
        <w:color w:val="660033"/>
        <w:sz w:val="22"/>
        <w:szCs w:val="22"/>
      </w:rPr>
      <w:t>889</w:t>
    </w:r>
    <w:r w:rsidR="002B6043" w:rsidRPr="00832DFD">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F26EAD"/>
    <w:multiLevelType w:val="hybridMultilevel"/>
    <w:tmpl w:val="2C90ED4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nsid w:val="01537B2E"/>
    <w:multiLevelType w:val="hybridMultilevel"/>
    <w:tmpl w:val="C2B062A6"/>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80176D"/>
    <w:multiLevelType w:val="hybridMultilevel"/>
    <w:tmpl w:val="CC38246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9">
    <w:nsid w:val="02C57D67"/>
    <w:multiLevelType w:val="hybridMultilevel"/>
    <w:tmpl w:val="3C08884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67743CF"/>
    <w:multiLevelType w:val="hybridMultilevel"/>
    <w:tmpl w:val="54CA334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6993D30"/>
    <w:multiLevelType w:val="hybridMultilevel"/>
    <w:tmpl w:val="368037D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73709B1"/>
    <w:multiLevelType w:val="hybridMultilevel"/>
    <w:tmpl w:val="F9A4D0E6"/>
    <w:lvl w:ilvl="0" w:tplc="080A001B">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B4D2870"/>
    <w:multiLevelType w:val="hybridMultilevel"/>
    <w:tmpl w:val="2C3A362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D952CC0"/>
    <w:multiLevelType w:val="hybridMultilevel"/>
    <w:tmpl w:val="185E5610"/>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0DA06943"/>
    <w:multiLevelType w:val="hybridMultilevel"/>
    <w:tmpl w:val="A7FCD7A4"/>
    <w:lvl w:ilvl="0" w:tplc="080A0001">
      <w:start w:val="1"/>
      <w:numFmt w:val="bullet"/>
      <w:lvlText w:val=""/>
      <w:lvlJc w:val="left"/>
      <w:pPr>
        <w:ind w:left="360" w:hanging="360"/>
      </w:pPr>
      <w:rPr>
        <w:rFonts w:ascii="Symbol" w:hAnsi="Symbol" w:hint="default"/>
      </w:rPr>
    </w:lvl>
    <w:lvl w:ilvl="1" w:tplc="6C52E17C">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0EE94182"/>
    <w:multiLevelType w:val="hybridMultilevel"/>
    <w:tmpl w:val="CCE4C3F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F22463A"/>
    <w:multiLevelType w:val="multilevel"/>
    <w:tmpl w:val="9EC20C5E"/>
    <w:lvl w:ilvl="0">
      <w:start w:val="1"/>
      <w:numFmt w:val="bullet"/>
      <w:lvlText w:val="–"/>
      <w:lvlJc w:val="left"/>
      <w:pPr>
        <w:tabs>
          <w:tab w:val="num" w:pos="720"/>
        </w:tabs>
        <w:ind w:left="720" w:hanging="360"/>
      </w:pPr>
      <w:rPr>
        <w:rFonts w:ascii="Vrinda" w:hAnsi="Vrind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1995EE7"/>
    <w:multiLevelType w:val="hybridMultilevel"/>
    <w:tmpl w:val="2C32E92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2440104"/>
    <w:multiLevelType w:val="hybridMultilevel"/>
    <w:tmpl w:val="67849322"/>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26C75C2"/>
    <w:multiLevelType w:val="hybridMultilevel"/>
    <w:tmpl w:val="C5365A4A"/>
    <w:lvl w:ilvl="0" w:tplc="E654A1BE">
      <w:start w:val="1"/>
      <w:numFmt w:val="bullet"/>
      <w:lvlText w:val=""/>
      <w:lvlJc w:val="left"/>
      <w:pPr>
        <w:ind w:left="720" w:hanging="360"/>
      </w:pPr>
      <w:rPr>
        <w:rFonts w:ascii="Symbol" w:hAnsi="Symbol" w:hint="default"/>
      </w:rPr>
    </w:lvl>
    <w:lvl w:ilvl="1" w:tplc="0D1AFCC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3F43D2E"/>
    <w:multiLevelType w:val="hybridMultilevel"/>
    <w:tmpl w:val="7B7CA1DE"/>
    <w:lvl w:ilvl="0" w:tplc="E654A1BE">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25">
    <w:nsid w:val="14907F59"/>
    <w:multiLevelType w:val="hybridMultilevel"/>
    <w:tmpl w:val="08308684"/>
    <w:lvl w:ilvl="0" w:tplc="E654A1BE">
      <w:start w:val="1"/>
      <w:numFmt w:val="bullet"/>
      <w:lvlText w:val=""/>
      <w:lvlJc w:val="left"/>
      <w:pPr>
        <w:ind w:left="720" w:hanging="360"/>
      </w:pPr>
      <w:rPr>
        <w:rFonts w:ascii="Symbol" w:hAnsi="Symbol" w:hint="default"/>
      </w:rPr>
    </w:lvl>
    <w:lvl w:ilvl="1" w:tplc="00C8555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68C292F"/>
    <w:multiLevelType w:val="hybridMultilevel"/>
    <w:tmpl w:val="65C49720"/>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7763756"/>
    <w:multiLevelType w:val="hybridMultilevel"/>
    <w:tmpl w:val="4E80D59E"/>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7B35D03"/>
    <w:multiLevelType w:val="hybridMultilevel"/>
    <w:tmpl w:val="496AF54A"/>
    <w:lvl w:ilvl="0" w:tplc="74961C2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29">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9AC005F"/>
    <w:multiLevelType w:val="hybridMultilevel"/>
    <w:tmpl w:val="2D64E0B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E32D26"/>
    <w:multiLevelType w:val="hybridMultilevel"/>
    <w:tmpl w:val="7AAC7516"/>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B681D4B"/>
    <w:multiLevelType w:val="hybridMultilevel"/>
    <w:tmpl w:val="E35A83D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D532AEE"/>
    <w:multiLevelType w:val="hybridMultilevel"/>
    <w:tmpl w:val="53A43BBE"/>
    <w:lvl w:ilvl="0" w:tplc="7520DBFC">
      <w:start w:val="1"/>
      <w:numFmt w:val="bullet"/>
      <w:lvlText w:val="–"/>
      <w:lvlJc w:val="left"/>
      <w:pPr>
        <w:ind w:left="1008" w:hanging="360"/>
      </w:pPr>
      <w:rPr>
        <w:rFonts w:ascii="Times New Roman" w:hAnsi="Times New Roman" w:cs="Times New Roman" w:hint="default"/>
        <w:sz w:val="24"/>
      </w:rPr>
    </w:lvl>
    <w:lvl w:ilvl="1" w:tplc="7520DBFC">
      <w:start w:val="1"/>
      <w:numFmt w:val="bullet"/>
      <w:lvlText w:val="–"/>
      <w:lvlJc w:val="left"/>
      <w:pPr>
        <w:ind w:left="1728" w:hanging="360"/>
      </w:pPr>
      <w:rPr>
        <w:rFonts w:ascii="Times New Roman" w:hAnsi="Times New Roman" w:cs="Times New Roman" w:hint="default"/>
        <w:sz w:val="24"/>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34">
    <w:nsid w:val="202F613A"/>
    <w:multiLevelType w:val="hybridMultilevel"/>
    <w:tmpl w:val="911A2C8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22973A19"/>
    <w:multiLevelType w:val="hybridMultilevel"/>
    <w:tmpl w:val="103C2AC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749427B"/>
    <w:multiLevelType w:val="hybridMultilevel"/>
    <w:tmpl w:val="58B8E56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28557B77"/>
    <w:multiLevelType w:val="hybridMultilevel"/>
    <w:tmpl w:val="8DD83068"/>
    <w:lvl w:ilvl="0" w:tplc="F7B43D26">
      <w:start w:val="1"/>
      <w:numFmt w:val="lowerRoman"/>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8A922C4"/>
    <w:multiLevelType w:val="hybridMultilevel"/>
    <w:tmpl w:val="D6B2FB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296A6F6B"/>
    <w:multiLevelType w:val="hybridMultilevel"/>
    <w:tmpl w:val="57B42AC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9AA0702"/>
    <w:multiLevelType w:val="hybridMultilevel"/>
    <w:tmpl w:val="890402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29F427DF"/>
    <w:multiLevelType w:val="hybridMultilevel"/>
    <w:tmpl w:val="FAC897F0"/>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2EBC188C"/>
    <w:multiLevelType w:val="hybridMultilevel"/>
    <w:tmpl w:val="DB3C4F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2F7F45B2"/>
    <w:multiLevelType w:val="hybridMultilevel"/>
    <w:tmpl w:val="BB1A737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2FD53D9A"/>
    <w:multiLevelType w:val="hybridMultilevel"/>
    <w:tmpl w:val="199240F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2FE648AE"/>
    <w:multiLevelType w:val="hybridMultilevel"/>
    <w:tmpl w:val="E560466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314976E1"/>
    <w:multiLevelType w:val="hybridMultilevel"/>
    <w:tmpl w:val="28F6D56E"/>
    <w:lvl w:ilvl="0" w:tplc="E654A1BE">
      <w:start w:val="1"/>
      <w:numFmt w:val="bullet"/>
      <w:lvlText w:val=""/>
      <w:lvlJc w:val="left"/>
      <w:pPr>
        <w:ind w:left="720" w:hanging="360"/>
      </w:pPr>
      <w:rPr>
        <w:rFonts w:ascii="Symbol" w:hAnsi="Symbol" w:hint="default"/>
      </w:rPr>
    </w:lvl>
    <w:lvl w:ilvl="1" w:tplc="D3CCB736">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164143A"/>
    <w:multiLevelType w:val="hybridMultilevel"/>
    <w:tmpl w:val="572A6BD0"/>
    <w:lvl w:ilvl="0" w:tplc="080A000F">
      <w:start w:val="1"/>
      <w:numFmt w:val="decimal"/>
      <w:lvlText w:val="%1."/>
      <w:lvlJc w:val="left"/>
      <w:pPr>
        <w:ind w:left="-351" w:hanging="360"/>
      </w:p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50">
    <w:nsid w:val="316C4C10"/>
    <w:multiLevelType w:val="hybridMultilevel"/>
    <w:tmpl w:val="A88EBB26"/>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319C639A"/>
    <w:multiLevelType w:val="hybridMultilevel"/>
    <w:tmpl w:val="C896D43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1AC5768"/>
    <w:multiLevelType w:val="hybridMultilevel"/>
    <w:tmpl w:val="E384DB5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2DF555A"/>
    <w:multiLevelType w:val="hybridMultilevel"/>
    <w:tmpl w:val="C43244F6"/>
    <w:lvl w:ilvl="0" w:tplc="1FFC715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32F346A8"/>
    <w:multiLevelType w:val="hybridMultilevel"/>
    <w:tmpl w:val="F0CEBF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4403E5A"/>
    <w:multiLevelType w:val="hybridMultilevel"/>
    <w:tmpl w:val="87FA2258"/>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4D91CA4"/>
    <w:multiLevelType w:val="hybridMultilevel"/>
    <w:tmpl w:val="7C3EF45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nsid w:val="354302D0"/>
    <w:multiLevelType w:val="hybridMultilevel"/>
    <w:tmpl w:val="4170D19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35466987"/>
    <w:multiLevelType w:val="hybridMultilevel"/>
    <w:tmpl w:val="8D96345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9">
    <w:nsid w:val="35C17A25"/>
    <w:multiLevelType w:val="hybridMultilevel"/>
    <w:tmpl w:val="536604F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367B3CCC"/>
    <w:multiLevelType w:val="hybridMultilevel"/>
    <w:tmpl w:val="5D34E80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77656F2"/>
    <w:multiLevelType w:val="hybridMultilevel"/>
    <w:tmpl w:val="A66AA63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63">
    <w:nsid w:val="398E4B44"/>
    <w:multiLevelType w:val="hybridMultilevel"/>
    <w:tmpl w:val="5272632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3A7E2863"/>
    <w:multiLevelType w:val="hybridMultilevel"/>
    <w:tmpl w:val="20607E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3B724897"/>
    <w:multiLevelType w:val="hybridMultilevel"/>
    <w:tmpl w:val="D39CBBC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3D1757C6"/>
    <w:multiLevelType w:val="hybridMultilevel"/>
    <w:tmpl w:val="53544E04"/>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3D6F7D99"/>
    <w:multiLevelType w:val="hybridMultilevel"/>
    <w:tmpl w:val="27D0C19A"/>
    <w:lvl w:ilvl="0" w:tplc="7520DBFC">
      <w:start w:val="1"/>
      <w:numFmt w:val="bullet"/>
      <w:lvlText w:val="–"/>
      <w:lvlJc w:val="left"/>
      <w:pPr>
        <w:ind w:left="720" w:hanging="360"/>
      </w:pPr>
      <w:rPr>
        <w:rFonts w:ascii="Times New Roman" w:hAnsi="Times New Roman" w:cs="Times New Roman" w:hint="default"/>
        <w:sz w:val="24"/>
      </w:rPr>
    </w:lvl>
    <w:lvl w:ilvl="1" w:tplc="D66477BC">
      <w:numFmt w:val="bullet"/>
      <w:lvlText w:val="-"/>
      <w:lvlJc w:val="left"/>
      <w:pPr>
        <w:ind w:left="1440" w:hanging="360"/>
      </w:pPr>
      <w:rPr>
        <w:rFonts w:ascii="Times New Roman" w:eastAsia="Times New Roman"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3DC32FDF"/>
    <w:multiLevelType w:val="hybridMultilevel"/>
    <w:tmpl w:val="78B088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3F0729A3"/>
    <w:multiLevelType w:val="hybridMultilevel"/>
    <w:tmpl w:val="29865DE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405B1EC9"/>
    <w:multiLevelType w:val="hybridMultilevel"/>
    <w:tmpl w:val="6712865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1C84AA4"/>
    <w:multiLevelType w:val="hybridMultilevel"/>
    <w:tmpl w:val="93F80A0A"/>
    <w:lvl w:ilvl="0" w:tplc="845AE96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73">
    <w:nsid w:val="41D41DD0"/>
    <w:multiLevelType w:val="hybridMultilevel"/>
    <w:tmpl w:val="CE3EA62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43EF73F7"/>
    <w:multiLevelType w:val="hybridMultilevel"/>
    <w:tmpl w:val="1562D97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452966AB"/>
    <w:multiLevelType w:val="hybridMultilevel"/>
    <w:tmpl w:val="1BA4E67C"/>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7">
    <w:nsid w:val="453A160D"/>
    <w:multiLevelType w:val="hybridMultilevel"/>
    <w:tmpl w:val="A7B8D2B0"/>
    <w:lvl w:ilvl="0" w:tplc="E654A1BE">
      <w:start w:val="1"/>
      <w:numFmt w:val="bullet"/>
      <w:lvlText w:val=""/>
      <w:lvlJc w:val="left"/>
      <w:pPr>
        <w:ind w:left="720" w:hanging="360"/>
      </w:pPr>
      <w:rPr>
        <w:rFonts w:ascii="Symbol" w:hAnsi="Symbol" w:hint="default"/>
      </w:rPr>
    </w:lvl>
    <w:lvl w:ilvl="1" w:tplc="308CDCE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46711A75"/>
    <w:multiLevelType w:val="hybridMultilevel"/>
    <w:tmpl w:val="47587BC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482F6BA1"/>
    <w:multiLevelType w:val="hybridMultilevel"/>
    <w:tmpl w:val="D6FC288A"/>
    <w:lvl w:ilvl="0" w:tplc="080A0001">
      <w:start w:val="1"/>
      <w:numFmt w:val="bullet"/>
      <w:lvlText w:val=""/>
      <w:lvlJc w:val="left"/>
      <w:pPr>
        <w:ind w:left="720" w:hanging="360"/>
      </w:pPr>
      <w:rPr>
        <w:rFonts w:ascii="Symbol" w:hAnsi="Symbol" w:hint="default"/>
      </w:rPr>
    </w:lvl>
    <w:lvl w:ilvl="1" w:tplc="B0486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490170CE"/>
    <w:multiLevelType w:val="hybridMultilevel"/>
    <w:tmpl w:val="D0D874FA"/>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nsid w:val="49B60CC7"/>
    <w:multiLevelType w:val="hybridMultilevel"/>
    <w:tmpl w:val="DBF87D3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4A0C0056"/>
    <w:multiLevelType w:val="hybridMultilevel"/>
    <w:tmpl w:val="3B6CEF8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nsid w:val="4AFC59DC"/>
    <w:multiLevelType w:val="hybridMultilevel"/>
    <w:tmpl w:val="2446E0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4">
    <w:nsid w:val="4BEC6E64"/>
    <w:multiLevelType w:val="hybridMultilevel"/>
    <w:tmpl w:val="7AEC20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4C7312E6"/>
    <w:multiLevelType w:val="hybridMultilevel"/>
    <w:tmpl w:val="4F7A79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4DB258D8"/>
    <w:multiLevelType w:val="hybridMultilevel"/>
    <w:tmpl w:val="3D903E78"/>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8">
    <w:nsid w:val="4DDD607F"/>
    <w:multiLevelType w:val="hybridMultilevel"/>
    <w:tmpl w:val="6DBAD1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4F2D3305"/>
    <w:multiLevelType w:val="hybridMultilevel"/>
    <w:tmpl w:val="EA94AE9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4FB754EB"/>
    <w:multiLevelType w:val="hybridMultilevel"/>
    <w:tmpl w:val="FEC42B9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50312B6E"/>
    <w:multiLevelType w:val="hybridMultilevel"/>
    <w:tmpl w:val="A8BE1F46"/>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53D97EAF"/>
    <w:multiLevelType w:val="hybridMultilevel"/>
    <w:tmpl w:val="9D4A94CE"/>
    <w:lvl w:ilvl="0" w:tplc="E654A1BE">
      <w:start w:val="1"/>
      <w:numFmt w:val="bullet"/>
      <w:lvlText w:val=""/>
      <w:lvlJc w:val="left"/>
      <w:pPr>
        <w:ind w:left="720" w:hanging="360"/>
      </w:pPr>
      <w:rPr>
        <w:rFonts w:ascii="Symbol" w:hAnsi="Symbol" w:hint="default"/>
      </w:rPr>
    </w:lvl>
    <w:lvl w:ilvl="1" w:tplc="7608748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55AD1E08"/>
    <w:multiLevelType w:val="hybridMultilevel"/>
    <w:tmpl w:val="E6920D0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5">
    <w:nsid w:val="57644CF4"/>
    <w:multiLevelType w:val="hybridMultilevel"/>
    <w:tmpl w:val="6970542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6">
    <w:nsid w:val="59013E85"/>
    <w:multiLevelType w:val="hybridMultilevel"/>
    <w:tmpl w:val="4CA601E4"/>
    <w:lvl w:ilvl="0" w:tplc="FFEE0250">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97">
    <w:nsid w:val="5947410A"/>
    <w:multiLevelType w:val="hybridMultilevel"/>
    <w:tmpl w:val="1DBE50F0"/>
    <w:lvl w:ilvl="0" w:tplc="E654A1BE">
      <w:start w:val="1"/>
      <w:numFmt w:val="bullet"/>
      <w:lvlText w:val=""/>
      <w:lvlJc w:val="left"/>
      <w:pPr>
        <w:ind w:left="720" w:hanging="360"/>
      </w:pPr>
      <w:rPr>
        <w:rFonts w:ascii="Symbol" w:hAnsi="Symbol" w:hint="default"/>
      </w:rPr>
    </w:lvl>
    <w:lvl w:ilvl="1" w:tplc="6EF41B7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5B4375C8"/>
    <w:multiLevelType w:val="hybridMultilevel"/>
    <w:tmpl w:val="B1385C2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5B84159B"/>
    <w:multiLevelType w:val="hybridMultilevel"/>
    <w:tmpl w:val="1AEAD96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5C957785"/>
    <w:multiLevelType w:val="hybridMultilevel"/>
    <w:tmpl w:val="F88A6F6E"/>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5CA43752"/>
    <w:multiLevelType w:val="hybridMultilevel"/>
    <w:tmpl w:val="DB90A14C"/>
    <w:lvl w:ilvl="0" w:tplc="2CE48AF8">
      <w:start w:val="1"/>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02">
    <w:nsid w:val="5EC45B7D"/>
    <w:multiLevelType w:val="hybridMultilevel"/>
    <w:tmpl w:val="11740154"/>
    <w:lvl w:ilvl="0" w:tplc="C8EE0074">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3">
    <w:nsid w:val="5EC85F16"/>
    <w:multiLevelType w:val="hybridMultilevel"/>
    <w:tmpl w:val="AF7EEBB6"/>
    <w:lvl w:ilvl="0" w:tplc="080A000F">
      <w:start w:val="1"/>
      <w:numFmt w:val="decimal"/>
      <w:lvlText w:val="%1."/>
      <w:lvlJc w:val="left"/>
      <w:pPr>
        <w:ind w:left="360" w:hanging="360"/>
      </w:pPr>
    </w:lvl>
    <w:lvl w:ilvl="1" w:tplc="080A0019" w:tentative="1">
      <w:start w:val="1"/>
      <w:numFmt w:val="lowerLetter"/>
      <w:lvlText w:val="%2."/>
      <w:lvlJc w:val="left"/>
      <w:pPr>
        <w:ind w:left="-1897" w:hanging="360"/>
      </w:pPr>
    </w:lvl>
    <w:lvl w:ilvl="2" w:tplc="080A001B" w:tentative="1">
      <w:start w:val="1"/>
      <w:numFmt w:val="lowerRoman"/>
      <w:lvlText w:val="%3."/>
      <w:lvlJc w:val="right"/>
      <w:pPr>
        <w:ind w:left="-1177" w:hanging="180"/>
      </w:pPr>
    </w:lvl>
    <w:lvl w:ilvl="3" w:tplc="080A000F" w:tentative="1">
      <w:start w:val="1"/>
      <w:numFmt w:val="decimal"/>
      <w:lvlText w:val="%4."/>
      <w:lvlJc w:val="left"/>
      <w:pPr>
        <w:ind w:left="-457" w:hanging="360"/>
      </w:pPr>
    </w:lvl>
    <w:lvl w:ilvl="4" w:tplc="080A0019" w:tentative="1">
      <w:start w:val="1"/>
      <w:numFmt w:val="lowerLetter"/>
      <w:lvlText w:val="%5."/>
      <w:lvlJc w:val="left"/>
      <w:pPr>
        <w:ind w:left="263" w:hanging="360"/>
      </w:pPr>
    </w:lvl>
    <w:lvl w:ilvl="5" w:tplc="080A001B" w:tentative="1">
      <w:start w:val="1"/>
      <w:numFmt w:val="lowerRoman"/>
      <w:lvlText w:val="%6."/>
      <w:lvlJc w:val="right"/>
      <w:pPr>
        <w:ind w:left="983" w:hanging="180"/>
      </w:pPr>
    </w:lvl>
    <w:lvl w:ilvl="6" w:tplc="080A000F" w:tentative="1">
      <w:start w:val="1"/>
      <w:numFmt w:val="decimal"/>
      <w:lvlText w:val="%7."/>
      <w:lvlJc w:val="left"/>
      <w:pPr>
        <w:ind w:left="1703" w:hanging="360"/>
      </w:pPr>
    </w:lvl>
    <w:lvl w:ilvl="7" w:tplc="080A0019" w:tentative="1">
      <w:start w:val="1"/>
      <w:numFmt w:val="lowerLetter"/>
      <w:lvlText w:val="%8."/>
      <w:lvlJc w:val="left"/>
      <w:pPr>
        <w:ind w:left="2423" w:hanging="360"/>
      </w:pPr>
    </w:lvl>
    <w:lvl w:ilvl="8" w:tplc="080A001B" w:tentative="1">
      <w:start w:val="1"/>
      <w:numFmt w:val="lowerRoman"/>
      <w:lvlText w:val="%9."/>
      <w:lvlJc w:val="right"/>
      <w:pPr>
        <w:ind w:left="3143" w:hanging="180"/>
      </w:pPr>
    </w:lvl>
  </w:abstractNum>
  <w:abstractNum w:abstractNumId="104">
    <w:nsid w:val="5FB8694C"/>
    <w:multiLevelType w:val="hybridMultilevel"/>
    <w:tmpl w:val="FD16BF4A"/>
    <w:lvl w:ilvl="0" w:tplc="50149656">
      <w:start w:val="1"/>
      <w:numFmt w:val="lowerLetter"/>
      <w:lvlText w:val="%1)"/>
      <w:lvlJc w:val="left"/>
      <w:pPr>
        <w:ind w:left="480" w:hanging="48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5">
    <w:nsid w:val="605E34B1"/>
    <w:multiLevelType w:val="hybridMultilevel"/>
    <w:tmpl w:val="3AA41672"/>
    <w:lvl w:ilvl="0" w:tplc="080A001B">
      <w:start w:val="1"/>
      <w:numFmt w:val="lowerRoman"/>
      <w:lvlText w:val="%1."/>
      <w:lvlJc w:val="right"/>
      <w:pPr>
        <w:ind w:left="2629" w:hanging="360"/>
      </w:pPr>
      <w:rPr>
        <w:rFonts w:hint="default"/>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106">
    <w:nsid w:val="6095054A"/>
    <w:multiLevelType w:val="hybridMultilevel"/>
    <w:tmpl w:val="34A28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60D51511"/>
    <w:multiLevelType w:val="hybridMultilevel"/>
    <w:tmpl w:val="CD2C910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63F04A23"/>
    <w:multiLevelType w:val="hybridMultilevel"/>
    <w:tmpl w:val="66821EE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9">
    <w:nsid w:val="64E031F4"/>
    <w:multiLevelType w:val="hybridMultilevel"/>
    <w:tmpl w:val="487AF1F4"/>
    <w:lvl w:ilvl="0" w:tplc="E654A1BE">
      <w:start w:val="1"/>
      <w:numFmt w:val="bullet"/>
      <w:lvlText w:val=""/>
      <w:lvlJc w:val="left"/>
      <w:pPr>
        <w:ind w:left="720" w:hanging="360"/>
      </w:pPr>
      <w:rPr>
        <w:rFonts w:ascii="Symbol" w:hAnsi="Symbol" w:hint="default"/>
      </w:rPr>
    </w:lvl>
    <w:lvl w:ilvl="1" w:tplc="EAD22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65856F44"/>
    <w:multiLevelType w:val="hybridMultilevel"/>
    <w:tmpl w:val="8C4017E6"/>
    <w:lvl w:ilvl="0" w:tplc="A462CD4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nsid w:val="65D3104F"/>
    <w:multiLevelType w:val="hybridMultilevel"/>
    <w:tmpl w:val="A5343AB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2">
    <w:nsid w:val="66593C31"/>
    <w:multiLevelType w:val="hybridMultilevel"/>
    <w:tmpl w:val="A7D8B9F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3">
    <w:nsid w:val="67631888"/>
    <w:multiLevelType w:val="hybridMultilevel"/>
    <w:tmpl w:val="BD70E86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nsid w:val="67A56D5E"/>
    <w:multiLevelType w:val="hybridMultilevel"/>
    <w:tmpl w:val="F2A419CE"/>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5">
    <w:nsid w:val="69B935B7"/>
    <w:multiLevelType w:val="hybridMultilevel"/>
    <w:tmpl w:val="E7A665F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nsid w:val="69BE5ABC"/>
    <w:multiLevelType w:val="hybridMultilevel"/>
    <w:tmpl w:val="3A56761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nsid w:val="69D973E2"/>
    <w:multiLevelType w:val="hybridMultilevel"/>
    <w:tmpl w:val="DE4249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9">
    <w:nsid w:val="6A161699"/>
    <w:multiLevelType w:val="hybridMultilevel"/>
    <w:tmpl w:val="4622DB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nsid w:val="6A307990"/>
    <w:multiLevelType w:val="hybridMultilevel"/>
    <w:tmpl w:val="D82479B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6AEA592E"/>
    <w:multiLevelType w:val="hybridMultilevel"/>
    <w:tmpl w:val="F048B73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6C2649FA"/>
    <w:multiLevelType w:val="hybridMultilevel"/>
    <w:tmpl w:val="6E6A756E"/>
    <w:lvl w:ilvl="0" w:tplc="2110EE6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6CE42F2C"/>
    <w:multiLevelType w:val="hybridMultilevel"/>
    <w:tmpl w:val="A8C4D4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70B11701"/>
    <w:multiLevelType w:val="hybridMultilevel"/>
    <w:tmpl w:val="4E8472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nsid w:val="71964CA4"/>
    <w:multiLevelType w:val="hybridMultilevel"/>
    <w:tmpl w:val="E30271B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73491B5F"/>
    <w:multiLevelType w:val="hybridMultilevel"/>
    <w:tmpl w:val="FC5041EA"/>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7">
    <w:nsid w:val="73C47D17"/>
    <w:multiLevelType w:val="hybridMultilevel"/>
    <w:tmpl w:val="41C0E53C"/>
    <w:lvl w:ilvl="0" w:tplc="AD90E8EA">
      <w:start w:val="1"/>
      <w:numFmt w:val="bullet"/>
      <w:lvlText w:val="-"/>
      <w:lvlJc w:val="left"/>
      <w:pPr>
        <w:ind w:left="360" w:hanging="360"/>
      </w:pPr>
      <w:rPr>
        <w:rFonts w:ascii="Courier New" w:hAnsi="Courier New" w:hint="default"/>
      </w:rPr>
    </w:lvl>
    <w:lvl w:ilvl="1" w:tplc="A9C0AAC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8">
    <w:nsid w:val="76AE2FEC"/>
    <w:multiLevelType w:val="hybridMultilevel"/>
    <w:tmpl w:val="643CC386"/>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9">
    <w:nsid w:val="77251DA9"/>
    <w:multiLevelType w:val="hybridMultilevel"/>
    <w:tmpl w:val="2B0A71D8"/>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0">
    <w:nsid w:val="78C626F1"/>
    <w:multiLevelType w:val="hybridMultilevel"/>
    <w:tmpl w:val="493AA3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7A740A32"/>
    <w:multiLevelType w:val="hybridMultilevel"/>
    <w:tmpl w:val="08D8B1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7AAE477E"/>
    <w:multiLevelType w:val="hybridMultilevel"/>
    <w:tmpl w:val="C84816B6"/>
    <w:lvl w:ilvl="0" w:tplc="CD06DD38">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7AB242D8"/>
    <w:multiLevelType w:val="hybridMultilevel"/>
    <w:tmpl w:val="2986420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nsid w:val="7B49773B"/>
    <w:multiLevelType w:val="hybridMultilevel"/>
    <w:tmpl w:val="1C4E527A"/>
    <w:lvl w:ilvl="0" w:tplc="E654A1BE">
      <w:start w:val="1"/>
      <w:numFmt w:val="bullet"/>
      <w:lvlText w:val=""/>
      <w:lvlJc w:val="left"/>
      <w:pPr>
        <w:ind w:left="720" w:hanging="360"/>
      </w:pPr>
      <w:rPr>
        <w:rFonts w:ascii="Symbol" w:hAnsi="Symbol" w:hint="default"/>
      </w:rPr>
    </w:lvl>
    <w:lvl w:ilvl="1" w:tplc="3B56B22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nsid w:val="7BE841D0"/>
    <w:multiLevelType w:val="hybridMultilevel"/>
    <w:tmpl w:val="2B42038A"/>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nsid w:val="7C715304"/>
    <w:multiLevelType w:val="hybridMultilevel"/>
    <w:tmpl w:val="FA2AADF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7C884F4B"/>
    <w:multiLevelType w:val="hybridMultilevel"/>
    <w:tmpl w:val="6D62BED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CEA009E"/>
    <w:multiLevelType w:val="hybridMultilevel"/>
    <w:tmpl w:val="A650C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7E0D0648"/>
    <w:multiLevelType w:val="hybridMultilevel"/>
    <w:tmpl w:val="A8CAEABE"/>
    <w:lvl w:ilvl="0" w:tplc="AD90E8EA">
      <w:start w:val="1"/>
      <w:numFmt w:val="bullet"/>
      <w:lvlText w:val="-"/>
      <w:lvlJc w:val="left"/>
      <w:pPr>
        <w:ind w:left="360" w:hanging="360"/>
      </w:pPr>
      <w:rPr>
        <w:rFonts w:ascii="Courier New" w:hAnsi="Courier New" w:hint="default"/>
      </w:rPr>
    </w:lvl>
    <w:lvl w:ilvl="1" w:tplc="7AB291F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nsid w:val="7EC93A27"/>
    <w:multiLevelType w:val="hybridMultilevel"/>
    <w:tmpl w:val="57D8632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nsid w:val="7F9C62CD"/>
    <w:multiLevelType w:val="hybridMultilevel"/>
    <w:tmpl w:val="3DFC48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6"/>
  </w:num>
  <w:num w:numId="2">
    <w:abstractNumId w:val="3"/>
  </w:num>
  <w:num w:numId="3">
    <w:abstractNumId w:val="4"/>
  </w:num>
  <w:num w:numId="4">
    <w:abstractNumId w:val="2"/>
  </w:num>
  <w:num w:numId="5">
    <w:abstractNumId w:val="8"/>
  </w:num>
  <w:num w:numId="6">
    <w:abstractNumId w:val="118"/>
  </w:num>
  <w:num w:numId="7">
    <w:abstractNumId w:val="29"/>
  </w:num>
  <w:num w:numId="8">
    <w:abstractNumId w:val="1"/>
  </w:num>
  <w:num w:numId="9">
    <w:abstractNumId w:val="36"/>
  </w:num>
  <w:num w:numId="10">
    <w:abstractNumId w:val="89"/>
  </w:num>
  <w:num w:numId="11">
    <w:abstractNumId w:val="0"/>
  </w:num>
  <w:num w:numId="12">
    <w:abstractNumId w:val="74"/>
  </w:num>
  <w:num w:numId="13">
    <w:abstractNumId w:val="62"/>
  </w:num>
  <w:num w:numId="14">
    <w:abstractNumId w:val="32"/>
  </w:num>
  <w:num w:numId="15">
    <w:abstractNumId w:val="116"/>
  </w:num>
  <w:num w:numId="16">
    <w:abstractNumId w:val="55"/>
  </w:num>
  <w:num w:numId="17">
    <w:abstractNumId w:val="112"/>
  </w:num>
  <w:num w:numId="18">
    <w:abstractNumId w:val="49"/>
  </w:num>
  <w:num w:numId="19">
    <w:abstractNumId w:val="19"/>
  </w:num>
  <w:num w:numId="20">
    <w:abstractNumId w:val="95"/>
  </w:num>
  <w:num w:numId="21">
    <w:abstractNumId w:val="79"/>
  </w:num>
  <w:num w:numId="22">
    <w:abstractNumId w:val="45"/>
  </w:num>
  <w:num w:numId="23">
    <w:abstractNumId w:val="140"/>
  </w:num>
  <w:num w:numId="24">
    <w:abstractNumId w:val="106"/>
  </w:num>
  <w:num w:numId="25">
    <w:abstractNumId w:val="129"/>
  </w:num>
  <w:num w:numId="26">
    <w:abstractNumId w:val="123"/>
  </w:num>
  <w:num w:numId="27">
    <w:abstractNumId w:val="68"/>
  </w:num>
  <w:num w:numId="28">
    <w:abstractNumId w:val="137"/>
  </w:num>
  <w:num w:numId="29">
    <w:abstractNumId w:val="98"/>
  </w:num>
  <w:num w:numId="30">
    <w:abstractNumId w:val="7"/>
  </w:num>
  <w:num w:numId="31">
    <w:abstractNumId w:val="33"/>
  </w:num>
  <w:num w:numId="32">
    <w:abstractNumId w:val="14"/>
  </w:num>
  <w:num w:numId="33">
    <w:abstractNumId w:val="22"/>
  </w:num>
  <w:num w:numId="34">
    <w:abstractNumId w:val="142"/>
  </w:num>
  <w:num w:numId="35">
    <w:abstractNumId w:val="115"/>
  </w:num>
  <w:num w:numId="36">
    <w:abstractNumId w:val="44"/>
  </w:num>
  <w:num w:numId="37">
    <w:abstractNumId w:val="9"/>
  </w:num>
  <w:num w:numId="38">
    <w:abstractNumId w:val="39"/>
  </w:num>
  <w:num w:numId="39">
    <w:abstractNumId w:val="53"/>
  </w:num>
  <w:num w:numId="40">
    <w:abstractNumId w:val="5"/>
  </w:num>
  <w:num w:numId="41">
    <w:abstractNumId w:val="119"/>
  </w:num>
  <w:num w:numId="42">
    <w:abstractNumId w:val="134"/>
  </w:num>
  <w:num w:numId="43">
    <w:abstractNumId w:val="25"/>
  </w:num>
  <w:num w:numId="44">
    <w:abstractNumId w:val="135"/>
  </w:num>
  <w:num w:numId="45">
    <w:abstractNumId w:val="109"/>
  </w:num>
  <w:num w:numId="46">
    <w:abstractNumId w:val="97"/>
  </w:num>
  <w:num w:numId="47">
    <w:abstractNumId w:val="50"/>
  </w:num>
  <w:num w:numId="48">
    <w:abstractNumId w:val="128"/>
  </w:num>
  <w:num w:numId="49">
    <w:abstractNumId w:val="127"/>
  </w:num>
  <w:num w:numId="50">
    <w:abstractNumId w:val="111"/>
  </w:num>
  <w:num w:numId="51">
    <w:abstractNumId w:val="11"/>
  </w:num>
  <w:num w:numId="52">
    <w:abstractNumId w:val="73"/>
  </w:num>
  <w:num w:numId="53">
    <w:abstractNumId w:val="139"/>
  </w:num>
  <w:num w:numId="54">
    <w:abstractNumId w:val="71"/>
  </w:num>
  <w:num w:numId="55">
    <w:abstractNumId w:val="66"/>
  </w:num>
  <w:num w:numId="56">
    <w:abstractNumId w:val="84"/>
  </w:num>
  <w:num w:numId="57">
    <w:abstractNumId w:val="104"/>
  </w:num>
  <w:num w:numId="58">
    <w:abstractNumId w:val="35"/>
  </w:num>
  <w:num w:numId="59">
    <w:abstractNumId w:val="121"/>
  </w:num>
  <w:num w:numId="60">
    <w:abstractNumId w:val="52"/>
  </w:num>
  <w:num w:numId="61">
    <w:abstractNumId w:val="131"/>
  </w:num>
  <w:num w:numId="62">
    <w:abstractNumId w:val="101"/>
  </w:num>
  <w:num w:numId="63">
    <w:abstractNumId w:val="141"/>
  </w:num>
  <w:num w:numId="64">
    <w:abstractNumId w:val="10"/>
  </w:num>
  <w:num w:numId="65">
    <w:abstractNumId w:val="143"/>
  </w:num>
  <w:num w:numId="66">
    <w:abstractNumId w:val="41"/>
  </w:num>
  <w:num w:numId="67">
    <w:abstractNumId w:val="120"/>
  </w:num>
  <w:num w:numId="68">
    <w:abstractNumId w:val="138"/>
  </w:num>
  <w:num w:numId="69">
    <w:abstractNumId w:val="88"/>
  </w:num>
  <w:num w:numId="70">
    <w:abstractNumId w:val="78"/>
  </w:num>
  <w:num w:numId="71">
    <w:abstractNumId w:val="81"/>
  </w:num>
  <w:num w:numId="72">
    <w:abstractNumId w:val="117"/>
  </w:num>
  <w:num w:numId="73">
    <w:abstractNumId w:val="82"/>
  </w:num>
  <w:num w:numId="74">
    <w:abstractNumId w:val="61"/>
  </w:num>
  <w:num w:numId="75">
    <w:abstractNumId w:val="54"/>
  </w:num>
  <w:num w:numId="76">
    <w:abstractNumId w:val="15"/>
  </w:num>
  <w:num w:numId="77">
    <w:abstractNumId w:val="93"/>
  </w:num>
  <w:num w:numId="78">
    <w:abstractNumId w:val="136"/>
  </w:num>
  <w:num w:numId="79">
    <w:abstractNumId w:val="17"/>
  </w:num>
  <w:num w:numId="80">
    <w:abstractNumId w:val="72"/>
  </w:num>
  <w:num w:numId="81">
    <w:abstractNumId w:val="28"/>
  </w:num>
  <w:num w:numId="82">
    <w:abstractNumId w:val="75"/>
  </w:num>
  <w:num w:numId="83">
    <w:abstractNumId w:val="125"/>
  </w:num>
  <w:num w:numId="84">
    <w:abstractNumId w:val="46"/>
  </w:num>
  <w:num w:numId="85">
    <w:abstractNumId w:val="124"/>
  </w:num>
  <w:num w:numId="86">
    <w:abstractNumId w:val="130"/>
  </w:num>
  <w:num w:numId="87">
    <w:abstractNumId w:val="91"/>
  </w:num>
  <w:num w:numId="88">
    <w:abstractNumId w:val="64"/>
  </w:num>
  <w:num w:numId="89">
    <w:abstractNumId w:val="90"/>
  </w:num>
  <w:num w:numId="90">
    <w:abstractNumId w:val="60"/>
  </w:num>
  <w:num w:numId="91">
    <w:abstractNumId w:val="37"/>
  </w:num>
  <w:num w:numId="92">
    <w:abstractNumId w:val="133"/>
  </w:num>
  <w:num w:numId="93">
    <w:abstractNumId w:val="38"/>
  </w:num>
  <w:num w:numId="94">
    <w:abstractNumId w:val="102"/>
  </w:num>
  <w:num w:numId="95">
    <w:abstractNumId w:val="47"/>
  </w:num>
  <w:num w:numId="96">
    <w:abstractNumId w:val="103"/>
  </w:num>
  <w:num w:numId="97">
    <w:abstractNumId w:val="21"/>
  </w:num>
  <w:num w:numId="98">
    <w:abstractNumId w:val="77"/>
  </w:num>
  <w:num w:numId="99">
    <w:abstractNumId w:val="80"/>
  </w:num>
  <w:num w:numId="100">
    <w:abstractNumId w:val="110"/>
  </w:num>
  <w:num w:numId="101">
    <w:abstractNumId w:val="59"/>
  </w:num>
  <w:num w:numId="102">
    <w:abstractNumId w:val="18"/>
  </w:num>
  <w:num w:numId="103">
    <w:abstractNumId w:val="100"/>
  </w:num>
  <w:num w:numId="104">
    <w:abstractNumId w:val="94"/>
  </w:num>
  <w:num w:numId="105">
    <w:abstractNumId w:val="83"/>
  </w:num>
  <w:num w:numId="106">
    <w:abstractNumId w:val="63"/>
  </w:num>
  <w:num w:numId="107">
    <w:abstractNumId w:val="42"/>
  </w:num>
  <w:num w:numId="108">
    <w:abstractNumId w:val="70"/>
  </w:num>
  <w:num w:numId="109">
    <w:abstractNumId w:val="40"/>
  </w:num>
  <w:num w:numId="110">
    <w:abstractNumId w:val="126"/>
  </w:num>
  <w:num w:numId="111">
    <w:abstractNumId w:val="107"/>
  </w:num>
  <w:num w:numId="112">
    <w:abstractNumId w:val="92"/>
  </w:num>
  <w:num w:numId="113">
    <w:abstractNumId w:val="113"/>
  </w:num>
  <w:num w:numId="114">
    <w:abstractNumId w:val="85"/>
  </w:num>
  <w:num w:numId="115">
    <w:abstractNumId w:val="27"/>
  </w:num>
  <w:num w:numId="116">
    <w:abstractNumId w:val="34"/>
  </w:num>
  <w:num w:numId="117">
    <w:abstractNumId w:val="65"/>
  </w:num>
  <w:num w:numId="118">
    <w:abstractNumId w:val="30"/>
  </w:num>
  <w:num w:numId="119">
    <w:abstractNumId w:val="31"/>
  </w:num>
  <w:num w:numId="120">
    <w:abstractNumId w:val="122"/>
  </w:num>
  <w:num w:numId="121">
    <w:abstractNumId w:val="105"/>
  </w:num>
  <w:num w:numId="122">
    <w:abstractNumId w:val="13"/>
  </w:num>
  <w:num w:numId="123">
    <w:abstractNumId w:val="67"/>
  </w:num>
  <w:num w:numId="124">
    <w:abstractNumId w:val="69"/>
  </w:num>
  <w:num w:numId="125">
    <w:abstractNumId w:val="51"/>
  </w:num>
  <w:num w:numId="126">
    <w:abstractNumId w:val="86"/>
  </w:num>
  <w:num w:numId="127">
    <w:abstractNumId w:val="20"/>
  </w:num>
  <w:num w:numId="128">
    <w:abstractNumId w:val="87"/>
  </w:num>
  <w:num w:numId="129">
    <w:abstractNumId w:val="43"/>
  </w:num>
  <w:num w:numId="130">
    <w:abstractNumId w:val="48"/>
  </w:num>
  <w:num w:numId="131">
    <w:abstractNumId w:val="23"/>
  </w:num>
  <w:num w:numId="132">
    <w:abstractNumId w:val="76"/>
  </w:num>
  <w:num w:numId="133">
    <w:abstractNumId w:val="58"/>
  </w:num>
  <w:num w:numId="134">
    <w:abstractNumId w:val="26"/>
  </w:num>
  <w:num w:numId="135">
    <w:abstractNumId w:val="108"/>
  </w:num>
  <w:num w:numId="136">
    <w:abstractNumId w:val="12"/>
  </w:num>
  <w:num w:numId="137">
    <w:abstractNumId w:val="114"/>
  </w:num>
  <w:num w:numId="138">
    <w:abstractNumId w:val="56"/>
  </w:num>
  <w:num w:numId="139">
    <w:abstractNumId w:val="57"/>
  </w:num>
  <w:num w:numId="140">
    <w:abstractNumId w:val="6"/>
  </w:num>
  <w:num w:numId="141">
    <w:abstractNumId w:val="96"/>
  </w:num>
  <w:num w:numId="142">
    <w:abstractNumId w:val="24"/>
  </w:num>
  <w:num w:numId="143">
    <w:abstractNumId w:val="99"/>
  </w:num>
  <w:num w:numId="144">
    <w:abstractNumId w:val="132"/>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68C"/>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25"/>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3E8"/>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9B2"/>
    <w:rsid w:val="000D2AE9"/>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9A"/>
    <w:rsid w:val="000D73D2"/>
    <w:rsid w:val="000D7465"/>
    <w:rsid w:val="000D7505"/>
    <w:rsid w:val="000D76EE"/>
    <w:rsid w:val="000D778F"/>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BE8"/>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D1"/>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DFF"/>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A77"/>
    <w:rsid w:val="001E7C47"/>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7A"/>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47FB0"/>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0E"/>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3B3"/>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3"/>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B6D"/>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B3"/>
    <w:rsid w:val="003810ED"/>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4D8"/>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1F37"/>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B92"/>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03"/>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2C"/>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033"/>
    <w:rsid w:val="00447301"/>
    <w:rsid w:val="0044733C"/>
    <w:rsid w:val="00447456"/>
    <w:rsid w:val="004474C0"/>
    <w:rsid w:val="00447555"/>
    <w:rsid w:val="004475AF"/>
    <w:rsid w:val="00447611"/>
    <w:rsid w:val="00447658"/>
    <w:rsid w:val="0044767F"/>
    <w:rsid w:val="004476B2"/>
    <w:rsid w:val="004476C7"/>
    <w:rsid w:val="00447800"/>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8ED"/>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1E"/>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A6"/>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6"/>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5E5"/>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64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1F9"/>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A5"/>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E71"/>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47"/>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5F2"/>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20"/>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58"/>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A27"/>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5D6"/>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DFD"/>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1DB"/>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B0E"/>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92"/>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04"/>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4FA"/>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92"/>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B7"/>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DC0"/>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05B"/>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D95"/>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E07"/>
    <w:rsid w:val="00996F8A"/>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0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C7"/>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DFC"/>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53"/>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2F"/>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98"/>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3A"/>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56"/>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78"/>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CD2"/>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6E5"/>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FC"/>
    <w:rsid w:val="00D06A56"/>
    <w:rsid w:val="00D06C10"/>
    <w:rsid w:val="00D06C77"/>
    <w:rsid w:val="00D06C9A"/>
    <w:rsid w:val="00D06CC8"/>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4FDE"/>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2C9"/>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70"/>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4E"/>
    <w:rsid w:val="00DD7CCD"/>
    <w:rsid w:val="00DD7D30"/>
    <w:rsid w:val="00DD7D3B"/>
    <w:rsid w:val="00DD7D97"/>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0F6"/>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2"/>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6F"/>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79"/>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3"/>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180"/>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AC"/>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B4"/>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F6477D"/>
    <w:pPr>
      <w:tabs>
        <w:tab w:val="center" w:pos="4252"/>
        <w:tab w:val="right" w:pos="8504"/>
      </w:tabs>
    </w:pPr>
  </w:style>
  <w:style w:type="paragraph" w:styleId="Piedepgina">
    <w:name w:val="footer"/>
    <w:basedOn w:val="Normal"/>
    <w:link w:val="PiedepginaCar"/>
    <w:uiPriority w:val="99"/>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uiPriority w:val="99"/>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uiPriority w:val="99"/>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image" Target="media/image3.emf"/><Relationship Id="rId42" Type="http://schemas.openxmlformats.org/officeDocument/2006/relationships/image" Target="media/image10.emf"/><Relationship Id="rId47" Type="http://schemas.openxmlformats.org/officeDocument/2006/relationships/image" Target="media/image15.emf"/><Relationship Id="rId63" Type="http://schemas.openxmlformats.org/officeDocument/2006/relationships/hyperlink" Target="http://lat.wsj.com/articles/SB11235758984163043989104580496583389039238?tesla=y" TargetMode="External"/><Relationship Id="rId68" Type="http://schemas.openxmlformats.org/officeDocument/2006/relationships/image" Target="media/image26.emf"/><Relationship Id="rId84" Type="http://schemas.openxmlformats.org/officeDocument/2006/relationships/header" Target="header2.xml"/><Relationship Id="rId16" Type="http://schemas.openxmlformats.org/officeDocument/2006/relationships/hyperlink" Target="http://en.wikipedia.org/wiki/Joule" TargetMode="External"/><Relationship Id="rId11" Type="http://schemas.openxmlformats.org/officeDocument/2006/relationships/hyperlink" Target="http://www.pemex.com/prensa/discursos/Paginas/2015-discurso180315.aspx" TargetMode="External"/><Relationship Id="rId32" Type="http://schemas.openxmlformats.org/officeDocument/2006/relationships/hyperlink" Target="http://www.forbes.com.mx/pemex-pierde-10000-empleos-por-caida-del-crudo/" TargetMode="External"/><Relationship Id="rId37" Type="http://schemas.openxmlformats.org/officeDocument/2006/relationships/hyperlink" Target="http://www.coparmex.org.mx/index.php?option=com_content&amp;view=article&amp;id=1031:reforma-energetica-abre-oportunidades-para-pymes-castanon&amp;catid=24:principales&amp;Itemid=422" TargetMode="External"/><Relationship Id="rId53" Type="http://schemas.openxmlformats.org/officeDocument/2006/relationships/hyperlink" Target="http://cidac.org/esp/uploads/1/ES_POSIBLE_vFINAL.pdf" TargetMode="External"/><Relationship Id="rId58" Type="http://schemas.openxmlformats.org/officeDocument/2006/relationships/image" Target="media/image23.emf"/><Relationship Id="rId74" Type="http://schemas.openxmlformats.org/officeDocument/2006/relationships/image" Target="media/image28.emf"/><Relationship Id="rId79" Type="http://schemas.openxmlformats.org/officeDocument/2006/relationships/image" Target="media/image31.emf"/><Relationship Id="rId5" Type="http://schemas.openxmlformats.org/officeDocument/2006/relationships/webSettings" Target="webSettings.xml"/><Relationship Id="rId19" Type="http://schemas.openxmlformats.org/officeDocument/2006/relationships/hyperlink" Target="http://www.ri.pemex.com/files/dcpe/petro/epreciopromedio_esp.pdf" TargetMode="External"/><Relationship Id="rId14" Type="http://schemas.openxmlformats.org/officeDocument/2006/relationships/image" Target="media/image1.emf"/><Relationship Id="rId22" Type="http://schemas.openxmlformats.org/officeDocument/2006/relationships/hyperlink" Target="http://www.ri.pemex.com/files/dcpe/petro/evolexporta_esp.pdf" TargetMode="External"/><Relationship Id="rId27" Type="http://schemas.openxmlformats.org/officeDocument/2006/relationships/hyperlink" Target="http://www.sener.gob.mx/webSener/portal/Default.aspx?id=1518" TargetMode="External"/><Relationship Id="rId30" Type="http://schemas.openxmlformats.org/officeDocument/2006/relationships/hyperlink" Target="http://sener.gob.mx/portal/Default_blt.aspx?id=3142" TargetMode="External"/><Relationship Id="rId35" Type="http://schemas.openxmlformats.org/officeDocument/2006/relationships/hyperlink" Target="http://www.pemex.com/prensa/boletines_nacionales/Paginas/2015-015-nacional.aspx" TargetMode="External"/><Relationship Id="rId43" Type="http://schemas.openxmlformats.org/officeDocument/2006/relationships/image" Target="media/image11.emf"/><Relationship Id="rId48" Type="http://schemas.openxmlformats.org/officeDocument/2006/relationships/image" Target="media/image16.emf"/><Relationship Id="rId56" Type="http://schemas.openxmlformats.org/officeDocument/2006/relationships/hyperlink" Target="http://www.bbc.co.uk/mundo/noticias/2015/02/150224_petroleo_precio_analisis_am" TargetMode="External"/><Relationship Id="rId64" Type="http://schemas.openxmlformats.org/officeDocument/2006/relationships/hyperlink" Target="http://energie.lexpansion.com/energies-fossiles/exportations-de-gaz-naturel-la-russie-entre-l-europe-et-la-chine_a-31-8264.html" TargetMode="External"/><Relationship Id="rId69" Type="http://schemas.openxmlformats.org/officeDocument/2006/relationships/hyperlink" Target="http://lat.wsj.com/articles/SB10048647422150643754404580522662719422070?tesla=y" TargetMode="External"/><Relationship Id="rId77" Type="http://schemas.openxmlformats.org/officeDocument/2006/relationships/image" Target="media/image30.emf"/><Relationship Id="rId8" Type="http://schemas.openxmlformats.org/officeDocument/2006/relationships/hyperlink" Target="http://www.presidencia.gob.mx/articulos-prensa/con-la-reforma-energetica-en-accion-esta-surgiendo-un-nuevo-pemex-mas-fuerte-mas-moderno-y-mas-competitivo-enrique-pena-nieto/" TargetMode="External"/><Relationship Id="rId51" Type="http://schemas.openxmlformats.org/officeDocument/2006/relationships/image" Target="media/image19.emf"/><Relationship Id="rId72" Type="http://schemas.openxmlformats.org/officeDocument/2006/relationships/image" Target="media/image27.emf"/><Relationship Id="rId80" Type="http://schemas.openxmlformats.org/officeDocument/2006/relationships/image" Target="media/image32.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presidencia.gob.mx/articulos-prensa/palabras-del-presidente-de-los-estados-unidos-mexicanos-licenciado-enrique-pena-nieto-durante-la-firma-de-instrumentos-en-materia-de-energia-cadenas-productivas-y-cambio-climatico/" TargetMode="External"/><Relationship Id="rId17" Type="http://schemas.openxmlformats.org/officeDocument/2006/relationships/hyperlink" Target="http://www.imf.org/external/pubs/ft/wp/2015/wp1545.pdf" TargetMode="External"/><Relationship Id="rId25" Type="http://schemas.openxmlformats.org/officeDocument/2006/relationships/image" Target="media/image4.emf"/><Relationship Id="rId33" Type="http://schemas.openxmlformats.org/officeDocument/2006/relationships/hyperlink" Target="http://www.promexico.gob.mx/es/mx/boletin-prensa-07-15" TargetMode="External"/><Relationship Id="rId38" Type="http://schemas.openxmlformats.org/officeDocument/2006/relationships/image" Target="media/image6.emf"/><Relationship Id="rId46" Type="http://schemas.openxmlformats.org/officeDocument/2006/relationships/image" Target="media/image14.emf"/><Relationship Id="rId59" Type="http://schemas.openxmlformats.org/officeDocument/2006/relationships/hyperlink" Target="http://lat.wsj.com/articles/SB11614365960135763763004580484564119233770?tesla=y" TargetMode="External"/><Relationship Id="rId67" Type="http://schemas.openxmlformats.org/officeDocument/2006/relationships/hyperlink" Target="http://lat.wsj.com/articles/SB10722811844060803467804580508583561793538?tesla=y" TargetMode="External"/><Relationship Id="rId20" Type="http://schemas.openxmlformats.org/officeDocument/2006/relationships/hyperlink" Target="http://www.ri.pemex.com/files/dcpe/petro/evalorexporta_esp.pdf" TargetMode="External"/><Relationship Id="rId41" Type="http://schemas.openxmlformats.org/officeDocument/2006/relationships/image" Target="media/image9.emf"/><Relationship Id="rId54" Type="http://schemas.openxmlformats.org/officeDocument/2006/relationships/image" Target="media/image21.emf"/><Relationship Id="rId62" Type="http://schemas.openxmlformats.org/officeDocument/2006/relationships/image" Target="media/image24.emf"/><Relationship Id="rId70" Type="http://schemas.openxmlformats.org/officeDocument/2006/relationships/hyperlink" Target="http://www.project-syndicate.org/commentary/european-energy-union-by-eamon-ryan-2015-02/spanish" TargetMode="External"/><Relationship Id="rId75" Type="http://schemas.openxmlformats.org/officeDocument/2006/relationships/hyperlink" Target="http://www.opec.org/opec_web/en/data_graphs/40.htm" TargetMode="External"/><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hyperlink" Target="http://www.pemex.com/prensa/boletines_nacionales/Paginas/2015-020-nacional.aspx" TargetMode="External"/><Relationship Id="rId28" Type="http://schemas.openxmlformats.org/officeDocument/2006/relationships/hyperlink" Target="http://www.ri.pemex.com/files/dcpe/petro/epreciopromedio_esp.pdf" TargetMode="External"/><Relationship Id="rId36" Type="http://schemas.openxmlformats.org/officeDocument/2006/relationships/hyperlink" Target="http://www.ilo.org/global/topics/labour-migration/news-statements/WCMS_329343/lang--es/index.htm" TargetMode="External"/><Relationship Id="rId49" Type="http://schemas.openxmlformats.org/officeDocument/2006/relationships/image" Target="media/image17.emf"/><Relationship Id="rId57" Type="http://schemas.openxmlformats.org/officeDocument/2006/relationships/hyperlink" Target="http://www.forbes.com.mx/reforma-energetica-en-mexico-alfil-en-la-guerra-china-eu/" TargetMode="External"/><Relationship Id="rId10" Type="http://schemas.openxmlformats.org/officeDocument/2006/relationships/hyperlink" Target="https://www.youtube.com/embed/4yO9XgsSkZI" TargetMode="External"/><Relationship Id="rId31" Type="http://schemas.openxmlformats.org/officeDocument/2006/relationships/hyperlink" Target="http://www.pemex.com/prensa/boletines_nacionales/Paginas/2015-018-nacional.aspx" TargetMode="External"/><Relationship Id="rId44" Type="http://schemas.openxmlformats.org/officeDocument/2006/relationships/image" Target="media/image12.emf"/><Relationship Id="rId52" Type="http://schemas.openxmlformats.org/officeDocument/2006/relationships/image" Target="media/image20.emf"/><Relationship Id="rId60" Type="http://schemas.openxmlformats.org/officeDocument/2006/relationships/hyperlink" Target="http://lat.wsj.com/articles/SB11235758984163043989104580495962918643650?tesla=y" TargetMode="External"/><Relationship Id="rId65" Type="http://schemas.openxmlformats.org/officeDocument/2006/relationships/hyperlink" Target="http://energie.lexpansion.com/energies-fossiles/exportations-de-gaz-naturel-la-russie-entre-l-europe-et-la-chine_a-31-8264.html" TargetMode="External"/><Relationship Id="rId73" Type="http://schemas.openxmlformats.org/officeDocument/2006/relationships/hyperlink" Target="http://www.bulletins-electroniques.com/actualites/78034.htm" TargetMode="External"/><Relationship Id="rId78" Type="http://schemas.openxmlformats.org/officeDocument/2006/relationships/hyperlink" Target="http://www.ifpenergiesnouvelles.fr/Actualites/Actualite/Fil-d-actu/Marche-petrolier-strategie-OPEP-face-a-un-changement-de-structure-du-marche" TargetMode="External"/><Relationship Id="rId81" Type="http://schemas.openxmlformats.org/officeDocument/2006/relationships/image" Target="media/image33.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emex.com/prensa/boletines_nacionales/Paginas/2015-023-nacional.aspx" TargetMode="External"/><Relationship Id="rId13" Type="http://schemas.openxmlformats.org/officeDocument/2006/relationships/hyperlink" Target="http://www.shcp.gob.mx/Biblioteca_noticias_home/comunicado_017_2015.pdf" TargetMode="External"/><Relationship Id="rId18" Type="http://schemas.openxmlformats.org/officeDocument/2006/relationships/hyperlink" Target="http://sener.gob.mx/portal/Default_blt.aspx?id=3134" TargetMode="External"/><Relationship Id="rId39" Type="http://schemas.openxmlformats.org/officeDocument/2006/relationships/image" Target="media/image7.emf"/><Relationship Id="rId34" Type="http://schemas.openxmlformats.org/officeDocument/2006/relationships/hyperlink" Target="http://www.promexico.gob.mx/documentos/boletines-prensa/Boletin-Prensa-07-15.pdf" TargetMode="External"/><Relationship Id="rId50" Type="http://schemas.openxmlformats.org/officeDocument/2006/relationships/image" Target="media/image18.emf"/><Relationship Id="rId55" Type="http://schemas.openxmlformats.org/officeDocument/2006/relationships/image" Target="media/image22.emf"/><Relationship Id="rId76" Type="http://schemas.openxmlformats.org/officeDocument/2006/relationships/image" Target="media/image29.emf"/><Relationship Id="rId7" Type="http://schemas.openxmlformats.org/officeDocument/2006/relationships/endnotes" Target="endnotes.xml"/><Relationship Id="rId71" Type="http://schemas.openxmlformats.org/officeDocument/2006/relationships/hyperlink" Target="http://www.planete-energies.com/fr/depeches-afp/energie-bruxelles-propose-une-strategie-pour-briser-la-dependance-de-l-ue-vis-vis-de--0" TargetMode="External"/><Relationship Id="rId2" Type="http://schemas.openxmlformats.org/officeDocument/2006/relationships/numbering" Target="numbering.xml"/><Relationship Id="rId29" Type="http://schemas.openxmlformats.org/officeDocument/2006/relationships/hyperlink" Target="http://www.ri.pemex.com/files/dcpe/petro/evalorexporta_esp.pdf" TargetMode="External"/><Relationship Id="rId24" Type="http://schemas.openxmlformats.org/officeDocument/2006/relationships/hyperlink" Target="http://www.pemex.com/prensa/boletines_nacionales/Paginas/2015-019-nacional.aspx" TargetMode="External"/><Relationship Id="rId40" Type="http://schemas.openxmlformats.org/officeDocument/2006/relationships/image" Target="media/image8.emf"/><Relationship Id="rId45" Type="http://schemas.openxmlformats.org/officeDocument/2006/relationships/image" Target="media/image13.emf"/><Relationship Id="rId66" Type="http://schemas.openxmlformats.org/officeDocument/2006/relationships/image" Target="media/image25.emf"/><Relationship Id="rId61" Type="http://schemas.openxmlformats.org/officeDocument/2006/relationships/hyperlink" Target="http://europa.eu/rapid/press-release_IP-15-4497_es.htm" TargetMode="External"/><Relationship Id="rId82" Type="http://schemas.openxmlformats.org/officeDocument/2006/relationships/hyperlink" Target="http://blog-dialogoafondo.org/?p=5022"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redirectix.bulletins-electroniques.com/I7dXy" TargetMode="External"/><Relationship Id="rId2" Type="http://schemas.openxmlformats.org/officeDocument/2006/relationships/hyperlink" Target="http://www.pemex.com/prensa/discursos/Paginas/2015-discurso180315.aspx" TargetMode="External"/><Relationship Id="rId1" Type="http://schemas.openxmlformats.org/officeDocument/2006/relationships/hyperlink" Target="https://www.youtube.com/embed/4yO9XgsSkZI" TargetMode="External"/><Relationship Id="rId4" Type="http://schemas.openxmlformats.org/officeDocument/2006/relationships/hyperlink" Target="http://redirectix.bulletins-electroniques.com/PUbSg"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F268F-F691-4256-B605-5199B807C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151</Pages>
  <Words>37594</Words>
  <Characters>206769</Characters>
  <Application>Microsoft Office Word</Application>
  <DocSecurity>0</DocSecurity>
  <Lines>1723</Lines>
  <Paragraphs>487</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243876</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17</cp:revision>
  <cp:lastPrinted>2015-03-23T21:00:00Z</cp:lastPrinted>
  <dcterms:created xsi:type="dcterms:W3CDTF">2015-03-23T20:24:00Z</dcterms:created>
  <dcterms:modified xsi:type="dcterms:W3CDTF">2015-03-24T22:39:00Z</dcterms:modified>
</cp:coreProperties>
</file>