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0B00C0D2" w:rsidR="00B01489" w:rsidRPr="00FC228D" w:rsidRDefault="00D8394F" w:rsidP="00FC228D">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bookmarkStart w:id="3" w:name="_GoBack"/>
      <w:bookmarkEnd w:id="3"/>
      <w:r w:rsidRPr="00FC228D">
        <w:rPr>
          <w:b/>
          <w:color w:val="002060"/>
          <w:sz w:val="32"/>
          <w:szCs w:val="32"/>
        </w:rPr>
        <w:t>I</w:t>
      </w:r>
      <w:r w:rsidR="00860463" w:rsidRPr="00FC228D">
        <w:rPr>
          <w:b/>
          <w:color w:val="002060"/>
          <w:sz w:val="32"/>
          <w:szCs w:val="32"/>
        </w:rPr>
        <w:t>V</w:t>
      </w:r>
      <w:r w:rsidR="00133A18" w:rsidRPr="00FC228D">
        <w:rPr>
          <w:b/>
          <w:color w:val="002060"/>
          <w:sz w:val="32"/>
          <w:szCs w:val="32"/>
        </w:rPr>
        <w:t xml:space="preserve">. </w:t>
      </w:r>
      <w:r w:rsidR="008E74FA" w:rsidRPr="00FC228D">
        <w:rPr>
          <w:b/>
          <w:color w:val="002060"/>
          <w:sz w:val="32"/>
          <w:szCs w:val="32"/>
        </w:rPr>
        <w:t>PO</w:t>
      </w:r>
      <w:r w:rsidR="00860463" w:rsidRPr="00FC228D">
        <w:rPr>
          <w:b/>
          <w:color w:val="002060"/>
          <w:sz w:val="32"/>
          <w:szCs w:val="32"/>
        </w:rPr>
        <w:t>STCRISIS FINANCIERA MUNDIAL</w:t>
      </w:r>
    </w:p>
    <w:bookmarkEnd w:id="0"/>
    <w:bookmarkEnd w:id="1"/>
    <w:bookmarkEnd w:id="2"/>
    <w:p w14:paraId="6A120C20" w14:textId="77777777" w:rsidR="00E87B95" w:rsidRPr="00E87B95" w:rsidRDefault="00E87B95" w:rsidP="00E87B95">
      <w:pPr>
        <w:spacing w:after="360" w:line="360" w:lineRule="auto"/>
        <w:ind w:right="-159"/>
        <w:jc w:val="both"/>
        <w:rPr>
          <w:rFonts w:eastAsia="Calibri"/>
          <w:b/>
          <w:sz w:val="26"/>
          <w:szCs w:val="26"/>
          <w:lang w:eastAsia="en-US"/>
        </w:rPr>
      </w:pPr>
      <w:r w:rsidRPr="00E87B95">
        <w:rPr>
          <w:rFonts w:eastAsia="Calibri"/>
          <w:b/>
          <w:sz w:val="26"/>
          <w:szCs w:val="26"/>
          <w:lang w:eastAsia="en-US"/>
        </w:rPr>
        <w:t>Europa hacia la unión del mercado de capitales (BBVA Research)</w:t>
      </w:r>
    </w:p>
    <w:p w14:paraId="516814A5"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El 23 de febrero de 2015, la sección de estudios económicos de BBVA Research dio a conocer el artículo “Europa hacia la unión del mercado de capitales” que se presenta a continuación.</w:t>
      </w:r>
    </w:p>
    <w:p w14:paraId="20ECE2CC"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Ahora que la unión bancaria está dando sus primeros pasos, la Comisión Europea va a orientar sus esfuerzos hacia la creación de una unión del mercado de capitales, su nuevo proyecto estrella. La iniciativa aborda con un nuevo nombre una cuestión que viene de lejos y que está en el ADN de la Unión Europea, el mercado único de capitales.</w:t>
      </w:r>
    </w:p>
    <w:p w14:paraId="3AC57251" w14:textId="23B15C21"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La nueva iniciativa europea pretende profundizar y perfeccionar el concepto fundacional de mercado interior en lo relativo a la libre circulación de capitales. El objetivo último es que las empresas europeas encuentren una oferta amplia para financiar sus proyectos y que los ahorradores encuentren formas adicionales de invertir su dinero para así fomentar el crecimiento económico y la creación de empleo.</w:t>
      </w:r>
      <w:r w:rsidR="00CF591B" w:rsidRPr="00CF591B">
        <w:rPr>
          <w:rFonts w:eastAsia="Calibri"/>
          <w:noProof/>
          <w:sz w:val="26"/>
          <w:szCs w:val="26"/>
          <w:lang w:eastAsia="es-MX"/>
        </w:rPr>
        <w:t xml:space="preserve"> </w:t>
      </w:r>
    </w:p>
    <w:p w14:paraId="43BF6ED5" w14:textId="66282654" w:rsidR="00E87B95" w:rsidRPr="00E87B95" w:rsidRDefault="00CF591B" w:rsidP="00E87B95">
      <w:pPr>
        <w:spacing w:after="360" w:line="360" w:lineRule="auto"/>
        <w:ind w:right="-159"/>
        <w:jc w:val="both"/>
        <w:rPr>
          <w:rFonts w:eastAsia="Calibri"/>
          <w:sz w:val="26"/>
          <w:szCs w:val="26"/>
          <w:lang w:val="es-ES" w:eastAsia="en-US"/>
        </w:rPr>
      </w:pPr>
      <w:r>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0B4A775D" wp14:editId="21B40D0B">
                <wp:simplePos x="0" y="0"/>
                <wp:positionH relativeFrom="margin">
                  <wp:posOffset>3510915</wp:posOffset>
                </wp:positionH>
                <wp:positionV relativeFrom="page">
                  <wp:posOffset>9472295</wp:posOffset>
                </wp:positionV>
                <wp:extent cx="2242820" cy="266700"/>
                <wp:effectExtent l="0" t="0" r="2540" b="0"/>
                <wp:wrapSquare wrapText="bothSides"/>
                <wp:docPr id="1689" name="Cuadro de texto 1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C47914" w14:textId="77777777" w:rsidR="00CF591B" w:rsidRDefault="00CF591B" w:rsidP="00CF591B">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0B4A775D" id="_x0000_t202" coordsize="21600,21600" o:spt="202" path="m,l,21600r21600,l21600,xe">
                <v:stroke joinstyle="miter"/>
                <v:path gradientshapeok="t" o:connecttype="rect"/>
              </v:shapetype>
              <v:shape id="Cuadro de texto 1689" o:spid="_x0000_s1026" type="#_x0000_t202" style="position:absolute;left:0;text-align:left;margin-left:276.45pt;margin-top:745.85pt;width:176.6pt;height:21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" stroked="f">
                <v:textbox style="mso-fit-shape-to-text:t">
                  <w:txbxContent>
                    <w:p w14:paraId="3BC47914" w14:textId="77777777" w:rsidR="00CF591B" w:rsidRDefault="00CF591B" w:rsidP="00CF591B">
                      <w:pPr>
                        <w:jc w:val="right"/>
                      </w:pPr>
                      <w:r>
                        <w:t>F1 P-07-02 Rev.00</w:t>
                      </w:r>
                    </w:p>
                  </w:txbxContent>
                </v:textbox>
                <w10:wrap type="square" anchorx="margin" anchory="page"/>
              </v:shape>
            </w:pict>
          </mc:Fallback>
        </mc:AlternateContent>
      </w:r>
      <w:r w:rsidR="00E87B95" w:rsidRPr="00E87B95">
        <w:rPr>
          <w:rFonts w:eastAsia="Calibri"/>
          <w:sz w:val="26"/>
          <w:szCs w:val="26"/>
          <w:lang w:val="es-ES" w:eastAsia="en-US"/>
        </w:rPr>
        <w:t xml:space="preserve">Es una propuesta que combina una amplia variedad de medidas pero que puede resumirse en dos grandes objetivos. Primero, favorecer el desarrollo de nuevos mercados/productos financieros para diversificar las fuentes de financiamiento de la economía real europea que tiene una alta dependencia del financiamiento bancario —frente a lo que, por ejemplo, ocurre en Estados Unidos de Norteamérica donde la mayor parte del financiamiento proviene de los mercados de capitales—. Se trata por tanto de promover fuentes de financiamiento complementarias a la bancaria, más que de sustituirla. Segundo, eliminar barreras legislativas y armonizar las regulaciones para en última instancia integrar los mercados de capitales, de forma que se logre una mejor asignación de capital en la Unión. Esto afecta a cuestiones tan diversas como el régimen </w:t>
      </w:r>
      <w:r w:rsidR="00E87B95" w:rsidRPr="00E87B95">
        <w:rPr>
          <w:rFonts w:eastAsia="Calibri"/>
          <w:sz w:val="26"/>
          <w:szCs w:val="26"/>
          <w:lang w:val="es-ES" w:eastAsia="en-US"/>
        </w:rPr>
        <w:lastRenderedPageBreak/>
        <w:t>fiscal, los requerimientos de información exigidos a las empresas emisoras, las leyes de insolvencia o las normas contables aplicables. Se trata en muchos casos de cuestiones legisladas a nivel nacional y que no resultan fácilmente modificables.</w:t>
      </w:r>
    </w:p>
    <w:p w14:paraId="220BC051"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Para conseguir estos objetivos, la Comisión Europea ha presentado a consulta pública esta misma semana un primer plan de trabajo. En el corto plazo, se priorizarán cuestiones tan diversas como las medidas que revitalicen las titulizaciones de alta calidad, la identificación de mejoras en la información crediticia de las pequeñas y medianas empresas (PYMEs), la simplificación de la normativa de folletos que agilice la emisión en los mercados de deuda, el desarrollo de un marco europeo para las colocaciones privadas de títulos emitidos y la promoción del financiamiento de largo plazo.</w:t>
      </w:r>
    </w:p>
    <w:p w14:paraId="37DD9C39"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En el mediano-largo plazo, se buscará avanzar en la eliminación de barreras legales y armonización de los marcos normativos aplicables a cada uno de los productos. Asimismo, se perseguirán estrategias que permitan ampliar y diversificar las fuentes de financiamiento a través de la atracción de inversionistas minoristas, inversionistas institucionales —incluyendo nuevas formas de financiamiento como el préstamo peer to peer— e inversionistas internacionales. Por último se trabajará para desarrollar mercados como el de crowdfunding, bonos colateralizados o deuda corporativa.</w:t>
      </w:r>
    </w:p>
    <w:p w14:paraId="4BBF0468"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 xml:space="preserve">Existen diferencias significativas con la unión bancaria por la naturaleza y ámbito de aplicación de ambos proyectos. Así, la unión del mercado de capitales aplica a los 28 países de la UE, mientras que la unión bancaria se enmarca en la eurozona. Aquélla busca la integración de los mercados de capital y la unión bancaria busca la ruptura del círculo soberano-bancario. Adicionalmente, el traspaso de competencias a las nuevas instituciones europeas de supervisión y resolución en el marco de la unión bancaria, no resulta indispensable por el momento para el correcto desarrollo de la unión del mercado de capitales. Además, el cambio tectónico que ha supuesto el lanzamiento de </w:t>
      </w:r>
      <w:r w:rsidRPr="00E87B95">
        <w:rPr>
          <w:rFonts w:eastAsia="Calibri"/>
          <w:sz w:val="26"/>
          <w:szCs w:val="26"/>
          <w:lang w:val="es-ES" w:eastAsia="en-US"/>
        </w:rPr>
        <w:lastRenderedPageBreak/>
        <w:t>la unión bancaria, sin duda el más ambicioso desde la creación del euro, no parece que vaya a replicarse con este proyecto. En todo caso, son proyectos complementarios y que van en la dirección correcta de más integración y más Europa.</w:t>
      </w:r>
    </w:p>
    <w:p w14:paraId="7A18F17B" w14:textId="77777777" w:rsidR="00E87B95" w:rsidRPr="00E87B95" w:rsidRDefault="00E87B95" w:rsidP="00E87B95">
      <w:pPr>
        <w:spacing w:after="360" w:line="360" w:lineRule="auto"/>
        <w:ind w:right="-159"/>
        <w:jc w:val="both"/>
        <w:rPr>
          <w:rFonts w:eastAsia="Calibri"/>
          <w:sz w:val="26"/>
          <w:szCs w:val="26"/>
          <w:lang w:val="es-ES" w:eastAsia="en-US"/>
        </w:rPr>
      </w:pPr>
      <w:r w:rsidRPr="00E87B95">
        <w:rPr>
          <w:rFonts w:eastAsia="Calibri"/>
          <w:sz w:val="26"/>
          <w:szCs w:val="26"/>
          <w:lang w:val="es-ES" w:eastAsia="en-US"/>
        </w:rPr>
        <w:t>Aunque resulta prematuro valorar la iniciativa por encontrarnos al inicio del proceso y con un diseño todavía por concretar, es indudable que el objetivo perseguido es positivo para Europa y como tal debe ser acogido. La diversificación de las fuentes de financiamiento ayudará a la economía europea a ser más competitiva y el incremento de la competencia en el sector acabará redundando en una mayor eficiencia en la asignación del capital. No obstante, se trata de un cambio estructural que tardará un tiempo en producirse. En el verano de 2015 se conocerá la hoja de ruta concreta con que la Comisión trabajará y aunque se irán dando pasos intermedios, no será hasta 2019 cuando el nuevo marco esté implementado. Hasta que el proyecto se materialice en resultados concretos, Europa necesitará una banca fuerte que pueda otorgar el financiamiento que la economía requiere para crecer.</w:t>
      </w:r>
    </w:p>
    <w:p w14:paraId="29F4E483" w14:textId="77777777" w:rsidR="00E87B95" w:rsidRPr="00E87B95" w:rsidRDefault="00E87B95" w:rsidP="00E87B95">
      <w:pPr>
        <w:spacing w:before="360"/>
        <w:ind w:right="-159"/>
        <w:jc w:val="both"/>
        <w:rPr>
          <w:rFonts w:eastAsia="Calibri"/>
          <w:b/>
          <w:sz w:val="20"/>
          <w:szCs w:val="20"/>
          <w:lang w:val="es-ES" w:eastAsia="en-US"/>
        </w:rPr>
      </w:pPr>
      <w:r w:rsidRPr="00E87B95">
        <w:rPr>
          <w:rFonts w:eastAsia="Calibri"/>
          <w:b/>
          <w:sz w:val="20"/>
          <w:szCs w:val="20"/>
          <w:lang w:val="es-ES" w:eastAsia="en-US"/>
        </w:rPr>
        <w:t>Fuente de información:</w:t>
      </w:r>
    </w:p>
    <w:p w14:paraId="32EF2D90" w14:textId="77777777" w:rsidR="00E87B95" w:rsidRPr="00E50BF7" w:rsidRDefault="00B9483D" w:rsidP="00E50BF7">
      <w:pPr>
        <w:spacing w:after="720"/>
        <w:ind w:right="-159"/>
        <w:jc w:val="both"/>
        <w:rPr>
          <w:rFonts w:eastAsia="Calibri"/>
          <w:color w:val="0000FF"/>
          <w:sz w:val="20"/>
          <w:szCs w:val="20"/>
          <w:lang w:eastAsia="en-US"/>
        </w:rPr>
      </w:pPr>
      <w:hyperlink r:id="rId8" w:history="1">
        <w:r w:rsidR="00E87B95" w:rsidRPr="00E50BF7">
          <w:rPr>
            <w:rFonts w:eastAsia="Calibri"/>
            <w:color w:val="0000FF"/>
            <w:sz w:val="20"/>
            <w:szCs w:val="20"/>
            <w:u w:val="single"/>
            <w:lang w:eastAsia="en-US"/>
          </w:rPr>
          <w:t>https://www.bbvaresearch.com/wp-content/uploads/pdf/3220_65337.pdf</w:t>
        </w:r>
      </w:hyperlink>
    </w:p>
    <w:p w14:paraId="74933773" w14:textId="77777777" w:rsidR="006626C3" w:rsidRPr="006626C3" w:rsidRDefault="006626C3" w:rsidP="006626C3">
      <w:pPr>
        <w:spacing w:after="360" w:line="360" w:lineRule="auto"/>
        <w:ind w:right="-159"/>
        <w:jc w:val="both"/>
        <w:rPr>
          <w:rFonts w:eastAsia="Calibri"/>
          <w:b/>
          <w:sz w:val="26"/>
          <w:szCs w:val="26"/>
          <w:lang w:eastAsia="en-US"/>
        </w:rPr>
      </w:pPr>
      <w:r w:rsidRPr="006626C3">
        <w:rPr>
          <w:rFonts w:eastAsia="Calibri"/>
          <w:b/>
          <w:sz w:val="26"/>
          <w:szCs w:val="26"/>
          <w:lang w:eastAsia="en-US"/>
        </w:rPr>
        <w:t xml:space="preserve">Cuatro caminos (espinosos) para Grecia y la zona euro (Forbes México) </w:t>
      </w:r>
    </w:p>
    <w:p w14:paraId="4EC32E96" w14:textId="358995EA"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 xml:space="preserve">El 24 de febrero de 2015, la edición online de la revista de negocios Forbes México señaló que aunque Grecia y el bloque europeo ganaron tiempo, la crisis de deuda está lejos de resolverse. </w:t>
      </w:r>
      <w:r w:rsidR="006B134F">
        <w:rPr>
          <w:rFonts w:eastAsia="Calibri"/>
          <w:sz w:val="26"/>
          <w:szCs w:val="26"/>
          <w:lang w:val="es-ES" w:eastAsia="en-US"/>
        </w:rPr>
        <w:t>Al respecto, se presentan</w:t>
      </w:r>
      <w:r w:rsidRPr="006626C3">
        <w:rPr>
          <w:rFonts w:eastAsia="Calibri"/>
          <w:sz w:val="26"/>
          <w:szCs w:val="26"/>
          <w:lang w:val="es-ES" w:eastAsia="en-US"/>
        </w:rPr>
        <w:t xml:space="preserve"> los cuatro caminos que tienen para salir del atolladero, aunque todos tienen varios obstáculos que sal</w:t>
      </w:r>
      <w:r w:rsidR="006B134F">
        <w:rPr>
          <w:rFonts w:eastAsia="Calibri"/>
          <w:sz w:val="26"/>
          <w:szCs w:val="26"/>
          <w:lang w:val="es-ES" w:eastAsia="en-US"/>
        </w:rPr>
        <w:t>var</w:t>
      </w:r>
      <w:r w:rsidRPr="006626C3">
        <w:rPr>
          <w:rFonts w:eastAsia="Calibri"/>
          <w:sz w:val="26"/>
          <w:szCs w:val="26"/>
          <w:lang w:val="es-ES" w:eastAsia="en-US"/>
        </w:rPr>
        <w:t>.</w:t>
      </w:r>
      <w:r w:rsidR="006B134F">
        <w:rPr>
          <w:rFonts w:eastAsia="Calibri"/>
          <w:sz w:val="26"/>
          <w:szCs w:val="26"/>
          <w:lang w:val="es-ES" w:eastAsia="en-US"/>
        </w:rPr>
        <w:t xml:space="preserve"> A continuación se presenta el contenido.</w:t>
      </w:r>
    </w:p>
    <w:p w14:paraId="30DF1B6B"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Un profesor griego de economía se presentó en Zagreb, Croacia, el 14 de mayo de 2013 para dar un discurso llamado “Confesiones de un marxista errático en medio de una repugnante crisis europea”.</w:t>
      </w:r>
    </w:p>
    <w:p w14:paraId="7A2B9310"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lastRenderedPageBreak/>
        <w:t>“En efecto, comparto la visión de la Unión Europea como un cartel fundamentalmente antidemocrático, irracional y que ha puesto a los pueblos de Europa en el camino hacia la misantropía, el conflicto y la recesión permanente”, dijo el maestro de la Universidad de Atenas a la audiencia del Festival Subversivo, un evento anual sobre política, artes y cultura, en la capital croata.</w:t>
      </w:r>
    </w:p>
    <w:p w14:paraId="74B5B9AE"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El académico es el actual ministro de Finanzas de Grecia y el responsable de irritar a sus pares de la zona euro. Con el triunfo del partido Syriza, el pasado 25 de enero, el primer ministro prometió a los griegos poner fin a la austeridad impuesta por el bloque monetario.</w:t>
      </w:r>
    </w:p>
    <w:p w14:paraId="7AA14590"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El Eurogrupo, encabezado por Alemania, no está dispuesto a ceder en las condiciones del programa de rescate, pero el pasado viernes 20 de enero, Grecia ganó tiempo cuando, de última hora, alcanzó un acuerdo para extender el  programa crediticio por cuatro meses y esquivar, por ahora, la bancarrota.</w:t>
      </w:r>
    </w:p>
    <w:p w14:paraId="17F6A12C"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Pero ni por asomo están resueltas las grandes diferencias entre el nuevo gobierno heleno y la ‘troika’, integrada por el Eurogrupo, el Fondo Monetario Internacional (FMI) y el Banco Central Europeo (BCE). Las negociaciones serán largas y espinosas. Por eso te presentamos cuatro escenarios a los que pueden llegar Grecia y la zona euro, todos llenos de varios obstáculos por vencer, por lo que ninguno se vislumbra como la solución ideal a la crisis.</w:t>
      </w:r>
    </w:p>
    <w:p w14:paraId="6B91D233" w14:textId="77777777" w:rsidR="006626C3" w:rsidRPr="006626C3" w:rsidRDefault="006626C3" w:rsidP="006626C3">
      <w:pPr>
        <w:spacing w:after="360" w:line="360" w:lineRule="auto"/>
        <w:ind w:right="-159"/>
        <w:jc w:val="both"/>
        <w:rPr>
          <w:rFonts w:eastAsia="Calibri"/>
          <w:b/>
          <w:sz w:val="26"/>
          <w:szCs w:val="26"/>
          <w:lang w:val="es-ES" w:eastAsia="en-US"/>
        </w:rPr>
      </w:pPr>
      <w:r w:rsidRPr="006626C3">
        <w:rPr>
          <w:rFonts w:eastAsia="Calibri"/>
          <w:b/>
          <w:sz w:val="26"/>
          <w:szCs w:val="26"/>
          <w:lang w:val="es-ES" w:eastAsia="en-US"/>
        </w:rPr>
        <w:t>1. Grecia sigue el rescate en los términos del eurogrupo</w:t>
      </w:r>
    </w:p>
    <w:p w14:paraId="5439D7BA"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Debido a la inflexibilidad de varios miembros de la zona euro, sobre todo de Alemania, en las condiciones del programa que debe seguir Grecia para continuar recibiendo financiamiento, el nuevo gobierno griego podría ceder y seguir el plan de austeridad tal como está, aunque eso puede significar su muerte política.</w:t>
      </w:r>
    </w:p>
    <w:p w14:paraId="4A15D54F"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lastRenderedPageBreak/>
        <w:t>“Creo que el primer ministro no dará marcha atrás porque, si lo hace, sabe que va a incurrir en el destino de su predecesor. La prevalencia de la austeridad le costará muy cara”, dice el profesor de Estudios de la Organización en la Warwick Business School del Reino Unido.</w:t>
      </w:r>
    </w:p>
    <w:p w14:paraId="42A51044" w14:textId="5773F979"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La crisis política causada por los recortes presupuesta</w:t>
      </w:r>
      <w:r w:rsidR="0020784B">
        <w:rPr>
          <w:rFonts w:eastAsia="Calibri"/>
          <w:sz w:val="26"/>
          <w:szCs w:val="26"/>
          <w:lang w:val="es-ES" w:eastAsia="en-US"/>
        </w:rPr>
        <w:t>rios</w:t>
      </w:r>
      <w:r w:rsidRPr="006626C3">
        <w:rPr>
          <w:rFonts w:eastAsia="Calibri"/>
          <w:sz w:val="26"/>
          <w:szCs w:val="26"/>
          <w:lang w:val="es-ES" w:eastAsia="en-US"/>
        </w:rPr>
        <w:t xml:space="preserve"> provocó la salida de Giorgios Papandreu como primer ministro en 2011, para dar lugar a un gobierno de coalición encabezado por Antonis Samarás, quien dejó el puesto en enero pasado tras la victoria de Syriza.</w:t>
      </w:r>
    </w:p>
    <w:p w14:paraId="516DCF01"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El académico agrega que el gobierno griego no puede entregar lo que Alemania y sus aliados más necesitan: la credibilidad y la determinación para llevar a cabo reformas estructurales.</w:t>
      </w:r>
    </w:p>
    <w:p w14:paraId="7CAB2C15" w14:textId="77777777" w:rsidR="006626C3" w:rsidRPr="006626C3" w:rsidRDefault="006626C3" w:rsidP="006626C3">
      <w:pPr>
        <w:spacing w:after="360" w:line="360" w:lineRule="auto"/>
        <w:ind w:right="-159"/>
        <w:jc w:val="both"/>
        <w:rPr>
          <w:rFonts w:eastAsia="Calibri"/>
          <w:b/>
          <w:sz w:val="26"/>
          <w:szCs w:val="26"/>
          <w:lang w:val="es-ES" w:eastAsia="en-US"/>
        </w:rPr>
      </w:pPr>
      <w:r w:rsidRPr="006626C3">
        <w:rPr>
          <w:rFonts w:eastAsia="Calibri"/>
          <w:b/>
          <w:sz w:val="26"/>
          <w:szCs w:val="26"/>
          <w:lang w:val="es-ES" w:eastAsia="en-US"/>
        </w:rPr>
        <w:t>2. Recorte de la deuda</w:t>
      </w:r>
    </w:p>
    <w:p w14:paraId="4DC70FD9"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La deuda soberana de Grecia asciende a más de 331 mil millones de euros (374 mil millones de dólares), equivalente a casi 170% de su Producto Interno Bruto (PIB). Sólo los intereses por año ascienden a 24 mil 862 millones de euros, es decir, cada segundo que pasa se acumulan 788 euros de interés, haciendo la deuda impagable.</w:t>
      </w:r>
    </w:p>
    <w:p w14:paraId="68B7D929"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 xml:space="preserve">El pasado 25 de enero, 18 prominentes economistas, entre ellos los ganadores del Premio Nobel Joseph Stiglitz y Christopher Pissarides, pidieron en un artículo conjunto publicado por </w:t>
      </w:r>
      <w:r w:rsidRPr="006626C3">
        <w:rPr>
          <w:rFonts w:eastAsia="Calibri"/>
          <w:i/>
          <w:sz w:val="26"/>
          <w:szCs w:val="26"/>
          <w:lang w:val="es-ES" w:eastAsia="en-US"/>
        </w:rPr>
        <w:t>The Financial Times</w:t>
      </w:r>
      <w:r w:rsidRPr="006626C3">
        <w:rPr>
          <w:rFonts w:eastAsia="Calibri"/>
          <w:sz w:val="26"/>
          <w:szCs w:val="26"/>
          <w:lang w:val="es-ES" w:eastAsia="en-US"/>
        </w:rPr>
        <w:t xml:space="preserve"> un nuevo recorte a la deuda griega por parte de los países tenedores y una moratoria en el pago de intereses.</w:t>
      </w:r>
    </w:p>
    <w:p w14:paraId="7012F839" w14:textId="77777777" w:rsid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Incluso, el presidente de Estados Unidos de Norteamérica dijo a inicios de febrero que “no se puede seguir exprimiendo a los países que están en medio de una depresión”.</w:t>
      </w:r>
    </w:p>
    <w:p w14:paraId="166C9EDB" w14:textId="77777777" w:rsidR="00AB1684" w:rsidRPr="006626C3" w:rsidRDefault="00AB1684" w:rsidP="006626C3">
      <w:pPr>
        <w:spacing w:after="360" w:line="360" w:lineRule="auto"/>
        <w:ind w:right="-159"/>
        <w:jc w:val="both"/>
        <w:rPr>
          <w:rFonts w:eastAsia="Calibri"/>
          <w:sz w:val="26"/>
          <w:szCs w:val="26"/>
          <w:lang w:val="es-ES" w:eastAsia="en-US"/>
        </w:rPr>
      </w:pPr>
    </w:p>
    <w:p w14:paraId="22C985FD"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lastRenderedPageBreak/>
        <w:t>Pero la respuesta de la canciller de Alemania es rotunda: no habrá más quitas a la deuda.</w:t>
      </w:r>
    </w:p>
    <w:p w14:paraId="28260850"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“Los términos para aliviar la deuda de Grecia se decidirán, en última instancia, por la política. El poder es lo que importa, y el poder está con los acreedores, no con Grecia”, opina un profesor griego.</w:t>
      </w:r>
    </w:p>
    <w:p w14:paraId="5619B0E4" w14:textId="77777777" w:rsidR="006626C3" w:rsidRPr="006626C3" w:rsidRDefault="006626C3" w:rsidP="006626C3">
      <w:pPr>
        <w:spacing w:after="360" w:line="360" w:lineRule="auto"/>
        <w:ind w:right="-159"/>
        <w:jc w:val="both"/>
        <w:rPr>
          <w:rFonts w:eastAsia="Calibri"/>
          <w:b/>
          <w:sz w:val="26"/>
          <w:szCs w:val="26"/>
          <w:lang w:val="es-ES" w:eastAsia="en-US"/>
        </w:rPr>
      </w:pPr>
      <w:r w:rsidRPr="006626C3">
        <w:rPr>
          <w:rFonts w:eastAsia="Calibri"/>
          <w:b/>
          <w:sz w:val="26"/>
          <w:szCs w:val="26"/>
          <w:lang w:val="es-ES" w:eastAsia="en-US"/>
        </w:rPr>
        <w:t>3. Intercambio de bonos</w:t>
      </w:r>
    </w:p>
    <w:p w14:paraId="32A3EDC6"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El 2 de febrero, un diputado del parlamento griego propuso un programa de intercambio de bonos por unos ligados al crecimiento nominal de la economía. Esto significa que se sustituiría parte de la deuda en manos de los socios europeos y se pagarían sólo si la economía griega crece.</w:t>
      </w:r>
    </w:p>
    <w:p w14:paraId="55E5A1B1"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A pregunta expresa, el profesor griego explica que otros países han tenido éxito con este tipo de bonos.</w:t>
      </w:r>
    </w:p>
    <w:p w14:paraId="6578D831"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“Es muy realista y prudente vincular los bonos de la deuda griega al crecimiento. La ventaja principal es que se comparte el riesgo en la zona euro. Costa Rica, Bulgaria y Bosnia Herzegovina han emitido valores vinculados al crecimiento en la década de los noventa, al igual que Argentina tras su default en 2002. De igual manera, México ha emitido bonos ligados a los precios del petróleo”, dice.</w:t>
      </w:r>
    </w:p>
    <w:p w14:paraId="680AC849"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El problema para esta alternativa es que los socios de la zona euro, principalmente Alemania, se niegan a compartir el riesgo con los países endeudados.</w:t>
      </w:r>
    </w:p>
    <w:p w14:paraId="00B2755C" w14:textId="77777777" w:rsidR="006626C3" w:rsidRPr="006626C3" w:rsidRDefault="006626C3" w:rsidP="006626C3">
      <w:pPr>
        <w:spacing w:after="360" w:line="360" w:lineRule="auto"/>
        <w:ind w:right="-159"/>
        <w:jc w:val="both"/>
        <w:rPr>
          <w:rFonts w:eastAsia="Calibri"/>
          <w:b/>
          <w:sz w:val="26"/>
          <w:szCs w:val="26"/>
          <w:lang w:val="es-ES" w:eastAsia="en-US"/>
        </w:rPr>
      </w:pPr>
      <w:r w:rsidRPr="006626C3">
        <w:rPr>
          <w:rFonts w:eastAsia="Calibri"/>
          <w:b/>
          <w:sz w:val="26"/>
          <w:szCs w:val="26"/>
          <w:lang w:val="es-ES" w:eastAsia="en-US"/>
        </w:rPr>
        <w:t>4. Salida de Grecia del euro</w:t>
      </w:r>
    </w:p>
    <w:p w14:paraId="594CFFEB"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 xml:space="preserve">A diferencia de hace dos años, la salida de Grecia del bloque monetario ya no se considera una catástrofe para la zona euro. Un reporte de Standard &amp; Poor’s del 19 de febrero prevé que el “Grexit”, como se le conoce a este escenario, tendría riesgos de </w:t>
      </w:r>
      <w:r w:rsidRPr="006626C3">
        <w:rPr>
          <w:rFonts w:eastAsia="Calibri"/>
          <w:sz w:val="26"/>
          <w:szCs w:val="26"/>
          <w:lang w:val="es-ES" w:eastAsia="en-US"/>
        </w:rPr>
        <w:lastRenderedPageBreak/>
        <w:t>contagio limitados para otros países. Inclusive, el BCE estaría preparando planes de contingencia para una eventual salida.</w:t>
      </w:r>
    </w:p>
    <w:p w14:paraId="7A02CEBC" w14:textId="1FC5A5F2"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 xml:space="preserve">Pero un sondeo publicado el 16 de febrero por la agencia MARC a </w:t>
      </w:r>
      <w:r w:rsidR="0020784B">
        <w:rPr>
          <w:rFonts w:eastAsia="Calibri"/>
          <w:sz w:val="26"/>
          <w:szCs w:val="26"/>
          <w:lang w:val="es-ES" w:eastAsia="en-US"/>
        </w:rPr>
        <w:t>un</w:t>
      </w:r>
      <w:r w:rsidRPr="006626C3">
        <w:rPr>
          <w:rFonts w:eastAsia="Calibri"/>
          <w:sz w:val="26"/>
          <w:szCs w:val="26"/>
          <w:lang w:val="es-ES" w:eastAsia="en-US"/>
        </w:rPr>
        <w:t xml:space="preserve"> mil familias griegas reveló que 81% quiere permanecer en la zona euro.</w:t>
      </w:r>
    </w:p>
    <w:p w14:paraId="58C1EAF8" w14:textId="77777777" w:rsidR="006626C3" w:rsidRPr="006626C3" w:rsidRDefault="006626C3" w:rsidP="006626C3">
      <w:pPr>
        <w:spacing w:after="360" w:line="360" w:lineRule="auto"/>
        <w:ind w:right="-159"/>
        <w:jc w:val="both"/>
        <w:rPr>
          <w:rFonts w:eastAsia="Calibri"/>
          <w:sz w:val="26"/>
          <w:szCs w:val="26"/>
          <w:lang w:val="es-ES" w:eastAsia="en-US"/>
        </w:rPr>
      </w:pPr>
      <w:r w:rsidRPr="006626C3">
        <w:rPr>
          <w:rFonts w:eastAsia="Calibri"/>
          <w:sz w:val="26"/>
          <w:szCs w:val="26"/>
          <w:lang w:val="es-ES" w:eastAsia="en-US"/>
        </w:rPr>
        <w:t>Sea cual sea el camino que tomen Grecia y la zona euro, ninguno es fácil y una de las dos partes perderá más. Un profesor del Warwick Business School, lo sintetiza así: “Nadie puede predecir lo que sucederá. Todo depende de quién ceda primero.”</w:t>
      </w:r>
    </w:p>
    <w:p w14:paraId="226022DB" w14:textId="77777777" w:rsidR="006626C3" w:rsidRPr="006626C3" w:rsidRDefault="006626C3" w:rsidP="006626C3">
      <w:pPr>
        <w:ind w:right="-159"/>
        <w:jc w:val="both"/>
        <w:rPr>
          <w:rFonts w:eastAsia="Calibri"/>
          <w:b/>
          <w:sz w:val="20"/>
          <w:szCs w:val="20"/>
          <w:lang w:eastAsia="en-US"/>
        </w:rPr>
      </w:pPr>
      <w:r w:rsidRPr="006626C3">
        <w:rPr>
          <w:rFonts w:eastAsia="Calibri"/>
          <w:b/>
          <w:sz w:val="20"/>
          <w:szCs w:val="20"/>
          <w:lang w:eastAsia="en-US"/>
        </w:rPr>
        <w:t>Fuente de información:</w:t>
      </w:r>
    </w:p>
    <w:p w14:paraId="5D260193" w14:textId="77777777" w:rsidR="006626C3" w:rsidRPr="00E50BF7" w:rsidRDefault="00B9483D" w:rsidP="00E50BF7">
      <w:pPr>
        <w:spacing w:after="720"/>
        <w:ind w:right="-159"/>
        <w:jc w:val="both"/>
        <w:rPr>
          <w:rFonts w:eastAsia="Calibri"/>
          <w:b/>
          <w:color w:val="0000FF"/>
          <w:sz w:val="20"/>
          <w:szCs w:val="20"/>
          <w:lang w:val="es-ES" w:eastAsia="en-US"/>
        </w:rPr>
      </w:pPr>
      <w:hyperlink r:id="rId9" w:history="1">
        <w:r w:rsidR="006626C3" w:rsidRPr="00E50BF7">
          <w:rPr>
            <w:rFonts w:eastAsia="Calibri"/>
            <w:color w:val="0000FF"/>
            <w:sz w:val="20"/>
            <w:szCs w:val="20"/>
            <w:u w:val="single"/>
            <w:lang w:val="es-ES" w:eastAsia="en-US"/>
          </w:rPr>
          <w:t>http://www.forbes.com.mx/4-caminos-espinosos-para-grecia-y-la-zona-euro/</w:t>
        </w:r>
      </w:hyperlink>
    </w:p>
    <w:p w14:paraId="60D4740A" w14:textId="77777777" w:rsidR="0038653F" w:rsidRPr="0038653F" w:rsidRDefault="0038653F" w:rsidP="0038653F">
      <w:pPr>
        <w:spacing w:after="360" w:line="360" w:lineRule="auto"/>
        <w:ind w:right="-159"/>
        <w:jc w:val="both"/>
        <w:rPr>
          <w:rFonts w:eastAsia="Calibri"/>
          <w:b/>
          <w:sz w:val="26"/>
          <w:szCs w:val="26"/>
          <w:lang w:eastAsia="en-US"/>
        </w:rPr>
      </w:pPr>
      <w:r w:rsidRPr="0038653F">
        <w:rPr>
          <w:rFonts w:eastAsia="Calibri"/>
          <w:b/>
          <w:sz w:val="26"/>
          <w:szCs w:val="26"/>
          <w:lang w:eastAsia="en-US"/>
        </w:rPr>
        <w:t>Apuntes sobre la deuda de Grecia (RIE)</w:t>
      </w:r>
    </w:p>
    <w:p w14:paraId="51747C6C"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El 23 de febrero de 2015, el Real Instituto Elcano (RIE) publicó el artículo “Apuntes sobre la deuda de Grecia”, elaborado por Federico Steinberg</w:t>
      </w:r>
      <w:r w:rsidRPr="0038653F">
        <w:rPr>
          <w:rFonts w:eastAsia="Calibri"/>
          <w:sz w:val="26"/>
          <w:szCs w:val="26"/>
          <w:vertAlign w:val="superscript"/>
          <w:lang w:eastAsia="en-US"/>
        </w:rPr>
        <w:footnoteReference w:id="1"/>
      </w:r>
      <w:r w:rsidRPr="0038653F">
        <w:rPr>
          <w:rFonts w:eastAsia="Calibri"/>
          <w:sz w:val="26"/>
          <w:szCs w:val="26"/>
          <w:lang w:eastAsia="en-US"/>
        </w:rPr>
        <w:t>. A continuación se presenta el contenido.</w:t>
      </w:r>
    </w:p>
    <w:p w14:paraId="7CD61E70"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 xml:space="preserve"> “Si te debo cien libras, tengo un problema; pero si te debo un millón, el problema es tuyo”. Esta frase, pronunciada por John Mynard Keynes, es la que el nuevo gobierno griego está sacando a relucir al negociar con sus socios europeos. Afirma no poder hacer frente a su enorme deuda pública en las condiciones pactadas y solicita, por tanto, una revisión del programa que el anterior gobierno acordó con la Troika. La alternativa, de no alcanzarse un acuerdo, es que los acreedores no cobren parte de lo que les corresponde.</w:t>
      </w:r>
    </w:p>
    <w:p w14:paraId="3D5A9B69"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 xml:space="preserve">Más allá de que la amenaza del impago sea en este momento poco creíble porque un default podría implicar una crisis aún más profunda en Grecia, e incluso una salida del </w:t>
      </w:r>
      <w:r w:rsidRPr="0038653F">
        <w:rPr>
          <w:rFonts w:eastAsia="Calibri"/>
          <w:sz w:val="26"/>
          <w:szCs w:val="26"/>
          <w:lang w:eastAsia="en-US"/>
        </w:rPr>
        <w:lastRenderedPageBreak/>
        <w:t>euro (que la mayoría de los ciudadanos griegos no quieren), conviene preguntarse si Grecia puede realmente pagar su deuda. Y, de no pagarla, quién se quedaría sin cobrar.</w:t>
      </w:r>
    </w:p>
    <w:tbl>
      <w:tblPr>
        <w:tblW w:w="9209" w:type="dxa"/>
        <w:tblLook w:val="04A0" w:firstRow="1" w:lastRow="0" w:firstColumn="1" w:lastColumn="0" w:noHBand="0" w:noVBand="1"/>
      </w:tblPr>
      <w:tblGrid>
        <w:gridCol w:w="9209"/>
      </w:tblGrid>
      <w:tr w:rsidR="0038653F" w:rsidRPr="0038653F" w14:paraId="41ECD94E" w14:textId="77777777" w:rsidTr="000D3D77">
        <w:tc>
          <w:tcPr>
            <w:tcW w:w="9209" w:type="dxa"/>
          </w:tcPr>
          <w:p w14:paraId="13820242" w14:textId="77777777" w:rsidR="0038653F" w:rsidRPr="0038653F" w:rsidRDefault="0038653F" w:rsidP="00E87B95">
            <w:pPr>
              <w:jc w:val="center"/>
              <w:rPr>
                <w:rFonts w:eastAsia="Calibri"/>
                <w:b/>
                <w:szCs w:val="26"/>
                <w:lang w:eastAsia="en-US"/>
              </w:rPr>
            </w:pPr>
            <w:r w:rsidRPr="0038653F">
              <w:rPr>
                <w:rFonts w:eastAsia="Calibri"/>
                <w:b/>
                <w:szCs w:val="26"/>
                <w:lang w:eastAsia="en-US"/>
              </w:rPr>
              <w:t>RADIOGRAFÍA DE LA DEUDA SOBERANA GRIEGA</w:t>
            </w:r>
          </w:p>
          <w:p w14:paraId="7D9D6B4D" w14:textId="77777777" w:rsidR="0038653F" w:rsidRPr="0038653F" w:rsidRDefault="0038653F" w:rsidP="00E87B95">
            <w:pPr>
              <w:spacing w:before="120"/>
              <w:jc w:val="center"/>
              <w:rPr>
                <w:rFonts w:eastAsia="Calibri"/>
                <w:b/>
                <w:sz w:val="22"/>
                <w:szCs w:val="26"/>
                <w:lang w:eastAsia="en-US"/>
              </w:rPr>
            </w:pPr>
            <w:r w:rsidRPr="0038653F">
              <w:rPr>
                <w:rFonts w:eastAsia="Calibri"/>
                <w:b/>
                <w:sz w:val="22"/>
                <w:szCs w:val="26"/>
                <w:lang w:eastAsia="en-US"/>
              </w:rPr>
              <w:t>VENCIMIENTO DE DEUDA GRIEGA EN 2015</w:t>
            </w:r>
          </w:p>
          <w:p w14:paraId="1B2A5433" w14:textId="77777777" w:rsidR="0038653F" w:rsidRPr="0038653F" w:rsidRDefault="0038653F" w:rsidP="00E87B95">
            <w:pPr>
              <w:jc w:val="center"/>
              <w:rPr>
                <w:rFonts w:eastAsia="Calibri"/>
                <w:b/>
                <w:sz w:val="22"/>
                <w:szCs w:val="26"/>
                <w:lang w:eastAsia="en-US"/>
              </w:rPr>
            </w:pPr>
            <w:r w:rsidRPr="0038653F">
              <w:rPr>
                <w:rFonts w:eastAsia="Calibri"/>
                <w:b/>
                <w:sz w:val="22"/>
                <w:szCs w:val="26"/>
                <w:lang w:eastAsia="en-US"/>
              </w:rPr>
              <w:t>-Miles de millones de euros-</w:t>
            </w:r>
          </w:p>
        </w:tc>
      </w:tr>
      <w:tr w:rsidR="0038653F" w:rsidRPr="0038653F" w14:paraId="1F122299" w14:textId="77777777" w:rsidTr="000D3D77">
        <w:tc>
          <w:tcPr>
            <w:tcW w:w="9209" w:type="dxa"/>
          </w:tcPr>
          <w:p w14:paraId="365968B1" w14:textId="77777777" w:rsidR="0038653F" w:rsidRPr="0038653F" w:rsidRDefault="0038653F" w:rsidP="00E87B95">
            <w:pPr>
              <w:jc w:val="center"/>
              <w:rPr>
                <w:rFonts w:eastAsia="Calibri"/>
                <w:sz w:val="22"/>
                <w:szCs w:val="26"/>
                <w:lang w:eastAsia="en-US"/>
              </w:rPr>
            </w:pPr>
            <w:r w:rsidRPr="0038653F">
              <w:rPr>
                <w:rFonts w:eastAsia="Calibri"/>
                <w:noProof/>
                <w:sz w:val="22"/>
                <w:szCs w:val="26"/>
                <w:lang w:eastAsia="es-MX"/>
              </w:rPr>
              <w:drawing>
                <wp:inline distT="0" distB="0" distL="0" distR="0" wp14:anchorId="13DD8678" wp14:editId="347C7679">
                  <wp:extent cx="5011547" cy="32400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424" b="1595"/>
                          <a:stretch/>
                        </pic:blipFill>
                        <pic:spPr bwMode="auto">
                          <a:xfrm>
                            <a:off x="0" y="0"/>
                            <a:ext cx="5011547"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784B" w:rsidRPr="0038653F" w14:paraId="5FE27DCD" w14:textId="77777777" w:rsidTr="000D3D77">
        <w:tc>
          <w:tcPr>
            <w:tcW w:w="9209" w:type="dxa"/>
          </w:tcPr>
          <w:p w14:paraId="3B665548" w14:textId="77777777" w:rsidR="0020784B" w:rsidRPr="0038653F" w:rsidRDefault="0020784B" w:rsidP="00E87B95">
            <w:pPr>
              <w:spacing w:before="120"/>
              <w:jc w:val="center"/>
              <w:rPr>
                <w:rFonts w:eastAsia="Calibri"/>
                <w:b/>
                <w:noProof/>
                <w:sz w:val="22"/>
                <w:szCs w:val="26"/>
                <w:lang w:eastAsia="es-MX"/>
              </w:rPr>
            </w:pPr>
          </w:p>
        </w:tc>
      </w:tr>
      <w:tr w:rsidR="0038653F" w:rsidRPr="0038653F" w14:paraId="7280F54C" w14:textId="77777777" w:rsidTr="000D3D77">
        <w:tc>
          <w:tcPr>
            <w:tcW w:w="9209" w:type="dxa"/>
          </w:tcPr>
          <w:p w14:paraId="15C60853" w14:textId="77777777" w:rsidR="0038653F" w:rsidRPr="0038653F" w:rsidRDefault="0038653F" w:rsidP="00E87B95">
            <w:pPr>
              <w:spacing w:before="120"/>
              <w:jc w:val="center"/>
              <w:rPr>
                <w:rFonts w:eastAsia="Calibri"/>
                <w:b/>
                <w:noProof/>
                <w:sz w:val="22"/>
                <w:szCs w:val="26"/>
                <w:lang w:eastAsia="es-MX"/>
              </w:rPr>
            </w:pPr>
            <w:r w:rsidRPr="0038653F">
              <w:rPr>
                <w:rFonts w:eastAsia="Calibri"/>
                <w:b/>
                <w:noProof/>
                <w:sz w:val="22"/>
                <w:szCs w:val="26"/>
                <w:lang w:eastAsia="es-MX"/>
              </w:rPr>
              <w:t>TENEDORES DE DEUDA PÚBLICA GRIEGA</w:t>
            </w:r>
          </w:p>
          <w:p w14:paraId="693A093A" w14:textId="5DD16717" w:rsidR="0038653F" w:rsidRPr="0038653F" w:rsidRDefault="0038653F" w:rsidP="006B134F">
            <w:pPr>
              <w:jc w:val="center"/>
              <w:rPr>
                <w:rFonts w:eastAsia="Calibri"/>
                <w:b/>
                <w:noProof/>
                <w:sz w:val="22"/>
                <w:szCs w:val="26"/>
                <w:lang w:eastAsia="es-MX"/>
              </w:rPr>
            </w:pPr>
            <w:r w:rsidRPr="0038653F">
              <w:rPr>
                <w:rFonts w:eastAsia="Calibri"/>
                <w:b/>
                <w:noProof/>
                <w:sz w:val="22"/>
                <w:szCs w:val="26"/>
                <w:lang w:eastAsia="es-MX"/>
              </w:rPr>
              <w:t>-Miles de mill</w:t>
            </w:r>
            <w:r w:rsidR="006B134F">
              <w:rPr>
                <w:rFonts w:eastAsia="Calibri"/>
                <w:b/>
                <w:noProof/>
                <w:sz w:val="22"/>
                <w:szCs w:val="26"/>
                <w:lang w:eastAsia="es-MX"/>
              </w:rPr>
              <w:t>o</w:t>
            </w:r>
            <w:r w:rsidRPr="0038653F">
              <w:rPr>
                <w:rFonts w:eastAsia="Calibri"/>
                <w:b/>
                <w:noProof/>
                <w:sz w:val="22"/>
                <w:szCs w:val="26"/>
                <w:lang w:eastAsia="es-MX"/>
              </w:rPr>
              <w:t>nes de euros y porcentaje-</w:t>
            </w:r>
          </w:p>
        </w:tc>
      </w:tr>
      <w:tr w:rsidR="0038653F" w:rsidRPr="0038653F" w14:paraId="758E3754" w14:textId="77777777" w:rsidTr="000D3D77">
        <w:tc>
          <w:tcPr>
            <w:tcW w:w="9209" w:type="dxa"/>
          </w:tcPr>
          <w:p w14:paraId="584F4EC8" w14:textId="77777777" w:rsidR="0038653F" w:rsidRPr="0038653F" w:rsidRDefault="0038653F" w:rsidP="00E87B95">
            <w:pPr>
              <w:jc w:val="center"/>
              <w:rPr>
                <w:rFonts w:eastAsia="Calibri"/>
                <w:noProof/>
                <w:sz w:val="22"/>
                <w:szCs w:val="26"/>
                <w:lang w:eastAsia="es-MX"/>
              </w:rPr>
            </w:pPr>
            <w:r w:rsidRPr="0038653F">
              <w:rPr>
                <w:rFonts w:eastAsia="Calibri"/>
                <w:noProof/>
                <w:sz w:val="22"/>
                <w:szCs w:val="26"/>
                <w:lang w:eastAsia="es-MX"/>
              </w:rPr>
              <w:drawing>
                <wp:inline distT="0" distB="0" distL="0" distR="0" wp14:anchorId="25D9C15F" wp14:editId="2DDC22F1">
                  <wp:extent cx="5106424" cy="2520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829" b="18142"/>
                          <a:stretch/>
                        </pic:blipFill>
                        <pic:spPr bwMode="auto">
                          <a:xfrm>
                            <a:off x="0" y="0"/>
                            <a:ext cx="5106424"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8653F" w:rsidRPr="0038653F" w14:paraId="128F01F1" w14:textId="77777777" w:rsidTr="000D3D77">
        <w:tc>
          <w:tcPr>
            <w:tcW w:w="9209" w:type="dxa"/>
          </w:tcPr>
          <w:p w14:paraId="6BED8833" w14:textId="77777777" w:rsidR="0038653F" w:rsidRPr="0038653F" w:rsidRDefault="0038653F" w:rsidP="00E87B95">
            <w:pPr>
              <w:ind w:firstLine="743"/>
              <w:jc w:val="both"/>
              <w:rPr>
                <w:rFonts w:eastAsia="Calibri"/>
                <w:sz w:val="20"/>
                <w:szCs w:val="26"/>
                <w:lang w:eastAsia="en-US"/>
              </w:rPr>
            </w:pPr>
            <w:r w:rsidRPr="0038653F">
              <w:rPr>
                <w:rFonts w:eastAsia="Calibri"/>
                <w:sz w:val="20"/>
                <w:szCs w:val="26"/>
                <w:lang w:eastAsia="en-US"/>
              </w:rPr>
              <w:t>FUENTE: Citi Research vía Agencia Pública.</w:t>
            </w:r>
          </w:p>
        </w:tc>
      </w:tr>
    </w:tbl>
    <w:p w14:paraId="134A464E" w14:textId="77777777" w:rsidR="0038653F" w:rsidRPr="0038653F" w:rsidRDefault="0038653F" w:rsidP="0038653F">
      <w:pPr>
        <w:spacing w:after="360" w:line="360" w:lineRule="auto"/>
        <w:ind w:right="-159"/>
        <w:jc w:val="both"/>
        <w:rPr>
          <w:rFonts w:eastAsia="Calibri"/>
          <w:sz w:val="26"/>
          <w:szCs w:val="26"/>
          <w:lang w:eastAsia="en-US"/>
        </w:rPr>
      </w:pPr>
    </w:p>
    <w:p w14:paraId="2377EA51"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lastRenderedPageBreak/>
        <w:t>Antes de entrar en los números conviene hacer algunas consideraciones preliminares. La primera es que, por muy alta que sea una deuda, desde el punto de vista teórico, (casi) siempre es posible pagarla. Será necesario aumentar la recaudación y recortar los gastos, algo que casi todos los países suelen tener margen para hacer. Pero esto supone poner los intereses de los acreedores (externos) por encima de los de los ciudadanos a cualquier precio, algo que políticamente no es ni deseable ni viable en una democracia. Por lo tanto, la primera conclusión es que pagar o no la deuda es una decisión política, no un tema técnico.</w:t>
      </w:r>
    </w:p>
    <w:p w14:paraId="4A64DFF2"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Segundo, lo que hace que una deuda sea asumible no es tanto su cuantía total sino los intereses a los que hay que hacer frente cada año, así como la capacidad de los Estados para refinanciarla, es  decir, para emitir nueva deuda pública para pagar la  que  va llegando a su fecha de vencimiento (recordemos que en condiciones de acceso “normales” a los mercados, una parte de la deuda no se pagará nunca, sino que se irá refinanciando, oscilando su costo en función de la credibilidad de su gobierno, su prima de riesgo.)</w:t>
      </w:r>
    </w:p>
    <w:p w14:paraId="1AF01B70" w14:textId="20F29579"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 xml:space="preserve">Y tercero, aunque en general los países intentan pagar su deuda (ya que de no hacerlo a corto plazo les dejan de prestar, lo que les obliga a gastar sólo lo que ingresan), a la hora de decidir si optan por el impago, suele ser bastante importante quiénes son sus acreedores: en general es más fácil hacer un default a miles de bonistas privados anónimos  que  a  otros  Estados  o  a  organismos  internacionales  (véase  el  caso  de Argentina en 2001). Pero, del mismo modo, cuando la mayoría de la deuda está en manos oficiales, es más fácil sentarse a la mesa a negociar una reestructuración porque el número de actores involucrados es menor y, por tanto, es más fácil llegar a un acuerdo, si es que hay voluntad para hacerlo. Ese fue el caso de las reestructuraciones de deuda para países en vías de desarrollo altamente endeudados que el Club de París, el </w:t>
      </w:r>
      <w:r w:rsidR="008E292B">
        <w:rPr>
          <w:rFonts w:eastAsia="Calibri"/>
          <w:sz w:val="26"/>
          <w:szCs w:val="26"/>
          <w:lang w:eastAsia="en-US"/>
        </w:rPr>
        <w:t>G-7</w:t>
      </w:r>
      <w:r w:rsidRPr="0038653F">
        <w:rPr>
          <w:rFonts w:eastAsia="Calibri"/>
          <w:sz w:val="26"/>
          <w:szCs w:val="26"/>
          <w:lang w:eastAsia="en-US"/>
        </w:rPr>
        <w:t xml:space="preserve"> y el Fondo Monetario Internacional (FMI) acordaron a finales de los años 90, </w:t>
      </w:r>
      <w:r w:rsidRPr="0038653F">
        <w:rPr>
          <w:rFonts w:eastAsia="Calibri"/>
          <w:sz w:val="26"/>
          <w:szCs w:val="26"/>
          <w:lang w:eastAsia="en-US"/>
        </w:rPr>
        <w:lastRenderedPageBreak/>
        <w:t>ante la evidencia de que el nivel de endeudamiento de estos países lastraba su crecimiento.</w:t>
      </w:r>
    </w:p>
    <w:p w14:paraId="085946F9"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Con esto en mente echemos un vistazo a los números. Grecia tiene una deuda pública total de 323 mil millones de euros, alrededor del 175% de su Producto Interno Bruto (PIB). Aunque la cifra es muy alta, los intereses que paga son bastante bajos: dedica un 2.6% de su PIB al servicio de su deuda mientras que Portugal dedica el 5% o España el 3.3%. Japón, que tiene una deuda cercana al 240% de su PIB no tiene problema alguno para hacerle frente, tanto porque sólo dedica un 2.1% de su PIB a pagar los intereses como porque está mayoritariamente en manos de residentes, lo que facilita su financiamiento.</w:t>
      </w:r>
    </w:p>
    <w:p w14:paraId="6404632C"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Grecia tiene un servicio de la deuda relativamente bajo porque ya tuvo una reestructuración de la misma en 2012, en la que casi todos los acreedores privados sufrieron una quita de alrededor del 70%. Los acreedores públicos (los países europeos a través del Mecanismo Europeo de Estabilidad, el FMI y el Banco Central Europeo (BCE)), que hoy tienen en sus manos casi el 80% de la deuda en circulación, ya le rebajaron los intereses y le alargaron los plazos en varias ocasiones, lo que explica que hoy el servicio de la deuda sea “barato”. Todo ello hace que, más allá de que la situación económica y social en Grecia sea muy difícil, parece posible que siga pagando su deuda (manteniendo así la credibilidad de los inversionistas), aunque también es cierto que siempre es más cómodo no pagar… algo que los acreedores, es decir, los contribuyentes alemanes, españoles, franceses e irlandeses, entre otros, preferirían evitar (Grecia debe a Alemania 56 mil millones de euros, a Francia 42 mil millones, a Italia 37 mil millones o a España 25 mil millones).</w:t>
      </w:r>
    </w:p>
    <w:p w14:paraId="175D68FA" w14:textId="77777777" w:rsidR="0038653F" w:rsidRPr="0038653F" w:rsidRDefault="0038653F" w:rsidP="0038653F">
      <w:pPr>
        <w:spacing w:after="360" w:line="360" w:lineRule="auto"/>
        <w:ind w:right="-159"/>
        <w:jc w:val="both"/>
        <w:rPr>
          <w:rFonts w:eastAsia="Calibri"/>
          <w:sz w:val="26"/>
          <w:szCs w:val="26"/>
          <w:lang w:eastAsia="en-US"/>
        </w:rPr>
      </w:pPr>
    </w:p>
    <w:p w14:paraId="7590F810" w14:textId="77777777" w:rsidR="0038653F" w:rsidRPr="0038653F" w:rsidRDefault="0038653F" w:rsidP="0038653F">
      <w:pPr>
        <w:spacing w:after="360" w:line="360" w:lineRule="auto"/>
        <w:ind w:right="-159"/>
        <w:jc w:val="both"/>
        <w:rPr>
          <w:rFonts w:eastAsia="Calibri"/>
          <w:sz w:val="26"/>
          <w:szCs w:val="26"/>
          <w:lang w:eastAsia="en-US"/>
        </w:rPr>
      </w:pPr>
    </w:p>
    <w:tbl>
      <w:tblPr>
        <w:tblW w:w="9209" w:type="dxa"/>
        <w:tblLook w:val="04A0" w:firstRow="1" w:lastRow="0" w:firstColumn="1" w:lastColumn="0" w:noHBand="0" w:noVBand="1"/>
      </w:tblPr>
      <w:tblGrid>
        <w:gridCol w:w="9209"/>
      </w:tblGrid>
      <w:tr w:rsidR="0038653F" w:rsidRPr="0038653F" w14:paraId="6C32855C" w14:textId="77777777" w:rsidTr="000D3D77">
        <w:tc>
          <w:tcPr>
            <w:tcW w:w="9209" w:type="dxa"/>
          </w:tcPr>
          <w:p w14:paraId="21E85692" w14:textId="77777777" w:rsidR="0038653F" w:rsidRPr="0038653F" w:rsidRDefault="0038653F" w:rsidP="00E87B95">
            <w:pPr>
              <w:jc w:val="center"/>
              <w:rPr>
                <w:rFonts w:eastAsia="Calibri"/>
                <w:b/>
                <w:sz w:val="22"/>
                <w:szCs w:val="26"/>
                <w:lang w:eastAsia="en-US"/>
              </w:rPr>
            </w:pPr>
            <w:r w:rsidRPr="0038653F">
              <w:rPr>
                <w:rFonts w:eastAsia="Calibri"/>
                <w:b/>
                <w:sz w:val="22"/>
                <w:szCs w:val="26"/>
                <w:lang w:eastAsia="en-US"/>
              </w:rPr>
              <w:lastRenderedPageBreak/>
              <w:t>DEUDA PÚBLICA 2014</w:t>
            </w:r>
          </w:p>
          <w:p w14:paraId="694DE40C" w14:textId="77777777" w:rsidR="0038653F" w:rsidRPr="0038653F" w:rsidRDefault="0038653F" w:rsidP="00E87B95">
            <w:pPr>
              <w:jc w:val="center"/>
              <w:rPr>
                <w:rFonts w:eastAsia="Calibri"/>
                <w:b/>
                <w:sz w:val="22"/>
                <w:szCs w:val="26"/>
                <w:lang w:eastAsia="en-US"/>
              </w:rPr>
            </w:pPr>
            <w:r w:rsidRPr="0038653F">
              <w:rPr>
                <w:rFonts w:eastAsia="Calibri"/>
                <w:b/>
                <w:sz w:val="22"/>
                <w:szCs w:val="26"/>
                <w:lang w:eastAsia="en-US"/>
              </w:rPr>
              <w:t>-En porcentaje del PIB-</w:t>
            </w:r>
          </w:p>
        </w:tc>
      </w:tr>
      <w:tr w:rsidR="0038653F" w:rsidRPr="0038653F" w14:paraId="67B6C7B3" w14:textId="77777777" w:rsidTr="000D3D77">
        <w:tc>
          <w:tcPr>
            <w:tcW w:w="9209" w:type="dxa"/>
          </w:tcPr>
          <w:p w14:paraId="693314ED" w14:textId="77777777" w:rsidR="0038653F" w:rsidRPr="0038653F" w:rsidRDefault="0038653F" w:rsidP="00E87B95">
            <w:pPr>
              <w:jc w:val="center"/>
              <w:rPr>
                <w:rFonts w:eastAsia="Calibri"/>
                <w:b/>
                <w:sz w:val="22"/>
                <w:szCs w:val="26"/>
                <w:lang w:eastAsia="en-US"/>
              </w:rPr>
            </w:pPr>
            <w:r w:rsidRPr="0038653F">
              <w:rPr>
                <w:rFonts w:eastAsia="Calibri"/>
                <w:b/>
                <w:noProof/>
                <w:sz w:val="22"/>
                <w:szCs w:val="26"/>
                <w:lang w:eastAsia="es-MX"/>
              </w:rPr>
              <w:drawing>
                <wp:inline distT="0" distB="0" distL="0" distR="0" wp14:anchorId="713551B0" wp14:editId="258BBA7C">
                  <wp:extent cx="5178780" cy="3600000"/>
                  <wp:effectExtent l="0" t="0" r="3175"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342"/>
                          <a:stretch/>
                        </pic:blipFill>
                        <pic:spPr bwMode="auto">
                          <a:xfrm>
                            <a:off x="0" y="0"/>
                            <a:ext cx="5178780"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8653F" w:rsidRPr="0038653F" w14:paraId="424FCB7B" w14:textId="77777777" w:rsidTr="000D3D77">
        <w:tc>
          <w:tcPr>
            <w:tcW w:w="9209" w:type="dxa"/>
          </w:tcPr>
          <w:p w14:paraId="6A1804AD" w14:textId="77777777" w:rsidR="0038653F" w:rsidRPr="0038653F" w:rsidRDefault="0038653F" w:rsidP="00E87B95">
            <w:pPr>
              <w:ind w:firstLine="743"/>
              <w:jc w:val="both"/>
              <w:rPr>
                <w:rFonts w:eastAsia="Calibri"/>
                <w:sz w:val="20"/>
                <w:szCs w:val="26"/>
                <w:lang w:eastAsia="en-US"/>
              </w:rPr>
            </w:pPr>
            <w:r w:rsidRPr="0038653F">
              <w:rPr>
                <w:rFonts w:eastAsia="Calibri"/>
                <w:sz w:val="20"/>
                <w:szCs w:val="26"/>
                <w:lang w:eastAsia="en-US"/>
              </w:rPr>
              <w:t>* Excluyendo interés diferido y reembolsable.</w:t>
            </w:r>
          </w:p>
          <w:p w14:paraId="36785B35" w14:textId="77777777" w:rsidR="0038653F" w:rsidRPr="0038653F" w:rsidRDefault="0038653F" w:rsidP="00E87B95">
            <w:pPr>
              <w:ind w:firstLine="743"/>
              <w:jc w:val="both"/>
              <w:rPr>
                <w:rFonts w:eastAsia="Calibri"/>
                <w:sz w:val="20"/>
                <w:szCs w:val="26"/>
                <w:lang w:eastAsia="en-US"/>
              </w:rPr>
            </w:pPr>
            <w:r w:rsidRPr="0038653F">
              <w:rPr>
                <w:rFonts w:eastAsia="Calibri"/>
                <w:sz w:val="20"/>
                <w:szCs w:val="26"/>
                <w:lang w:eastAsia="en-US"/>
              </w:rPr>
              <w:t>FUENTE: The Economist vía Agencia Pública.</w:t>
            </w:r>
          </w:p>
        </w:tc>
      </w:tr>
    </w:tbl>
    <w:p w14:paraId="0A3E159D" w14:textId="77777777" w:rsidR="0038653F" w:rsidRPr="0038653F" w:rsidRDefault="0038653F" w:rsidP="0038653F">
      <w:pPr>
        <w:spacing w:after="360" w:line="360" w:lineRule="auto"/>
        <w:ind w:right="-159"/>
        <w:jc w:val="both"/>
        <w:rPr>
          <w:rFonts w:eastAsia="Calibri"/>
          <w:sz w:val="26"/>
          <w:szCs w:val="26"/>
          <w:lang w:eastAsia="en-US"/>
        </w:rPr>
      </w:pPr>
    </w:p>
    <w:p w14:paraId="0ACFD90B" w14:textId="77777777" w:rsidR="0038653F" w:rsidRPr="0038653F" w:rsidRDefault="0038653F" w:rsidP="0038653F">
      <w:pPr>
        <w:spacing w:after="360" w:line="360" w:lineRule="auto"/>
        <w:ind w:right="-159"/>
        <w:jc w:val="both"/>
        <w:rPr>
          <w:rFonts w:eastAsia="Calibri"/>
          <w:sz w:val="26"/>
          <w:szCs w:val="26"/>
          <w:lang w:eastAsia="en-US"/>
        </w:rPr>
      </w:pPr>
      <w:r w:rsidRPr="0038653F">
        <w:rPr>
          <w:rFonts w:eastAsia="Calibri"/>
          <w:sz w:val="26"/>
          <w:szCs w:val="26"/>
          <w:lang w:eastAsia="en-US"/>
        </w:rPr>
        <w:t>Pero más allá del tema de la sostenibilidad, Grecia se enfrenta a un problema más urgente. Tiene vencimientos de deuda de cerca de 8 mil millones de euros a lo largo del próximo año, sobre todo con el FMI y el BCE. Como está bajo un programa de rescate, tiene dificultades para emitir nueva deuda en los mercados (y en principio no debería necesitar hacerlo porque sus necesidades estarían cubiertas por el rescate), por lo que tiene que llegar a un acuerdo con el Eurogrupo para que le siga prestando. Y, a cambio, los acreedores, seguirán exigiendo el cumplimiento de las condiciones pactadas.</w:t>
      </w:r>
    </w:p>
    <w:p w14:paraId="62C62687" w14:textId="77777777" w:rsidR="0038653F" w:rsidRPr="0038653F" w:rsidRDefault="0038653F" w:rsidP="0038653F">
      <w:pPr>
        <w:ind w:right="-159"/>
        <w:jc w:val="both"/>
        <w:rPr>
          <w:rFonts w:eastAsia="Calibri"/>
          <w:b/>
          <w:sz w:val="20"/>
          <w:szCs w:val="20"/>
          <w:lang w:eastAsia="en-US"/>
        </w:rPr>
      </w:pPr>
      <w:r w:rsidRPr="0038653F">
        <w:rPr>
          <w:rFonts w:eastAsia="Calibri"/>
          <w:b/>
          <w:sz w:val="20"/>
          <w:szCs w:val="20"/>
          <w:lang w:eastAsia="en-US"/>
        </w:rPr>
        <w:t>Fuente de información:</w:t>
      </w:r>
    </w:p>
    <w:p w14:paraId="66C0F756" w14:textId="77777777" w:rsidR="0038653F" w:rsidRPr="00E50BF7" w:rsidRDefault="00B9483D" w:rsidP="0038653F">
      <w:pPr>
        <w:ind w:right="-159"/>
        <w:jc w:val="both"/>
        <w:rPr>
          <w:rFonts w:eastAsia="Calibri"/>
          <w:b/>
          <w:color w:val="0000FF"/>
          <w:sz w:val="20"/>
          <w:szCs w:val="20"/>
          <w:lang w:eastAsia="en-US"/>
        </w:rPr>
      </w:pPr>
      <w:hyperlink r:id="rId13" w:history="1">
        <w:r w:rsidR="0038653F" w:rsidRPr="00E50BF7">
          <w:rPr>
            <w:rFonts w:eastAsia="Calibri"/>
            <w:color w:val="0000FF"/>
            <w:sz w:val="20"/>
            <w:szCs w:val="20"/>
            <w:u w:val="single"/>
            <w:lang w:eastAsia="en-US"/>
          </w:rPr>
          <w:t>http://www.realinstitutoelcano.org/wps/wcm/connect/4f21fe0047693a85aff8efa6f6757d0d/Comentario-Steinberg-Apuntes-sobre-la-deuda-de-Grecia.pdf?MOD=AJPERES&amp;CACHEID=4f21fe0047693a85aff8efa6f6757d0d</w:t>
        </w:r>
      </w:hyperlink>
      <w:r w:rsidR="0038653F" w:rsidRPr="00E50BF7">
        <w:rPr>
          <w:rFonts w:eastAsia="Calibri"/>
          <w:color w:val="0000FF"/>
          <w:sz w:val="20"/>
          <w:szCs w:val="20"/>
          <w:lang w:eastAsia="en-US"/>
        </w:rPr>
        <w:t xml:space="preserve"> </w:t>
      </w:r>
    </w:p>
    <w:p w14:paraId="5E807CC4" w14:textId="77777777" w:rsidR="009219B4" w:rsidRDefault="009219B4" w:rsidP="006960CA">
      <w:pPr>
        <w:spacing w:after="360" w:line="360" w:lineRule="auto"/>
        <w:ind w:right="-159"/>
        <w:jc w:val="both"/>
        <w:rPr>
          <w:rFonts w:eastAsia="Calibri"/>
          <w:sz w:val="26"/>
          <w:szCs w:val="26"/>
          <w:lang w:eastAsia="en-US"/>
        </w:rPr>
      </w:pPr>
    </w:p>
    <w:p w14:paraId="25334845" w14:textId="77777777" w:rsidR="0038653F" w:rsidRDefault="0038653F" w:rsidP="006960CA">
      <w:pPr>
        <w:spacing w:after="360" w:line="360" w:lineRule="auto"/>
        <w:ind w:right="-159"/>
        <w:jc w:val="both"/>
        <w:rPr>
          <w:rFonts w:eastAsia="Calibri"/>
          <w:sz w:val="26"/>
          <w:szCs w:val="26"/>
          <w:lang w:eastAsia="en-US"/>
        </w:rPr>
      </w:pPr>
    </w:p>
    <w:p w14:paraId="7A383038" w14:textId="77777777" w:rsidR="00F94B8E" w:rsidRPr="00F94B8E" w:rsidRDefault="00F94B8E" w:rsidP="00F94B8E">
      <w:pPr>
        <w:spacing w:after="360" w:line="360" w:lineRule="auto"/>
        <w:ind w:right="-159"/>
        <w:jc w:val="both"/>
        <w:rPr>
          <w:rFonts w:eastAsia="Calibri"/>
          <w:b/>
          <w:sz w:val="26"/>
          <w:szCs w:val="26"/>
          <w:lang w:eastAsia="en-US"/>
        </w:rPr>
      </w:pPr>
      <w:r w:rsidRPr="00F94B8E">
        <w:rPr>
          <w:rFonts w:eastAsia="Calibri"/>
          <w:b/>
          <w:sz w:val="26"/>
          <w:szCs w:val="26"/>
          <w:lang w:eastAsia="en-US"/>
        </w:rPr>
        <w:lastRenderedPageBreak/>
        <w:t>La oportunidad económica de la salida de Grecia (Project Syndicate)</w:t>
      </w:r>
    </w:p>
    <w:p w14:paraId="589ED31F"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El 24 de febrero de 2015, la organización Project Syndicate (</w:t>
      </w:r>
      <w:r w:rsidRPr="00F94B8E">
        <w:rPr>
          <w:rFonts w:eastAsia="Calibri"/>
          <w:i/>
          <w:sz w:val="26"/>
          <w:szCs w:val="26"/>
          <w:lang w:val="es-ES" w:eastAsia="en-US"/>
        </w:rPr>
        <w:t>PS</w:t>
      </w:r>
      <w:r w:rsidRPr="00F94B8E">
        <w:rPr>
          <w:rFonts w:eastAsia="Calibri"/>
          <w:sz w:val="26"/>
          <w:szCs w:val="26"/>
          <w:lang w:val="es-ES" w:eastAsia="en-US"/>
        </w:rPr>
        <w:t>) publicó los comentarios de Alberto Bagnai, Brigitte Granville y Peter Oppenheimer</w:t>
      </w:r>
      <w:r w:rsidRPr="00F94B8E">
        <w:rPr>
          <w:rFonts w:eastAsia="Calibri"/>
          <w:sz w:val="26"/>
          <w:szCs w:val="26"/>
          <w:vertAlign w:val="superscript"/>
          <w:lang w:val="es-ES" w:eastAsia="en-US"/>
        </w:rPr>
        <w:footnoteReference w:id="2"/>
      </w:r>
      <w:r w:rsidRPr="00F94B8E">
        <w:rPr>
          <w:rFonts w:eastAsia="Calibri"/>
          <w:sz w:val="26"/>
          <w:szCs w:val="26"/>
          <w:lang w:val="es-ES" w:eastAsia="en-US"/>
        </w:rPr>
        <w:t xml:space="preserve"> en torno a la salida de Grecia de la eurozona. A continuación se presenta el contenido.</w:t>
      </w:r>
    </w:p>
    <w:p w14:paraId="601632FD"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La primera oración del Tratado de Roma de 1957, el documento fundacional de lo que se convertiría en la Unión Europea —llamaba a sentar las bases de “una unión cada vez más estrecha entre los pueblos europeos”—.  Sin embargo, últimamente ese ideal se ha visto amenazado, minado por su propia élite política que adoptó una moneda común e ignoró completamente las deficiencias subyacentes.</w:t>
      </w:r>
    </w:p>
    <w:p w14:paraId="4EAEEEDF"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Hoy en día, esas fallas quedaron expuestas y amplificadas por la crisis griega que parece no tener fin. Y en ningún lugar son más evidentes que en la relación de Grecia con el Fondo Monetario Internacional (FMI).</w:t>
      </w:r>
    </w:p>
    <w:p w14:paraId="280ECE7C"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Cuando la crisis del euro estalló en 2010, los funcionarios europeos se dieron cuenta de que no poseían la habilidad necesaria para enfrentar la amenaza que representaba la suspensión de pagos de las deudas soberanas y la potencial disolución de la unión monetaria. Así, evitar el derrumbe de la eurozona se convirtió en el principal imperativo político de los funcionarios de la Unión Europea (UE). Para ello, solicitaron la ayuda del FMI, cuya intervención resultó en una serie de irregularidades que pusieron de manifiesto la gravedad de los problemas que la eurozona debió enfrentar en ese entonces, y que no han perdido actualidad.</w:t>
      </w:r>
    </w:p>
    <w:p w14:paraId="5B142CFC"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lastRenderedPageBreak/>
        <w:t>Para empezar, el Convenio Constitutivo del FMI establece que mantendrá relaciones únicamente con aquellas entidades de los países miembros que puedan responder cabalmente de la ayuda recibida, es decir “ministerio de Hacienda, banco central, fondo de estabilización u otros organismos fiscales semejantes”. Pero las instituciones con las que el FMI trata en la eurozona ya no son responsables de la gestión macroeconómica de sus propios países; ese poder está ahora en manos del Banco Central Europeo. De modo que, otorgar un préstamo a Grecia equivaldría para el FMI a otorgárselo a una unidad subnacional, como un gobierno provincial o municipal, sin exigir garantías de reembolso por parte de las autoridades nacionales.</w:t>
      </w:r>
    </w:p>
    <w:p w14:paraId="300E9365" w14:textId="70A6C4E5"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 xml:space="preserve">Otro problema es la magnitud en sí de la intervención. El tamaño de la deuda griega requería un préstamo a una escala que excedía ampliamente lo que otros países podían esperar. En 2010, se le otorgó al país un “acceso excepcional” a los recursos del FMI fijado en un “límite acumulativo de 600%” de la cuota del país en el FMI, que mide el valor de los compromisos financieros de un país con el Fondo. Sin embargo, en abril de 2013, se decidió que el financiamiento acumulativo alcanzaría un máximo de </w:t>
      </w:r>
      <w:r w:rsidR="00474955">
        <w:rPr>
          <w:rFonts w:eastAsia="Calibri"/>
          <w:sz w:val="26"/>
          <w:szCs w:val="26"/>
          <w:lang w:val="es-ES" w:eastAsia="en-US"/>
        </w:rPr>
        <w:t xml:space="preserve">                    </w:t>
      </w:r>
      <w:r w:rsidRPr="00F94B8E">
        <w:rPr>
          <w:rFonts w:eastAsia="Calibri"/>
          <w:sz w:val="26"/>
          <w:szCs w:val="26"/>
          <w:lang w:val="es-ES" w:eastAsia="en-US"/>
        </w:rPr>
        <w:t>3</w:t>
      </w:r>
      <w:r w:rsidR="00474955">
        <w:rPr>
          <w:rFonts w:eastAsia="Calibri"/>
          <w:sz w:val="26"/>
          <w:szCs w:val="26"/>
          <w:lang w:val="es-ES" w:eastAsia="en-US"/>
        </w:rPr>
        <w:t xml:space="preserve"> </w:t>
      </w:r>
      <w:r w:rsidRPr="00F94B8E">
        <w:rPr>
          <w:rFonts w:eastAsia="Calibri"/>
          <w:sz w:val="26"/>
          <w:szCs w:val="26"/>
          <w:lang w:val="es-ES" w:eastAsia="en-US"/>
        </w:rPr>
        <w:t>212% de la cuota de Grecia.</w:t>
      </w:r>
    </w:p>
    <w:p w14:paraId="3A3946FC"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La razón por la que el FMI tuvo que asumir un riesgo tan grande fue la negativa inicial de Europa de considerar la reducción de la deuda de Grecia, pues las autoridades temían que el contagio financiero sobrecargara el sistema bancario desprotegido de la eurozona. Esa decisión sembró la incertidumbre sobre la capacidad de la unión monetaria para resolver la crisis y agravó la contracción de la producción griega. Cuando finalmente se logró un acuerdo de reestructuración de la deuda en 2012, los acreedores privados pudieron reducir el riesgo al traspasar a los contribuyentes sus reclamaciones residuales.</w:t>
      </w:r>
    </w:p>
    <w:p w14:paraId="4264FB5A"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 xml:space="preserve">En un principio, la política oficial del FMI fue que la deuda griega era sostenible, pero los funcionarios del Fondo sabían que ese no era el caso. Finalmente, en 2013, el Fondo </w:t>
      </w:r>
      <w:r w:rsidRPr="00F94B8E">
        <w:rPr>
          <w:rFonts w:eastAsia="Calibri"/>
          <w:sz w:val="26"/>
          <w:szCs w:val="26"/>
          <w:lang w:val="es-ES" w:eastAsia="en-US"/>
        </w:rPr>
        <w:lastRenderedPageBreak/>
        <w:t>admitió que a pesar de que sus analistas sabían que la deuda no era sostenible, decidieron seguir con el programa por temor a que la eurozona y la economía mundial se vieran amenazadas por las repercusiones de la situación en Grecia.</w:t>
      </w:r>
    </w:p>
    <w:p w14:paraId="370B8250"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Además, de noviembre de 2010 a abril de 2013, el FMI recortó en un 27% sus previsiones del Producto Interno Bruto (PIB) nominal griego para el 2014, lo que arroja dudas sobre la transparencia y la credibilidad de las proyecciones del Fondo acerca de la sostenibilidad de la deuda. La implicación resulta alarmante: el FMI fue incapaz de proporcionar un marco viable para el ajuste que Grecia se vería obligada a llevar a cabo.</w:t>
      </w:r>
    </w:p>
    <w:p w14:paraId="4F931000"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Este trasfondo resulta decisivo para las negociaciones actuales, ya que revela que el objetivo del rescate de Grecia no fue el de restaurar la prosperidad del pueblo griego, sino salvar la eurozona. En este contexto, se justifica plenamente que el nuevo gobierno cuestione las condiciones que se le imponen al país.</w:t>
      </w:r>
    </w:p>
    <w:p w14:paraId="57D9C124"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Los acuerdos que los gobiernos anteriores concluyeron ciertamente reducirán la gama de las políticas que tiene a su disposición el nuevo gobierno, especialmente en lo que respecta a la reducción de la deuda, que requeriría una suspensión unilateral de pago y la salida de la eurozona. Pero un gobierno democráticamente elegido no está necesariamente obligado a cumplir las promesas de sus predecesores, y esto es doblemente válido cuando se trata de una elección que fue un referéndum sobre esas mismas políticas.</w:t>
      </w:r>
    </w:p>
    <w:p w14:paraId="57D3668E"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t>Los ultimátum de organismos no electos, que han puesto en entredicho su propia legitimidad han acrecentado los sentimientos anti Unión Europea en todo el continente. El peor desenlace posible de las negociaciones que se están llevando a cabo sería que Grecia se sometiera a las exigencias de sus acreedores y obtuviera pocas concesiones a cambio. Esto generaría un mayor apoyo popular a los partidos y movimientos anti Unión Europea en otros países y supondría una oportunidad desaprovechada para Grecia y para Europa.</w:t>
      </w:r>
    </w:p>
    <w:p w14:paraId="641245AD" w14:textId="77777777" w:rsidR="00F94B8E" w:rsidRPr="00F94B8E" w:rsidRDefault="00F94B8E" w:rsidP="00F94B8E">
      <w:pPr>
        <w:spacing w:after="360" w:line="360" w:lineRule="auto"/>
        <w:ind w:right="-159"/>
        <w:jc w:val="both"/>
        <w:rPr>
          <w:rFonts w:eastAsia="Calibri"/>
          <w:sz w:val="26"/>
          <w:szCs w:val="26"/>
          <w:lang w:val="es-ES" w:eastAsia="en-US"/>
        </w:rPr>
      </w:pPr>
      <w:r w:rsidRPr="00F94B8E">
        <w:rPr>
          <w:rFonts w:eastAsia="Calibri"/>
          <w:sz w:val="26"/>
          <w:szCs w:val="26"/>
          <w:lang w:val="es-ES" w:eastAsia="en-US"/>
        </w:rPr>
        <w:lastRenderedPageBreak/>
        <w:t>Esa oportunidad sería el incumplimiento del pago y la salida de la eurozona, lo que permitiría a Grecia empezar a corregir los errores del pasado y encaminar su economía hacia la recuperación y el crecimiento sostenible. En ese punto, la Unión Europea haría bien en actuar en el mismo sentido, desintegrando la unión monetaria y otorgando una reducción de la deuda para las economías más afectadas de la zona. Sólo entonces se podrán cumplir los ideales fundacionales de la Unión Europea.</w:t>
      </w:r>
    </w:p>
    <w:p w14:paraId="2C07F3DC" w14:textId="77777777" w:rsidR="00F94B8E" w:rsidRPr="00F94B8E" w:rsidRDefault="00F94B8E" w:rsidP="00F94B8E">
      <w:pPr>
        <w:ind w:right="-159"/>
        <w:jc w:val="both"/>
        <w:rPr>
          <w:rFonts w:eastAsia="Calibri"/>
          <w:b/>
          <w:sz w:val="20"/>
          <w:szCs w:val="20"/>
          <w:lang w:eastAsia="en-US"/>
        </w:rPr>
      </w:pPr>
      <w:r w:rsidRPr="00F94B8E">
        <w:rPr>
          <w:rFonts w:eastAsia="Calibri"/>
          <w:b/>
          <w:sz w:val="20"/>
          <w:szCs w:val="20"/>
          <w:lang w:eastAsia="en-US"/>
        </w:rPr>
        <w:t>Fuente de información:</w:t>
      </w:r>
    </w:p>
    <w:p w14:paraId="48231BFC" w14:textId="77777777" w:rsidR="00F94B8E" w:rsidRPr="00E50BF7" w:rsidRDefault="00B9483D" w:rsidP="00E50BF7">
      <w:pPr>
        <w:spacing w:after="720"/>
        <w:ind w:right="-159"/>
        <w:jc w:val="both"/>
        <w:rPr>
          <w:rFonts w:eastAsia="Calibri"/>
          <w:color w:val="0000FF"/>
          <w:sz w:val="20"/>
          <w:szCs w:val="20"/>
          <w:lang w:val="es-ES" w:eastAsia="en-US"/>
        </w:rPr>
      </w:pPr>
      <w:hyperlink r:id="rId14" w:history="1">
        <w:r w:rsidR="00F94B8E" w:rsidRPr="00E50BF7">
          <w:rPr>
            <w:rFonts w:eastAsia="Calibri"/>
            <w:color w:val="0000FF"/>
            <w:sz w:val="20"/>
            <w:szCs w:val="20"/>
            <w:u w:val="single"/>
            <w:lang w:val="es-ES" w:eastAsia="en-US"/>
          </w:rPr>
          <w:t>http://www.project-syndicate.org/commentary/greece-eurozone-breakup-by-alberto-bagnai-et-al-2015-02/spanish</w:t>
        </w:r>
      </w:hyperlink>
    </w:p>
    <w:p w14:paraId="576F111A" w14:textId="77777777" w:rsidR="00461213" w:rsidRPr="00461213" w:rsidRDefault="00461213" w:rsidP="00461213">
      <w:pPr>
        <w:spacing w:after="360" w:line="360" w:lineRule="auto"/>
        <w:ind w:right="-159"/>
        <w:jc w:val="both"/>
        <w:rPr>
          <w:rFonts w:eastAsia="Calibri"/>
          <w:b/>
          <w:sz w:val="26"/>
          <w:szCs w:val="26"/>
          <w:lang w:eastAsia="en-US"/>
        </w:rPr>
      </w:pPr>
      <w:r w:rsidRPr="00461213">
        <w:rPr>
          <w:rFonts w:eastAsia="Calibri"/>
          <w:b/>
          <w:sz w:val="26"/>
          <w:szCs w:val="26"/>
          <w:lang w:eastAsia="en-US"/>
        </w:rPr>
        <w:t xml:space="preserve">Grecia, ¿con un pie fuera de la Eurozona? (Forbes México) </w:t>
      </w:r>
    </w:p>
    <w:p w14:paraId="5AEFF1E7"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El 3 de marzo de 2015, la edición online de la revista de negocios Forbes México señaló que un sondeo entre inversionistas muestra que los mercados no descartan la salida de Grecia de la zona euro, de hecho, señala que hay un 38% de posibilidades de ver la salida de alguno de los miembros en los próximos 12 meses.</w:t>
      </w:r>
    </w:p>
    <w:p w14:paraId="4220147E"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Las posibilidades de que Grecia se retire de la zona euro en los próximos 12 meses son las más altas desde fines de 2012, aun después de la extensión del salvavidas financiero de Atenas, mostró el martes un sondeo realizado a inversionistas, con base principalmente en Alemania.</w:t>
      </w:r>
    </w:p>
    <w:p w14:paraId="63BEFCFD"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La consulta, realizada a 980 individuos e inversionistas institucionales registrados ante la consultora sentix, arroja que un 37.1% espera que Atenas deje el bloque monetario, desde el 22.5% que tenía esa opinión en enero.</w:t>
      </w:r>
    </w:p>
    <w:p w14:paraId="30FC603C"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Esas expectativas han subido sostenidamente desde el mínimo récord de 5.7% de julio pasado, pero siguen siendo más bajas que el máximo de 70.7% de julio de 2012, durante el peak de la crisis de la zona euro.</w:t>
      </w:r>
    </w:p>
    <w:p w14:paraId="5D04ADF8"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lastRenderedPageBreak/>
        <w:t>Un sondeo de Reuters realizado a mediados de febrero calculó una posibilidad de cuatro de que Grecia deje el área monetaria en 2015.</w:t>
      </w:r>
    </w:p>
    <w:p w14:paraId="1792EA93"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“El nuevo programa de ayuda para el país no parece ser convincente. En cambio, ahora un “Grexit” (una salida de Grecia) va a ser un tema constante entre los inversionistas durante los próximos meses”, dijo el analista senior de sentix.</w:t>
      </w:r>
    </w:p>
    <w:p w14:paraId="7A3DB6F5"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La encuesta se realizó entre el 26 y el 28 de febrero.</w:t>
      </w:r>
    </w:p>
    <w:p w14:paraId="2CA0BFA1"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El 24 de febrero, Grecia aseguró una extensión de cuatro meses a su rescate, tras tensas negociaciones entre Atenas y sus socios de la zona euro, pero sigue teniendo graves problemas de financiamiento y podría quedarse sin fondos para fines de marzo.</w:t>
      </w:r>
    </w:p>
    <w:p w14:paraId="2DE4493F"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El lunes, el ministro de Economía de España dijo que los países de la zona euro estaban discutiendo un tercer rescate para Grecia, por entre 30 mil millones de euros y 50 mil millones de euros, pero funcionarios de la Unión Europea dijeron que no se han producido tales negociaciones.</w:t>
      </w:r>
    </w:p>
    <w:p w14:paraId="29DAD3D9" w14:textId="77777777" w:rsidR="00461213" w:rsidRPr="00461213" w:rsidRDefault="00461213" w:rsidP="00461213">
      <w:pPr>
        <w:spacing w:after="360" w:line="360" w:lineRule="auto"/>
        <w:ind w:right="-159"/>
        <w:jc w:val="both"/>
        <w:rPr>
          <w:rFonts w:eastAsia="Calibri"/>
          <w:sz w:val="26"/>
          <w:szCs w:val="26"/>
          <w:lang w:val="es-ES" w:eastAsia="en-US"/>
        </w:rPr>
      </w:pPr>
      <w:r w:rsidRPr="00461213">
        <w:rPr>
          <w:rFonts w:eastAsia="Calibri"/>
          <w:sz w:val="26"/>
          <w:szCs w:val="26"/>
          <w:lang w:val="es-ES" w:eastAsia="en-US"/>
        </w:rPr>
        <w:t>La consulta de sentix —en la que los entrevistados podían elegir hasta 3 países que creen saldrán de la unión monetaria en los próximos 12 meses— estima en un 38% las posibilidades de que cualquier país salga del bloque.</w:t>
      </w:r>
    </w:p>
    <w:p w14:paraId="4AFDFD21" w14:textId="77777777" w:rsidR="00461213" w:rsidRPr="00461213" w:rsidRDefault="00461213" w:rsidP="00461213">
      <w:pPr>
        <w:ind w:right="-159"/>
        <w:jc w:val="both"/>
        <w:rPr>
          <w:rFonts w:eastAsia="Calibri"/>
          <w:b/>
          <w:sz w:val="20"/>
          <w:szCs w:val="20"/>
          <w:lang w:eastAsia="en-US"/>
        </w:rPr>
      </w:pPr>
      <w:r w:rsidRPr="00461213">
        <w:rPr>
          <w:rFonts w:eastAsia="Calibri"/>
          <w:b/>
          <w:sz w:val="20"/>
          <w:szCs w:val="20"/>
          <w:lang w:eastAsia="en-US"/>
        </w:rPr>
        <w:t>Fuente de información:</w:t>
      </w:r>
    </w:p>
    <w:p w14:paraId="0CE4B7E7" w14:textId="77777777" w:rsidR="00461213" w:rsidRPr="00E50BF7" w:rsidRDefault="00B9483D" w:rsidP="00461213">
      <w:pPr>
        <w:ind w:right="-159"/>
        <w:jc w:val="both"/>
        <w:rPr>
          <w:rFonts w:eastAsia="Calibri"/>
          <w:b/>
          <w:color w:val="0000FF"/>
          <w:sz w:val="20"/>
          <w:szCs w:val="20"/>
          <w:lang w:val="es-ES" w:eastAsia="en-US"/>
        </w:rPr>
      </w:pPr>
      <w:hyperlink r:id="rId15" w:history="1">
        <w:r w:rsidR="00461213" w:rsidRPr="00E50BF7">
          <w:rPr>
            <w:rFonts w:eastAsia="Calibri"/>
            <w:color w:val="0000FF"/>
            <w:sz w:val="20"/>
            <w:szCs w:val="20"/>
            <w:u w:val="single"/>
            <w:lang w:val="es-ES" w:eastAsia="en-US"/>
          </w:rPr>
          <w:t>http://www.forbes.com.mx/grecia-con-un-pie-fuera-de-la-eurozona/</w:t>
        </w:r>
      </w:hyperlink>
    </w:p>
    <w:p w14:paraId="673720EA" w14:textId="77777777" w:rsidR="00125F6B" w:rsidRDefault="00125F6B" w:rsidP="006960CA">
      <w:pPr>
        <w:spacing w:after="360" w:line="360" w:lineRule="auto"/>
        <w:ind w:right="-159"/>
        <w:jc w:val="both"/>
        <w:rPr>
          <w:rFonts w:eastAsia="Calibri"/>
          <w:sz w:val="26"/>
          <w:szCs w:val="26"/>
          <w:lang w:eastAsia="en-US"/>
        </w:rPr>
      </w:pPr>
    </w:p>
    <w:p w14:paraId="4DAEBFE1" w14:textId="77777777" w:rsidR="000B6ABA" w:rsidRDefault="000B6ABA" w:rsidP="006960CA">
      <w:pPr>
        <w:spacing w:after="360" w:line="360" w:lineRule="auto"/>
        <w:ind w:right="-159"/>
        <w:jc w:val="both"/>
        <w:rPr>
          <w:rFonts w:eastAsia="Calibri"/>
          <w:sz w:val="26"/>
          <w:szCs w:val="26"/>
          <w:lang w:eastAsia="en-US"/>
        </w:rPr>
      </w:pPr>
    </w:p>
    <w:p w14:paraId="4404091C" w14:textId="77777777" w:rsidR="000B6ABA" w:rsidRDefault="000B6ABA" w:rsidP="006960CA">
      <w:pPr>
        <w:spacing w:after="360" w:line="360" w:lineRule="auto"/>
        <w:ind w:right="-159"/>
        <w:jc w:val="both"/>
        <w:rPr>
          <w:rFonts w:eastAsia="Calibri"/>
          <w:sz w:val="26"/>
          <w:szCs w:val="26"/>
          <w:lang w:eastAsia="en-US"/>
        </w:rPr>
      </w:pPr>
    </w:p>
    <w:p w14:paraId="69DE4000" w14:textId="77777777" w:rsidR="000B6ABA" w:rsidRDefault="000B6ABA" w:rsidP="006960CA">
      <w:pPr>
        <w:spacing w:after="360" w:line="360" w:lineRule="auto"/>
        <w:ind w:right="-159"/>
        <w:jc w:val="both"/>
        <w:rPr>
          <w:rFonts w:eastAsia="Calibri"/>
          <w:sz w:val="26"/>
          <w:szCs w:val="26"/>
          <w:lang w:eastAsia="en-US"/>
        </w:rPr>
      </w:pPr>
    </w:p>
    <w:p w14:paraId="7C4E239C" w14:textId="77777777" w:rsidR="009D012B" w:rsidRPr="009D012B" w:rsidRDefault="009D012B" w:rsidP="009D012B">
      <w:pPr>
        <w:spacing w:after="360" w:line="360" w:lineRule="auto"/>
        <w:ind w:right="-159"/>
        <w:jc w:val="both"/>
        <w:rPr>
          <w:rFonts w:eastAsia="Calibri"/>
          <w:b/>
          <w:sz w:val="26"/>
          <w:szCs w:val="26"/>
          <w:lang w:eastAsia="en-US"/>
        </w:rPr>
      </w:pPr>
      <w:r w:rsidRPr="009D012B">
        <w:rPr>
          <w:rFonts w:eastAsia="Calibri"/>
          <w:b/>
          <w:sz w:val="26"/>
          <w:szCs w:val="26"/>
          <w:lang w:eastAsia="en-US"/>
        </w:rPr>
        <w:lastRenderedPageBreak/>
        <w:t>La mano visible de la prosperidad económica</w:t>
      </w:r>
      <w:r w:rsidRPr="009D012B">
        <w:rPr>
          <w:rFonts w:eastAsia="Calibri"/>
          <w:sz w:val="26"/>
          <w:szCs w:val="26"/>
          <w:lang w:eastAsia="en-US"/>
        </w:rPr>
        <w:t xml:space="preserve"> </w:t>
      </w:r>
      <w:r w:rsidRPr="009D012B">
        <w:rPr>
          <w:rFonts w:eastAsia="Calibri"/>
          <w:b/>
          <w:sz w:val="26"/>
          <w:szCs w:val="26"/>
          <w:lang w:eastAsia="en-US"/>
        </w:rPr>
        <w:t>(Project Syndicate)</w:t>
      </w:r>
    </w:p>
    <w:p w14:paraId="5CB91374"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El 25 de febrero de 2015, la organización Project Syndicate publicó el artículo “La mano visible de la prosperidad económica”, elaborado por Jürgen Jeske</w:t>
      </w:r>
      <w:r w:rsidRPr="009D012B">
        <w:rPr>
          <w:rFonts w:eastAsia="Calibri"/>
          <w:sz w:val="26"/>
          <w:szCs w:val="26"/>
          <w:vertAlign w:val="superscript"/>
          <w:lang w:eastAsia="en-US"/>
        </w:rPr>
        <w:footnoteReference w:id="3"/>
      </w:r>
      <w:r w:rsidRPr="009D012B">
        <w:rPr>
          <w:rFonts w:eastAsia="Calibri"/>
          <w:sz w:val="26"/>
          <w:szCs w:val="26"/>
          <w:lang w:eastAsia="en-US"/>
        </w:rPr>
        <w:t>. A continuación se presenta el contenido.</w:t>
      </w:r>
    </w:p>
    <w:p w14:paraId="432C25AD"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Alemania ha capeado la crisis financiera mucho mejor que la mayoría de sus vecinos. Hoy este país, que en época tan reciente como 1999 estaba considerado el enfermo de Europa, cuenta con la economía más fuerte del continente, cuyas exportaciones representan la cuarta parte, aproximadamente, de sus exportaciones. Su  tasa de desempleo, inferior al 5%, es la mitad de la media europea. El presupuesto federal está equilibrado por primera vez en un decenio.</w:t>
      </w:r>
    </w:p>
    <w:p w14:paraId="0FAE4434"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Pero sería un error suponer que los resultados económicos de Alemania vindican sus políticas. En realidad, el predominio económico actual de Alemania se ha basado en un marco normativo que representa una oposición directa al propugnado por el ex Canciller Ludwig Erhard, padre de su “milagro económico” posterior a la segunda guerra mundial.</w:t>
      </w:r>
    </w:p>
    <w:p w14:paraId="2B7B3703"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En lugar del llamado ordoliberalismo de Erhard, en el que el Estado prepara el terreno para una economía de mercado en funcionamiento dirigiendo activamente el marco jurídico, la estrategia económica del gobierno de la Canciller alemana ha sido arbitrario, impulsado más por la conveniencia política que por una concepción subyacente. La prudencia aconseja a Alemania no dar por sentado su éxito económico. En un momento de incertidumbre económica y política cada vez mayor, los principios rectores del excanciller son más importantes que nunca.</w:t>
      </w:r>
    </w:p>
    <w:p w14:paraId="30FA49CE"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lastRenderedPageBreak/>
        <w:t>De hecho, las autoridades de Alemania parecen ir dando tumbos de decisión en decisión. En lugar de ir al timón de la economía, se ven conducidos por ella y reaccionan sin un claro sentido de dirección ante las exigencias del momento. La celebrada descarbonización del país está poniendo en riesgo la industria. La negociación colectiva, en tiempos dejada en manos de los protagonistas económicos, está resultando cada vez más politizada. Los cambios en la política de pensiones están incrementando el gasto público y contribuyendo a un aumento de los niveles de deuda.</w:t>
      </w:r>
    </w:p>
    <w:p w14:paraId="0CEE23E7"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En el centro de los problemas de Alemania está la terca idea, internacionalmente generalizada,  de que la economía es un mecanismo como de relojería en el que el Estado puede intervenir sin consecuencias. La matematización en aumento de la economía en los últimos decenios ha contribuido a esa evolución.</w:t>
      </w:r>
    </w:p>
    <w:p w14:paraId="26E41402"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La debilidad fundamental de los sistemas democráticos también contribuye a agravar el problema: la búsqueda de votos favorece la ampliación de las prestaciones sociales y disuade de la adopción de medidas impopulares que situarían la economía en una base más sostenible. Como dijo en cierta ocasión el economista alemán Herbert Giersch, lo políticamente conveniente raras veces es económicamente beneficioso.</w:t>
      </w:r>
    </w:p>
    <w:p w14:paraId="16E06852"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Por esa razón el regreso al ordoliberalismo es más importante que nunca. El objetivo del excanciller era el de contrarrestar el pragmatismo y el activismo políticos con una concepción ordenada de la política económica y social. La necesidad de adoptar una concepción holística de la economía era evidente. Para los economistas e ingenieros sociales actuales, ya no es así.</w:t>
      </w:r>
    </w:p>
    <w:p w14:paraId="3A0ED23A"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 xml:space="preserve">La concepción que tenía el excanciller de una economía social de mercado era una tercera vía, substitutiva de la intervención del Estado en gran escala y de los riesgos del liberalismo del </w:t>
      </w:r>
      <w:r w:rsidRPr="0020784B">
        <w:rPr>
          <w:rFonts w:eastAsia="Calibri"/>
          <w:i/>
          <w:sz w:val="26"/>
          <w:szCs w:val="26"/>
          <w:lang w:eastAsia="en-US"/>
        </w:rPr>
        <w:t>laissez-faire</w:t>
      </w:r>
      <w:r w:rsidRPr="009D012B">
        <w:rPr>
          <w:rFonts w:eastAsia="Calibri"/>
          <w:sz w:val="26"/>
          <w:szCs w:val="26"/>
          <w:lang w:eastAsia="en-US"/>
        </w:rPr>
        <w:t>. La experiencia histórica de Alemania había demostrado que la libertad sin orden conducía al caos y el orden sin libertad originaba la coerción y la renuncia a la democracia.</w:t>
      </w:r>
    </w:p>
    <w:p w14:paraId="65A3DD00"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lastRenderedPageBreak/>
        <w:t>Según el excanciller, el capitalismo sin dirección se socavaba a sí mismo, pues los monopolistas arrinconaban los mercados y se apropiaban del Estado, pero el intento de perfeccionar la vida mediante una intervención estatal cada vez más amplia, hasta el punto de concederse compensaciones incluso por las mínimas injusticias había de fracasar también. La sociedad humana no sigue, sencillamente, las reglas de una colonia de termitas; el orden debe dejar sitio para la libertad y la individualidad.</w:t>
      </w:r>
    </w:p>
    <w:p w14:paraId="5A623259"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Se puede ver la continua pertinencia de las ideas del excanciller en el número cada vez mayor de movimientos de protesta, reforzados por las redes sociales, que impugnan la economía de mercado y el neoliberalismo. Toda impresión de mayor legitimidad del mercado debida al fracaso del comunismo fue temporal, en el mejor de los casos. Actualmente se consideran las políticas orientadas al mercado frías y antisociales, en particular en los países industrializados occidentales. Se considera que el paternalista Estado del bienestar es más humano, pese a la pérdida de libertad y las distorsiones financieras relacionadas con él.</w:t>
      </w:r>
    </w:p>
    <w:p w14:paraId="04326903"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El excanciller era muy consciente de la tensión entre libertad económica y Estado democrático. Sus seguidores y él nunca concibieron el ordoliberalismo como un dogma inalterable, sino como un modelo que se pudiera adaptar a los nuevos imperativos. También, intentó incluso ajustarlo a los cambios sociopolíticos del decenio de 1960, al formular el concepto de “sociedad formada”, mediante el cual se reduciría al mínimo el faccionalismo y el Estado gobernaría por consenso.</w:t>
      </w:r>
    </w:p>
    <w:p w14:paraId="1CF3420D"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El excanciller no consiguió apoyo para esa idea polémica, pero, en vista de la desigualdad cada vez mayor y del aumento del desencanto con la política y los partidos políticos, aborda cuestiones que siguen siendo pertinentes para la democracia representativa actual.</w:t>
      </w:r>
    </w:p>
    <w:p w14:paraId="3B39BBC6"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lastRenderedPageBreak/>
        <w:t>Como el propio excanciller habría sostenido, el ordoliberalismo no es una solución universal, pero no cabe duda de que, en el globalizado mundo actual, la economía —y tal vez la política también— se beneficiaría de la imposición del orden.</w:t>
      </w:r>
    </w:p>
    <w:p w14:paraId="30E5669C" w14:textId="77777777" w:rsidR="009D012B" w:rsidRPr="009D012B" w:rsidRDefault="009D012B" w:rsidP="009D012B">
      <w:pPr>
        <w:spacing w:after="360" w:line="360" w:lineRule="auto"/>
        <w:ind w:right="-159"/>
        <w:jc w:val="both"/>
        <w:rPr>
          <w:rFonts w:eastAsia="Calibri"/>
          <w:sz w:val="26"/>
          <w:szCs w:val="26"/>
          <w:lang w:eastAsia="en-US"/>
        </w:rPr>
      </w:pPr>
      <w:r w:rsidRPr="009D012B">
        <w:rPr>
          <w:rFonts w:eastAsia="Calibri"/>
          <w:sz w:val="26"/>
          <w:szCs w:val="26"/>
          <w:lang w:eastAsia="en-US"/>
        </w:rPr>
        <w:t>No se puede construir sistema político alguno que pueda superar las penalidades y la miseria sin antes lograr mejoras del potencial de la economía, cosa que se debe conseguir reduciendo al mínimo la intervención del Estado, la burocracia y los privilegios para unos pocos elegidos. El principio rector del excanciller era sencillo: debe haber principios rectores. Es una idea que sigue siendo tan importante como siempre: en Alemania y en los demás países.</w:t>
      </w:r>
    </w:p>
    <w:p w14:paraId="6B9E33AE" w14:textId="77777777" w:rsidR="009D012B" w:rsidRPr="009D012B" w:rsidRDefault="009D012B" w:rsidP="009D012B">
      <w:pPr>
        <w:ind w:right="-159"/>
        <w:jc w:val="both"/>
        <w:rPr>
          <w:rFonts w:eastAsia="Calibri"/>
          <w:b/>
          <w:sz w:val="20"/>
          <w:szCs w:val="26"/>
          <w:lang w:eastAsia="en-US"/>
        </w:rPr>
      </w:pPr>
      <w:r w:rsidRPr="009D012B">
        <w:rPr>
          <w:rFonts w:eastAsia="Calibri"/>
          <w:b/>
          <w:sz w:val="20"/>
          <w:szCs w:val="26"/>
          <w:lang w:eastAsia="en-US"/>
        </w:rPr>
        <w:t>Fuente de información:</w:t>
      </w:r>
    </w:p>
    <w:p w14:paraId="2F317F37" w14:textId="77777777" w:rsidR="009D012B" w:rsidRPr="00E50BF7" w:rsidRDefault="00B9483D" w:rsidP="00E50BF7">
      <w:pPr>
        <w:spacing w:after="720"/>
        <w:ind w:right="-159"/>
        <w:jc w:val="both"/>
        <w:rPr>
          <w:rFonts w:eastAsia="Calibri"/>
          <w:color w:val="0000FF"/>
          <w:sz w:val="20"/>
          <w:szCs w:val="20"/>
          <w:lang w:eastAsia="en-US"/>
        </w:rPr>
      </w:pPr>
      <w:hyperlink r:id="rId16" w:history="1">
        <w:r w:rsidR="009D012B" w:rsidRPr="00E50BF7">
          <w:rPr>
            <w:rFonts w:eastAsia="Calibri"/>
            <w:color w:val="0000FF"/>
            <w:sz w:val="20"/>
            <w:szCs w:val="20"/>
            <w:u w:val="single"/>
            <w:lang w:eastAsia="en-US"/>
          </w:rPr>
          <w:t>http://www.project-syndicate.org/commentary/germany-economic-progress-policymaking-by-j-rgen-jeske-2015-02/spanish</w:t>
        </w:r>
      </w:hyperlink>
      <w:r w:rsidR="009D012B" w:rsidRPr="00E50BF7">
        <w:rPr>
          <w:rFonts w:eastAsia="Calibri"/>
          <w:color w:val="0000FF"/>
          <w:sz w:val="20"/>
          <w:szCs w:val="20"/>
          <w:lang w:eastAsia="en-US"/>
        </w:rPr>
        <w:t xml:space="preserve"> </w:t>
      </w:r>
    </w:p>
    <w:p w14:paraId="2A506F88" w14:textId="77777777" w:rsidR="00891A15" w:rsidRPr="00891A15" w:rsidRDefault="00891A15" w:rsidP="00891A15">
      <w:pPr>
        <w:ind w:right="-159"/>
        <w:jc w:val="both"/>
        <w:rPr>
          <w:rFonts w:eastAsia="Calibri"/>
          <w:b/>
          <w:sz w:val="26"/>
          <w:szCs w:val="26"/>
          <w:lang w:eastAsia="en-US"/>
        </w:rPr>
      </w:pPr>
      <w:r w:rsidRPr="00891A15">
        <w:rPr>
          <w:rFonts w:eastAsia="Calibri"/>
          <w:b/>
          <w:sz w:val="26"/>
          <w:szCs w:val="26"/>
          <w:lang w:eastAsia="en-US"/>
        </w:rPr>
        <w:t>Un   plan   de   cinco   medidas   para   la</w:t>
      </w:r>
    </w:p>
    <w:p w14:paraId="6AD39044" w14:textId="77777777" w:rsidR="00891A15" w:rsidRPr="00891A15" w:rsidRDefault="00891A15" w:rsidP="00891A15">
      <w:pPr>
        <w:spacing w:after="360" w:line="360" w:lineRule="auto"/>
        <w:ind w:right="-159"/>
        <w:jc w:val="both"/>
        <w:rPr>
          <w:rFonts w:eastAsia="Calibri"/>
          <w:b/>
          <w:sz w:val="26"/>
          <w:szCs w:val="26"/>
          <w:lang w:eastAsia="en-US"/>
        </w:rPr>
      </w:pPr>
      <w:r w:rsidRPr="00891A15">
        <w:rPr>
          <w:rFonts w:eastAsia="Calibri"/>
          <w:b/>
          <w:sz w:val="26"/>
          <w:szCs w:val="26"/>
          <w:lang w:eastAsia="en-US"/>
        </w:rPr>
        <w:t>Prosperidad europea (Project Syndicate)</w:t>
      </w:r>
    </w:p>
    <w:p w14:paraId="51527511"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El 25 de febrero de 2015, la organización Project Syndicate publicó el artículo “Un plan de cinco medidas para la prosperidad europea”, elaborado por Michael J. Boskin</w:t>
      </w:r>
      <w:r w:rsidRPr="00891A15">
        <w:rPr>
          <w:rFonts w:eastAsia="Calibri"/>
          <w:sz w:val="26"/>
          <w:szCs w:val="26"/>
          <w:vertAlign w:val="superscript"/>
          <w:lang w:eastAsia="en-US"/>
        </w:rPr>
        <w:footnoteReference w:id="4"/>
      </w:r>
      <w:r w:rsidRPr="00891A15">
        <w:rPr>
          <w:rFonts w:eastAsia="Calibri"/>
          <w:sz w:val="26"/>
          <w:szCs w:val="26"/>
          <w:lang w:eastAsia="en-US"/>
        </w:rPr>
        <w:t>. A continuación se incluye el contenido.</w:t>
      </w:r>
    </w:p>
    <w:p w14:paraId="6361EA76"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 xml:space="preserve">Aunque se haya logrado poner en pausa la crisis griega, la situación económica en Europa sigue siendo sombría. El crecimiento de la eurozona es ligeramente superior a los niveles cuasi recesivos de hace unos meses, pero las proyecciones del Fondo Monetario Internacional (FMI) para 2015 y 2016 apenas superan el 1%. El desempleo </w:t>
      </w:r>
      <w:r w:rsidRPr="00891A15">
        <w:rPr>
          <w:rFonts w:eastAsia="Calibri"/>
          <w:sz w:val="26"/>
          <w:szCs w:val="26"/>
          <w:lang w:eastAsia="en-US"/>
        </w:rPr>
        <w:lastRenderedPageBreak/>
        <w:t>sigue por encima del 11% y es dos veces esa cifra entre los jóvenes (que a su vez es el doble en países como Grecia y España).</w:t>
      </w:r>
    </w:p>
    <w:p w14:paraId="3E6C902D"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Es probable que la salida de Grecia de la eurozona sea menos perjudicial ahora de lo que hubiera sido hace unos años. A ojos de los mercados, los países con mayor riesgo de contagio (Portugal, España e Italia) son menos vulnerables ahora, y además la Unión Europea ha creado un fondo de rescate y el Banco Central Europeo (BCE) ha puesto en marcha un programa de compra de bonos a gran escala.</w:t>
      </w:r>
    </w:p>
    <w:p w14:paraId="65E3E9FC"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El verdadero reto en Europa es la persistencia del estancamiento y las crecientes presiones fiscales sobre el sector público debido a estados de bienestar que se encuentran sobreexigidos por el rápido envejecimiento de la población. Habrá que encontrar soluciones audaces a cinco problemas intervinculados, si se desea recuperar el crecimiento, las oportunidades, la prosperidad y la estabilidad financiera.</w:t>
      </w:r>
    </w:p>
    <w:p w14:paraId="73944801"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El primer problema es fiscal y bastante sencillo de entender aritméticamente. La tasa impositiva necesaria para financiar el gasto social debe equivaler a la relación entre el número de personas que reciben beneficios y el número de contribuyentes (la tasa de dependencia), multiplicada por el beneficio promedio con respecto a los ingresos que se gravan (la tasa de reposición). Fue este cálculo lo que llevó al presidente del BCE a declarar que “el modelo social europeo ha muerto”. Demasiados europeos reciben demasiados beneficios, pero hasta ahora la mayor parte de los gobiernos han eludido hacer frente a esta realidad, asumiendo niveles enormes de deuda para posponer este necesario ajuste de cuentas. Hace mucho que deberían haberse emprendido reformas dirigidas a ajustar el gasto social.</w:t>
      </w:r>
    </w:p>
    <w:p w14:paraId="1A9B37F1"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 xml:space="preserve">El segundo problema es de tipo económico: década tras década, el crecimiento en Europa ha sido muy inferior al de Estados Unidos de Norteamérica. Aunque la teoría económica predice la convergencia en los niveles de vida, Europa se sitúa por detrás de Estados Unidos de Norteamérica en un 30% o más. Los altos impuestos y los obstáculos </w:t>
      </w:r>
      <w:r w:rsidRPr="00891A15">
        <w:rPr>
          <w:rFonts w:eastAsia="Calibri"/>
          <w:sz w:val="26"/>
          <w:szCs w:val="26"/>
          <w:lang w:eastAsia="en-US"/>
        </w:rPr>
        <w:lastRenderedPageBreak/>
        <w:t>que significan las complicadas regulaciones sofocan el mercado laboral y los nuevos emprendimientos. El excesivo desembolso en bienestar social desincentiva la creación de empleos, las contrataciones, las inversiones y el crecimiento, mientras que la persistencia de un crecimiento crónico lento asfixia las oportunidades para las masas de jóvenes desempleados y subempleados del continente.</w:t>
      </w:r>
    </w:p>
    <w:p w14:paraId="4FBDC97A"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El tercer problema es la crisis bancaria. En Europa, los bancos proporcionan aproximadamente el 70% del crédito de los países, en comparación con el 30% en Estados Unidos de Norteamérica. Pero muchos bancos europeos están apalancados en exceso y siguen con vida únicamente gracias a las medidas de emergencia de infusión de liquidez con fondos públicos.</w:t>
      </w:r>
    </w:p>
    <w:p w14:paraId="3EE73E9D"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En cuarto lugar está la crisis monetaria. Para poder disfrutar de los muchos beneficios del euro (transparencia de los precios entre fronteras, menores costos de transacción y credibilidad inflacionaria) los países han debido renunciar a la independencia en sus políticas monetarias y la flexibilidad en sus tipos de cambio. Pero, debido a los límites a las transferencias interregionales y a la movilidad laboral, esto significa que hay mucho menos capacidad de absorber crisis dispares mediante los llamados estabilizadores automáticos. Por el contrario, en Estados Unidos de Norteamérica, un desempleado de Michigan, donde el paro es alto, puede mudarse a Texas, donde hay bastante trabajo, y el sistema federal de impuestos y transferencias traspasa fondos automáticamente en la dirección opuesta para atenuar la desaceleración a nivel local.</w:t>
      </w:r>
    </w:p>
    <w:p w14:paraId="4859D916"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 xml:space="preserve">Por último, Europa se enfrenta a un grave déficit de gobernanza. Los ciudadanos están cada vez más desencantados con las élites europeas y las instituciones supranacionales como la Comisión Europea, que imponen normas y reglamentos que entran en conflicto con los intereses económicos y la soberanía de sus países. Los votantes están inquietos, como se pudo advertir en los resultados de las últimas elecciones griegas. El </w:t>
      </w:r>
      <w:r w:rsidRPr="00891A15">
        <w:rPr>
          <w:rFonts w:eastAsia="Calibri"/>
          <w:sz w:val="26"/>
          <w:szCs w:val="26"/>
          <w:lang w:eastAsia="en-US"/>
        </w:rPr>
        <w:lastRenderedPageBreak/>
        <w:t>sentimiento nacionalista va en aumento, y los partidos demagógicos de extrema derecha e izquierda crecen en todas las encuestas.</w:t>
      </w:r>
    </w:p>
    <w:p w14:paraId="39EA08D8"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Hacer frente a estos problemas será difícil, pero no imposible. El reto principal es fiscal; Europa no puede rehuir la necesidad de reducir sus anquilosados modelos de bienestar. Si reconoce este hecho y aplica políticas como las siguientes, el continente podría ir saliendo de su actual letargo.</w:t>
      </w:r>
    </w:p>
    <w:p w14:paraId="626216DD" w14:textId="4304BE92"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Consolidación fiscal gradual: la máxima prioridad ha de ser reducir el tamaño proyectado del gasto público y, por lo tanto, las tasas impositivas futuras. Esto debería combinarse con la mutualización de parte de los pasivos de los países altamente endeudados (lo cual podría definirse como una relación entre deuda y Producto Interno Bruto (PIB) por encima de, digamos, un 60 o 70%) y modestas rebajas a cambio de bonos cupón cero de largo plazo. Los “bonos Brady” que Estados Unidos de Norteamérica utilizó para ayudar a resolver la crisis de la deuda latinoamericana en la década de los 90 podrían servir de modelo.</w:t>
      </w:r>
    </w:p>
    <w:p w14:paraId="681418AA"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 xml:space="preserve">Mientras tanto, será necesario solucionar con rapidez el problema de los bancos zombies de Europa, ya sea por adquisición o toma de control temporal para limpiarlos y vender activos, como hizo la </w:t>
      </w:r>
      <w:r w:rsidRPr="0020784B">
        <w:rPr>
          <w:rFonts w:eastAsia="Calibri"/>
          <w:i/>
          <w:sz w:val="26"/>
          <w:szCs w:val="26"/>
          <w:lang w:eastAsia="en-US"/>
        </w:rPr>
        <w:t>Resolution Trust Corporation</w:t>
      </w:r>
      <w:r w:rsidRPr="00891A15">
        <w:rPr>
          <w:rFonts w:eastAsia="Calibri"/>
          <w:sz w:val="26"/>
          <w:szCs w:val="26"/>
          <w:lang w:eastAsia="en-US"/>
        </w:rPr>
        <w:t xml:space="preserve"> durante la crisis de ahorros y préstamos de Estados Unidos de Norteamérica en la década de los 80. También es necesario implementar reformas estructurales que aumenten la flexibilidad del mercado de trabajo y reduzcan la burocracia y otros obstáculos a la creación de nuevas empresas.</w:t>
      </w:r>
    </w:p>
    <w:p w14:paraId="66031FAD"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 xml:space="preserve">Por último, la zona euro debería adoptar un euro de dos vías con un tipo de cambio fluctuante, idea defendida por el economista estadounidense Allan Meltzer. Habría que desarrollar reglas sistemáticas para determinar cuándo a los miembros de la eurozona les corresponde el “euro B” o el “euro A”. Una solución de compromiso como ésta       —que se podría denominar “depreciación sin abandono”— evitaría algunos de los problemas (pero no todos) que podría originar la salida completa de un país de la </w:t>
      </w:r>
      <w:r w:rsidRPr="00891A15">
        <w:rPr>
          <w:rFonts w:eastAsia="Calibri"/>
          <w:sz w:val="26"/>
          <w:szCs w:val="26"/>
          <w:lang w:eastAsia="en-US"/>
        </w:rPr>
        <w:lastRenderedPageBreak/>
        <w:t>eurozona. Crearía su propio conjunto de incentivos, lo que podría ser también una forma de ejercer presión para evitar el descenso de categoría, al igual que en el fútbol de primera división los equipos tratan de evitar el descenso a las ligas menores.</w:t>
      </w:r>
    </w:p>
    <w:p w14:paraId="20E31B99" w14:textId="77777777" w:rsidR="00891A15" w:rsidRPr="00891A15" w:rsidRDefault="00891A15" w:rsidP="00891A15">
      <w:pPr>
        <w:spacing w:after="360" w:line="360" w:lineRule="auto"/>
        <w:ind w:right="-159"/>
        <w:jc w:val="both"/>
        <w:rPr>
          <w:rFonts w:eastAsia="Calibri"/>
          <w:sz w:val="26"/>
          <w:szCs w:val="26"/>
          <w:lang w:eastAsia="en-US"/>
        </w:rPr>
      </w:pPr>
      <w:r w:rsidRPr="00891A15">
        <w:rPr>
          <w:rFonts w:eastAsia="Calibri"/>
          <w:sz w:val="26"/>
          <w:szCs w:val="26"/>
          <w:lang w:eastAsia="en-US"/>
        </w:rPr>
        <w:t>En su conjunto, estas políticas reducirían la deuda soberana y las tasas de interés, aliviarían la presión tributaria, permitirían a los países aumentar la competitividad con menos sacrificios en los niveles de vida, y darían a Europa una hoja de ruta hacia la prosperidad. Hasta ahora, los líderes de la Unión Europea han seguido el camino más fácil pero menos productivo, aplicando sobre la marcha arreglos temporales y parciales a los problemas. La posibilidad de un futuro económico más brillante debería ser una motivación suficientemente grande como para invocar el mismo tipo de liderazgo con el que Europa logró renacer de las cenizas tras la Segunda Guerra Mundial.</w:t>
      </w:r>
    </w:p>
    <w:p w14:paraId="43A677B3" w14:textId="77777777" w:rsidR="00891A15" w:rsidRPr="00891A15" w:rsidRDefault="00891A15" w:rsidP="00891A15">
      <w:pPr>
        <w:ind w:right="-159"/>
        <w:jc w:val="both"/>
        <w:rPr>
          <w:rFonts w:eastAsia="Calibri"/>
          <w:b/>
          <w:sz w:val="20"/>
          <w:szCs w:val="26"/>
          <w:lang w:eastAsia="en-US"/>
        </w:rPr>
      </w:pPr>
      <w:r w:rsidRPr="00891A15">
        <w:rPr>
          <w:rFonts w:eastAsia="Calibri"/>
          <w:b/>
          <w:sz w:val="20"/>
          <w:szCs w:val="26"/>
          <w:lang w:eastAsia="en-US"/>
        </w:rPr>
        <w:t>Fuente de información:</w:t>
      </w:r>
    </w:p>
    <w:p w14:paraId="644AF3EE" w14:textId="77777777" w:rsidR="00891A15" w:rsidRPr="00E50BF7" w:rsidRDefault="00B9483D" w:rsidP="00E50BF7">
      <w:pPr>
        <w:spacing w:after="720"/>
        <w:ind w:right="-159"/>
        <w:jc w:val="both"/>
        <w:rPr>
          <w:rFonts w:eastAsia="Calibri"/>
          <w:color w:val="0000FF"/>
          <w:sz w:val="20"/>
          <w:szCs w:val="20"/>
          <w:lang w:eastAsia="en-US"/>
        </w:rPr>
      </w:pPr>
      <w:hyperlink r:id="rId17" w:history="1">
        <w:r w:rsidR="00891A15" w:rsidRPr="00E50BF7">
          <w:rPr>
            <w:rFonts w:eastAsia="Calibri"/>
            <w:color w:val="0000FF"/>
            <w:sz w:val="20"/>
            <w:szCs w:val="20"/>
            <w:u w:val="single"/>
            <w:lang w:eastAsia="en-US"/>
          </w:rPr>
          <w:t>http://www.project-syndicate.org/commentary/europe-prosperity-obstacles-by-michael-boskin-2015-02/spanish</w:t>
        </w:r>
      </w:hyperlink>
      <w:r w:rsidR="00891A15" w:rsidRPr="00E50BF7">
        <w:rPr>
          <w:rFonts w:eastAsia="Calibri"/>
          <w:color w:val="0000FF"/>
          <w:sz w:val="20"/>
          <w:szCs w:val="20"/>
          <w:lang w:eastAsia="en-US"/>
        </w:rPr>
        <w:t xml:space="preserve"> </w:t>
      </w:r>
    </w:p>
    <w:p w14:paraId="6F094AAD"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t>Europeos sin empleo (FMI)</w:t>
      </w:r>
    </w:p>
    <w:p w14:paraId="5282CC6D"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El 11 de marzo de 2015, el Fondo Monetario Internacional (FMI) publicó en su revista trimestral Finanzas &amp; Desarrollo el documento “Europeos sin empleo”. A continuación se presenta la información.</w:t>
      </w:r>
    </w:p>
    <w:p w14:paraId="7EE95BEB" w14:textId="77777777" w:rsid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18 millones de trabajadores estaban desocupados en la zona del euro a finales de junio de 2014, cifra superior a la población de los Países Bajos. 3 millones de ellos tenían entre 15 y 24 años. No obstante, las cifras absolutas no ofrecen una visión completa del desempleo juvenil (véase la gráfica siguiente).</w:t>
      </w:r>
    </w:p>
    <w:p w14:paraId="402F9CC3" w14:textId="77777777" w:rsidR="000170C9" w:rsidRDefault="000170C9" w:rsidP="008015AE">
      <w:pPr>
        <w:spacing w:after="360" w:line="360" w:lineRule="auto"/>
        <w:ind w:right="-159"/>
        <w:jc w:val="both"/>
        <w:rPr>
          <w:rFonts w:eastAsia="Calibri"/>
          <w:sz w:val="26"/>
          <w:szCs w:val="26"/>
          <w:lang w:eastAsia="en-US"/>
        </w:rPr>
      </w:pPr>
    </w:p>
    <w:p w14:paraId="7D9DC0C6" w14:textId="77777777" w:rsidR="000170C9" w:rsidRPr="008015AE" w:rsidRDefault="000170C9" w:rsidP="008015AE">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7568"/>
      </w:tblGrid>
      <w:tr w:rsidR="008015AE" w:rsidRPr="008015AE" w14:paraId="4EEADE3F" w14:textId="77777777" w:rsidTr="00BB7F01">
        <w:trPr>
          <w:jc w:val="center"/>
        </w:trPr>
        <w:tc>
          <w:tcPr>
            <w:tcW w:w="7410" w:type="dxa"/>
          </w:tcPr>
          <w:p w14:paraId="59783CE8"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lastRenderedPageBreak/>
              <w:t>UN PANORAMA DESOLADOR</w:t>
            </w:r>
          </w:p>
          <w:p w14:paraId="74C577E7"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t>El desempleo  juvenil en Europa dobla el adulto; en algunos países la mitad de los jóvenes están sin trabajo</w:t>
            </w:r>
          </w:p>
          <w:p w14:paraId="5695E123"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t>-Tasa de desempleo, porcentaje-</w:t>
            </w:r>
          </w:p>
        </w:tc>
      </w:tr>
      <w:tr w:rsidR="008015AE" w:rsidRPr="008015AE" w14:paraId="3EBA0AAF" w14:textId="77777777" w:rsidTr="00BB7F01">
        <w:trPr>
          <w:jc w:val="center"/>
        </w:trPr>
        <w:tc>
          <w:tcPr>
            <w:tcW w:w="7410" w:type="dxa"/>
          </w:tcPr>
          <w:p w14:paraId="235CEB42" w14:textId="77777777" w:rsidR="008015AE" w:rsidRPr="008015AE" w:rsidRDefault="008015AE" w:rsidP="008015AE">
            <w:pPr>
              <w:jc w:val="center"/>
              <w:rPr>
                <w:rFonts w:eastAsia="Calibri"/>
                <w:sz w:val="20"/>
                <w:szCs w:val="26"/>
                <w:lang w:eastAsia="en-US"/>
              </w:rPr>
            </w:pPr>
            <w:r w:rsidRPr="008015AE">
              <w:rPr>
                <w:rFonts w:eastAsia="Calibri"/>
                <w:noProof/>
                <w:sz w:val="20"/>
                <w:szCs w:val="26"/>
                <w:lang w:eastAsia="es-MX"/>
              </w:rPr>
              <w:drawing>
                <wp:inline distT="0" distB="0" distL="0" distR="0" wp14:anchorId="5C06618A" wp14:editId="7BD8CA10">
                  <wp:extent cx="4668979" cy="2675008"/>
                  <wp:effectExtent l="0" t="0" r="0" b="0"/>
                  <wp:docPr id="1605" name="Imagen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108"/>
                          <a:stretch/>
                        </pic:blipFill>
                        <pic:spPr bwMode="auto">
                          <a:xfrm>
                            <a:off x="0" y="0"/>
                            <a:ext cx="4669425" cy="267526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15AE" w:rsidRPr="008015AE" w14:paraId="6472429D" w14:textId="77777777" w:rsidTr="00BB7F01">
        <w:trPr>
          <w:trHeight w:val="470"/>
          <w:jc w:val="center"/>
        </w:trPr>
        <w:tc>
          <w:tcPr>
            <w:tcW w:w="7410" w:type="dxa"/>
          </w:tcPr>
          <w:p w14:paraId="0238AEE6" w14:textId="77777777" w:rsidR="008015AE" w:rsidRPr="008015AE" w:rsidRDefault="008015AE" w:rsidP="008015AE">
            <w:pPr>
              <w:ind w:left="510" w:hanging="510"/>
              <w:jc w:val="both"/>
              <w:rPr>
                <w:rFonts w:eastAsia="Calibri"/>
                <w:sz w:val="20"/>
                <w:szCs w:val="26"/>
                <w:lang w:eastAsia="en-US"/>
              </w:rPr>
            </w:pPr>
            <w:r w:rsidRPr="008015AE">
              <w:rPr>
                <w:rFonts w:eastAsia="Calibri"/>
                <w:sz w:val="20"/>
                <w:szCs w:val="26"/>
                <w:lang w:eastAsia="en-US"/>
              </w:rPr>
              <w:t>Nota: El sombreado muestra el rango de tasas de desempleo juvenil en los países de la zona del euro.</w:t>
            </w:r>
          </w:p>
          <w:p w14:paraId="539A606E" w14:textId="77777777" w:rsidR="008015AE" w:rsidRPr="008015AE" w:rsidRDefault="008015AE" w:rsidP="008015AE">
            <w:pPr>
              <w:jc w:val="both"/>
              <w:rPr>
                <w:rFonts w:eastAsia="Calibri"/>
                <w:sz w:val="20"/>
                <w:szCs w:val="26"/>
                <w:lang w:eastAsia="en-US"/>
              </w:rPr>
            </w:pPr>
            <w:r w:rsidRPr="008015AE">
              <w:rPr>
                <w:rFonts w:eastAsia="Calibri"/>
                <w:sz w:val="20"/>
                <w:szCs w:val="26"/>
                <w:lang w:eastAsia="en-US"/>
              </w:rPr>
              <w:t xml:space="preserve">FUENTE: </w:t>
            </w:r>
            <w:r w:rsidRPr="008015AE">
              <w:rPr>
                <w:rFonts w:eastAsia="Calibri"/>
                <w:i/>
                <w:sz w:val="20"/>
                <w:szCs w:val="26"/>
                <w:lang w:eastAsia="en-US"/>
              </w:rPr>
              <w:t>Eurostat</w:t>
            </w:r>
            <w:r w:rsidRPr="008015AE">
              <w:rPr>
                <w:rFonts w:eastAsia="Calibri"/>
                <w:sz w:val="20"/>
                <w:szCs w:val="26"/>
                <w:lang w:eastAsia="en-US"/>
              </w:rPr>
              <w:t xml:space="preserve"> y cálculos del personal técnico del FMI.</w:t>
            </w:r>
          </w:p>
        </w:tc>
      </w:tr>
    </w:tbl>
    <w:p w14:paraId="0E726C09" w14:textId="77777777" w:rsidR="008015AE" w:rsidRPr="008015AE" w:rsidRDefault="008015AE" w:rsidP="008015AE">
      <w:pPr>
        <w:spacing w:after="360" w:line="360" w:lineRule="auto"/>
        <w:ind w:right="-159"/>
        <w:jc w:val="both"/>
        <w:rPr>
          <w:rFonts w:eastAsia="Calibri"/>
          <w:sz w:val="26"/>
          <w:szCs w:val="26"/>
          <w:lang w:eastAsia="en-US"/>
        </w:rPr>
      </w:pPr>
    </w:p>
    <w:p w14:paraId="56A7576E"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El número de trabajadores desocupados considerado como proporción de la población activa revela un panorama desolador. En algunos países de la zona del euro la tasa de desempleo entre los trabajadores jóvenes es la más alta de la historia. La tasa de desempleo entre los jóvenes siempre ha sido mayor a la de los adultos debido al rápido envejecimiento de la población de la región, lo que significa que la fuerza laboral de  15 a 24 años es más reducida que la adulta (mayores de 25 años). Sin embargo, desde que se iniciara la crisis financiera mundial en 2008, la tasa de desempleo ha crecido a un mayor ritmo entre los jóvenes, si bien los datos varían mucho de un país a otro. Para finales de junio de 2014, más de dos de cada diez trabajadores jóvenes estaban desocupados, frente a uno de cada diez trabajadores adultos.</w:t>
      </w:r>
    </w:p>
    <w:p w14:paraId="27F96743" w14:textId="77777777" w:rsidR="000170C9" w:rsidRDefault="000170C9" w:rsidP="008015AE">
      <w:pPr>
        <w:spacing w:after="360" w:line="360" w:lineRule="auto"/>
        <w:ind w:right="-159"/>
        <w:jc w:val="both"/>
        <w:rPr>
          <w:rFonts w:eastAsia="Calibri"/>
          <w:b/>
          <w:sz w:val="26"/>
          <w:szCs w:val="26"/>
          <w:lang w:eastAsia="en-US"/>
        </w:rPr>
      </w:pPr>
    </w:p>
    <w:p w14:paraId="25FB4E95" w14:textId="77777777" w:rsidR="000170C9" w:rsidRDefault="000170C9" w:rsidP="008015AE">
      <w:pPr>
        <w:spacing w:after="360" w:line="360" w:lineRule="auto"/>
        <w:ind w:right="-159"/>
        <w:jc w:val="both"/>
        <w:rPr>
          <w:rFonts w:eastAsia="Calibri"/>
          <w:b/>
          <w:sz w:val="26"/>
          <w:szCs w:val="26"/>
          <w:lang w:eastAsia="en-US"/>
        </w:rPr>
      </w:pPr>
    </w:p>
    <w:p w14:paraId="6CD1FFB5"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lastRenderedPageBreak/>
        <w:t>El joven, el viejo y el impaciente</w:t>
      </w:r>
    </w:p>
    <w:p w14:paraId="4F4BC068"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Célebre es esta frase del expresidente de Estados Unidos de Norteamérica Harry S. Truman: “Cuando tu vecino pierde el trabajo es recesión; cuando eres tú quien lo pierde, es depresión”. Algunos analistas han hecho notar las diferencias de magnitud entre el desempleo juvenil y el adulto y plantean la necesidad de centrarse específicamente en el que afecta a los jóvenes.</w:t>
      </w:r>
    </w:p>
    <w:p w14:paraId="28214726"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Todos los trabajadores contribuyen a la capacidad de crecimiento de una economía, mediante el aporte vital de su recurso de mano de obra. Por tanto, todas las clases de desempleo son motivo de preocupación.</w:t>
      </w:r>
    </w:p>
    <w:p w14:paraId="1FB34FD4"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Cuanto más tiempo se está desocupado, menor es la capacidad de producción de un trabajador, porque sus competencias pierden relevancia con el tiempo, lo que limita la capacidad de una economía para salir de una recesión. Y, al final, esta dura más porque la fuerza laboral es menos productiva. Por eso es muy preocupante que cada vez sean más los trabajadores de la zona del euro que llevan más de un año sin trabajo y que pasan a engrosar las filas de los llamados desempleados de larga duración. El desempleo de larga duración afectaba al 53% del total de trabajadores desocupados y al 40% de los jóvenes sin trabajo en junio de 2014.</w:t>
      </w:r>
    </w:p>
    <w:p w14:paraId="3D0A3562"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Si bien el desempleo supone una pesada carga para todos los trabajadores, el desempleo juvenil merece especial atención.</w:t>
      </w:r>
    </w:p>
    <w:p w14:paraId="4BAEC160"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La pérdida temprana del trabajo puede “marcar” a los trabajadores (véase “Generación marcada” en la edición de marzo de 2012 de F&amp;D) y reducir sus posibilidades de encontrar un trabajo decentemente remunerado en el futuro. Muchos investigadores han hallado pruebas importantes de esa “marcación”, cuyos efectos pueden prolongarse más de una década y afectar a varias generaciones de trabajadores.</w:t>
      </w:r>
    </w:p>
    <w:p w14:paraId="0A3D5260"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lastRenderedPageBreak/>
        <w:t>Además, basta con echar un vistazo a los titulares de la prensa para ver que un elevado desempleo juvenil puede afectar la cohesión social, lo que dificulta todavía más la dolorosa pero necesaria aplicación de reformas difíciles. Varios estudios han documentado empíricamente esta relación. Además, muestran que el desempleo en la edad formativa de una persona puede minar la confianza en las instituciones socioeconómicas y políticas, y provocar un aumento del índice de delincuencia.</w:t>
      </w:r>
    </w:p>
    <w:p w14:paraId="6D8DDFD3"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Un elevado desempleo entre los más jóvenes puede menoscabar la sostenibilidad de las redes de protección social, algo de especial relevancia para los adultos con trabajo. Ante el envejecimiento de la población, la tasa de dependencia (número de trabajadores necesarios para mantener a cada jubilado) ha ido aumentando con los años. La carga de mantener a un número cada vez mayor de jubilados se reparte entre un número cada vez menor de trabajadores jóvenes. El alto y persistente desempleo juvenil se suma a estas preocupaciones.</w:t>
      </w:r>
    </w:p>
    <w:p w14:paraId="76D08F45"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Indudablemente, el incremento de la tasa de dependencia podría atenuarse con la inmigración de trabajadores para reponer la fuerza laboral, pero existen límites prácticos a la solución de este problema a través de la inmigración (véase “Un largo camino al trabajo”, en esta edición de F&amp;D). La realidad, además, ha sido bastante distinta; en los países vulnerables de la zona del euro la crisis ha provocado una emigración neta. Asimismo, según algunos datos, son los trabajadores jóvenes muy calificados quienes se van y optan por estudiar y vivir en el extranjero, así que lo más conveniente para la sociedad en su conjunto es resolver el problema del desempleo juvenil en la zona del euro.</w:t>
      </w:r>
    </w:p>
    <w:p w14:paraId="3A154061"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t>Soluciones comunes</w:t>
      </w:r>
    </w:p>
    <w:p w14:paraId="5C539BE2"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Por fortuna, la solución al desempleo juvenil no tiene por qué pasar por descuidar el desempleo adulto. Recientemente, el FMI publicó un estudio (Banerji et al., 2014) de los factores que determinan el desempleo en un grupo de 22 economías avanzadas de </w:t>
      </w:r>
      <w:r w:rsidRPr="008015AE">
        <w:rPr>
          <w:rFonts w:eastAsia="Calibri"/>
          <w:sz w:val="26"/>
          <w:szCs w:val="26"/>
          <w:lang w:eastAsia="en-US"/>
        </w:rPr>
        <w:lastRenderedPageBreak/>
        <w:t>Europa, que concluye que el desempleo juvenil y adulto tienen muchas cosas en común: en gran medida, son provocados por los mismos factores y pueden abordarse en distinto grado con las mismas políticas.</w:t>
      </w:r>
    </w:p>
    <w:p w14:paraId="0E90145B"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Sin embargo, hay factores “más iguales que otros”, en palabras que se atribuyen a George Orwell. En nuestro estudio observamos que uno de los principales factores del desempleo en Europa es el crecimiento del producto. Los cambios en la actividad económica explican, en promedio, aproximadamente el 50% del incremento del desempleo juvenil desde la crisis, y el 60% del aumento del desempleo adulto. La importancia del crecimiento varía de un país a otro; un ejemplo extremo es España, donde las fluctuaciones de la actividad económica parecen ser responsables del 90% del incremento de la tasa de desempleo juvenil durante la crisis. </w:t>
      </w:r>
    </w:p>
    <w:p w14:paraId="4869A613"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Seguramente estas cifras responden a estimaciones cautelosas. Los mercados laborales suelen presentar muchas peculiaridades específicas de cada país, difíciles de generalizar y medir de forma coherente en todos ellos. Muchos aspectos de la economía influyen también en cómo y cuán rápido los cambios en las políticas y el producto económico repercuten en el mercado laboral. Por ejemplo, durante la crisis, las empresas alemanas optaron por retener a sus trabajadores, al haber experimentado anteriormente la escasez de mano de obra. En consecuencia, los trabajadores alemanes no perdieron su empleo, aunque trabajaron menos horas en promedio. </w:t>
      </w:r>
    </w:p>
    <w:p w14:paraId="1814F787"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Es evidente que las políticas que favorecen el crecimiento económico son beneficiosas para todos los trabajadores, en todos los países, pero el grado en que el crecimiento económico permite reducir el desempleo puede ser muy diferente de un país a otro (véase la gráfica siguiente). El efecto más notable se observaría en los países más vulnerables de la zona del euro, por ejemplo, Chipre, España, Grecia, Irlanda y Portugal. En países como Alemania, con tasas de desempleo reducidas, la respuesta sería mucho menor. Independientemente de tales variaciones, en todos los países la tasa </w:t>
      </w:r>
      <w:r w:rsidRPr="008015AE">
        <w:rPr>
          <w:rFonts w:eastAsia="Calibri"/>
          <w:sz w:val="26"/>
          <w:szCs w:val="26"/>
          <w:lang w:eastAsia="en-US"/>
        </w:rPr>
        <w:lastRenderedPageBreak/>
        <w:t>de desempleo juvenil se muestra más sensible al crecimiento del producto que la tasa de desempleo adulto, unas tres veces más, en promedio.</w:t>
      </w:r>
    </w:p>
    <w:tbl>
      <w:tblPr>
        <w:tblW w:w="0" w:type="auto"/>
        <w:jc w:val="center"/>
        <w:tblLook w:val="04A0" w:firstRow="1" w:lastRow="0" w:firstColumn="1" w:lastColumn="0" w:noHBand="0" w:noVBand="1"/>
      </w:tblPr>
      <w:tblGrid>
        <w:gridCol w:w="7410"/>
      </w:tblGrid>
      <w:tr w:rsidR="008015AE" w:rsidRPr="008015AE" w14:paraId="5444A12B" w14:textId="77777777" w:rsidTr="00BB7F01">
        <w:trPr>
          <w:jc w:val="center"/>
        </w:trPr>
        <w:tc>
          <w:tcPr>
            <w:tcW w:w="7410" w:type="dxa"/>
          </w:tcPr>
          <w:p w14:paraId="7768BA99"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t>CREACIÓN DE EMPLEO</w:t>
            </w:r>
          </w:p>
          <w:p w14:paraId="07CB8781"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t>Los efectos de una caída del crecimiento sobre el desempleo juvenil triplican, en promedio, los del desempleo adulto</w:t>
            </w:r>
          </w:p>
          <w:p w14:paraId="261A2686" w14:textId="77777777" w:rsidR="008015AE" w:rsidRPr="008015AE" w:rsidRDefault="008015AE" w:rsidP="008015AE">
            <w:pPr>
              <w:jc w:val="center"/>
              <w:rPr>
                <w:rFonts w:eastAsia="Calibri"/>
                <w:b/>
                <w:sz w:val="22"/>
                <w:szCs w:val="26"/>
                <w:lang w:eastAsia="en-US"/>
              </w:rPr>
            </w:pPr>
            <w:r w:rsidRPr="008015AE">
              <w:rPr>
                <w:rFonts w:eastAsia="Calibri"/>
                <w:b/>
                <w:sz w:val="22"/>
                <w:szCs w:val="26"/>
                <w:lang w:eastAsia="en-US"/>
              </w:rPr>
              <w:t>(incremento estimado del desempleo atribuible a una caída de un punto porcentual del crecimiento, puntos porcentuales, 1983–2012)</w:t>
            </w:r>
          </w:p>
        </w:tc>
      </w:tr>
      <w:tr w:rsidR="008015AE" w:rsidRPr="008015AE" w14:paraId="44D0C835" w14:textId="77777777" w:rsidTr="00BB7F01">
        <w:trPr>
          <w:jc w:val="center"/>
        </w:trPr>
        <w:tc>
          <w:tcPr>
            <w:tcW w:w="7410" w:type="dxa"/>
          </w:tcPr>
          <w:p w14:paraId="67E7DB31" w14:textId="77777777" w:rsidR="008015AE" w:rsidRPr="008015AE" w:rsidRDefault="008015AE" w:rsidP="008015AE">
            <w:pPr>
              <w:jc w:val="center"/>
              <w:rPr>
                <w:rFonts w:eastAsia="Calibri"/>
                <w:sz w:val="20"/>
                <w:szCs w:val="26"/>
                <w:lang w:eastAsia="en-US"/>
              </w:rPr>
            </w:pPr>
            <w:r w:rsidRPr="008015AE">
              <w:rPr>
                <w:rFonts w:eastAsia="Calibri"/>
                <w:noProof/>
                <w:sz w:val="20"/>
                <w:szCs w:val="26"/>
                <w:lang w:eastAsia="es-MX"/>
              </w:rPr>
              <w:drawing>
                <wp:inline distT="0" distB="0" distL="0" distR="0" wp14:anchorId="46CCCD56" wp14:editId="39EE2A18">
                  <wp:extent cx="4287230" cy="3096000"/>
                  <wp:effectExtent l="0" t="0" r="0" b="0"/>
                  <wp:docPr id="1606" name="Imagen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23" t="6076"/>
                          <a:stretch/>
                        </pic:blipFill>
                        <pic:spPr bwMode="auto">
                          <a:xfrm>
                            <a:off x="0" y="0"/>
                            <a:ext cx="4287230" cy="30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15AE" w:rsidRPr="008015AE" w14:paraId="6C18A898" w14:textId="77777777" w:rsidTr="00BB7F01">
        <w:trPr>
          <w:trHeight w:val="470"/>
          <w:jc w:val="center"/>
        </w:trPr>
        <w:tc>
          <w:tcPr>
            <w:tcW w:w="7410" w:type="dxa"/>
          </w:tcPr>
          <w:p w14:paraId="189D7831" w14:textId="77777777" w:rsidR="008015AE" w:rsidRPr="008015AE" w:rsidRDefault="008015AE" w:rsidP="008015AE">
            <w:pPr>
              <w:jc w:val="both"/>
              <w:rPr>
                <w:rFonts w:eastAsia="Calibri"/>
                <w:sz w:val="20"/>
                <w:szCs w:val="26"/>
                <w:lang w:eastAsia="en-US"/>
              </w:rPr>
            </w:pPr>
            <w:r w:rsidRPr="008015AE">
              <w:rPr>
                <w:rFonts w:eastAsia="Calibri"/>
                <w:sz w:val="20"/>
                <w:szCs w:val="26"/>
                <w:lang w:eastAsia="en-US"/>
              </w:rPr>
              <w:t xml:space="preserve">FUENTE: </w:t>
            </w:r>
            <w:r w:rsidRPr="008015AE">
              <w:rPr>
                <w:rFonts w:eastAsia="Calibri"/>
                <w:i/>
                <w:sz w:val="20"/>
                <w:szCs w:val="26"/>
                <w:lang w:eastAsia="en-US"/>
              </w:rPr>
              <w:t>Eurostat</w:t>
            </w:r>
            <w:r w:rsidRPr="008015AE">
              <w:rPr>
                <w:rFonts w:eastAsia="Calibri"/>
                <w:sz w:val="20"/>
                <w:szCs w:val="26"/>
                <w:lang w:eastAsia="en-US"/>
              </w:rPr>
              <w:t xml:space="preserve"> y cálculos del personal técnico del FMI.</w:t>
            </w:r>
          </w:p>
        </w:tc>
      </w:tr>
    </w:tbl>
    <w:p w14:paraId="0908C349" w14:textId="77777777" w:rsidR="008015AE" w:rsidRPr="008015AE" w:rsidRDefault="008015AE" w:rsidP="008015AE">
      <w:pPr>
        <w:spacing w:after="360" w:line="360" w:lineRule="auto"/>
        <w:ind w:right="-159"/>
        <w:jc w:val="both"/>
        <w:rPr>
          <w:rFonts w:eastAsia="Calibri"/>
          <w:sz w:val="26"/>
          <w:szCs w:val="26"/>
          <w:lang w:eastAsia="en-US"/>
        </w:rPr>
      </w:pPr>
    </w:p>
    <w:p w14:paraId="303888EF"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El importante efecto del crecimiento sobre el desempleo juvenil puede explicarse por el hecho de que las condiciones de empleo de los trabajadores jóvenes suelen ser más frágiles que las de los adultos. En la zona del euro, los jóvenes tienen el triple de probabilidades de trabajar con contratos temporales que los adultos, y trabajan también en sectores de la economía más vulnerables a recesiones. Por ejemplo, uno de cada cuatro trabajadores jóvenes en Chipre, España, Grecia, Irlanda y Portugal trabajaban en el sector de la construcción antes de que se desplomara el mercado de la vivienda. Tales condiciones laborales implican que los trabajadores jóvenes son los últimos en encontrar trabajo y los primeros en perderlo en caso de una desaceleración económica.</w:t>
      </w:r>
    </w:p>
    <w:p w14:paraId="03EA0242"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lastRenderedPageBreak/>
        <w:t>Mercados más flexibles</w:t>
      </w:r>
    </w:p>
    <w:p w14:paraId="436551C1"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El estudio del FMI concluye también que la inflexibilidad de los mercados laborales puede favorecer el incremento del desempleo juvenil y adulto, y que algunas de estas características —como la protección del empleo en los contratos de trabajo— son especialmente importantes para los trabajadores jóvenes. Por tanto, las reformas del mercado laboral pueden ayudar a reducir el desempleo. </w:t>
      </w:r>
    </w:p>
    <w:p w14:paraId="20FE204C"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Un ejemplo destacado de reforma positiva son los impuestos sobre el trabajo. Una menor “cuña fiscal” —diferencia entre el costo de los trabajadores para las empresas y sus ingresos netos— reduce el costo de contratación, aumenta la demanda de trabajadores y es beneficiosa para todos los desocupados, sea cual sea su edad. </w:t>
      </w:r>
    </w:p>
    <w:p w14:paraId="5029CC84"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Los trabajadores jóvenes sufren otra limitación: tienen más probabilidades que los adultos de cobrar el salario mínimo, porque a menudo están escasamente calificados. Como durante la crisis los salarios fueron ajustándose a la baja en muchas economías de la zona del euro, es importante que el salario mínimo no sea demasiado alto en relación con los salarios medios de una economía, porque entonces la contratación de trabajadores jóvenes podría resultar demasiado costosa en comparación con la de adultos.</w:t>
      </w:r>
    </w:p>
    <w:p w14:paraId="6E97B3AD"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Si se reduce el costo de oportunidad del empleo —por ejemplo, limitando las prestaciones por desempleo excesivamente generosas— también puede reducirse el desempleo adulto y juvenil, pues al ser menores los incentivos económicos para mantenerse desocupados, los trabajadores se sentirían más alentados a buscar y aceptar ofertas de trabajo que de lo contrario desestimarían.</w:t>
      </w:r>
    </w:p>
    <w:p w14:paraId="4CD4D7E0"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Otra de las reformas que pueden contribuir a que la gente vuelva a trabajar es la flexibilización de los requisitos de protección del empleo en los contratos laborales, algo que puede reducir significativamente el desempleo tanto juvenil como adulto, si </w:t>
      </w:r>
      <w:r w:rsidRPr="008015AE">
        <w:rPr>
          <w:rFonts w:eastAsia="Calibri"/>
          <w:sz w:val="26"/>
          <w:szCs w:val="26"/>
          <w:lang w:eastAsia="en-US"/>
        </w:rPr>
        <w:lastRenderedPageBreak/>
        <w:t>bien influye más en los jóvenes por la incidencia desproporcionadamente elevada de contratos temporales en el grupo de 15 a 24 años. Las grandes diferencias en el nivel de protección de los contratos temporales y permanentes (“dualidad del mercado laboral”) pueden hacer que los trabajadores jóvenes queden encasillados de manera permanente en una clase marginal y hacer que las empresas no estén dispuestas a invertir lo necesario en su capital humano.</w:t>
      </w:r>
    </w:p>
    <w:p w14:paraId="1C6A9919"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Una forma de abordar este problema es conjugar los contratos de trabajo temporales con programas de capacitación impulsados por cada sector. Un mejor sistema de capacitación profesional beneficiaría especialmente a los trabajadores jóvenes. En países vulnerables de la zona del euro, solo uno de cada cuatro jóvenes trabajadores con contrato de trabajo temporal participa en programas de capacitación profesional o de aprendizaje, muy comunes en países como Austria y Alemania, donde estos programas son prácticamente la norma. Varios países europeos han recurrido a dichos sistemas de capacitación profesional para evitar que los trabajadores queden marginados, y para prepararlos para el trabajo. </w:t>
      </w:r>
    </w:p>
    <w:p w14:paraId="40801D10"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También pueden ser útiles las políticas activas del mercado laboral orientadas a los trabajadores jóvenes. Se trata de programas que intervienen en los mercados para reducir el desempleo, si bien actualmente en su mayoría no van dirigidos a los jóvenes. Los programas deberían adaptarse al contexto institucional, económico y social de cada país. Asimismo, el éxito de tales programas no puede garantizarse, a menos que se diseñen y apliquen correctamente. El estudio del FMI recomienda prestar mayor atención a la educación y la capacitación práctica en el trabajo con el objetivo de mejorar las competencias ocupacionales.</w:t>
      </w:r>
    </w:p>
    <w:p w14:paraId="0DE7C582" w14:textId="77777777" w:rsidR="008015AE" w:rsidRPr="008015AE" w:rsidRDefault="008015AE" w:rsidP="008015AE">
      <w:pPr>
        <w:spacing w:after="360" w:line="360" w:lineRule="auto"/>
        <w:ind w:right="-159"/>
        <w:jc w:val="both"/>
        <w:rPr>
          <w:rFonts w:eastAsia="Calibri"/>
          <w:b/>
          <w:sz w:val="26"/>
          <w:szCs w:val="26"/>
          <w:lang w:eastAsia="en-US"/>
        </w:rPr>
      </w:pPr>
      <w:r w:rsidRPr="008015AE">
        <w:rPr>
          <w:rFonts w:eastAsia="Calibri"/>
          <w:b/>
          <w:sz w:val="26"/>
          <w:szCs w:val="26"/>
          <w:lang w:eastAsia="en-US"/>
        </w:rPr>
        <w:t>El largo camino hacia el pleno empleo</w:t>
      </w:r>
    </w:p>
    <w:p w14:paraId="0F90C5C6" w14:textId="77777777"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El elevado desempleo actual en la zona del euro es consecuencia tanto de las repercusiones económicas de la crisis financiera mundial como de las rigideces del </w:t>
      </w:r>
      <w:r w:rsidRPr="008015AE">
        <w:rPr>
          <w:rFonts w:eastAsia="Calibri"/>
          <w:sz w:val="26"/>
          <w:szCs w:val="26"/>
          <w:lang w:eastAsia="en-US"/>
        </w:rPr>
        <w:lastRenderedPageBreak/>
        <w:t xml:space="preserve">mercado de trabajo presentes en muchos países antes de la crisis. Sería beneficioso para todos los trabajadores que las políticas se centraran en reparar la débil economía y corregir el mal funcionamiento del mercado laboral. </w:t>
      </w:r>
    </w:p>
    <w:p w14:paraId="40000396" w14:textId="36496A40" w:rsidR="008015AE" w:rsidRPr="008015AE" w:rsidRDefault="008015AE" w:rsidP="008015AE">
      <w:pPr>
        <w:spacing w:after="360" w:line="360" w:lineRule="auto"/>
        <w:ind w:right="-159"/>
        <w:jc w:val="both"/>
        <w:rPr>
          <w:rFonts w:eastAsia="Calibri"/>
          <w:sz w:val="26"/>
          <w:szCs w:val="26"/>
          <w:lang w:eastAsia="en-US"/>
        </w:rPr>
      </w:pPr>
      <w:r w:rsidRPr="008015AE">
        <w:rPr>
          <w:rFonts w:eastAsia="Calibri"/>
          <w:sz w:val="26"/>
          <w:szCs w:val="26"/>
          <w:lang w:eastAsia="en-US"/>
        </w:rPr>
        <w:t xml:space="preserve">La máxima prioridad de las autoridades debería ser reactivar el crecimiento mediante una combinación de políticas monetarias favorables, una mayor inversión pública de los países con margen suficiente en sus presupuestos, y medidas que contribuyan a reactivar el crédito bancario. Sin un crecimiento sólido será difícil reducir sustancialmente el desempleo. También es importante impulsar reformas esenciales que faciliten la contratación para las empresas, que garanticen la igualdad de condiciones para todos los trabajadores y que les permitan a </w:t>
      </w:r>
      <w:r w:rsidR="00E50BF7">
        <w:rPr>
          <w:rFonts w:eastAsia="Calibri"/>
          <w:sz w:val="26"/>
          <w:szCs w:val="26"/>
          <w:lang w:eastAsia="en-US"/>
        </w:rPr>
        <w:t>é</w:t>
      </w:r>
      <w:r w:rsidRPr="008015AE">
        <w:rPr>
          <w:rFonts w:eastAsia="Calibri"/>
          <w:sz w:val="26"/>
          <w:szCs w:val="26"/>
          <w:lang w:eastAsia="en-US"/>
        </w:rPr>
        <w:t>stos conservar y mejorar sus competencias entre un trabajo y otro.</w:t>
      </w:r>
    </w:p>
    <w:p w14:paraId="5B967658" w14:textId="77777777" w:rsidR="008015AE" w:rsidRPr="008015AE" w:rsidRDefault="008015AE" w:rsidP="008015AE">
      <w:pPr>
        <w:ind w:right="-159"/>
        <w:jc w:val="both"/>
        <w:rPr>
          <w:rFonts w:eastAsia="Calibri"/>
          <w:b/>
          <w:sz w:val="20"/>
          <w:szCs w:val="26"/>
          <w:lang w:eastAsia="en-US"/>
        </w:rPr>
      </w:pPr>
      <w:r w:rsidRPr="008015AE">
        <w:rPr>
          <w:rFonts w:eastAsia="Calibri"/>
          <w:b/>
          <w:sz w:val="20"/>
          <w:szCs w:val="26"/>
          <w:lang w:eastAsia="en-US"/>
        </w:rPr>
        <w:t>Fuente de información:</w:t>
      </w:r>
    </w:p>
    <w:p w14:paraId="3646FA8A" w14:textId="77777777" w:rsidR="008015AE" w:rsidRPr="00E50BF7" w:rsidRDefault="00B9483D" w:rsidP="00E50BF7">
      <w:pPr>
        <w:spacing w:after="720"/>
        <w:ind w:right="-159"/>
        <w:jc w:val="both"/>
        <w:rPr>
          <w:rFonts w:eastAsia="Calibri"/>
          <w:color w:val="0000FF"/>
          <w:sz w:val="20"/>
          <w:szCs w:val="20"/>
          <w:lang w:eastAsia="en-US"/>
        </w:rPr>
      </w:pPr>
      <w:hyperlink r:id="rId20" w:history="1">
        <w:r w:rsidR="008015AE" w:rsidRPr="00E50BF7">
          <w:rPr>
            <w:rFonts w:eastAsia="Calibri"/>
            <w:color w:val="0000FF"/>
            <w:sz w:val="20"/>
            <w:szCs w:val="20"/>
            <w:u w:val="single"/>
            <w:lang w:eastAsia="en-US"/>
          </w:rPr>
          <w:t>http://www.imf.org/external/Pubs/FT/fandd/spa/2015/03/pdf/banerji.pdf</w:t>
        </w:r>
      </w:hyperlink>
      <w:r w:rsidR="008015AE" w:rsidRPr="00E50BF7">
        <w:rPr>
          <w:rFonts w:eastAsia="Calibri"/>
          <w:color w:val="0000FF"/>
          <w:sz w:val="20"/>
          <w:szCs w:val="20"/>
          <w:lang w:eastAsia="en-US"/>
        </w:rPr>
        <w:t xml:space="preserve"> </w:t>
      </w:r>
    </w:p>
    <w:p w14:paraId="503A23EC" w14:textId="335A6104" w:rsidR="002A1806" w:rsidRPr="002A1806" w:rsidRDefault="002A1806" w:rsidP="002A1806">
      <w:pPr>
        <w:spacing w:after="360" w:line="360" w:lineRule="auto"/>
        <w:ind w:right="-159"/>
        <w:jc w:val="both"/>
        <w:rPr>
          <w:rFonts w:eastAsia="Calibri"/>
          <w:b/>
          <w:sz w:val="26"/>
          <w:szCs w:val="26"/>
          <w:lang w:eastAsia="en-US"/>
        </w:rPr>
      </w:pPr>
      <w:r w:rsidRPr="002A1806">
        <w:rPr>
          <w:rFonts w:eastAsia="Calibri"/>
          <w:b/>
          <w:sz w:val="26"/>
          <w:szCs w:val="26"/>
          <w:lang w:eastAsia="en-US"/>
        </w:rPr>
        <w:t xml:space="preserve">Resumen sobre la Evolución </w:t>
      </w:r>
      <w:r>
        <w:rPr>
          <w:rFonts w:eastAsia="Calibri"/>
          <w:b/>
          <w:sz w:val="26"/>
          <w:szCs w:val="26"/>
          <w:lang w:eastAsia="en-US"/>
        </w:rPr>
        <w:t>E</w:t>
      </w:r>
      <w:r w:rsidRPr="002A1806">
        <w:rPr>
          <w:rFonts w:eastAsia="Calibri"/>
          <w:b/>
          <w:sz w:val="26"/>
          <w:szCs w:val="26"/>
          <w:lang w:eastAsia="en-US"/>
        </w:rPr>
        <w:t xml:space="preserve">conómica y </w:t>
      </w:r>
      <w:r>
        <w:rPr>
          <w:rFonts w:eastAsia="Calibri"/>
          <w:b/>
          <w:sz w:val="26"/>
          <w:szCs w:val="26"/>
          <w:lang w:eastAsia="en-US"/>
        </w:rPr>
        <w:t>M</w:t>
      </w:r>
      <w:r w:rsidRPr="002A1806">
        <w:rPr>
          <w:rFonts w:eastAsia="Calibri"/>
          <w:b/>
          <w:sz w:val="26"/>
          <w:szCs w:val="26"/>
          <w:lang w:eastAsia="en-US"/>
        </w:rPr>
        <w:t>onetaria (BCE)</w:t>
      </w:r>
    </w:p>
    <w:p w14:paraId="618105B9" w14:textId="5A3E04D9" w:rsidR="002A1806" w:rsidRPr="002A1806" w:rsidRDefault="002A1806" w:rsidP="002A1806">
      <w:pPr>
        <w:spacing w:after="360" w:line="360" w:lineRule="auto"/>
        <w:ind w:right="-159"/>
        <w:jc w:val="both"/>
        <w:rPr>
          <w:rFonts w:ascii="Calibri" w:eastAsia="Calibri" w:hAnsi="Calibri"/>
          <w:sz w:val="26"/>
          <w:szCs w:val="26"/>
          <w:lang w:eastAsia="en-US"/>
        </w:rPr>
      </w:pPr>
      <w:r w:rsidRPr="002A1806">
        <w:rPr>
          <w:rFonts w:eastAsia="Calibri"/>
          <w:sz w:val="26"/>
          <w:szCs w:val="26"/>
          <w:lang w:eastAsia="en-US"/>
        </w:rPr>
        <w:t>El 19 de marzo de 2015, el Banco Central Europeo (BCE) publicó en Fráncfort, Alemania, su Boletín Económico. A continuación se presenta</w:t>
      </w:r>
      <w:r>
        <w:rPr>
          <w:rFonts w:eastAsia="Calibri"/>
          <w:sz w:val="26"/>
          <w:szCs w:val="26"/>
          <w:lang w:eastAsia="en-US"/>
        </w:rPr>
        <w:t xml:space="preserve"> el </w:t>
      </w:r>
      <w:r w:rsidRPr="002A1806">
        <w:rPr>
          <w:rFonts w:eastAsia="Calibri"/>
          <w:sz w:val="26"/>
          <w:szCs w:val="26"/>
          <w:lang w:eastAsia="en-US"/>
        </w:rPr>
        <w:t xml:space="preserve">Resumen sobre la Evolución </w:t>
      </w:r>
      <w:r>
        <w:rPr>
          <w:rFonts w:eastAsia="Calibri"/>
          <w:sz w:val="26"/>
          <w:szCs w:val="26"/>
          <w:lang w:eastAsia="en-US"/>
        </w:rPr>
        <w:t>E</w:t>
      </w:r>
      <w:r w:rsidRPr="002A1806">
        <w:rPr>
          <w:rFonts w:eastAsia="Calibri"/>
          <w:sz w:val="26"/>
          <w:szCs w:val="26"/>
          <w:lang w:eastAsia="en-US"/>
        </w:rPr>
        <w:t xml:space="preserve">conómica y </w:t>
      </w:r>
      <w:r>
        <w:rPr>
          <w:rFonts w:eastAsia="Calibri"/>
          <w:sz w:val="26"/>
          <w:szCs w:val="26"/>
          <w:lang w:eastAsia="en-US"/>
        </w:rPr>
        <w:t>M</w:t>
      </w:r>
      <w:r w:rsidRPr="002A1806">
        <w:rPr>
          <w:rFonts w:eastAsia="Calibri"/>
          <w:sz w:val="26"/>
          <w:szCs w:val="26"/>
          <w:lang w:eastAsia="en-US"/>
        </w:rPr>
        <w:t>onetaria.</w:t>
      </w:r>
    </w:p>
    <w:p w14:paraId="2DC5871D"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Con el fin de cumplir el mandato del BCE de mantener la estabilidad de precios, el Consejo de Gobierno ha adoptado una serie de medidas de política monetaria destinadas a proporcionar un grado suficiente de acomodación de la política monetaria. Tras las iniciativas adoptadas por el BCE en este ámbito entre junio y septiembre de 2014, que comprendieron recortes adicionales de las tasas de interés, la introducción de las operaciones de financiamiento a plazo más largo con objetivo específico de </w:t>
      </w:r>
      <w:r w:rsidRPr="002A1806">
        <w:rPr>
          <w:rFonts w:eastAsia="Calibri"/>
          <w:i/>
          <w:sz w:val="26"/>
          <w:szCs w:val="26"/>
          <w:lang w:eastAsia="en-US"/>
        </w:rPr>
        <w:t>targeted longer-term refinancing operations</w:t>
      </w:r>
      <w:r w:rsidRPr="002A1806">
        <w:rPr>
          <w:rFonts w:eastAsia="Calibri"/>
          <w:sz w:val="26"/>
          <w:szCs w:val="26"/>
          <w:lang w:eastAsia="en-US"/>
        </w:rPr>
        <w:t xml:space="preserve"> (TLTRO) y compras de determinados activos del sector privado (en el marco del programa de compras de bonos de titulización de activos </w:t>
      </w:r>
      <w:r w:rsidRPr="002A1806">
        <w:rPr>
          <w:rFonts w:eastAsia="Calibri"/>
          <w:sz w:val="26"/>
          <w:szCs w:val="26"/>
          <w:lang w:eastAsia="en-US"/>
        </w:rPr>
        <w:lastRenderedPageBreak/>
        <w:t>ABSPP y del tercer programa de adquisiciones de bonos garantizados CBPP3, en enero de 2015, el Consejo de Gobierno decidió ampliar su programa de compra de activos para incluir, a partir de marzo, valores con grado de inversión denominados en euros emitidos por administraciones centrales y agencias de la zona del euro e instituciones europeas. Las compras mensuales de valores de los sectores público y privado ascenderán a un total de 60 mil millones de euros. Se prevé que estas adquisiciones continúen al menos hasta finales de septiembre de 2016 y en todo caso, hasta que el Consejo de Gobierno observe un ajuste sostenido de la trayectoria de inflación que sea compatible con su objetivo de mantener las tasas de inflación en niveles inferiores, aunque próximos, al 2% a mediano plazo.</w:t>
      </w:r>
    </w:p>
    <w:p w14:paraId="0DDD3583"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El programa de compra de activos ya ha producido una relajación sustancial de las condiciones financieras generales. En diciembre de 2014 y en la mayor parte de enero de 2015, la evolución de los mercados financieros estuvo determinada, en gran medida, por las expectativas de los mercados en relación con el anuncio del programa de compra de activos. En este contexto, los rendimientos de los bonos de la zona del euro se redujeron para los distintos instrumentos, vencimientos y emisores y, en muchos casos, registraron nuevos mínimos históricos. Dado que la disminución del rendimiento de la deuda soberana a largo plazo con calificación AAA de la zona del euro coincidió con el aumento del rendimiento de los bonos equivalentes en Estados Unidos de Norteamérica, la divergencia entre el rendimiento de la deuda pública de la zona del euro y el de la deuda pública de Estados Unidos de Norteamérica continuó. Los rendimientos de los bonos soberanos de la zona del euro con categorías de calificación más bajas también cayeron, pero mostraron mayor volatilidad en un entorno de incertidumbre sobre la continuidad del acceso de Grecia a la asistencia financiera. Los diferenciales de los valores de renta fija privada con calificación de grado de inversión continuaron estrechándose, mientras que los diferenciales de los bonos de titulización de activos se mantuvieron prácticamente estables. Tras el anuncio del programa de compra de activos, los rendimientos de los bonos de la zona del euro registraron una </w:t>
      </w:r>
      <w:r w:rsidRPr="002A1806">
        <w:rPr>
          <w:rFonts w:eastAsia="Calibri"/>
          <w:sz w:val="26"/>
          <w:szCs w:val="26"/>
          <w:lang w:eastAsia="en-US"/>
        </w:rPr>
        <w:lastRenderedPageBreak/>
        <w:t>caída adicional, mientras que las cotizaciones de las acciones de la zona experimentaron un avance considerable. El tipo de cambio del euro se ha debilitado significativamente en los últimos meses.</w:t>
      </w:r>
    </w:p>
    <w:p w14:paraId="7A5A8B1F" w14:textId="3DB67C1A"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La evolución favorable de los mercados financieros se ha traducido en una reducción de los costos de financiamiento de las entidades de crédito, que se ha transmitido gradualmente al costo de financiamiento externa del sector privado. Las medidas de política monetaria del BCE han originado una mejora de las condiciones de financiamiento de las entidades de crédito, con una disminución del rendimiento de los bonos bancarios no garantizados hasta mínimos históricos en el cuarto trimestre de 2014. Esta mejora se ha transmitido gradualmente a las tasas de interés de los préstamos bancarios concedidos a los hogares y a las sociedades no financieras, que en el tercer y cuarto trimestre de 2014 cayeron sustancialmente. La reducción de los costos de financiamiento bancario y de las tasas de interés del crédito bancario en la segunda mitad de 2014 puede atribuirse, en parte, a las TLTRO, que están destinadas a mejorar el acceso de las entidades de crédito a la liquidez a más largo plazo y a estimular el crecimiento del crédito en la economía real. Las TLTRO deberían haber contribuido también a estrechar los márgenes de los préstamos concedidos a los hogares y a las sociedades no financieras de la zona del euro. Con el fin de respaldar la eficacia de las TLTRO en su favorecimiento del crédito al sector privado, el Consejo de Gobierno decidió, en su reunión de enero, que la tasa de interés aplicable a las TLTRO pendientes sería igual a las tasas de interés de las operaciones principales de financiamiento del Eurosistema, eliminándose así el diferencial de 10 puntos básicos con respecto a las tasas de las OPF que se aplicó a las dos primeras TLTRO. Parece que las medidas de política monetaria del BCE han propiciado asimismo un estrechamiento de la dispersión de los costos de financiamiento entre países, especialmente en el caso de las sociedades no financieras, aunque las condiciones del crédito siguen siendo heterogéneas entre los distintos países. El costo nominal del financiamiento extern</w:t>
      </w:r>
      <w:r w:rsidR="00E50BF7">
        <w:rPr>
          <w:rFonts w:eastAsia="Calibri"/>
          <w:sz w:val="26"/>
          <w:szCs w:val="26"/>
          <w:lang w:eastAsia="en-US"/>
        </w:rPr>
        <w:t>o</w:t>
      </w:r>
      <w:r w:rsidRPr="002A1806">
        <w:rPr>
          <w:rFonts w:eastAsia="Calibri"/>
          <w:sz w:val="26"/>
          <w:szCs w:val="26"/>
          <w:lang w:eastAsia="en-US"/>
        </w:rPr>
        <w:t xml:space="preserve"> no bancari</w:t>
      </w:r>
      <w:r w:rsidR="00E50BF7">
        <w:rPr>
          <w:rFonts w:eastAsia="Calibri"/>
          <w:sz w:val="26"/>
          <w:szCs w:val="26"/>
          <w:lang w:eastAsia="en-US"/>
        </w:rPr>
        <w:t>o</w:t>
      </w:r>
      <w:r w:rsidRPr="002A1806">
        <w:rPr>
          <w:rFonts w:eastAsia="Calibri"/>
          <w:sz w:val="26"/>
          <w:szCs w:val="26"/>
          <w:lang w:eastAsia="en-US"/>
        </w:rPr>
        <w:t xml:space="preserve"> de las sociedades no financieras de la zona del euro continuó descendiendo en el cuarto </w:t>
      </w:r>
      <w:r w:rsidRPr="002A1806">
        <w:rPr>
          <w:rFonts w:eastAsia="Calibri"/>
          <w:sz w:val="26"/>
          <w:szCs w:val="26"/>
          <w:lang w:eastAsia="en-US"/>
        </w:rPr>
        <w:lastRenderedPageBreak/>
        <w:t>trimestre de 2014 y en los dos primeros meses de 2015, como consecuencia de la caída adicional del cost</w:t>
      </w:r>
      <w:r w:rsidR="00E50BF7">
        <w:rPr>
          <w:rFonts w:eastAsia="Calibri"/>
          <w:sz w:val="26"/>
          <w:szCs w:val="26"/>
          <w:lang w:eastAsia="en-US"/>
        </w:rPr>
        <w:t>o</w:t>
      </w:r>
      <w:r w:rsidR="00A13F16">
        <w:rPr>
          <w:rFonts w:eastAsia="Calibri"/>
          <w:sz w:val="26"/>
          <w:szCs w:val="26"/>
          <w:lang w:eastAsia="en-US"/>
        </w:rPr>
        <w:t xml:space="preserve"> </w:t>
      </w:r>
      <w:r w:rsidRPr="002A1806">
        <w:rPr>
          <w:rFonts w:eastAsia="Calibri"/>
          <w:sz w:val="26"/>
          <w:szCs w:val="26"/>
          <w:lang w:eastAsia="en-US"/>
        </w:rPr>
        <w:t>de los valores de renta fija y del cost</w:t>
      </w:r>
      <w:r w:rsidR="00E50BF7">
        <w:rPr>
          <w:rFonts w:eastAsia="Calibri"/>
          <w:sz w:val="26"/>
          <w:szCs w:val="26"/>
          <w:lang w:eastAsia="en-US"/>
        </w:rPr>
        <w:t>o</w:t>
      </w:r>
      <w:r w:rsidRPr="002A1806">
        <w:rPr>
          <w:rFonts w:eastAsia="Calibri"/>
          <w:sz w:val="26"/>
          <w:szCs w:val="26"/>
          <w:lang w:eastAsia="en-US"/>
        </w:rPr>
        <w:t xml:space="preserve"> de las acciones.</w:t>
      </w:r>
    </w:p>
    <w:p w14:paraId="7E982EBA"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Los datos recientes también indican un afianzamiento del crecimiento monetario y crediticio. El crecimiento anual del agregado monetario amplio M3 sigue estando respaldado por sus componentes más líquidos, como muestra el sólido crecimiento del agregado monetario estrecho M1. El crédito bancario al sector privado ha seguido recuperándose, lo que corrobora que se produjo un giro en la dinámica crediticia a principios de 2014. En concreto, la contracción de los préstamos concedidos a las sociedades no financieras continuó registrando una moderación en los últimos meses, mientras que el crecimiento de los préstamos a hogares se estabilizó en niveles positivos, Además, la encuesta sobre préstamos bancarios en la zona del euro de enero de 2015 confirmó la valoración de que las restricciones en la oferta de crédito estaban disminuyendo progresivamente y que la demanda de crédito se estaba recuperando. En conjunto, la evolución reciente sugiere que las medidas de política monetaria del BCE están contribuyendo a relajar las condiciones de concesión del crédito bancario y, con carácter más general, a restablecer el correcto funcionamiento del mecanismo de transmisión de la política monetaria.</w:t>
      </w:r>
    </w:p>
    <w:p w14:paraId="2F458930"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La considerable relajación adicional de la orientación de la política monetaria del BCE respalda y refuerza la aparición de aspectos más favorables en la actividad económica de la zona del euro. La recuperación económica se afianzó gradualmente en la segunda mitad de 2014. El PIB real creció 0.2%, en tasa trimestral, en el tercer trimestre del año y según la estimación preliminar de Eurostat, 0.3% en el cuarto trimestre, un avance algo más elevado de lo previsto anteriormente. Los indicadores de corto plazo y los resultados de las encuestas apuntan a una nueva mejora de la actividad económica a principios de 2015. Parece que la actividad de la zona del euro se ha visto respaldada por la significativa caída de los precios del petróleo desde julio de 2014. El entorno de mayor confianza de las empresas y de los consumidores favorecerá la transmisión </w:t>
      </w:r>
      <w:r w:rsidRPr="002A1806">
        <w:rPr>
          <w:rFonts w:eastAsia="Calibri"/>
          <w:sz w:val="26"/>
          <w:szCs w:val="26"/>
          <w:lang w:eastAsia="en-US"/>
        </w:rPr>
        <w:lastRenderedPageBreak/>
        <w:t>eficaz de las medidas de política monetaria a la economía real, lo que contribuirá a mejorar aún más las perspectivas de crecimiento económico y a reducir la holgura de la economía.</w:t>
      </w:r>
    </w:p>
    <w:p w14:paraId="19ACB468"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Se espera que la recuperación económica vaya fortaleciéndose y ampliándose gradualmente. El crecimiento de la actividad debería aumentar como consecuencia de las recientes mejoras de la confianza de las empresas y de los consumidores, la acusada caída de los precios del petróleo, el debilitamiento del tipo de cambio efectivo del euro y el impacto de las recientes medidas de política monetaria del BCE. La orientación acomodaticia de la política monetaria —reforzada significativamente por el programa de compra de activos— respaldará previsiblemente el crecimiento del PIB real tanto a corto como a más largo plazo. Además, la economía real debería beneficiarse gradualmente de los avances en las reformas estructurales y en la consolidación fiscal. Asimismo, las exportaciones deberían verse favorecidas por las ganancias de competitividad-precio y por la recuperación mundial.</w:t>
      </w:r>
    </w:p>
    <w:p w14:paraId="1191B594"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Al mismo tiempo, persisten diversos obstáculos para que la actividad repunte con mayor vigor. Algunos de estos obstáculos son la continuación de los ajustes de los balances en varios sectores y el ritmo bastante lento de las reformas estructurales. Además, el crecimiento de la zona del euro se está viendo frenado por el mantenimiento de la incertidumbre relacionada con la crisis de la deuda soberana europea y con factores geopolíticos, pese a que esta incertidumbre es cada vez menor.</w:t>
      </w:r>
    </w:p>
    <w:p w14:paraId="1DEFA04C" w14:textId="28A1D5AC"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Las proyecciones macroeconómicas de marzo de 2015 elaboradas por los expertos del BCE para la zona del euro, que incorporan el impacto estimado de las medidas de política monetaria convencionales y no convencionales adoptadas por el Consejo de Gobierno, prevén un crecimiento anual del PIB real del 1.5% en 2015, el 1.9% en 2016 y el 2.1% en 2017. En comparación con las proyecciones macroeconómicas de diciembre de 2014 de los expertos del Eurosistema, las previsiones de crecimiento del </w:t>
      </w:r>
      <w:r w:rsidRPr="002A1806">
        <w:rPr>
          <w:rFonts w:eastAsia="Calibri"/>
          <w:sz w:val="26"/>
          <w:szCs w:val="26"/>
          <w:lang w:eastAsia="en-US"/>
        </w:rPr>
        <w:lastRenderedPageBreak/>
        <w:t>PIB real para 2015 y 2016 se han revisado al alza, como reflejo del impacto favorable del descenso de los precios del petróleo, del debilitamiento del tipo de cambio efectivo del euro y de los efectos de las medidas de política monetaria adoptadas recientemente. En la valoración del Consejo de Gobierno, los riesgos en torno a las perspectivas de actividad económica siguen siendo a la baja, aunque han disminuido tras las recientes decisiones del Consejo de Gobierno y la caída de los precios del petróleo.</w:t>
      </w:r>
    </w:p>
    <w:p w14:paraId="0CE53990" w14:textId="741C6E59"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Teniendo en cuenta la información disponible, se prevé que la inflación se mantenga en niveles muy bajos o negativos durante los próximos meses. Los precios del petróleo han sido un factor determinante en la </w:t>
      </w:r>
      <w:r w:rsidR="00E50BF7">
        <w:rPr>
          <w:rFonts w:eastAsia="Calibri"/>
          <w:sz w:val="26"/>
          <w:szCs w:val="26"/>
          <w:lang w:eastAsia="en-US"/>
        </w:rPr>
        <w:t>caída</w:t>
      </w:r>
      <w:r w:rsidRPr="002A1806">
        <w:rPr>
          <w:rFonts w:eastAsia="Calibri"/>
          <w:sz w:val="26"/>
          <w:szCs w:val="26"/>
          <w:lang w:eastAsia="en-US"/>
        </w:rPr>
        <w:t xml:space="preserve"> de la inflación medida por el Índice Armonizado de Precios al Consumidor (IAPC) a niveles negativos en los últimos meses. Según la estimación preliminar de Eurostat, la inflación anual medida por el IAPC se situó en el –0.3% en febrero de 2015 (frente al -0.6% de enero). Al mismo tiempo, la inflación medida por el IAPC, excluidos la energía y los alimentos, continuó por una senda básicamente estable, manteniéndose en 0.6% en febrero.</w:t>
      </w:r>
    </w:p>
    <w:p w14:paraId="50DDF465"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Se prevé que las tasas de inflación aumenten de forma gradual más avanzado el año 2015. En primer lugar, a medida que los anteriores descensos de los precios de la energía vayan eliminándose progresivamente de la tasa de variación anual, y siempre que los precios del petróleo aumenten en el horizonte de las proyecciones en línea con la curva ascendente de los futuros sobre el petróleo, el impacto negativo de los precios de la energía sobre el IAPC general debería disiparse en 2015 y los precios de la energía deberían elevar la inflación general en 2016 y 2017. El repunte previsto de la inflación general está determinado, en gran medida, por este giro en los precios de la energía. Además, el incremento de la inflación general debería ser consecuencia del afianzamiento de la recuperación económica, favorecida por las recientes decisiones de política monetaria. Este afianzamiento debería traducirse en un estrechamiento significativo de la brecha de producción negativa y, por tanto, en un crecimiento más fuerte de los márgenes y de la remuneración por asalariado. El avance de la inflación </w:t>
      </w:r>
      <w:r w:rsidRPr="002A1806">
        <w:rPr>
          <w:rFonts w:eastAsia="Calibri"/>
          <w:sz w:val="26"/>
          <w:szCs w:val="26"/>
          <w:lang w:eastAsia="en-US"/>
        </w:rPr>
        <w:lastRenderedPageBreak/>
        <w:t>también debería sustentarse en el aumento de los precios de las materias primas no energéticas y en los efectos retardados del descenso del tipo de cambio del euro.</w:t>
      </w:r>
    </w:p>
    <w:p w14:paraId="6DF5B189"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Las proyecciones macroeconómicas de marzo de 2015 elaboradas por los expertos del BCE para la zona del euro sitúan la inflación anual medida por el IAPC en un 0.0% en 2015, un 1.5% en 2016 y un 1.8% en 2017. En comparación con las proyecciones macroeconómicas de los expertos del Eurosistema de diciembre de 2014, la previsión de la tasa de inflación en 2015 se ha revisado a la baja, principalmente como consecuencia de la caída de los precios del petróleo, mientras que la proyección de la inflación para 2016 se ha revisado al alza, debido, en parte, al impacto esperado de las medidas de política monetaria. </w:t>
      </w:r>
    </w:p>
    <w:p w14:paraId="05A8D5BA"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Las proyecciones macroeconómicas de marzo de 2015 elaboradas por los expertos del BCE dependen de la aplicación plena de las medidas de política monetaria del BCE. El Consejo de Gobierno seguirá realizando un atento seguimiento de los riesgos para las perspectivas de evolución de los precios a mediano plazo y prestará especial atención a la transmisión de las medidas de política monetaria, a los acontecimientos geopolíticos y a la evolución del tipo de cambio y de los precios de la energía.</w:t>
      </w:r>
    </w:p>
    <w:p w14:paraId="0E4A2F1F" w14:textId="77777777" w:rsidR="000B6ABA"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El actual foco de atención de la política monetaria se centra en la aplicación de las medidas decididas por el Consejo de Gobierno en enero de 2015. Sobre la base de su análisis económico y monetario periódico, y en consonancia con sus indicaciones sobre la orientación futura de la política monetaria (</w:t>
      </w:r>
      <w:r w:rsidRPr="002A1806">
        <w:rPr>
          <w:rFonts w:eastAsia="Calibri"/>
          <w:i/>
          <w:sz w:val="26"/>
          <w:szCs w:val="26"/>
          <w:lang w:eastAsia="en-US"/>
        </w:rPr>
        <w:t>forward guidance</w:t>
      </w:r>
      <w:r w:rsidRPr="002A1806">
        <w:rPr>
          <w:rFonts w:eastAsia="Calibri"/>
          <w:sz w:val="26"/>
          <w:szCs w:val="26"/>
          <w:lang w:eastAsia="en-US"/>
        </w:rPr>
        <w:t xml:space="preserve">), en su reunión del 5 de marzo de 2015, el Consejo de Gobierno decidió mantener sin variación las tasas de interés oficiales del BCE. </w:t>
      </w:r>
    </w:p>
    <w:p w14:paraId="139D0AA2" w14:textId="77777777" w:rsidR="000B6ABA" w:rsidRDefault="000B6ABA" w:rsidP="002A1806">
      <w:pPr>
        <w:spacing w:after="360" w:line="360" w:lineRule="auto"/>
        <w:ind w:right="-159"/>
        <w:jc w:val="both"/>
        <w:rPr>
          <w:rFonts w:eastAsia="Calibri"/>
          <w:sz w:val="26"/>
          <w:szCs w:val="26"/>
          <w:lang w:eastAsia="en-US"/>
        </w:rPr>
      </w:pPr>
    </w:p>
    <w:p w14:paraId="391BE4E9" w14:textId="4EFE7A0C"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lastRenderedPageBreak/>
        <w:t>Asimismo, facilitó información adicional sobre aspectos relacionados con la aplicación del programa de compra de activos. Las adquisiciones de valores del sector público en el mercado secundario con arreglo a este programa comenzaron el 9 de marzo de 2015.</w:t>
      </w:r>
    </w:p>
    <w:p w14:paraId="7E299C27" w14:textId="77777777" w:rsidR="002A1806" w:rsidRPr="002A1806" w:rsidRDefault="002A1806" w:rsidP="002A1806">
      <w:pPr>
        <w:jc w:val="both"/>
        <w:rPr>
          <w:rFonts w:eastAsia="Calibri"/>
          <w:b/>
          <w:sz w:val="20"/>
          <w:szCs w:val="20"/>
          <w:lang w:eastAsia="en-US"/>
        </w:rPr>
      </w:pPr>
      <w:r w:rsidRPr="002A1806">
        <w:rPr>
          <w:rFonts w:eastAsia="Calibri"/>
          <w:b/>
          <w:sz w:val="20"/>
          <w:szCs w:val="20"/>
          <w:lang w:eastAsia="en-US"/>
        </w:rPr>
        <w:t>Fuente de información:</w:t>
      </w:r>
    </w:p>
    <w:p w14:paraId="1D587862" w14:textId="77777777" w:rsidR="002A1806" w:rsidRPr="00E50BF7" w:rsidRDefault="00B9483D" w:rsidP="00E50BF7">
      <w:pPr>
        <w:spacing w:after="720"/>
        <w:rPr>
          <w:rFonts w:eastAsia="Calibri"/>
          <w:color w:val="0000FF"/>
          <w:sz w:val="20"/>
          <w:szCs w:val="20"/>
          <w:u w:val="single"/>
          <w:lang w:eastAsia="en-US"/>
        </w:rPr>
      </w:pPr>
      <w:hyperlink r:id="rId21" w:history="1">
        <w:r w:rsidR="002A1806" w:rsidRPr="00E50BF7">
          <w:rPr>
            <w:rFonts w:eastAsia="Calibri"/>
            <w:color w:val="0000FF"/>
            <w:sz w:val="20"/>
            <w:szCs w:val="20"/>
            <w:u w:val="single"/>
            <w:lang w:eastAsia="en-US"/>
          </w:rPr>
          <w:t>http://www.bde.es/f/webbde/SES/Secciones/Publicaciones/PublicacionesBCE/BoletinEconomicoBCE/02/Fich/bebce1502-1.pdf</w:t>
        </w:r>
      </w:hyperlink>
    </w:p>
    <w:p w14:paraId="43697392" w14:textId="77777777" w:rsidR="002A1806" w:rsidRPr="002A1806" w:rsidRDefault="002A1806" w:rsidP="002A1806">
      <w:pPr>
        <w:spacing w:after="360" w:line="360" w:lineRule="auto"/>
        <w:ind w:right="-159"/>
        <w:jc w:val="both"/>
        <w:rPr>
          <w:rFonts w:eastAsia="Calibri"/>
          <w:b/>
          <w:sz w:val="26"/>
          <w:szCs w:val="26"/>
          <w:lang w:eastAsia="en-US"/>
        </w:rPr>
      </w:pPr>
      <w:r w:rsidRPr="002A1806">
        <w:rPr>
          <w:rFonts w:eastAsia="Calibri"/>
          <w:b/>
          <w:sz w:val="26"/>
          <w:szCs w:val="26"/>
          <w:lang w:eastAsia="en-US"/>
        </w:rPr>
        <w:t xml:space="preserve">Evolución Económica y Monetaria (BCE) </w:t>
      </w:r>
    </w:p>
    <w:p w14:paraId="3F838E9E" w14:textId="12041F1D"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El 19 de marzo de 2015, el Banco Central Europeo (BCE) publicó en Fráncfort, Alemania, su Boletín Mensual sobre la Evolución Económica y Monetaria de la zona del euro. A continuación se presenta el artículo “Entorno Exterior de la Zona del Euro”.</w:t>
      </w:r>
    </w:p>
    <w:p w14:paraId="3503106D"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El crecimiento mundial se está recuperando gradualmente, aunque de forma dispar según las economías. Por una parte, se prevé que la significativa caída de los precios del petróleo estimule la actividad económica mundial, respaldada por las sólidas perspectivas de crecimiento en Estados Unidos de Norteamérica. Por otro lado, el deterioro de la situación en algunas economías emergentes está afectando a las perspectivas de crecimiento a nivel global. La inflación mundial se ha moderado en los últimos meses. Las tasas de inflación anual probablemente se mantendrán en niveles reducidos en el corto plazo, debido al descenso que han experimentado los precios del petróleo, y aumentarán de forma gradual más adelante, a medida que continúe la recuperación. Al mismo tiempo, se mantienen los riesgos a la baja para la actividad mundial.</w:t>
      </w:r>
    </w:p>
    <w:p w14:paraId="5199F4F2" w14:textId="4F36BEDA" w:rsidR="002A1806" w:rsidRPr="002A1806" w:rsidRDefault="002A1806" w:rsidP="002A1806">
      <w:pPr>
        <w:spacing w:after="360" w:line="360" w:lineRule="auto"/>
        <w:ind w:right="-159"/>
        <w:jc w:val="center"/>
        <w:rPr>
          <w:rFonts w:eastAsia="Calibri"/>
          <w:sz w:val="26"/>
          <w:szCs w:val="26"/>
          <w:lang w:eastAsia="en-US"/>
        </w:rPr>
      </w:pPr>
      <w:r w:rsidRPr="002A1806">
        <w:rPr>
          <w:rFonts w:eastAsia="Calibri"/>
          <w:sz w:val="26"/>
          <w:szCs w:val="26"/>
          <w:lang w:eastAsia="en-US"/>
        </w:rPr>
        <w:lastRenderedPageBreak/>
        <w:fldChar w:fldCharType="begin"/>
      </w:r>
      <w:r w:rsidRPr="002A1806">
        <w:rPr>
          <w:rFonts w:eastAsia="Calibri"/>
          <w:sz w:val="26"/>
          <w:szCs w:val="26"/>
          <w:lang w:eastAsia="en-US"/>
        </w:rPr>
        <w:instrText xml:space="preserve"> LINK PowerPoint.Slide.8 "D:\\2015\\MARZO 2014\\GRÁFICAS EN POWER POINT\\31.-GRÁFICAS DEL BCE INF. MARZO.pptx!419" "" \a \p </w:instrText>
      </w:r>
      <w:r w:rsidRPr="002A1806">
        <w:rPr>
          <w:rFonts w:eastAsia="Calibri"/>
          <w:sz w:val="26"/>
          <w:szCs w:val="26"/>
          <w:lang w:eastAsia="en-US"/>
        </w:rPr>
        <w:fldChar w:fldCharType="separate"/>
      </w:r>
      <w:r w:rsidRPr="002A1806">
        <w:rPr>
          <w:rFonts w:eastAsia="Calibri"/>
          <w:noProof/>
          <w:sz w:val="26"/>
          <w:szCs w:val="26"/>
          <w:lang w:eastAsia="es-MX"/>
        </w:rPr>
        <w:drawing>
          <wp:inline distT="0" distB="0" distL="0" distR="0" wp14:anchorId="3F06E8D2" wp14:editId="2D37C2BE">
            <wp:extent cx="3429000" cy="3286760"/>
            <wp:effectExtent l="0" t="0" r="0" b="8890"/>
            <wp:docPr id="1659" name="Imagen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1"/>
                    <pic:cNvPicPr>
                      <a:picLocks noChangeAspect="1" noChangeArrowheads="1"/>
                    </pic:cNvPicPr>
                  </pic:nvPicPr>
                  <pic:blipFill>
                    <a:blip r:embed="rId22" cstate="print">
                      <a:extLst>
                        <a:ext uri="{28A0092B-C50C-407E-A947-70E740481C1C}">
                          <a14:useLocalDpi xmlns:a14="http://schemas.microsoft.com/office/drawing/2010/main" val="0"/>
                        </a:ext>
                      </a:extLst>
                    </a:blip>
                    <a:srcRect l="12674" r="8914"/>
                    <a:stretch>
                      <a:fillRect/>
                    </a:stretch>
                  </pic:blipFill>
                  <pic:spPr bwMode="auto">
                    <a:xfrm>
                      <a:off x="0" y="0"/>
                      <a:ext cx="3429000" cy="3286760"/>
                    </a:xfrm>
                    <a:prstGeom prst="rect">
                      <a:avLst/>
                    </a:prstGeom>
                    <a:noFill/>
                    <a:ln>
                      <a:noFill/>
                    </a:ln>
                  </pic:spPr>
                </pic:pic>
              </a:graphicData>
            </a:graphic>
          </wp:inline>
        </w:drawing>
      </w:r>
      <w:r w:rsidRPr="002A1806">
        <w:rPr>
          <w:rFonts w:eastAsia="Calibri"/>
          <w:sz w:val="26"/>
          <w:szCs w:val="26"/>
          <w:lang w:eastAsia="en-US"/>
        </w:rPr>
        <w:fldChar w:fldCharType="end"/>
      </w:r>
    </w:p>
    <w:p w14:paraId="1A56CF78"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La economía mundial continúa por una senda de recuperación gradual. Tras el repunte del crecimiento mundial a mediados de 2014, los datos disponibles por países apuntan a una ligera moderación del crecimiento fuera de la zona del euro hacia finales del año. Las encuestas más reciente indican un ritmo de crecimiento estable a comienzos de 2015. El Índice PMI (</w:t>
      </w:r>
      <w:r w:rsidRPr="002A1806">
        <w:rPr>
          <w:rFonts w:eastAsia="Calibri"/>
          <w:i/>
          <w:sz w:val="26"/>
          <w:szCs w:val="26"/>
          <w:lang w:eastAsia="en-US"/>
        </w:rPr>
        <w:t>Purchasing Managers Index</w:t>
      </w:r>
      <w:r w:rsidRPr="002A1806">
        <w:rPr>
          <w:rFonts w:eastAsia="Calibri"/>
          <w:sz w:val="26"/>
          <w:szCs w:val="26"/>
          <w:lang w:eastAsia="en-US"/>
        </w:rPr>
        <w:t>) global compuesto de producción, excluida la zona del euro, se incrementó en febrero, aunque persisten las divergencias entre regiones.</w:t>
      </w:r>
    </w:p>
    <w:p w14:paraId="0F61E31F"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Se espera que los precios más bajos del petróleo estimulen la demanda mundial. Los precios del </w:t>
      </w:r>
      <w:r w:rsidRPr="002A1806">
        <w:rPr>
          <w:rFonts w:eastAsia="Calibri"/>
          <w:i/>
          <w:sz w:val="26"/>
          <w:szCs w:val="26"/>
          <w:lang w:eastAsia="en-US"/>
        </w:rPr>
        <w:t>Brent</w:t>
      </w:r>
      <w:r w:rsidRPr="002A1806">
        <w:rPr>
          <w:rFonts w:eastAsia="Calibri"/>
          <w:sz w:val="26"/>
          <w:szCs w:val="26"/>
          <w:lang w:eastAsia="en-US"/>
        </w:rPr>
        <w:t xml:space="preserve"> registraron una abrupta caída en diciembre y enero, si bien repuntaron ligeramente en febrero para situarse, el 4 de marzo de 2015, en 61 dólares estadounidenses el barril, casi la mitad del nivel registrado hace un año. </w:t>
      </w:r>
    </w:p>
    <w:p w14:paraId="3952DC67" w14:textId="5F45309A" w:rsidR="002A1806" w:rsidRPr="002A1806" w:rsidRDefault="002A1806" w:rsidP="002A1806">
      <w:pPr>
        <w:spacing w:after="360" w:line="360" w:lineRule="auto"/>
        <w:ind w:right="-159"/>
        <w:jc w:val="center"/>
        <w:rPr>
          <w:rFonts w:eastAsia="Calibri"/>
          <w:sz w:val="26"/>
          <w:szCs w:val="26"/>
          <w:lang w:eastAsia="en-US"/>
        </w:rPr>
      </w:pPr>
      <w:r w:rsidRPr="002A1806">
        <w:rPr>
          <w:rFonts w:eastAsia="Calibri"/>
          <w:sz w:val="26"/>
          <w:szCs w:val="26"/>
          <w:lang w:eastAsia="en-US"/>
        </w:rPr>
        <w:lastRenderedPageBreak/>
        <w:fldChar w:fldCharType="begin"/>
      </w:r>
      <w:r w:rsidRPr="002A1806">
        <w:rPr>
          <w:rFonts w:eastAsia="Calibri"/>
          <w:sz w:val="26"/>
          <w:szCs w:val="26"/>
          <w:lang w:eastAsia="en-US"/>
        </w:rPr>
        <w:instrText xml:space="preserve"> LINK PowerPoint.Slide.8 "D:\\2015\\MARZO 2014\\GRÁFICAS EN POWER POINT\\31.-GRÁFICAS DEL BCE INF. MARZO.pptx!421" "" \a \p </w:instrText>
      </w:r>
      <w:r w:rsidRPr="002A1806">
        <w:rPr>
          <w:rFonts w:eastAsia="Calibri"/>
          <w:sz w:val="26"/>
          <w:szCs w:val="26"/>
          <w:lang w:eastAsia="en-US"/>
        </w:rPr>
        <w:fldChar w:fldCharType="separate"/>
      </w:r>
      <w:r w:rsidRPr="002A1806">
        <w:rPr>
          <w:rFonts w:eastAsia="Calibri"/>
          <w:noProof/>
          <w:sz w:val="26"/>
          <w:szCs w:val="26"/>
          <w:lang w:eastAsia="es-MX"/>
        </w:rPr>
        <w:drawing>
          <wp:inline distT="0" distB="0" distL="0" distR="0" wp14:anchorId="071E8D52" wp14:editId="26066B0A">
            <wp:extent cx="4046855" cy="3429000"/>
            <wp:effectExtent l="0" t="0" r="0" b="0"/>
            <wp:docPr id="1658" name="Imagen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2"/>
                    <pic:cNvPicPr>
                      <a:picLocks noChangeAspect="1" noChangeArrowheads="1"/>
                    </pic:cNvPicPr>
                  </pic:nvPicPr>
                  <pic:blipFill>
                    <a:blip r:embed="rId23" cstate="print">
                      <a:extLst>
                        <a:ext uri="{28A0092B-C50C-407E-A947-70E740481C1C}">
                          <a14:useLocalDpi xmlns:a14="http://schemas.microsoft.com/office/drawing/2010/main" val="0"/>
                        </a:ext>
                      </a:extLst>
                    </a:blip>
                    <a:srcRect l="7939" r="3343"/>
                    <a:stretch>
                      <a:fillRect/>
                    </a:stretch>
                  </pic:blipFill>
                  <pic:spPr bwMode="auto">
                    <a:xfrm>
                      <a:off x="0" y="0"/>
                      <a:ext cx="4046855" cy="3429000"/>
                    </a:xfrm>
                    <a:prstGeom prst="rect">
                      <a:avLst/>
                    </a:prstGeom>
                    <a:noFill/>
                    <a:ln>
                      <a:noFill/>
                    </a:ln>
                  </pic:spPr>
                </pic:pic>
              </a:graphicData>
            </a:graphic>
          </wp:inline>
        </w:drawing>
      </w:r>
      <w:r w:rsidRPr="002A1806">
        <w:rPr>
          <w:rFonts w:eastAsia="Calibri"/>
          <w:sz w:val="26"/>
          <w:szCs w:val="26"/>
          <w:lang w:eastAsia="en-US"/>
        </w:rPr>
        <w:fldChar w:fldCharType="end"/>
      </w:r>
    </w:p>
    <w:p w14:paraId="3ADE217A"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Según indica la curva de futuros, los mercados ya han tenido en cuenta un incremento gradual de los precios del crudo para los próximos años. Aunque parte de la caída de los precios durante el pasado año puede atribuirse a la relativa moderación de la demanda mundial, el descenso se debe principalmente a un incremento de la oferta. La abundante oferta de petróleo no convencional de América del Norte, la producción de Rusia, Libia e Irak, superior a lo previsto a pesar de las tensiones geopolíticas, y la decisión de la Organización de Países Exportadores de Petróleo (OPEP) de no recortar su producción, adoptada en su reunión de noviembre de 2014, han contribuido a que los participantes en los mercados reconsideren la dinámica de la oferta y la demanda y a que se produzca una fuerte caída de los precios del petróleo. Se espera que los precios más bajos beneficien a los países consumidores netos de petróleo y que, al mismo tiempo, afecten a las perspectivas de los países exportadores de crudo. Sin embargo, en conjunto, es probable que favorezcan la demanda mundial en la medida en que los países importadores de petróleo, que son los beneficiarios de la caída de los precios, suelen tener una mayor propensión al gasto que los países exportadores.</w:t>
      </w:r>
    </w:p>
    <w:p w14:paraId="76B718CA"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lastRenderedPageBreak/>
        <w:t>El sólido crecimiento económico en Estados Unidos de Norteamérica también está respaldando las perspectivas mundiales. La actividad continuó siendo sólida en el último trimestre de 2014, impulsada por el consumo personal y la inversión residencial. El mercado de trabajo también siguió mejorando, registrándose una vigorosa expansión del empleo. De cara al futuro, aunque la apreciación del dólar estadounidense atenuará el crecimiento de las exportaciones, se espera una recuperación sostenida de la demanda interna, respaldada por las condiciones financieras acomodaticias y por una moderación de la presión fiscal. Se prevé que la reducción del desendeudamiento de los hogares, las mejoras sostenidas de los mercados de trabajo y de la vivienda y el aumento de las rentas reales como consecuencia de los precios más bajos del petróleo estimulen el consumo privado. Por su parte, la mejora de la confianza, el fortalecimiento de la demanda y los bajos tasas de interés probablemente impulsarán la inversión empresarial, compensando el menor gasto de capital en las industrias del petróleo no convencional.</w:t>
      </w:r>
    </w:p>
    <w:p w14:paraId="693EE48F"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Se afianza también el ritmo de crecimiento en la mayoría de las economías avanzadas no pertenecientes a la zona del euro. En Japón, tras el desplome de la actividad que siguió al incremento del IVA en abril del año pasado, el crecimiento se reanudó en el cuarto trimestre de 2014. De cara al futuro, se espera un lento fortalecimiento de los factores subyacentes determinantes del crecimiento, favorecidos por el aumento de la renta real de los hogares asociado a los precios más bajos del petróleo, el impulso al crecimiento de las exportaciones como consecuencia de la depreciación del yen japonés, y la reducción de la presión fiscal tras el anuncio del Gobierno de que en el próximo ejercicio fiscal se adoptarán medidas adicionales de estímulo. En Reino Unido, pese a la ligera desaceleración observada en el cuarto trimestre de 2014, la economía continúa su expansión a un ritmo relativamente robusto. De cara al futuro, aunque se prevé que las continuas medidas de consolidación fiscal moderen el crecimiento, la caída de los precios de energía y la aceleración del crecimiento de los salarios deberían favorecer un aumento de la renta real disponible y del consumo privado. Además, la </w:t>
      </w:r>
      <w:r w:rsidRPr="002A1806">
        <w:rPr>
          <w:rFonts w:eastAsia="Calibri"/>
          <w:sz w:val="26"/>
          <w:szCs w:val="26"/>
          <w:lang w:eastAsia="en-US"/>
        </w:rPr>
        <w:lastRenderedPageBreak/>
        <w:t>recuperación de la demanda y la relajación de las condiciones crediticias deberían estimular la inversión empresarial. Al mismo tiempo, se espera que la abrupta apreciación del franco suizo tras la decisión adoptada en enero por el Banco Nacional de Suiza de eliminar el tope impuesto al tipo de cambio del franco suizo frente al euro tenga un importante impacto negativo sobre las perspectivas económicas del país, principalmente a través de una reducción de las exportaciones.</w:t>
      </w:r>
    </w:p>
    <w:p w14:paraId="2CD3206F"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Las perspectivas a corto plazo han mejorado en algunas economías emergentes, especialmente en los países importadores de petróleo. En China, aunque la desaceleración del mercado de la vivienda afectó al crecimiento en el cuarto trimestre de 2014, se espera que la caída de los precios del petróleo, la solidez sostenida del consumo, la reciente relajación de la política monetaria y el ligero estímulo fiscal respalde temporalmente la economía. No obstante, los líderes políticos chinos han venido haciendo cada vez más hincapié en la necesidad de hacer frente a la fragilidad financiera y a los desequilibrios macroeconómicos desde una perspectiva de más largo plazo. A medida que la economía avance hacia una senda más sostenible, el crecimiento probablemente se moderará. La desaceleración del crecimiento en China tendrá efectos adversos en las economías asiáticas con las que China mantiene estrechos lazos económicos y financieros, pero a muchas economías emergentes de Asia les debería beneficiar en el corto plazo el estímulo que para las rentas reales disponibles supone el descenso de los precios del petróleo. En particular, la confianza se mantiene en niveles elevados en India, en un contexto de incipiente mejora del ritmo de crecimiento. En su calidad de país importador de petróleo, a India le beneficiarán los precios más bajos del crudo, lo que contribuirá a contener tanto la inflación como el déficit por cuenta corriente, permitiendo al mismo tiempo al Gobierno recortar las subsidios a los combustibles y apoyar los esfuerzos de consolidación fiscal. En cuanto a los países de Europa Central y Oriental, también se espera que se beneficien del fortalecimiento de la demanda interna, ya que la mejora de la dinámica del mercado de trabajo y el reciente descenso de los precios del petróleo debería respaldar el consumo de los hogares.</w:t>
      </w:r>
    </w:p>
    <w:p w14:paraId="3A901E09" w14:textId="063C7857" w:rsidR="002A1806" w:rsidRPr="002A1806" w:rsidRDefault="002A1806" w:rsidP="002A1806">
      <w:pPr>
        <w:spacing w:after="360" w:line="360" w:lineRule="auto"/>
        <w:ind w:right="-159"/>
        <w:jc w:val="center"/>
        <w:rPr>
          <w:rFonts w:eastAsia="Calibri"/>
          <w:sz w:val="26"/>
          <w:szCs w:val="26"/>
          <w:lang w:eastAsia="en-US"/>
        </w:rPr>
      </w:pPr>
      <w:r w:rsidRPr="002A1806">
        <w:rPr>
          <w:rFonts w:eastAsia="Calibri"/>
          <w:sz w:val="26"/>
          <w:szCs w:val="26"/>
          <w:lang w:eastAsia="en-US"/>
        </w:rPr>
        <w:lastRenderedPageBreak/>
        <w:fldChar w:fldCharType="begin"/>
      </w:r>
      <w:r w:rsidRPr="002A1806">
        <w:rPr>
          <w:rFonts w:eastAsia="Calibri"/>
          <w:sz w:val="26"/>
          <w:szCs w:val="26"/>
          <w:lang w:eastAsia="en-US"/>
        </w:rPr>
        <w:instrText xml:space="preserve"> LINK PowerPoint.Slide.8 "D:\\2015\\MARZO 2014\\GRÁFICAS EN POWER POINT\\31.-GRÁFICAS DEL BCE INF. MARZO.pptx!422" "" \a \p </w:instrText>
      </w:r>
      <w:r w:rsidRPr="002A1806">
        <w:rPr>
          <w:rFonts w:eastAsia="Calibri"/>
          <w:sz w:val="26"/>
          <w:szCs w:val="26"/>
          <w:lang w:eastAsia="en-US"/>
        </w:rPr>
        <w:fldChar w:fldCharType="separate"/>
      </w:r>
      <w:r w:rsidRPr="002A1806">
        <w:rPr>
          <w:rFonts w:eastAsia="Calibri"/>
          <w:noProof/>
          <w:sz w:val="26"/>
          <w:szCs w:val="26"/>
          <w:lang w:eastAsia="es-MX"/>
        </w:rPr>
        <w:drawing>
          <wp:inline distT="0" distB="0" distL="0" distR="0" wp14:anchorId="3A202BC7" wp14:editId="52118C34">
            <wp:extent cx="3743960" cy="3429000"/>
            <wp:effectExtent l="0" t="0" r="8890" b="0"/>
            <wp:docPr id="1657" name="Imagen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3"/>
                    <pic:cNvPicPr>
                      <a:picLocks noChangeAspect="1" noChangeArrowheads="1"/>
                    </pic:cNvPicPr>
                  </pic:nvPicPr>
                  <pic:blipFill>
                    <a:blip r:embed="rId24" cstate="print">
                      <a:extLst>
                        <a:ext uri="{28A0092B-C50C-407E-A947-70E740481C1C}">
                          <a14:useLocalDpi xmlns:a14="http://schemas.microsoft.com/office/drawing/2010/main" val="0"/>
                        </a:ext>
                      </a:extLst>
                    </a:blip>
                    <a:srcRect l="10446" r="7382"/>
                    <a:stretch>
                      <a:fillRect/>
                    </a:stretch>
                  </pic:blipFill>
                  <pic:spPr bwMode="auto">
                    <a:xfrm>
                      <a:off x="0" y="0"/>
                      <a:ext cx="3743960" cy="3429000"/>
                    </a:xfrm>
                    <a:prstGeom prst="rect">
                      <a:avLst/>
                    </a:prstGeom>
                    <a:noFill/>
                    <a:ln>
                      <a:noFill/>
                    </a:ln>
                  </pic:spPr>
                </pic:pic>
              </a:graphicData>
            </a:graphic>
          </wp:inline>
        </w:drawing>
      </w:r>
      <w:r w:rsidRPr="002A1806">
        <w:rPr>
          <w:rFonts w:eastAsia="Calibri"/>
          <w:sz w:val="26"/>
          <w:szCs w:val="26"/>
          <w:lang w:eastAsia="en-US"/>
        </w:rPr>
        <w:fldChar w:fldCharType="end"/>
      </w:r>
    </w:p>
    <w:p w14:paraId="45DD25B2"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En otras regiones, las perspectivas indican un debilitamiento de la actividad. En América Latina, las perspectivas a medio plazo parecen menos favorables de lo previsto anteriormente, tras un período de tasas de crecimiento decepcionantes, ya que el crecimiento se ha visto empañado por estrangulamientos de oferta y elevados desequilibrios internos en algunas de las principales economías. La caída de los precios del petróleo está afectando también a las perspectivas de los países exportadores de crudo. En Rusia en particular, se prevé que, tras las recientes turbulencias en los mercados financieros, la economía entre en recesión en 2015. La acusada depreciación del rublo y el endurecimiento de la política monetaria se traducirán en un notable incremento de los costos financiamiento, que podría exacerbar los problemas de financiamiento de las empresas que ya sufren sanciones que restringen su acceso a los mercados financieros externos. Se prevé que el consumo de los hogares se vea afectado por la elevada inflación, que supone un lastre para las rentas reales disponibles. En un contexto de deterioro de la confianza empresarial y de fuerte incertidumbre, se espera que se reduzca la inversión. A mediano plazo, los precios más bajos de la energía </w:t>
      </w:r>
      <w:r w:rsidRPr="002A1806">
        <w:rPr>
          <w:rFonts w:eastAsia="Calibri"/>
          <w:sz w:val="26"/>
          <w:szCs w:val="26"/>
          <w:lang w:eastAsia="en-US"/>
        </w:rPr>
        <w:lastRenderedPageBreak/>
        <w:t>podrían socavar la inversión en exploración de depósitos de gas y petróleo. Se prevé que todo ello tenga un efecto negativo sobre la demanda exterior de la zona del euro.</w:t>
      </w:r>
    </w:p>
    <w:p w14:paraId="4FFC031E"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El comercio mundial perdió cierto impulso hacia finales de 2014 y se espera que la recuperación sea solo gradual. Las importaciones mundiales de bienes crecieron, en términos reales, un 1.3% en tasa trimestral en diciembre. Tras el descenso experimentado en los meses anteriores el índice PMI global de nuevos pedidos exteriores se recuperó en diciembre de 2014 y se estabilizó en enero de 2015, lo que sugiere una mayor capacidad de resistencia del comercio internacional hacia finales del año. A más largo plazo, se espera un fortalecimiento a un ritmo muy moderado. En los últimos años, la debilidad cíclica de la inversión empresarial, que normalmente tiene un elevado contenido importador, ha frenado el ritmo de crecimiento del comercio mundial, que también se ha visto afectado por factores estructurales en la medida en que las empresas han reducido la complejidad y la longitud de sus cadenas de producción. Esto significa que la expansión de las cadenas de valor mundiales ya no respalda el crecimiento del comercio mundial con la misma intensidad que en el pasado. Como resultado, aunque se espera un repunte de la actividad comercial mundial a medida que desaparezca la debilidad cíclica y se recupere la inversión mundial, es improbable que se registre una expansión al mismo ritmo que en las décadas de 1990 y 2000, cuando las grandes economías emergentes se estaban integrando en la economía mundial incrementando significativamente las oportunidades en materia de intercambios comerciales.</w:t>
      </w:r>
    </w:p>
    <w:p w14:paraId="12106D7E"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En conjunto, se espera un repunte gradual de la recuperación mundial. Según indican las proyecciones macroeconómicas de marzo de 2015 elaboradas por los expertos del BCE, se espera que el crecimiento del PIB real mundial (excluida la zona del euro), aumente desde el 3.6% observado en 2014 hasta alrededor del 4% en 2016 y 2017</w:t>
      </w:r>
      <w:r w:rsidRPr="002A1806">
        <w:rPr>
          <w:rFonts w:ascii="Calibri" w:eastAsia="Calibri" w:hAnsi="Calibri"/>
          <w:bCs/>
          <w:sz w:val="26"/>
          <w:szCs w:val="26"/>
          <w:vertAlign w:val="superscript"/>
          <w:lang w:eastAsia="en-US"/>
        </w:rPr>
        <w:footnoteReference w:id="5"/>
      </w:r>
      <w:r w:rsidRPr="002A1806">
        <w:rPr>
          <w:rFonts w:eastAsia="Calibri"/>
          <w:sz w:val="26"/>
          <w:szCs w:val="26"/>
          <w:lang w:eastAsia="en-US"/>
        </w:rPr>
        <w:t xml:space="preserve">. Se </w:t>
      </w:r>
      <w:r w:rsidRPr="002A1806">
        <w:rPr>
          <w:rFonts w:eastAsia="Calibri"/>
          <w:sz w:val="26"/>
          <w:szCs w:val="26"/>
          <w:lang w:eastAsia="en-US"/>
        </w:rPr>
        <w:lastRenderedPageBreak/>
        <w:t>prevé que la demanda exterior de la zona del euro se incremente desde el 2.8% de 2014 hasta el 5.1% para 2017. En comparación con las proyecciones de diciembre de 2014, las expectativas del crecimiento mundial y de la demanda exterior apenas se han revisado. Esto significa que se prevé que el impulso de la demanda mundial asociado a la caída de los precios del petróleo se compensará con creces con unas perspectivas menos favorables en algunas economías emergentes.</w:t>
      </w:r>
    </w:p>
    <w:p w14:paraId="1B453B37" w14:textId="49E7FE34"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Se mantienen los riesgos a la baja para las perspectivas de la actividad mundial. Aunque el impacto de los precios más bajos del petróleo sobre las perspectivas de crecimiento mundial podría ser mayor de lo previsto en las proyecciones macroeconómicas de marzo de 2015 elaboradas por los expertos del BCE, en Estados Unidos de Norteamérica los mercados siguen esperando que el ritmo de aumento de las tasas sea más lento de lo previsto en las proyecciones más recientes del Comité de Operaciones de Mercado Abierto de la Reserva Federal. Como se analiza en el recuadro</w:t>
      </w:r>
      <w:r w:rsidR="00E50BF7">
        <w:rPr>
          <w:rFonts w:eastAsia="Calibri"/>
          <w:sz w:val="26"/>
          <w:szCs w:val="26"/>
          <w:lang w:eastAsia="en-US"/>
        </w:rPr>
        <w:t xml:space="preserve"> que se presenta en el documento original</w:t>
      </w:r>
      <w:r w:rsidRPr="002A1806">
        <w:rPr>
          <w:rFonts w:eastAsia="Calibri"/>
          <w:sz w:val="26"/>
          <w:szCs w:val="26"/>
          <w:lang w:eastAsia="en-US"/>
        </w:rPr>
        <w:t xml:space="preserve">: </w:t>
      </w:r>
      <w:r w:rsidRPr="00E50BF7">
        <w:rPr>
          <w:rFonts w:eastAsia="Calibri"/>
          <w:i/>
          <w:sz w:val="26"/>
          <w:szCs w:val="26"/>
          <w:lang w:eastAsia="en-US"/>
        </w:rPr>
        <w:t xml:space="preserve">Análisis de la evolución de la inflación en Estados Unidos de Norteamérica utilizando la curva de </w:t>
      </w:r>
      <w:r w:rsidR="00E50BF7">
        <w:rPr>
          <w:rFonts w:eastAsia="Calibri"/>
          <w:i/>
          <w:sz w:val="26"/>
          <w:szCs w:val="26"/>
          <w:lang w:eastAsia="en-US"/>
        </w:rPr>
        <w:t>P</w:t>
      </w:r>
      <w:r w:rsidRPr="00E50BF7">
        <w:rPr>
          <w:rFonts w:eastAsia="Calibri"/>
          <w:i/>
          <w:sz w:val="26"/>
          <w:szCs w:val="26"/>
          <w:lang w:eastAsia="en-US"/>
        </w:rPr>
        <w:t>hillips</w:t>
      </w:r>
      <w:r w:rsidRPr="002A1806">
        <w:rPr>
          <w:rFonts w:eastAsia="Calibri"/>
          <w:sz w:val="26"/>
          <w:szCs w:val="26"/>
          <w:lang w:eastAsia="en-US"/>
        </w:rPr>
        <w:t>, se espera que en el país las presiones inflacionistas continúen siendo limitadas. No obstante, existe cierta incertidumbre respecto al grado de holgura en la economía y en cuanto a la medida en que el aumento de la demanda pueda traducirse en una intensificación de las presiones salariales e inflacionarias. Una normalización de las políticas monetarias más rápida de lo que prevén actualmente los mercados podría provocar una reversión de las percepciones del riesgo. En China, el fuerte crecimiento del crédito y del apalancamiento plantea riesgos para la estabilidad financiera. Los riesgos geopolíticos también continúan afectando a las perspectivas, y un escenario en el que volviera a producirse una escalada de las tensiones entre Rusia y Ucrania tendría repercusiones adversas en el crecimiento mundial.</w:t>
      </w:r>
    </w:p>
    <w:p w14:paraId="49FD688C" w14:textId="060E7188" w:rsidR="002A1806" w:rsidRPr="002A1806" w:rsidRDefault="002A1806" w:rsidP="002A1806">
      <w:pPr>
        <w:spacing w:after="360" w:line="360" w:lineRule="auto"/>
        <w:ind w:right="-159"/>
        <w:jc w:val="center"/>
        <w:rPr>
          <w:rFonts w:eastAsia="Calibri"/>
          <w:sz w:val="26"/>
          <w:szCs w:val="26"/>
          <w:lang w:eastAsia="en-US"/>
        </w:rPr>
      </w:pPr>
      <w:r w:rsidRPr="002A1806">
        <w:rPr>
          <w:rFonts w:eastAsia="Calibri"/>
          <w:sz w:val="26"/>
          <w:szCs w:val="26"/>
          <w:lang w:eastAsia="en-US"/>
        </w:rPr>
        <w:lastRenderedPageBreak/>
        <w:fldChar w:fldCharType="begin"/>
      </w:r>
      <w:r w:rsidRPr="002A1806">
        <w:rPr>
          <w:rFonts w:eastAsia="Calibri"/>
          <w:sz w:val="26"/>
          <w:szCs w:val="26"/>
          <w:lang w:eastAsia="en-US"/>
        </w:rPr>
        <w:instrText xml:space="preserve"> LINK PowerPoint.Slide.8 "D:\\2015\\MARZO 2014\\GRÁFICAS EN POWER POINT\\31.-GRÁFICAS DEL BCE INF. MARZO.pptx!423" "" \a \p </w:instrText>
      </w:r>
      <w:r w:rsidRPr="002A1806">
        <w:rPr>
          <w:rFonts w:eastAsia="Calibri"/>
          <w:sz w:val="26"/>
          <w:szCs w:val="26"/>
          <w:lang w:eastAsia="en-US"/>
        </w:rPr>
        <w:fldChar w:fldCharType="separate"/>
      </w:r>
      <w:r w:rsidRPr="002A1806">
        <w:rPr>
          <w:rFonts w:eastAsia="Calibri"/>
          <w:noProof/>
          <w:sz w:val="26"/>
          <w:szCs w:val="26"/>
          <w:lang w:eastAsia="es-MX"/>
        </w:rPr>
        <w:drawing>
          <wp:inline distT="0" distB="0" distL="0" distR="0" wp14:anchorId="7F3C327A" wp14:editId="2A40767D">
            <wp:extent cx="3669665" cy="3429000"/>
            <wp:effectExtent l="0" t="0" r="6985" b="0"/>
            <wp:docPr id="1656" name="Imagen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4"/>
                    <pic:cNvPicPr>
                      <a:picLocks noChangeAspect="1" noChangeArrowheads="1"/>
                    </pic:cNvPicPr>
                  </pic:nvPicPr>
                  <pic:blipFill>
                    <a:blip r:embed="rId25" cstate="print">
                      <a:extLst>
                        <a:ext uri="{28A0092B-C50C-407E-A947-70E740481C1C}">
                          <a14:useLocalDpi xmlns:a14="http://schemas.microsoft.com/office/drawing/2010/main" val="0"/>
                        </a:ext>
                      </a:extLst>
                    </a:blip>
                    <a:srcRect l="12674" r="6825"/>
                    <a:stretch>
                      <a:fillRect/>
                    </a:stretch>
                  </pic:blipFill>
                  <pic:spPr bwMode="auto">
                    <a:xfrm>
                      <a:off x="0" y="0"/>
                      <a:ext cx="3669665" cy="3429000"/>
                    </a:xfrm>
                    <a:prstGeom prst="rect">
                      <a:avLst/>
                    </a:prstGeom>
                    <a:noFill/>
                    <a:ln>
                      <a:noFill/>
                    </a:ln>
                  </pic:spPr>
                </pic:pic>
              </a:graphicData>
            </a:graphic>
          </wp:inline>
        </w:drawing>
      </w:r>
      <w:r w:rsidRPr="002A1806">
        <w:rPr>
          <w:rFonts w:eastAsia="Calibri"/>
          <w:sz w:val="26"/>
          <w:szCs w:val="26"/>
          <w:lang w:eastAsia="en-US"/>
        </w:rPr>
        <w:fldChar w:fldCharType="end"/>
      </w:r>
    </w:p>
    <w:p w14:paraId="19A0AC36"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La inflación mundial se ha reducido en los últimos meses, principalmente como consecuencia del descenso de los precios de la energía. La inflación anual medida por los precios al consumidor disminuyó en los países de la Organización para la Cooperación y el Desarrollo Económicos (OCDE) hasta el 0.5% en enero de 2015. Al mismo tiempo, la inflación anual, excluidos la energía y los alimentos, se ha mantenido más estable. En cuanto a los países no pertenecientes a la OCDE, la inflación también se ha moderado en China en los últimos meses, dado que persisten las presiones desinflacionistas generalizadas. Sin embargo, en otras grandes economías emergentes, se ha producido un aumento de la inflación cuando la depreciación de la moneda ha dado lugar a un aumento de los precios de importación o cuando la falta de credibilidad de la política monetaria del país se ha reflejado en la persistencia de elevadas expectativas de inflación.</w:t>
      </w:r>
    </w:p>
    <w:p w14:paraId="43FB55EE" w14:textId="77777777" w:rsidR="002A1806" w:rsidRPr="002A1806" w:rsidRDefault="002A1806" w:rsidP="002A1806">
      <w:pPr>
        <w:spacing w:after="360" w:line="360" w:lineRule="auto"/>
        <w:ind w:right="-159"/>
        <w:jc w:val="both"/>
        <w:rPr>
          <w:rFonts w:eastAsia="Calibri"/>
          <w:sz w:val="26"/>
          <w:szCs w:val="26"/>
          <w:lang w:eastAsia="en-US"/>
        </w:rPr>
      </w:pPr>
      <w:r w:rsidRPr="002A1806">
        <w:rPr>
          <w:rFonts w:eastAsia="Calibri"/>
          <w:sz w:val="26"/>
          <w:szCs w:val="26"/>
          <w:lang w:eastAsia="en-US"/>
        </w:rPr>
        <w:t xml:space="preserve">Se espera que la inflación mundial se mantenga en niveles bajos en el corto plazo y que después solo aumente gradualmente. Se prevé que la actual debilidad de los precios de las materias primas contribuya a mantener la inflación mundial en niveles bajos a corto </w:t>
      </w:r>
      <w:r w:rsidRPr="002A1806">
        <w:rPr>
          <w:rFonts w:eastAsia="Calibri"/>
          <w:sz w:val="26"/>
          <w:szCs w:val="26"/>
          <w:lang w:eastAsia="en-US"/>
        </w:rPr>
        <w:lastRenderedPageBreak/>
        <w:t>plazo. Posteriormente, se espera que el repunte previsto de la actividad económica mundial reduzca la capacidad no utilizada. Además, la curva de futuros sobre precios del petróleo sugiere cierta recuperación en los próximos años, al igual que los precios de los futuros sobre materias primas no energéticas.</w:t>
      </w:r>
    </w:p>
    <w:p w14:paraId="1C1C5BC9" w14:textId="77777777" w:rsidR="002A1806" w:rsidRPr="002A1806" w:rsidRDefault="002A1806" w:rsidP="002A1806">
      <w:pPr>
        <w:jc w:val="both"/>
        <w:rPr>
          <w:rFonts w:eastAsia="Calibri"/>
          <w:b/>
          <w:sz w:val="20"/>
          <w:szCs w:val="20"/>
          <w:lang w:eastAsia="en-US"/>
        </w:rPr>
      </w:pPr>
      <w:r w:rsidRPr="002A1806">
        <w:rPr>
          <w:rFonts w:eastAsia="Calibri"/>
          <w:b/>
          <w:sz w:val="20"/>
          <w:szCs w:val="20"/>
          <w:lang w:eastAsia="en-US"/>
        </w:rPr>
        <w:t>Fuente de información:</w:t>
      </w:r>
    </w:p>
    <w:p w14:paraId="06F9FD13" w14:textId="77777777" w:rsidR="002A1806" w:rsidRPr="00E50BF7" w:rsidRDefault="00B9483D" w:rsidP="00E50BF7">
      <w:pPr>
        <w:spacing w:after="720"/>
        <w:rPr>
          <w:rFonts w:eastAsia="Calibri"/>
          <w:color w:val="0000FF"/>
          <w:sz w:val="20"/>
          <w:szCs w:val="20"/>
          <w:lang w:eastAsia="en-US"/>
        </w:rPr>
      </w:pPr>
      <w:hyperlink r:id="rId26" w:history="1">
        <w:r w:rsidR="002A1806" w:rsidRPr="00E50BF7">
          <w:rPr>
            <w:rFonts w:eastAsia="Calibri"/>
            <w:color w:val="0000FF"/>
            <w:sz w:val="20"/>
            <w:szCs w:val="20"/>
            <w:u w:val="single"/>
            <w:lang w:eastAsia="en-US"/>
          </w:rPr>
          <w:t>http://www.bde.es/f/webbde/SES/Secciones/Publicaciones/PublicacionesBCE/BoletinEconomicoBCE/02/Fich/bebce1502-1.pdf</w:t>
        </w:r>
      </w:hyperlink>
    </w:p>
    <w:p w14:paraId="51D90456" w14:textId="77777777" w:rsidR="00D00515" w:rsidRPr="00D00515" w:rsidRDefault="00D00515" w:rsidP="00D00515">
      <w:pPr>
        <w:spacing w:after="360" w:line="360" w:lineRule="auto"/>
        <w:ind w:right="-159"/>
        <w:jc w:val="both"/>
        <w:rPr>
          <w:rFonts w:eastAsia="Calibri"/>
          <w:b/>
          <w:sz w:val="26"/>
          <w:szCs w:val="26"/>
          <w:lang w:eastAsia="en-US"/>
        </w:rPr>
      </w:pPr>
      <w:r w:rsidRPr="00D00515">
        <w:rPr>
          <w:rFonts w:eastAsia="Calibri"/>
          <w:b/>
          <w:sz w:val="26"/>
          <w:szCs w:val="26"/>
          <w:lang w:eastAsia="en-US"/>
        </w:rPr>
        <w:t>Razones por las que la deflación es buena para Europa (Project Syndicate)</w:t>
      </w:r>
    </w:p>
    <w:p w14:paraId="0D884B16"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El 11 de marzo de 2015, la organización Project Syndicate (</w:t>
      </w:r>
      <w:r w:rsidRPr="00D00515">
        <w:rPr>
          <w:rFonts w:eastAsia="Calibri"/>
          <w:i/>
          <w:sz w:val="26"/>
          <w:szCs w:val="26"/>
          <w:lang w:val="es-ES" w:eastAsia="en-US"/>
        </w:rPr>
        <w:t>PS</w:t>
      </w:r>
      <w:r w:rsidRPr="00D00515">
        <w:rPr>
          <w:rFonts w:eastAsia="Calibri"/>
          <w:sz w:val="26"/>
          <w:szCs w:val="26"/>
          <w:lang w:val="es-ES" w:eastAsia="en-US"/>
        </w:rPr>
        <w:t>) publicó los comentarios de Daniel Gros</w:t>
      </w:r>
      <w:r w:rsidRPr="00D00515">
        <w:rPr>
          <w:rFonts w:eastAsia="Calibri"/>
          <w:sz w:val="26"/>
          <w:szCs w:val="26"/>
          <w:vertAlign w:val="superscript"/>
          <w:lang w:val="es-ES" w:eastAsia="en-US"/>
        </w:rPr>
        <w:footnoteReference w:id="6"/>
      </w:r>
      <w:r w:rsidRPr="00D00515">
        <w:rPr>
          <w:rFonts w:eastAsia="Calibri"/>
          <w:sz w:val="26"/>
          <w:szCs w:val="26"/>
          <w:lang w:val="es-ES" w:eastAsia="en-US"/>
        </w:rPr>
        <w:t xml:space="preserve"> en torno las razones por las que la deflación es buena para Europa. A continuación se presenta la información.</w:t>
      </w:r>
    </w:p>
    <w:p w14:paraId="40B5376D"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En la economía mundial actual, no hay un precio más importante que el del petróleo crudo. Se producen (y se consumen) más de 80 millones de barriles diarios y una gran parte de esa producción se comercializa internacionalmente. Así, pues, la acusada caída del precio del petróleo crudo —de unos 110 dólares el año pasado a unos 60 dólares hoy— está permitiendo ahorrar centenares de miles de millones de dólares en importaciones de petróleo. Para la Unión Europea y los Estados Unidos de Norteamérica, el beneficio de dicha caída equivale al 2 o el 3%, aproximadamente, del Producto Interno Bruto (PIB).</w:t>
      </w:r>
    </w:p>
    <w:p w14:paraId="031C1F6D"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 xml:space="preserve">Para Europa, los beneficios de un petróleo barato podrían aumentar con el tiempo, porque los contratos de suministro de gas a largo plazo están en gran medida vinculados con el precio del petróleo, lo que representa otra ventaja para esa región, donde los </w:t>
      </w:r>
      <w:r w:rsidRPr="00D00515">
        <w:rPr>
          <w:rFonts w:eastAsia="Calibri"/>
          <w:sz w:val="26"/>
          <w:szCs w:val="26"/>
          <w:lang w:val="es-ES" w:eastAsia="en-US"/>
        </w:rPr>
        <w:lastRenderedPageBreak/>
        <w:t>precios del gas natural eran, hasta hace poco, varias veces mayores que en los Estados Unidos de Norteamérica, beneficiados por unos menores costos de la energía del esquisto.</w:t>
      </w:r>
    </w:p>
    <w:p w14:paraId="68EE4F5E"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Pero muchos observadores han sostenido que el petróleo barato tiene también un aspecto negativo, porque exacerba las tendencias deflacionarias en los países avanzados, que ya parecen haber caído en la trampa del crecimiento escaso. Según esa opinión, el acusado descenso de los precios del petróleo dificultará aún más a los bancos centrales de dichos países la consecución de la tasa de inflación anual del 2%, que la mayoría han fijado en cumplimiento del mandato para la estabilidad de los precios.</w:t>
      </w:r>
    </w:p>
    <w:p w14:paraId="1967C0E4"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La zona del euro en particular parece estar en peligro, pues ahora los precios están bajando por primera vez desde 2009. Según se sostiene, esa deflación es mala, porque dificulta aún más a los deudores —en particular los de las economías con problemas de la periferia de la zona del euro (España, Grecia, Irlanda, Italia y Portugal)— el pago de lo que deben.</w:t>
      </w:r>
    </w:p>
    <w:p w14:paraId="3C5F98FC"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Pero ese temor es infundado, porque se basa en un malentendido. Lo que importa para la capacidad de servicio de la deuda son los ingresos de los deudores, no el nivel general de los precios.</w:t>
      </w:r>
    </w:p>
    <w:p w14:paraId="3A7CD131"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Al bajar los precios del petróleo, los ingresos reales (ajustados a la inflación) de los hogares deben aumentar, porque no han de gastar tanto en combustible y calefacción. Unos precios inferiores del petróleo facilitan la vida, no la complican, para los hogares muy endeudados en los Estados Unidos de Norteamérica y la periferia de la zona del euro. Así, pues, se debe considerar que unos menores precios al consumo son una buena señal.</w:t>
      </w:r>
    </w:p>
    <w:p w14:paraId="61720FE1"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 xml:space="preserve">La mayoría de las empresas manufactureras se beneficiará también de unos menores costos de la energía, con lo que mejorará su capacidad para el servicio de sus deudas, </w:t>
      </w:r>
      <w:r w:rsidRPr="00D00515">
        <w:rPr>
          <w:rFonts w:eastAsia="Calibri"/>
          <w:sz w:val="26"/>
          <w:szCs w:val="26"/>
          <w:lang w:val="es-ES" w:eastAsia="en-US"/>
        </w:rPr>
        <w:lastRenderedPageBreak/>
        <w:t>cosa que también es particularmente relevante en la periferia de la zona del euro, donde el sector no financiero acumuló demasiadas deudas durante el auge crediticio que precedió a la crisis financiera mundial de 2008. Además, aunque la mayoría de los ahorros que entrañan unos costos inferiores de la energía podrían manifestarse al principio en forma de unos beneficios mayores, con el tiempo la competencia obligará a las empresas a transmitir algunos de esos beneficios caídos del cielo en forma de precios inferiores o salarios superiores.</w:t>
      </w:r>
    </w:p>
    <w:p w14:paraId="6FD804B9"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Ésa es otra importante consecuencia del petróleo barato: con unos precios menores resulta más difícil calcular el punto en el que la presión de los salarios se vuelve inflacionista. Como los salarios pueden aumentar hasta cierto punto sin avivar la inflación, la Junta de Gobernadores de la Reserva Federal podría sentirse inclinada a aplazar el alza de los tipos de interés, cosa que hará —como ahora se espera de forma generalizada— en el próximo verano.</w:t>
      </w:r>
    </w:p>
    <w:p w14:paraId="4D3A332E"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Las haciendas públicas deberían beneficiarse también de la deflación engendrada por unos menores precios del petróleo. Los ingresos estatales dependen del valor de la producción nacional, no sólo del consumo. Aunque unos precios inferiores del petróleo deprimen los precios al consumo, deberían impulsar la producción y el PIB total.</w:t>
      </w:r>
    </w:p>
    <w:p w14:paraId="4CCA3CDC" w14:textId="77777777"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De no haber grandes cambios en los precios de las materias primas, el índice de precios al consumo evoluciona  junto con el deflactor del PIB (el deflactor de los precios correspondientes a toda la economía), pero no será así este año, porque los precios al consumo están bajando, mientras que el deflactor del PIB (y el PIB nominal) sigue aumentando, lo que debe propiciar unos ingresos estatales sólidos y constituye una buena noticia para los gobiernos muy endeudados de todo el mundo industrial, pero en particular para la periferia de la zona del euro.</w:t>
      </w:r>
    </w:p>
    <w:p w14:paraId="513BF357" w14:textId="77777777" w:rsidR="000170C9"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 xml:space="preserve">Así, pues, se debe considerar que la caída de los precios al consumo que la zona del euro está experimentando actualmente es una novedad positiva para todos los </w:t>
      </w:r>
      <w:r w:rsidRPr="00D00515">
        <w:rPr>
          <w:rFonts w:eastAsia="Calibri"/>
          <w:sz w:val="26"/>
          <w:szCs w:val="26"/>
          <w:lang w:val="es-ES" w:eastAsia="en-US"/>
        </w:rPr>
        <w:lastRenderedPageBreak/>
        <w:t xml:space="preserve">importadores de energía. La periferia de la zona del euro, en particular, puede esperarse una combinación ideal de tipos de interés bajos, un tipo de cambio del euro favorable y un aumento de los ingresos reales gracias al petróleo barato. </w:t>
      </w:r>
    </w:p>
    <w:p w14:paraId="058D92E6" w14:textId="03F32282" w:rsidR="00D00515" w:rsidRPr="00D00515" w:rsidRDefault="00D00515" w:rsidP="00D00515">
      <w:pPr>
        <w:spacing w:after="360" w:line="360" w:lineRule="auto"/>
        <w:ind w:right="-159"/>
        <w:jc w:val="both"/>
        <w:rPr>
          <w:rFonts w:eastAsia="Calibri"/>
          <w:sz w:val="26"/>
          <w:szCs w:val="26"/>
          <w:lang w:val="es-ES" w:eastAsia="en-US"/>
        </w:rPr>
      </w:pPr>
      <w:r w:rsidRPr="00D00515">
        <w:rPr>
          <w:rFonts w:eastAsia="Calibri"/>
          <w:sz w:val="26"/>
          <w:szCs w:val="26"/>
          <w:lang w:val="es-ES" w:eastAsia="en-US"/>
        </w:rPr>
        <w:t>En un ambiente deflacionario, unos precios menores del petróleo parecen dificultar al Banco Central Europeo la consecución de su objetivo de una tasa de inflación cercana al 2%. En realidad, unos menores precios del petróleo representan una bendición para Europa y en particular para aquellas de sus naciones que más dificultades afrontan.</w:t>
      </w:r>
    </w:p>
    <w:p w14:paraId="23494644" w14:textId="77777777" w:rsidR="00D00515" w:rsidRPr="00D00515" w:rsidRDefault="00D00515" w:rsidP="00D00515">
      <w:pPr>
        <w:ind w:right="-159"/>
        <w:jc w:val="both"/>
        <w:rPr>
          <w:rFonts w:eastAsia="Calibri"/>
          <w:b/>
          <w:sz w:val="20"/>
          <w:szCs w:val="20"/>
          <w:lang w:eastAsia="en-US"/>
        </w:rPr>
      </w:pPr>
      <w:r w:rsidRPr="00D00515">
        <w:rPr>
          <w:rFonts w:eastAsia="Calibri"/>
          <w:b/>
          <w:sz w:val="20"/>
          <w:szCs w:val="20"/>
          <w:lang w:eastAsia="en-US"/>
        </w:rPr>
        <w:t>Fuente de información:</w:t>
      </w:r>
    </w:p>
    <w:p w14:paraId="4D1967D5" w14:textId="77777777" w:rsidR="00D00515" w:rsidRPr="00E50BF7" w:rsidRDefault="00B9483D" w:rsidP="00E50BF7">
      <w:pPr>
        <w:spacing w:after="720"/>
        <w:ind w:right="-159"/>
        <w:jc w:val="both"/>
        <w:rPr>
          <w:rFonts w:eastAsia="Calibri"/>
          <w:color w:val="0000FF"/>
          <w:sz w:val="20"/>
          <w:szCs w:val="20"/>
          <w:lang w:val="es-ES" w:eastAsia="en-US"/>
        </w:rPr>
      </w:pPr>
      <w:hyperlink r:id="rId27" w:history="1">
        <w:r w:rsidR="00D00515" w:rsidRPr="00E50BF7">
          <w:rPr>
            <w:rFonts w:eastAsia="Calibri"/>
            <w:color w:val="0000FF"/>
            <w:sz w:val="20"/>
            <w:szCs w:val="20"/>
            <w:u w:val="single"/>
            <w:lang w:val="es-ES" w:eastAsia="en-US"/>
          </w:rPr>
          <w:t>http://www.project-syndicate.org/commentary/europe-deflation-good-news-by-daniel-gros-2015-03/spanish</w:t>
        </w:r>
      </w:hyperlink>
    </w:p>
    <w:p w14:paraId="15BF793A" w14:textId="77777777" w:rsidR="00BB0892" w:rsidRPr="00BB0892" w:rsidRDefault="00BB0892" w:rsidP="00BB0892">
      <w:pPr>
        <w:spacing w:after="360" w:line="360" w:lineRule="auto"/>
        <w:ind w:right="-159"/>
        <w:jc w:val="both"/>
        <w:rPr>
          <w:rFonts w:eastAsia="Calibri"/>
          <w:b/>
          <w:sz w:val="26"/>
          <w:szCs w:val="26"/>
          <w:lang w:eastAsia="en-US"/>
        </w:rPr>
      </w:pPr>
      <w:r w:rsidRPr="00BB0892">
        <w:rPr>
          <w:rFonts w:eastAsia="Calibri"/>
          <w:b/>
          <w:sz w:val="26"/>
          <w:szCs w:val="26"/>
          <w:lang w:eastAsia="en-US"/>
        </w:rPr>
        <w:t>Observatorio Económico Europa (BBVA Research)</w:t>
      </w:r>
    </w:p>
    <w:p w14:paraId="6D9A6708"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El 18 de marzo de 2015, la sección de Análisis Económico de BBVA Research dio a conocer el Observatorio Económico Europa “Eurozona: el ritmo de crecimiento se consolida a principios de 2015”. A continuación se incluye la información más importante.</w:t>
      </w:r>
    </w:p>
    <w:p w14:paraId="576F8A40"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En los últimos meses, los indicadores de confianza han progresado y se empiezan a reflejar en unos mejores datos de actividad, animados por los bajos precios del petróleo y la depreciación del euro ligada a las medidas del Banco Central Europeo (BCE). Los indicadores de consumo son especialmente positivos.</w:t>
      </w:r>
    </w:p>
    <w:p w14:paraId="6D17AC43" w14:textId="77777777" w:rsidR="00BB0892" w:rsidRPr="00BB0892" w:rsidRDefault="00BB0892" w:rsidP="00BB0892">
      <w:pPr>
        <w:spacing w:after="360"/>
        <w:ind w:right="-159"/>
        <w:jc w:val="both"/>
        <w:rPr>
          <w:rFonts w:eastAsia="Calibri"/>
          <w:b/>
          <w:sz w:val="26"/>
          <w:szCs w:val="26"/>
          <w:lang w:val="es-ES" w:eastAsia="en-US"/>
        </w:rPr>
      </w:pPr>
      <w:r w:rsidRPr="00BB0892">
        <w:rPr>
          <w:rFonts w:eastAsia="Calibri"/>
          <w:b/>
          <w:sz w:val="26"/>
          <w:szCs w:val="26"/>
          <w:lang w:val="es-ES" w:eastAsia="en-US"/>
        </w:rPr>
        <w:t>Eurozona: la depreciación del euro y el petróleo animan la actividad en el primer trimestre de 2015</w:t>
      </w:r>
    </w:p>
    <w:p w14:paraId="40387F93"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 xml:space="preserve">En lo que va del primer trimestre, los indicadores de confianza confirman la fase de recuperación de la economía de la zona euro: tanto el indicador de sentimiento económico de la Comisión Europea (ESI) como el Índice de Gestores de Compras (PMI por sus siglas en inglés) de Markit registran sendos aumentos, consistentes con una </w:t>
      </w:r>
      <w:r w:rsidRPr="00BB0892">
        <w:rPr>
          <w:rFonts w:eastAsia="Calibri"/>
          <w:sz w:val="26"/>
          <w:szCs w:val="26"/>
          <w:lang w:val="es-ES" w:eastAsia="en-US"/>
        </w:rPr>
        <w:lastRenderedPageBreak/>
        <w:t>aceleración moderada de la actividad en el primer trimestre de 2015. Ambas encuestas señalan la mejora del sector servicios y, sobre todo, de la confianza de los consumidores, que se ubica en niveles pre-crisis.</w:t>
      </w:r>
    </w:p>
    <w:p w14:paraId="52830058"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Estas señales se reflejan en la aceleración que las ventas minoristas están experimentando desde el pasado septiembre, al igual que las matriculaciones de coches. También la producción industrial mejora respecto al promedio del cuarto trimestre de 2014, si bien de forma más moderada, apoyada en el aumento de los pedidos manufactureros, especialmente los externos, lo que en los últimos meses se ha reflejado en un fuerte crecimiento de las exportaciones de bienes, aunque al principio de 2015 se registra una moderación de las ventas al exterior.</w:t>
      </w:r>
    </w:p>
    <w:p w14:paraId="06B116ED"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Con la información disponible hasta el momento (datos reales sólo de enero), el modelo de corto plazo MICA-BBVA estima un crecimiento trimestral del Producto Interno Bruto (PIB) de un 0.4% trimestral en el primer trimestre de 2015 (Gráfico 2), algo más que el escenario base, y junto con la ligera sorpresa registrada en el cuarto trimestre de 2014 podría poner un sesgo al alza en la previsión de crecimiento de BBVA del 1.3% para el conjunto de 2015.</w:t>
      </w:r>
    </w:p>
    <w:p w14:paraId="52C9253D"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La tasa de desempleo se ha reducido en diciembre y enero hasta el 11.2%, tras estabilizarse alrededor del 11.5% en el cuarto trimestre de 2014. Sin embargo, la dinámica entre países es distinta: mientras que en Alemania el desempleo continúa disminuyendo hasta mínimos históricos, en Francia no da señales de mejora y en Italia se podría estar registrando un cambio de tendencia positivo, con una reducción de 0.6 puntos porcentuales en los últimos dos meses.</w:t>
      </w:r>
    </w:p>
    <w:p w14:paraId="09A67645"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 xml:space="preserve">La caída de la inflación se moderó en febrero hasta el 0.3% anual debido a la menor caída de los precios de los productos energéticos, pero también por el aumento de los precios de los alimentos, y en menor medida de los servicios. Con todo, la inflación subyacente se mantiene estable en el 0.6% anual. BBVA prevé que la inflación </w:t>
      </w:r>
      <w:r w:rsidRPr="00BB0892">
        <w:rPr>
          <w:rFonts w:eastAsia="Calibri"/>
          <w:sz w:val="26"/>
          <w:szCs w:val="26"/>
          <w:lang w:val="es-ES" w:eastAsia="en-US"/>
        </w:rPr>
        <w:lastRenderedPageBreak/>
        <w:t>continuará en terreno negativo hasta mitad de año, para mantenerse relativamente estable en tasas muy bajas (0.1 a 0.2% anual) hasta final de año cuando repuntará hasta alrededor del 0.8% anual en diciembre, al empezar a diluirse el efecto base de la caída del precio del petróleo.</w:t>
      </w:r>
    </w:p>
    <w:p w14:paraId="5213F820" w14:textId="77777777" w:rsidR="00BB0892" w:rsidRPr="00BB0892" w:rsidRDefault="00BB0892" w:rsidP="00BB0892">
      <w:pPr>
        <w:spacing w:after="360"/>
        <w:ind w:right="-159"/>
        <w:jc w:val="both"/>
        <w:rPr>
          <w:rFonts w:eastAsia="Calibri"/>
          <w:b/>
          <w:sz w:val="26"/>
          <w:szCs w:val="26"/>
          <w:lang w:val="es-ES" w:eastAsia="en-US"/>
        </w:rPr>
      </w:pPr>
      <w:r w:rsidRPr="00BB0892">
        <w:rPr>
          <w:rFonts w:eastAsia="Calibri"/>
          <w:b/>
          <w:sz w:val="26"/>
          <w:szCs w:val="26"/>
          <w:lang w:val="es-ES" w:eastAsia="en-US"/>
        </w:rPr>
        <w:t>Alemania: crecimiento sólido apoyado en el fortalecimiento de los factores domésticos</w:t>
      </w:r>
    </w:p>
    <w:p w14:paraId="6322D344"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En el cuarto trimestre de 2014, el crecimiento del consumo privado siguió siendo robusto (0.8% trimestral), gracias a los altos niveles de la confianza de los consumidores, y unido a la mejora de la inversión (1.2% trimestral) compensó una menor contribución de la demanda externa neta (0.2 puntos porcentuales tras 0.4 en el tercer trimestre de 2014). Esto se debió a una reducción en las diferencias de crecimiento de las importaciones para satisfacer el aumento del gasto privado, y de las exportaciones, a pesar de continuar creciendo a un ritmo sostenido.</w:t>
      </w:r>
    </w:p>
    <w:p w14:paraId="4A0FCA45"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En lo que va del trimestre, los indicadores de confianza se estabilizan en niveles elevados, reflejándose en una mejora de los datos de actividad, con la producción industrial y las ventas minoristas creciendo un 0.8 y un 3.4% por encima de la media del cuarto trimestre de 2014, respectivamente.</w:t>
      </w:r>
    </w:p>
    <w:p w14:paraId="5ACF887D"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Las exportaciones, sin embargo, se han reducido en enero, tras el fuerte aumento de diciembre, tal y como adelantó el enfriamiento de los pedidos industriales recibidos del extranjero. Como resultado de todo ello, el crecimiento esperado este trimestre es de 0.5% trimestral.</w:t>
      </w:r>
    </w:p>
    <w:p w14:paraId="66B411ED" w14:textId="77777777" w:rsidR="00BB0892" w:rsidRPr="00BB0892" w:rsidRDefault="00BB0892" w:rsidP="00BB0892">
      <w:pPr>
        <w:spacing w:after="360" w:line="360" w:lineRule="auto"/>
        <w:ind w:right="-159"/>
        <w:jc w:val="both"/>
        <w:rPr>
          <w:rFonts w:eastAsia="Calibri"/>
          <w:b/>
          <w:sz w:val="26"/>
          <w:szCs w:val="26"/>
          <w:lang w:val="es-ES" w:eastAsia="en-US"/>
        </w:rPr>
      </w:pPr>
      <w:r w:rsidRPr="00BB0892">
        <w:rPr>
          <w:rFonts w:eastAsia="Calibri"/>
          <w:b/>
          <w:sz w:val="26"/>
          <w:szCs w:val="26"/>
          <w:lang w:val="es-ES" w:eastAsia="en-US"/>
        </w:rPr>
        <w:t>Francia: la economía no despega</w:t>
      </w:r>
    </w:p>
    <w:p w14:paraId="2520AE3B"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 xml:space="preserve">La moderación del crecimiento del PIB en el cuarto trimestre de 2014 se debió principalmente a la aportación negativa de inventarios, a un menor aumento del consumo privado (0.2% trimestral) y al cuarto trimestre consecutivo de contracción de </w:t>
      </w:r>
      <w:r w:rsidRPr="00BB0892">
        <w:rPr>
          <w:rFonts w:eastAsia="Calibri"/>
          <w:sz w:val="26"/>
          <w:szCs w:val="26"/>
          <w:lang w:val="es-ES" w:eastAsia="en-US"/>
        </w:rPr>
        <w:lastRenderedPageBreak/>
        <w:t>la inversión, mientras que las exportaciones netas tuvieron una contribución positiva (0.1 punto porcentual).</w:t>
      </w:r>
    </w:p>
    <w:p w14:paraId="71C8CDF2"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Los indicadores de confianza en el primer trimestre de 2015 arrojan señales mixtas: los PMIs apuntan a unas perspectivas más optimistas, en particular en el sector servicios, lo que se refleja en los buenos datos de ventas minoristas que registran un incremento de 0.7% respecto a la media del cuarto trimestre de 2014. Por el contrario, el índice de confianza manufacturero continúa en territorio de contracción, aunque los datos de producción industrial señalan una clara mejora en enero. Los indicadores de confianza nacionales y el ESI son menos positivos que los PMI.</w:t>
      </w:r>
    </w:p>
    <w:p w14:paraId="3F91A5D0"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Por otro lado, el sector exterior ha empezado el primer trimestre con una caída de las exportaciones de bienes, tras el fuerte rebote del cuarto trimestre de 2014. En conjunto, se espera que el crecimiento sea moderado en el primer trimestre de 2015 (0.2% trimestral), similar al del conjunto de la zona euro.</w:t>
      </w:r>
    </w:p>
    <w:p w14:paraId="519301CA" w14:textId="77777777" w:rsidR="00BB0892" w:rsidRPr="00BB0892" w:rsidRDefault="00BB0892" w:rsidP="00BB0892">
      <w:pPr>
        <w:spacing w:after="360" w:line="360" w:lineRule="auto"/>
        <w:ind w:right="-159"/>
        <w:jc w:val="both"/>
        <w:rPr>
          <w:rFonts w:eastAsia="Calibri"/>
          <w:b/>
          <w:sz w:val="26"/>
          <w:szCs w:val="26"/>
          <w:lang w:val="es-ES" w:eastAsia="en-US"/>
        </w:rPr>
      </w:pPr>
      <w:r w:rsidRPr="00BB0892">
        <w:rPr>
          <w:rFonts w:eastAsia="Calibri"/>
          <w:b/>
          <w:sz w:val="26"/>
          <w:szCs w:val="26"/>
          <w:lang w:val="es-ES" w:eastAsia="en-US"/>
        </w:rPr>
        <w:t>Italia: la demanda externa frena la caída del PIB</w:t>
      </w:r>
    </w:p>
    <w:p w14:paraId="0FB88B70"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El estancamiento del PIB en el cuarto trimestre de 2014 fue el resultado del sólido incremento de las exportaciones y de la ligera recuperación de la inversión (0.2% trimestral tras caer en los cinco trimestres anteriores), aunque estuvo compensada por la contribución negativa de inventarios (0.6 puntos porcentuales).</w:t>
      </w:r>
    </w:p>
    <w:p w14:paraId="35C9EE20"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En lo que va del primer trimestre, el índice ESI de la Comisión Europea (al igual que el indicador PMI) ha registrado un importante aumento, y las primeras tímidas señales de mejora del mercado laboral están impulsando la confianza de los hogares.</w:t>
      </w:r>
    </w:p>
    <w:p w14:paraId="1EC1226F"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 xml:space="preserve">Los primeros datos reales disponibles son limitados (producción industrial y exportaciones de enero) y siguen dibujando un escenario negativo, pero los pedidos para exportación podrían estar adelantando que el sector exterior seguirá apoyando la </w:t>
      </w:r>
      <w:r w:rsidRPr="00BB0892">
        <w:rPr>
          <w:rFonts w:eastAsia="Calibri"/>
          <w:sz w:val="26"/>
          <w:szCs w:val="26"/>
          <w:lang w:val="es-ES" w:eastAsia="en-US"/>
        </w:rPr>
        <w:lastRenderedPageBreak/>
        <w:t>recuperación de la actividad en los próximos meses. Con todo ello, los modelos de BBVA apuntan a un crecimiento de 0.2% trimestral en el primer trimestre del año.</w:t>
      </w:r>
    </w:p>
    <w:p w14:paraId="7252C9DF" w14:textId="77777777" w:rsidR="00BB0892" w:rsidRPr="00BB0892" w:rsidRDefault="00BB0892" w:rsidP="00BB0892">
      <w:pPr>
        <w:spacing w:after="360" w:line="360" w:lineRule="auto"/>
        <w:ind w:right="-159"/>
        <w:jc w:val="both"/>
        <w:rPr>
          <w:rFonts w:eastAsia="Calibri"/>
          <w:b/>
          <w:sz w:val="26"/>
          <w:szCs w:val="26"/>
          <w:lang w:val="es-ES" w:eastAsia="en-US"/>
        </w:rPr>
      </w:pPr>
      <w:r w:rsidRPr="00BB0892">
        <w:rPr>
          <w:rFonts w:eastAsia="Calibri"/>
          <w:b/>
          <w:sz w:val="26"/>
          <w:szCs w:val="26"/>
          <w:lang w:val="es-ES" w:eastAsia="en-US"/>
        </w:rPr>
        <w:t>España: el crecimiento económico se acelera apoyado en la demanda interna</w:t>
      </w:r>
    </w:p>
    <w:p w14:paraId="6D177023"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El cuarto trimestre del 2014 se caracterizó por el crecimiento generalizado de la demanda doméstica privada. En particular, volvió a destacar el sólido avance tanto del consumo de los hogares (0.9% trimestral) como de la inversión en maquinaria y equipo (1.8% trimestral). En lo que respecta a la de la demanda externa, se asistió a un estancamiento de las exportaciones (0.0%) y una retracción moderada de las importaciones (0.6% trimestral).</w:t>
      </w:r>
    </w:p>
    <w:p w14:paraId="3735DFEF"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De cara a la apertura del 2015, la información disponible sugiere que la composición del crecimiento podría ser similar a la observada en el cuarto trimestre de 2014. Por el lado de la demanda doméstica privada, no se detectan signos de agotamiento: tanto los indicadores de gasto en consumo y expectativas de los hogares como la evolución de la confianza y la producción industrial señalan que el consumo privado y la inversión en maquinaria y equipo podrían volver a aumentar con fuerza en el primer trimestre de 2015. En lo que respecta a la demanda exterior, las exportaciones podrían mostrar una tímida expansión, avivada por la depreciación del euro y la caída del precio del petróleo.</w:t>
      </w:r>
    </w:p>
    <w:p w14:paraId="28DC98FC" w14:textId="77777777" w:rsidR="00BB0892" w:rsidRPr="00BB0892" w:rsidRDefault="00BB0892" w:rsidP="00BB0892">
      <w:pPr>
        <w:spacing w:after="360" w:line="360" w:lineRule="auto"/>
        <w:ind w:right="-159"/>
        <w:jc w:val="both"/>
        <w:rPr>
          <w:rFonts w:eastAsia="Calibri"/>
          <w:sz w:val="26"/>
          <w:szCs w:val="26"/>
          <w:lang w:val="es-ES" w:eastAsia="en-US"/>
        </w:rPr>
      </w:pPr>
      <w:r w:rsidRPr="00BB0892">
        <w:rPr>
          <w:rFonts w:eastAsia="Calibri"/>
          <w:sz w:val="26"/>
          <w:szCs w:val="26"/>
          <w:lang w:val="es-ES" w:eastAsia="en-US"/>
        </w:rPr>
        <w:t>Las variables observadas hasta el momento indican que la recuperación de la economía prosigue, y el ritmo de expansión se estaría acelerando. El modelo MICA-BBVA estima un crecimiento de 0.9% trimestral en el primer trimestre.</w:t>
      </w:r>
    </w:p>
    <w:p w14:paraId="31E5C820" w14:textId="77777777" w:rsidR="00BB0892" w:rsidRPr="00BB0892" w:rsidRDefault="00BB0892" w:rsidP="00BB0892">
      <w:pPr>
        <w:spacing w:before="360"/>
        <w:ind w:right="-159"/>
        <w:jc w:val="both"/>
        <w:rPr>
          <w:rFonts w:eastAsia="Calibri"/>
          <w:b/>
          <w:sz w:val="20"/>
          <w:szCs w:val="20"/>
          <w:lang w:val="es-ES" w:eastAsia="en-US"/>
        </w:rPr>
      </w:pPr>
      <w:r w:rsidRPr="00BB0892">
        <w:rPr>
          <w:rFonts w:eastAsia="Calibri"/>
          <w:b/>
          <w:sz w:val="20"/>
          <w:szCs w:val="20"/>
          <w:lang w:val="es-ES" w:eastAsia="en-US"/>
        </w:rPr>
        <w:t>Fuente de información:</w:t>
      </w:r>
    </w:p>
    <w:p w14:paraId="573B3F87" w14:textId="77777777" w:rsidR="00BB0892" w:rsidRPr="00E50BF7" w:rsidRDefault="00B9483D" w:rsidP="00BB0892">
      <w:pPr>
        <w:ind w:right="-159"/>
        <w:jc w:val="both"/>
        <w:rPr>
          <w:rFonts w:eastAsia="Calibri"/>
          <w:color w:val="0000FF"/>
          <w:sz w:val="20"/>
          <w:szCs w:val="20"/>
          <w:lang w:eastAsia="en-US"/>
        </w:rPr>
      </w:pPr>
      <w:hyperlink r:id="rId28" w:history="1">
        <w:r w:rsidR="00BB0892" w:rsidRPr="00E50BF7">
          <w:rPr>
            <w:rFonts w:eastAsia="Calibri"/>
            <w:color w:val="0000FF"/>
            <w:sz w:val="20"/>
            <w:szCs w:val="20"/>
            <w:u w:val="single"/>
            <w:lang w:eastAsia="en-US"/>
          </w:rPr>
          <w:t>https://www.bbvaresearch.com/wp-content/uploads/2015/03/EW_marzo15_esp_vAGS_vMJ-13.pdf</w:t>
        </w:r>
      </w:hyperlink>
    </w:p>
    <w:p w14:paraId="1AC26708" w14:textId="77777777" w:rsidR="00BB0892" w:rsidRDefault="00BB0892" w:rsidP="00564C2B">
      <w:pPr>
        <w:spacing w:after="360" w:line="360" w:lineRule="auto"/>
        <w:ind w:right="-159"/>
        <w:jc w:val="both"/>
        <w:rPr>
          <w:rFonts w:eastAsia="Calibri"/>
          <w:sz w:val="26"/>
          <w:szCs w:val="26"/>
          <w:lang w:eastAsia="en-US"/>
        </w:rPr>
      </w:pPr>
    </w:p>
    <w:p w14:paraId="1700F7F6" w14:textId="77777777" w:rsidR="00BB0892" w:rsidRDefault="00BB0892" w:rsidP="00564C2B">
      <w:pPr>
        <w:spacing w:after="360" w:line="360" w:lineRule="auto"/>
        <w:ind w:right="-159"/>
        <w:jc w:val="both"/>
        <w:rPr>
          <w:rFonts w:eastAsia="Calibri"/>
          <w:sz w:val="26"/>
          <w:szCs w:val="26"/>
          <w:lang w:eastAsia="en-US"/>
        </w:rPr>
      </w:pPr>
    </w:p>
    <w:p w14:paraId="62EA6919" w14:textId="77777777" w:rsidR="00117F22" w:rsidRPr="00117F22" w:rsidRDefault="00117F22" w:rsidP="00117F22">
      <w:pPr>
        <w:ind w:right="-159"/>
        <w:jc w:val="both"/>
        <w:rPr>
          <w:rFonts w:eastAsia="Calibri"/>
          <w:b/>
          <w:sz w:val="26"/>
          <w:szCs w:val="26"/>
          <w:lang w:eastAsia="en-US"/>
        </w:rPr>
      </w:pPr>
      <w:r w:rsidRPr="00117F22">
        <w:rPr>
          <w:rFonts w:eastAsia="Calibri"/>
          <w:b/>
          <w:sz w:val="26"/>
          <w:szCs w:val="26"/>
          <w:lang w:eastAsia="en-US"/>
        </w:rPr>
        <w:lastRenderedPageBreak/>
        <w:t>Latinoamérica 2015: recuperación</w:t>
      </w:r>
    </w:p>
    <w:p w14:paraId="55CEDAFE" w14:textId="77777777" w:rsidR="00117F22" w:rsidRPr="00117F22" w:rsidRDefault="00117F22" w:rsidP="00117F22">
      <w:pPr>
        <w:spacing w:after="360" w:line="360" w:lineRule="auto"/>
        <w:ind w:right="-159"/>
        <w:jc w:val="both"/>
        <w:rPr>
          <w:rFonts w:eastAsia="Calibri"/>
          <w:b/>
          <w:sz w:val="26"/>
          <w:szCs w:val="26"/>
          <w:lang w:eastAsia="en-US"/>
        </w:rPr>
      </w:pPr>
      <w:r w:rsidRPr="00117F22">
        <w:rPr>
          <w:rFonts w:eastAsia="Calibri"/>
          <w:b/>
          <w:sz w:val="26"/>
          <w:szCs w:val="26"/>
          <w:lang w:eastAsia="en-US"/>
        </w:rPr>
        <w:t>por barrios (BBVA Research)</w:t>
      </w:r>
    </w:p>
    <w:p w14:paraId="7BB42639" w14:textId="77777777" w:rsidR="00117F22" w:rsidRPr="00117F22" w:rsidRDefault="00117F22" w:rsidP="00117F22">
      <w:pPr>
        <w:spacing w:after="360" w:line="360" w:lineRule="auto"/>
        <w:ind w:right="-159"/>
        <w:jc w:val="both"/>
        <w:rPr>
          <w:rFonts w:eastAsia="Calibri"/>
          <w:sz w:val="26"/>
          <w:szCs w:val="26"/>
          <w:lang w:eastAsia="en-US"/>
        </w:rPr>
      </w:pPr>
      <w:r w:rsidRPr="00117F22">
        <w:rPr>
          <w:rFonts w:eastAsia="Calibri"/>
          <w:sz w:val="26"/>
          <w:szCs w:val="26"/>
          <w:lang w:eastAsia="en-US"/>
        </w:rPr>
        <w:t>El 2 de marzo de 2015, la sección de Análisis Económico de BBVA Reserach publicó el artículo “Latinoamérica 2015: recuperación por barrios”. A continuación se presenta el contenido.</w:t>
      </w:r>
    </w:p>
    <w:p w14:paraId="492B64BF" w14:textId="77777777" w:rsidR="00117F22" w:rsidRPr="00117F22" w:rsidRDefault="00117F22" w:rsidP="00117F22">
      <w:pPr>
        <w:spacing w:after="360" w:line="360" w:lineRule="auto"/>
        <w:ind w:right="-159"/>
        <w:jc w:val="both"/>
        <w:rPr>
          <w:rFonts w:eastAsia="Calibri"/>
          <w:sz w:val="26"/>
          <w:szCs w:val="26"/>
          <w:lang w:eastAsia="en-US"/>
        </w:rPr>
      </w:pPr>
      <w:r w:rsidRPr="00117F22">
        <w:rPr>
          <w:rFonts w:eastAsia="Calibri"/>
          <w:sz w:val="26"/>
          <w:szCs w:val="26"/>
          <w:lang w:eastAsia="en-US"/>
        </w:rPr>
        <w:t>El crecimiento en América Latina sufrió un fuerte bache en 2014, al reducirse al 0.8% para el conjunto de la región. Con todo, los indicadores recientes apuntan a que la desaceleración en Latinoamérica habría acabado ya en el cuarto trimestre de 2014 y que irá de menos a más en el futuro. Pero dentro de este mensaje optimista hay que mantener la cautela por dos factores: la recuperación se circunscribe a unos cuantos países y 2015 traerá retos importantes para la región.</w:t>
      </w:r>
    </w:p>
    <w:p w14:paraId="20C4DFF6" w14:textId="77777777" w:rsidR="00117F22" w:rsidRPr="00117F22" w:rsidRDefault="00117F22" w:rsidP="00117F22">
      <w:pPr>
        <w:spacing w:after="360" w:line="360" w:lineRule="auto"/>
        <w:ind w:right="-159"/>
        <w:jc w:val="both"/>
        <w:rPr>
          <w:rFonts w:eastAsia="Calibri"/>
          <w:sz w:val="26"/>
          <w:szCs w:val="26"/>
          <w:lang w:eastAsia="en-US"/>
        </w:rPr>
      </w:pPr>
      <w:r w:rsidRPr="00117F22">
        <w:rPr>
          <w:rFonts w:eastAsia="Calibri"/>
          <w:sz w:val="26"/>
          <w:szCs w:val="26"/>
          <w:lang w:eastAsia="en-US"/>
        </w:rPr>
        <w:t>En cuanto al primero de los factores, la recuperación es heterogénea en la región. Este año se espera que el crecimiento aumente al 1.5% y que alcance el 2.4% en 2016. Mejores cifras que en 2014, pero aún por debajo del potencial del área más cercano al 3.5%. Pero esa recuperación será muy desigual y la brecha entre países latinoamericanos se ampliará. Frente a un crecimiento promedio de 3.6% en 2015 para la Alianza del Pacífico —México, Colombia, Chile y Perú—, anticipamos el práctico estancamiento de Brasil y del resto de Mercosur Argentina, Venezuela, Uruguay y Paraguay  —en su conjunto—. De hecho, los dos factores que empujarán el crecimiento en América Latina este año serán el crecimiento mundial, sobre todo por el empuje de Estados Unidos de Norteamérica que beneficia principalmente a México, y el impulso de la inversión pública en los tres países andinos de la Alianza del Pacífico.</w:t>
      </w:r>
    </w:p>
    <w:p w14:paraId="3BD09B69" w14:textId="77777777" w:rsidR="00117F22" w:rsidRPr="00117F22" w:rsidRDefault="00117F22" w:rsidP="00117F22">
      <w:pPr>
        <w:spacing w:after="360" w:line="360" w:lineRule="auto"/>
        <w:ind w:right="-159"/>
        <w:jc w:val="both"/>
        <w:rPr>
          <w:rFonts w:eastAsia="Calibri"/>
          <w:sz w:val="26"/>
          <w:szCs w:val="26"/>
          <w:lang w:eastAsia="en-US"/>
        </w:rPr>
      </w:pPr>
      <w:r w:rsidRPr="00117F22">
        <w:rPr>
          <w:rFonts w:eastAsia="Calibri"/>
          <w:sz w:val="26"/>
          <w:szCs w:val="26"/>
          <w:lang w:eastAsia="en-US"/>
        </w:rPr>
        <w:t xml:space="preserve">En segundo lugar, habrá que estar atentos durante 2015 a las curvas en el camino. El aumento del crecimiento esperado puede ser el detonante de una reversión del pesimismo actual de hogares y empresas en países como Perú, Chile o México y puede significar el inicio de un círculo virtuoso de aumento del consumo y de la inversión. </w:t>
      </w:r>
      <w:r w:rsidRPr="00117F22">
        <w:rPr>
          <w:rFonts w:eastAsia="Calibri"/>
          <w:sz w:val="26"/>
          <w:szCs w:val="26"/>
          <w:lang w:eastAsia="en-US"/>
        </w:rPr>
        <w:lastRenderedPageBreak/>
        <w:t>Pero este año, muy probablemente, se produzca el inicio del alza de tasas de interés por parte de la Reserva Federal en Estados Unidos de Norteamérica, lo que impactará negativamente sobre los flujos de capitales a la región y provocará una alta volatilidad en los mercados financieros, especialmente en los países con fundamentales menos sólidos. Además, el proceso de desaceleración controlada en China sigue sujeto a riesgos, por ahora acotados, de un parón abrupto si las autoridades no calibran bien el delicado equilibrio entre mantener cierto estímulo a la actividad y, al mismo tiempo, avanzar en la reducción de sus vulnerabilidades financieras y las del sector público.</w:t>
      </w:r>
    </w:p>
    <w:p w14:paraId="4CE6EA14" w14:textId="77777777" w:rsidR="00117F22" w:rsidRPr="00117F22" w:rsidRDefault="00117F22" w:rsidP="00117F22">
      <w:pPr>
        <w:spacing w:after="360" w:line="360" w:lineRule="auto"/>
        <w:ind w:right="-159"/>
        <w:jc w:val="both"/>
        <w:rPr>
          <w:rFonts w:eastAsia="Calibri"/>
          <w:sz w:val="26"/>
          <w:szCs w:val="26"/>
          <w:lang w:eastAsia="en-US"/>
        </w:rPr>
      </w:pPr>
      <w:r w:rsidRPr="00117F22">
        <w:rPr>
          <w:rFonts w:eastAsia="Calibri"/>
          <w:sz w:val="26"/>
          <w:szCs w:val="26"/>
          <w:lang w:eastAsia="en-US"/>
        </w:rPr>
        <w:t>Sin duda, este panorama para 2015 no deja espacio para la complacencia en América Latina y sigue resaltando la necesidad de encender los motores internos del crecimiento a través de reformas estructurales, como las que ya se están haciendo en algunos países de la región.</w:t>
      </w:r>
    </w:p>
    <w:p w14:paraId="51AEE06C" w14:textId="77777777" w:rsidR="00117F22" w:rsidRPr="00117F22" w:rsidRDefault="00117F22" w:rsidP="00117F22">
      <w:pPr>
        <w:ind w:right="-159"/>
        <w:jc w:val="both"/>
        <w:rPr>
          <w:rFonts w:eastAsia="Calibri"/>
          <w:b/>
          <w:sz w:val="20"/>
          <w:szCs w:val="26"/>
          <w:lang w:eastAsia="en-US"/>
        </w:rPr>
      </w:pPr>
      <w:r w:rsidRPr="00117F22">
        <w:rPr>
          <w:rFonts w:eastAsia="Calibri"/>
          <w:b/>
          <w:sz w:val="20"/>
          <w:szCs w:val="26"/>
          <w:lang w:eastAsia="en-US"/>
        </w:rPr>
        <w:t>Fuente de información:</w:t>
      </w:r>
    </w:p>
    <w:p w14:paraId="3CE4834C" w14:textId="77777777" w:rsidR="00117F22" w:rsidRPr="00E50BF7" w:rsidRDefault="00B9483D" w:rsidP="00E50BF7">
      <w:pPr>
        <w:spacing w:after="720"/>
        <w:ind w:right="-159"/>
        <w:jc w:val="both"/>
        <w:rPr>
          <w:rFonts w:eastAsia="Calibri"/>
          <w:color w:val="0000FF"/>
          <w:sz w:val="20"/>
          <w:szCs w:val="20"/>
          <w:lang w:eastAsia="en-US"/>
        </w:rPr>
      </w:pPr>
      <w:hyperlink r:id="rId29" w:history="1">
        <w:r w:rsidR="00117F22" w:rsidRPr="00E50BF7">
          <w:rPr>
            <w:rFonts w:eastAsia="Calibri"/>
            <w:color w:val="0000FF"/>
            <w:sz w:val="20"/>
            <w:szCs w:val="20"/>
            <w:u w:val="single"/>
            <w:lang w:eastAsia="en-US"/>
          </w:rPr>
          <w:t>https://www.bbvaresearch.com/wp-content/uploads/pdf/3220_66266.pdf</w:t>
        </w:r>
      </w:hyperlink>
      <w:r w:rsidR="00117F22" w:rsidRPr="00E50BF7">
        <w:rPr>
          <w:rFonts w:eastAsia="Calibri"/>
          <w:color w:val="0000FF"/>
          <w:sz w:val="20"/>
          <w:szCs w:val="20"/>
          <w:lang w:eastAsia="en-US"/>
        </w:rPr>
        <w:t xml:space="preserve"> </w:t>
      </w:r>
    </w:p>
    <w:p w14:paraId="55FC9DDF" w14:textId="77777777" w:rsidR="0051641C" w:rsidRPr="0051641C" w:rsidRDefault="0051641C" w:rsidP="0051641C">
      <w:pPr>
        <w:ind w:right="-159"/>
        <w:jc w:val="both"/>
        <w:rPr>
          <w:rFonts w:eastAsia="Calibri"/>
          <w:b/>
          <w:sz w:val="26"/>
          <w:szCs w:val="26"/>
          <w:lang w:eastAsia="en-US"/>
        </w:rPr>
      </w:pPr>
      <w:r w:rsidRPr="0051641C">
        <w:rPr>
          <w:rFonts w:eastAsia="Calibri"/>
          <w:b/>
          <w:sz w:val="26"/>
          <w:szCs w:val="26"/>
          <w:lang w:eastAsia="en-US"/>
        </w:rPr>
        <w:t>Por su necesidad de exportar, Brasil busca</w:t>
      </w:r>
    </w:p>
    <w:p w14:paraId="574166BA" w14:textId="77777777" w:rsidR="0051641C" w:rsidRPr="0051641C" w:rsidRDefault="0051641C" w:rsidP="0051641C">
      <w:pPr>
        <w:ind w:right="-159"/>
        <w:jc w:val="both"/>
        <w:rPr>
          <w:rFonts w:eastAsia="Calibri"/>
          <w:b/>
          <w:sz w:val="26"/>
          <w:szCs w:val="26"/>
          <w:lang w:eastAsia="en-US"/>
        </w:rPr>
      </w:pPr>
      <w:r w:rsidRPr="0051641C">
        <w:rPr>
          <w:rFonts w:eastAsia="Calibri"/>
          <w:b/>
          <w:sz w:val="26"/>
          <w:szCs w:val="26"/>
          <w:lang w:eastAsia="en-US"/>
        </w:rPr>
        <w:t>mejorar las relaciones con Estados Unidos</w:t>
      </w:r>
    </w:p>
    <w:p w14:paraId="030ECAEF" w14:textId="77777777" w:rsidR="0051641C" w:rsidRPr="0051641C" w:rsidRDefault="0051641C" w:rsidP="0051641C">
      <w:pPr>
        <w:spacing w:after="360" w:line="360" w:lineRule="auto"/>
        <w:ind w:right="-159"/>
        <w:jc w:val="both"/>
        <w:rPr>
          <w:rFonts w:eastAsia="Calibri"/>
          <w:b/>
          <w:sz w:val="26"/>
          <w:szCs w:val="26"/>
          <w:lang w:eastAsia="en-US"/>
        </w:rPr>
      </w:pPr>
      <w:r w:rsidRPr="0051641C">
        <w:rPr>
          <w:rFonts w:eastAsia="Calibri"/>
          <w:b/>
          <w:sz w:val="26"/>
          <w:szCs w:val="26"/>
          <w:lang w:eastAsia="en-US"/>
        </w:rPr>
        <w:t>de Norteamérica (WSJ)</w:t>
      </w:r>
    </w:p>
    <w:p w14:paraId="698BF2BC"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El 9 de marzo de 2015, el periódico </w:t>
      </w:r>
      <w:r w:rsidRPr="0051641C">
        <w:rPr>
          <w:rFonts w:eastAsia="Calibri"/>
          <w:i/>
          <w:sz w:val="26"/>
          <w:szCs w:val="26"/>
          <w:lang w:eastAsia="en-US"/>
        </w:rPr>
        <w:t>The Wall Street Journal</w:t>
      </w:r>
      <w:r w:rsidRPr="0051641C">
        <w:rPr>
          <w:rFonts w:eastAsia="Calibri"/>
          <w:sz w:val="26"/>
          <w:szCs w:val="26"/>
          <w:lang w:eastAsia="en-US"/>
        </w:rPr>
        <w:t xml:space="preserve"> (WSJ) informó que Brasil busca mejorar las relaciones con Estados Unidos de Norteamérica. A continuación se presenta la nota.</w:t>
      </w:r>
    </w:p>
    <w:p w14:paraId="38EC142E"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La amenaza de una recesión está empujando a la Presidenta de Brasil, a tratar de mejorar las relaciones con Estados Unidos de Norteamérica y superar un caso de espionaje que había tensado las relaciones entre los dos países.</w:t>
      </w:r>
    </w:p>
    <w:p w14:paraId="53CEF92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lastRenderedPageBreak/>
        <w:t xml:space="preserve">En un momento en que el crecimiento se ha estancado, el intercambio comercial con China se ha moderado y el consumo interno se ha replegado, Brasil necesita con urgencia impulsar sus exportaciones. </w:t>
      </w:r>
    </w:p>
    <w:p w14:paraId="463A5D0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Estados Unidos de Norteamérica, el mercado de consumo más importante del mundo, se ha convertido en un blanco para la ofensiva diplomática.</w:t>
      </w:r>
    </w:p>
    <w:p w14:paraId="4810F23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La urgencia quedó en evidencia la semana pasada, cuando Brasil anunció que el déficit comercial de febrero llegó a 2 mil 800 millones de dólares, el peor desempeño mensual desde 1980. </w:t>
      </w:r>
    </w:p>
    <w:p w14:paraId="4D2A4702"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El año pasado, las exportaciones brasileñas a cada región se han desplomado, con una excepción: las ventas a Estados Unidos de Norteamérica crecieron 8.9%, gracias en gran parte a las compras de aviones brasileños.</w:t>
      </w:r>
    </w:p>
    <w:p w14:paraId="69F2F5AF" w14:textId="4FED7A51"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El Ministro de Desarrollo, Industria y Comercio Exterior se convirtió el mes pasado en el primer miembro del nuevo equipo económico de la Presidenta de Brasil en visitar Estados Unidos de Norteamérica desde que la mandataria comenzó su segundo período el 1° de enero. El ministro de Hacienda también se reunió en febrero con inversionistas en Washington y Nueva York.</w:t>
      </w:r>
    </w:p>
    <w:p w14:paraId="28C8323D" w14:textId="77777777" w:rsidR="0051641C" w:rsidRPr="0051641C" w:rsidRDefault="0051641C" w:rsidP="0051641C">
      <w:pPr>
        <w:spacing w:after="360" w:line="360" w:lineRule="auto"/>
        <w:ind w:right="-159"/>
        <w:jc w:val="center"/>
        <w:rPr>
          <w:rFonts w:eastAsia="Calibri"/>
          <w:sz w:val="26"/>
          <w:szCs w:val="26"/>
          <w:lang w:eastAsia="en-US"/>
        </w:rPr>
      </w:pPr>
      <w:r w:rsidRPr="0051641C">
        <w:rPr>
          <w:rFonts w:ascii="Calibri" w:eastAsia="Calibri" w:hAnsi="Calibri"/>
          <w:noProof/>
          <w:sz w:val="22"/>
          <w:szCs w:val="22"/>
          <w:lang w:eastAsia="es-MX"/>
        </w:rPr>
        <w:lastRenderedPageBreak/>
        <w:drawing>
          <wp:inline distT="0" distB="0" distL="0" distR="0" wp14:anchorId="431CA907" wp14:editId="3D8D5CC4">
            <wp:extent cx="3210467" cy="37800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0467" cy="3780000"/>
                    </a:xfrm>
                    <a:prstGeom prst="rect">
                      <a:avLst/>
                    </a:prstGeom>
                    <a:noFill/>
                    <a:ln>
                      <a:noFill/>
                    </a:ln>
                  </pic:spPr>
                </pic:pic>
              </a:graphicData>
            </a:graphic>
          </wp:inline>
        </w:drawing>
      </w:r>
    </w:p>
    <w:p w14:paraId="233C04B6" w14:textId="7598AB22"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Bras</w:t>
      </w:r>
      <w:r w:rsidR="00E50BF7">
        <w:rPr>
          <w:rFonts w:eastAsia="Calibri"/>
          <w:sz w:val="26"/>
          <w:szCs w:val="26"/>
          <w:lang w:eastAsia="en-US"/>
        </w:rPr>
        <w:t>i</w:t>
      </w:r>
      <w:r w:rsidRPr="0051641C">
        <w:rPr>
          <w:rFonts w:eastAsia="Calibri"/>
          <w:sz w:val="26"/>
          <w:szCs w:val="26"/>
          <w:lang w:eastAsia="en-US"/>
        </w:rPr>
        <w:t>lia y Washington trabajan en los planes para un viaje de la Presidenta de Brasil a Estados Unidos de Norteamérica este año, tras la cancelación de una visita de estado al Presidente de los Estados Unidos de Norteamérica. El encuentro ayudaría a aliviar las tensiones que se iniciaron a mediados de 2013, después de que el ex empleado de la Agencia de Seguridad Nacional de Estados Unidos de Norteamérica (NSA, por sus siglas en inglés), reveló el espionaje estadounidense sobre empresas y ciudadanos brasileños, entre ellos la propia Presidenta de Brasil.</w:t>
      </w:r>
    </w:p>
    <w:p w14:paraId="508D7695"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La mandataria ha solicitado una disculpa formal del gobierno estadounidense, pero colaboradores cercanos dicen que el gobierno está satisfecho con las medidas adoptadas por Washington para cambiar los procedimientos de la NSA con respecto a líderes extranjeros.</w:t>
      </w:r>
    </w:p>
    <w:p w14:paraId="5E0B225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lastRenderedPageBreak/>
        <w:t>Otro funcionario brasileño lo expresa de otro modo: “Es un hecho importante, Brasil necesita exportar más, así que necesita lazos más estrechos con Estados Unidos de Norteamérica”.</w:t>
      </w:r>
    </w:p>
    <w:p w14:paraId="6C327418"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Washington, a su vez, podría beneficiarse de una renovada amistad con la democracia más grande de América Latina, cuyo liderazgo es respetado en la región. Aunque Estados Unidos de Norteamérica y Brasil han chocado sobre Cuba y otros temas, la influencia brasileña sobre líderes hostiles a los intereses estadounidenses podría ayudar a abrir puertas a Washington, dice el Presidente emérito de Diálogo Interamericano, un centro de estudios. “Una mejor relación con Brasil (...) significaría, en sí mismo, una mejor relación con América Latina”, observa el Presidente emérito.</w:t>
      </w:r>
    </w:p>
    <w:p w14:paraId="669CB7E6"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El nuevo acercamiento a Estados Unidos de Norteamérica representa un giro para el gobierno de izquierda de Brasil, que asumió el poder en 2003 y se benefició de un auge de las materias primas durante casi una década. </w:t>
      </w:r>
    </w:p>
    <w:p w14:paraId="2547E413"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Brasília se centró en expandir su comercio con China, que en 2009 superó a Estados Unidos de Norteamérica como el mayor socio comercial de Brasil al absorber soya, mineral de hierro y otros recursos naturales.</w:t>
      </w:r>
    </w:p>
    <w:p w14:paraId="5205677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El entonces Presidente, Luiz Inácio Lula da Silva, chocó más de una vez con Washington conforme Brasil mostraba su independencia de las políticas estadounidenses. </w:t>
      </w:r>
    </w:p>
    <w:p w14:paraId="34604EA0"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Lula criticó el embargo estadounidense sobre Cuba, apoyó al Presidente venezolano, Hugo Chávez, y defendió el derecho de Irán a desarrollar combustible nuclear con fines pacíficos.</w:t>
      </w:r>
    </w:p>
    <w:p w14:paraId="6DB521A5" w14:textId="42DB19E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La Presidenta de Brasil</w:t>
      </w:r>
      <w:r w:rsidR="00474955">
        <w:rPr>
          <w:rFonts w:eastAsia="Calibri"/>
          <w:sz w:val="26"/>
          <w:szCs w:val="26"/>
          <w:lang w:eastAsia="en-US"/>
        </w:rPr>
        <w:t>,</w:t>
      </w:r>
      <w:r w:rsidRPr="0051641C">
        <w:rPr>
          <w:rFonts w:eastAsia="Calibri"/>
          <w:sz w:val="26"/>
          <w:szCs w:val="26"/>
          <w:lang w:eastAsia="en-US"/>
        </w:rPr>
        <w:t xml:space="preserve"> quien asumió la presidencia en 2011, siguió en gran medida el libreto de su mentor durante su primer período. Apoyó a Nicolás Maduro, el sucesor y </w:t>
      </w:r>
      <w:r w:rsidRPr="0051641C">
        <w:rPr>
          <w:rFonts w:eastAsia="Calibri"/>
          <w:sz w:val="26"/>
          <w:szCs w:val="26"/>
          <w:lang w:eastAsia="en-US"/>
        </w:rPr>
        <w:lastRenderedPageBreak/>
        <w:t>heredero político de Chávez, y el año pasado celebró la inauguración de la primera sección de un puerto que Brasil está financiando en Mariel, Cuba.</w:t>
      </w:r>
    </w:p>
    <w:p w14:paraId="58D8A8C2"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Brasil también se ha mantenido fiel al bloque comercial sudamericano Mercosur, que también incluye a Argentina, Uruguay, Paraguay y Venezuela.</w:t>
      </w:r>
    </w:p>
    <w:p w14:paraId="0ACEF106"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El panorama, sin embargo, está cambiando rápidamente y la Presidenta de Brasil se ha visto en la necesidad de ajustarse, al menos en lo que respecta al comercio. </w:t>
      </w:r>
    </w:p>
    <w:p w14:paraId="40011ECA"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Ahora que el crecimiento de China se ha reducido de 14.2% en 2007 a 7.4% en 2014, el gigante asiático ha reducido sus compras de materias primas brasileñas. El comercio con los miembros del Mercosur también se ha desacelerado. </w:t>
      </w:r>
    </w:p>
    <w:p w14:paraId="0606FA49"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Brasil registró un déficit comercial de 4 mil  millones de dólares el año pasado, el primero desde 2000, según cifras del Ministerio de Comercio. En lo que va del año, el déficit ya alcanza alrededor de 6 mil millones de dólares.</w:t>
      </w:r>
    </w:p>
    <w:p w14:paraId="54BC8042"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“La estrategia de sur a sur funcionó durante los años de Da Silva, pero ya no”, dice el profesor de relaciones internacionales, refiriéndose al intento del ex presidente de estrechar los lazos con Sudamérica y otros mercados emergentes. “Las relaciones con Estados Unidos de Norteamérica tienen un mayor potencial”. </w:t>
      </w:r>
    </w:p>
    <w:p w14:paraId="5E915797"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De hecho, mientras China compra principalmente commodities a Brasil, más de la mitad de las compras estadounidenses corresponden a bienes con un alto valor agregado como aviones y maquinaria. </w:t>
      </w:r>
    </w:p>
    <w:p w14:paraId="08DA201D"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En momentos en que la economía estadounidense registra un buen desempeño y la depreciación del real ha abaratado las exportaciones brasileñas, las firmas brasileñas vislumbran una oportunidad para incrementar sus ventas en Estados Unidos de Norteamérica.</w:t>
      </w:r>
    </w:p>
    <w:p w14:paraId="330EAD5C"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lastRenderedPageBreak/>
        <w:t xml:space="preserve">Estados Unidos de Norteamérica alcanzó un superávit de 12 mil 100 millones de dólares con Brasil el año pasado, según la Oficina del Censo estadounidense, liderado por las exportaciones de químicos, equipos de transporte y productos informáticos y electrónicos. En los últimos años, las dos naciones han resuelto disputas sobre algodón y etanol. </w:t>
      </w:r>
    </w:p>
    <w:p w14:paraId="551D7E6F"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Los diplomáticos en ambas partes aún están decidiendo qué debería incluirse en la agenda este año, según una fuente al tanto en Brasil.</w:t>
      </w:r>
    </w:p>
    <w:p w14:paraId="67884442"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Un funcionario de ese país dijo que un tema probable es un acuerdo para evitar la doble tributación de la inversión extranjera. Un pacto general para reducir la burocracia en el comercio bilateral probablemente también será parte de las conversaciones, agregó el funcionario. </w:t>
      </w:r>
    </w:p>
    <w:p w14:paraId="71AF934E"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A principios de este mes, dicen funcionarios brasileños, cuando el Ministro de Desarrollo, Industria y Comercio Exterior se reunió en Washington con su contraparte estadounidense, la Secretaria de Comercio, y el Representante comercial de Estados Unidos de Norteamérica, los países analizaron trabajar juntos para promover el uso internacional del etanol. </w:t>
      </w:r>
    </w:p>
    <w:p w14:paraId="77B316C9"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“Brasil siempre ha tenido un entendimiento de la importancia de la relación con Estados Unidos de Norteamérica”, observó el Ministro de Desarrollo, Industria y Comercio Exterior en Washington. “Lo vemos como una gran prioridad”.</w:t>
      </w:r>
    </w:p>
    <w:p w14:paraId="2C7E1C2D" w14:textId="77777777" w:rsidR="0051641C" w:rsidRPr="0051641C" w:rsidRDefault="0051641C" w:rsidP="0051641C">
      <w:pPr>
        <w:ind w:right="-159"/>
        <w:jc w:val="both"/>
        <w:rPr>
          <w:rFonts w:eastAsia="Calibri"/>
          <w:b/>
          <w:sz w:val="20"/>
          <w:szCs w:val="26"/>
          <w:lang w:eastAsia="en-US"/>
        </w:rPr>
      </w:pPr>
      <w:r w:rsidRPr="0051641C">
        <w:rPr>
          <w:rFonts w:eastAsia="Calibri"/>
          <w:b/>
          <w:sz w:val="20"/>
          <w:szCs w:val="26"/>
          <w:lang w:eastAsia="en-US"/>
        </w:rPr>
        <w:t>Fuente de información:</w:t>
      </w:r>
    </w:p>
    <w:p w14:paraId="7D0BA743" w14:textId="77777777" w:rsidR="0051641C" w:rsidRPr="00E50BF7" w:rsidRDefault="00B9483D" w:rsidP="0051641C">
      <w:pPr>
        <w:ind w:right="-159"/>
        <w:jc w:val="both"/>
        <w:rPr>
          <w:rFonts w:eastAsia="Calibri"/>
          <w:color w:val="0000FF"/>
          <w:sz w:val="20"/>
          <w:szCs w:val="20"/>
          <w:lang w:eastAsia="en-US"/>
        </w:rPr>
      </w:pPr>
      <w:hyperlink r:id="rId31" w:history="1">
        <w:r w:rsidR="0051641C" w:rsidRPr="00E50BF7">
          <w:rPr>
            <w:rFonts w:eastAsia="Calibri"/>
            <w:color w:val="0000FF"/>
            <w:sz w:val="20"/>
            <w:szCs w:val="20"/>
            <w:u w:val="single"/>
            <w:lang w:eastAsia="en-US"/>
          </w:rPr>
          <w:t>http://lat.wsj.com/articles/SB10722811844060803467804580506630343386578?tesla=y</w:t>
        </w:r>
      </w:hyperlink>
      <w:r w:rsidR="0051641C" w:rsidRPr="00E50BF7">
        <w:rPr>
          <w:rFonts w:eastAsia="Calibri"/>
          <w:color w:val="0000FF"/>
          <w:sz w:val="20"/>
          <w:szCs w:val="20"/>
          <w:lang w:eastAsia="en-US"/>
        </w:rPr>
        <w:t xml:space="preserve"> </w:t>
      </w:r>
    </w:p>
    <w:p w14:paraId="3F4DECE8" w14:textId="77777777" w:rsidR="0051641C" w:rsidRDefault="0051641C" w:rsidP="00564C2B">
      <w:pPr>
        <w:spacing w:after="360" w:line="360" w:lineRule="auto"/>
        <w:ind w:right="-159"/>
        <w:jc w:val="both"/>
        <w:rPr>
          <w:rFonts w:eastAsia="Calibri"/>
          <w:sz w:val="26"/>
          <w:szCs w:val="26"/>
          <w:lang w:eastAsia="en-US"/>
        </w:rPr>
      </w:pPr>
    </w:p>
    <w:p w14:paraId="2B865121" w14:textId="77777777" w:rsidR="0051641C" w:rsidRDefault="0051641C" w:rsidP="00564C2B">
      <w:pPr>
        <w:spacing w:after="360" w:line="360" w:lineRule="auto"/>
        <w:ind w:right="-159"/>
        <w:jc w:val="both"/>
        <w:rPr>
          <w:rFonts w:eastAsia="Calibri"/>
          <w:sz w:val="26"/>
          <w:szCs w:val="26"/>
          <w:lang w:eastAsia="en-US"/>
        </w:rPr>
      </w:pPr>
    </w:p>
    <w:p w14:paraId="5AE33874" w14:textId="77777777" w:rsidR="0051641C" w:rsidRDefault="0051641C" w:rsidP="00564C2B">
      <w:pPr>
        <w:spacing w:after="360" w:line="360" w:lineRule="auto"/>
        <w:ind w:right="-159"/>
        <w:jc w:val="both"/>
        <w:rPr>
          <w:rFonts w:eastAsia="Calibri"/>
          <w:sz w:val="26"/>
          <w:szCs w:val="26"/>
          <w:lang w:eastAsia="en-US"/>
        </w:rPr>
      </w:pPr>
    </w:p>
    <w:p w14:paraId="7F955C06" w14:textId="77777777" w:rsidR="00F4030A" w:rsidRPr="00F4030A" w:rsidRDefault="00F4030A" w:rsidP="00F4030A">
      <w:pPr>
        <w:spacing w:after="360" w:line="360" w:lineRule="auto"/>
        <w:ind w:right="-159"/>
        <w:jc w:val="both"/>
        <w:rPr>
          <w:rFonts w:eastAsia="Calibri"/>
          <w:b/>
          <w:sz w:val="26"/>
          <w:szCs w:val="26"/>
          <w:lang w:eastAsia="en-US"/>
        </w:rPr>
      </w:pPr>
      <w:r w:rsidRPr="00F4030A">
        <w:rPr>
          <w:rFonts w:eastAsia="Calibri"/>
          <w:b/>
          <w:sz w:val="26"/>
          <w:szCs w:val="26"/>
          <w:lang w:eastAsia="en-US"/>
        </w:rPr>
        <w:lastRenderedPageBreak/>
        <w:t>China rebaja su previsión de crecimiento anual al 7% (WSJ)</w:t>
      </w:r>
    </w:p>
    <w:p w14:paraId="1FF83F94"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 xml:space="preserve">El 5 de marzo de 2015, el periódico </w:t>
      </w:r>
      <w:r w:rsidRPr="00F4030A">
        <w:rPr>
          <w:rFonts w:eastAsia="Calibri"/>
          <w:i/>
          <w:sz w:val="26"/>
          <w:szCs w:val="26"/>
          <w:lang w:eastAsia="en-US"/>
        </w:rPr>
        <w:t>The Wall Street Journal</w:t>
      </w:r>
      <w:r w:rsidRPr="00F4030A">
        <w:rPr>
          <w:rFonts w:eastAsia="Calibri"/>
          <w:sz w:val="26"/>
          <w:szCs w:val="26"/>
          <w:lang w:eastAsia="en-US"/>
        </w:rPr>
        <w:t xml:space="preserve"> (WSJ) publicó la nota “China rebaja su previsión de crecimiento anual al 7%”, a continuación se presentan los detalles.</w:t>
      </w:r>
    </w:p>
    <w:p w14:paraId="11ABCBBD"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gobierno de China rebajó al 7% su previsión de crecimiento para 2015 durante la apertura del mayor evento político del año.</w:t>
      </w:r>
    </w:p>
    <w:p w14:paraId="06B3C344"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dato indica que el gobierno no tomará medidas drásticas para impulsar el crecimiento por encima del nivel del año pasado, del 7.4%, el más bajo en cerca de 25 años. Al mismo tiempo, los dirigentes se mostraron preocupados por que una mayor reducción del crecimiento provoque un incremento del desempleo y de las tensiones sociales.</w:t>
      </w:r>
    </w:p>
    <w:p w14:paraId="3956C49F" w14:textId="3CBAFE89"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 xml:space="preserve">Durante su comparecencia ante los legisladores del país, el </w:t>
      </w:r>
      <w:r w:rsidR="00474955">
        <w:rPr>
          <w:rFonts w:eastAsia="Calibri"/>
          <w:sz w:val="26"/>
          <w:szCs w:val="26"/>
          <w:lang w:eastAsia="en-US"/>
        </w:rPr>
        <w:t>P</w:t>
      </w:r>
      <w:r w:rsidRPr="00F4030A">
        <w:rPr>
          <w:rFonts w:eastAsia="Calibri"/>
          <w:sz w:val="26"/>
          <w:szCs w:val="26"/>
          <w:lang w:eastAsia="en-US"/>
        </w:rPr>
        <w:t xml:space="preserve">rimer </w:t>
      </w:r>
      <w:r w:rsidR="00474955">
        <w:rPr>
          <w:rFonts w:eastAsia="Calibri"/>
          <w:sz w:val="26"/>
          <w:szCs w:val="26"/>
          <w:lang w:eastAsia="en-US"/>
        </w:rPr>
        <w:t>M</w:t>
      </w:r>
      <w:r w:rsidR="00E50BF7">
        <w:rPr>
          <w:rFonts w:eastAsia="Calibri"/>
          <w:sz w:val="26"/>
          <w:szCs w:val="26"/>
          <w:lang w:eastAsia="en-US"/>
        </w:rPr>
        <w:t>inistro</w:t>
      </w:r>
      <w:r w:rsidRPr="00F4030A">
        <w:rPr>
          <w:rFonts w:eastAsia="Calibri"/>
          <w:sz w:val="26"/>
          <w:szCs w:val="26"/>
          <w:lang w:eastAsia="en-US"/>
        </w:rPr>
        <w:t xml:space="preserve"> enumeró los desafíos que afronta la economía china, incluidos un renqueante crecimiento de la inversión, el exceso de capacidad, las presiones deflacionistas y el aumento de la demanda pública de mejores servicios sociales.</w:t>
      </w:r>
    </w:p>
    <w:p w14:paraId="50C1D516"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nuevo objetivo “tiene en cuenta lo que se necesita y lo que es posible”, en la apertura de la Asamblea Popular china.</w:t>
      </w:r>
    </w:p>
    <w:p w14:paraId="37189837"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Primer Ministro de China utilizó el jueves un tono más sobrio que en discursos anteriores. En varias ocasiones hizo referencia a la necesidad de no dejar que el crecimiento se reduzca más. Pidió una “tasa de crecimiento en un nivel medio-alto” y sugirió que una caída por debajo de dicho nivel frenaría un aumento de las rentas. Esto situaría a China en un punto en que no podría crear suficiente empleo ni financiar la transición hacia una economía dirigida por los servicios, las pequeñas empresas y las compañías innovadoras.</w:t>
      </w:r>
    </w:p>
    <w:p w14:paraId="45944D0C"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lastRenderedPageBreak/>
        <w:t>Esta coyuntura sugiere que las empresas podrían afrontar otro año complicado en China, tradicionalmente una fuente de fuerte crecimiento de las ventas. El año pasado, el repunte de las ventas minoristas se desaceleró y los mercados —desde los de coches a los de bienes de consumo— muestran signos de debilidad.</w:t>
      </w:r>
    </w:p>
    <w:p w14:paraId="655CA1BE"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A nivel nacional, la demanda parece floja. Pese a que la política monetaria tiende a relajarse, muchas compañías chinas no quieren pedir préstamos o expandirse dada la frágil demanda. Las compañías pequeñas que piden créditos aseguran que los bancos no son receptivos por el temor a la morosidad.</w:t>
      </w:r>
    </w:p>
    <w:p w14:paraId="2DB5F4CE"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 xml:space="preserve">“Unas tasas de interés más bajas no son tanta ayuda”, afirma el Director General de </w:t>
      </w:r>
      <w:r w:rsidRPr="00F4030A">
        <w:rPr>
          <w:rFonts w:eastAsia="Calibri"/>
          <w:i/>
          <w:sz w:val="26"/>
          <w:szCs w:val="26"/>
          <w:lang w:eastAsia="en-US"/>
        </w:rPr>
        <w:t>Ake Electronics</w:t>
      </w:r>
      <w:r w:rsidRPr="00F4030A">
        <w:rPr>
          <w:rFonts w:eastAsia="Calibri"/>
          <w:sz w:val="26"/>
          <w:szCs w:val="26"/>
          <w:lang w:eastAsia="en-US"/>
        </w:rPr>
        <w:t>, fabricante de dispositivos inteligentes en la ciudad de Foshan.</w:t>
      </w:r>
    </w:p>
    <w:p w14:paraId="387D4333"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El Primer Ministro de China también se comprometió a impulsar reformas fiscales este año, incluido un uso generalizado del Impuesto de Valor Agregado y una expansión de los impuestos a los recursos básicos, para ayudar a reequilibrar la economía.</w:t>
      </w:r>
    </w:p>
    <w:p w14:paraId="3887D67E"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“Dedicaremos serios esfuerzos a completar una reforma fiscal sustituyendo el impuesto a las empresas por un Impuesto de Valor Añadido generalizado”, dijo el Primer Ministro de China.</w:t>
      </w:r>
    </w:p>
    <w:p w14:paraId="4E3C66E1"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La reforma del Impuesto al Valor Agregado (IVA), lanzada en 2012 de forma experimental, es un pilar central del programa del gobierno de China para reequilibrar la economía, alejándola de las manufacturas, más intensivas en capital, para centrarse en los servicios.</w:t>
      </w:r>
    </w:p>
    <w:p w14:paraId="7E43AE09" w14:textId="77777777" w:rsidR="00F4030A" w:rsidRPr="00F4030A" w:rsidRDefault="00F4030A" w:rsidP="00F4030A">
      <w:pPr>
        <w:spacing w:after="360" w:line="360" w:lineRule="auto"/>
        <w:ind w:right="-159"/>
        <w:jc w:val="both"/>
        <w:rPr>
          <w:rFonts w:eastAsia="Calibri"/>
          <w:sz w:val="26"/>
          <w:szCs w:val="26"/>
          <w:lang w:eastAsia="en-US"/>
        </w:rPr>
      </w:pPr>
      <w:r w:rsidRPr="00F4030A">
        <w:rPr>
          <w:rFonts w:eastAsia="Calibri"/>
          <w:sz w:val="26"/>
          <w:szCs w:val="26"/>
          <w:lang w:eastAsia="en-US"/>
        </w:rPr>
        <w:t>Según el programa, las compañías solo pagarán los impuestos correspondientes al IVA, que suelen ser inferiores al impuesto empresarial.</w:t>
      </w:r>
    </w:p>
    <w:p w14:paraId="0578897B" w14:textId="77777777" w:rsidR="00F4030A" w:rsidRPr="00F4030A" w:rsidRDefault="00F4030A" w:rsidP="00F4030A">
      <w:pPr>
        <w:ind w:right="-159"/>
        <w:jc w:val="both"/>
        <w:rPr>
          <w:rFonts w:eastAsia="Calibri"/>
          <w:b/>
          <w:sz w:val="20"/>
          <w:szCs w:val="20"/>
          <w:lang w:eastAsia="en-US"/>
        </w:rPr>
      </w:pPr>
      <w:r w:rsidRPr="00F4030A">
        <w:rPr>
          <w:rFonts w:eastAsia="Calibri"/>
          <w:b/>
          <w:sz w:val="20"/>
          <w:szCs w:val="20"/>
          <w:lang w:eastAsia="en-US"/>
        </w:rPr>
        <w:t>Fuente de información:</w:t>
      </w:r>
    </w:p>
    <w:p w14:paraId="7C3EF10C" w14:textId="77777777" w:rsidR="00F4030A" w:rsidRPr="00E50BF7" w:rsidRDefault="00B9483D" w:rsidP="00F4030A">
      <w:pPr>
        <w:ind w:right="-159"/>
        <w:jc w:val="both"/>
        <w:rPr>
          <w:rFonts w:eastAsia="Calibri"/>
          <w:color w:val="0000FF"/>
          <w:sz w:val="20"/>
          <w:szCs w:val="20"/>
          <w:lang w:eastAsia="en-US"/>
        </w:rPr>
      </w:pPr>
      <w:hyperlink r:id="rId32" w:history="1">
        <w:r w:rsidR="00F4030A" w:rsidRPr="00E50BF7">
          <w:rPr>
            <w:rFonts w:eastAsia="Calibri"/>
            <w:color w:val="0000FF"/>
            <w:sz w:val="20"/>
            <w:szCs w:val="20"/>
            <w:u w:val="single"/>
            <w:lang w:eastAsia="en-US"/>
          </w:rPr>
          <w:t>http://lat.wsj.com/articles/SB11510606106913573387904580499953866184166?tesla=y</w:t>
        </w:r>
      </w:hyperlink>
      <w:r w:rsidR="00F4030A" w:rsidRPr="00E50BF7">
        <w:rPr>
          <w:rFonts w:eastAsia="Calibri"/>
          <w:color w:val="0000FF"/>
          <w:sz w:val="20"/>
          <w:szCs w:val="20"/>
          <w:lang w:eastAsia="en-US"/>
        </w:rPr>
        <w:t xml:space="preserve"> </w:t>
      </w:r>
    </w:p>
    <w:p w14:paraId="2ED36813" w14:textId="77777777" w:rsidR="00F0445D" w:rsidRPr="00F0445D" w:rsidRDefault="00F0445D" w:rsidP="00F0445D">
      <w:pPr>
        <w:ind w:right="-159"/>
        <w:jc w:val="both"/>
        <w:rPr>
          <w:rFonts w:eastAsia="Calibri"/>
          <w:b/>
          <w:sz w:val="26"/>
          <w:szCs w:val="26"/>
          <w:lang w:eastAsia="en-US"/>
        </w:rPr>
      </w:pPr>
      <w:r w:rsidRPr="00F0445D">
        <w:rPr>
          <w:rFonts w:eastAsia="Calibri"/>
          <w:b/>
          <w:sz w:val="26"/>
          <w:szCs w:val="26"/>
          <w:lang w:eastAsia="en-US"/>
        </w:rPr>
        <w:lastRenderedPageBreak/>
        <w:t xml:space="preserve">Amanecer emergente: el ascenso económico </w:t>
      </w:r>
    </w:p>
    <w:p w14:paraId="7F4C7365" w14:textId="77777777" w:rsidR="00F0445D" w:rsidRPr="00F0445D" w:rsidRDefault="00F0445D" w:rsidP="00F0445D">
      <w:pPr>
        <w:ind w:right="-159"/>
        <w:jc w:val="both"/>
        <w:rPr>
          <w:rFonts w:eastAsia="Calibri"/>
          <w:b/>
          <w:sz w:val="26"/>
          <w:szCs w:val="26"/>
          <w:lang w:eastAsia="en-US"/>
        </w:rPr>
      </w:pPr>
      <w:r w:rsidRPr="00F0445D">
        <w:rPr>
          <w:rFonts w:eastAsia="Calibri"/>
          <w:b/>
          <w:sz w:val="26"/>
          <w:szCs w:val="26"/>
          <w:lang w:eastAsia="en-US"/>
        </w:rPr>
        <w:t xml:space="preserve">del Lejano Oriente y sus consecuencias para </w:t>
      </w:r>
    </w:p>
    <w:p w14:paraId="32F3E95F" w14:textId="77777777" w:rsidR="00F0445D" w:rsidRPr="00F0445D" w:rsidRDefault="00F0445D" w:rsidP="00F0445D">
      <w:pPr>
        <w:spacing w:after="360"/>
        <w:ind w:right="-159"/>
        <w:jc w:val="both"/>
        <w:rPr>
          <w:rFonts w:eastAsia="Calibri"/>
          <w:b/>
          <w:sz w:val="26"/>
          <w:szCs w:val="26"/>
          <w:lang w:eastAsia="en-US"/>
        </w:rPr>
      </w:pPr>
      <w:r w:rsidRPr="00F0445D">
        <w:rPr>
          <w:rFonts w:eastAsia="Calibri"/>
          <w:b/>
          <w:sz w:val="26"/>
          <w:szCs w:val="26"/>
          <w:lang w:eastAsia="en-US"/>
        </w:rPr>
        <w:t>el orden económico internacional (RIE)</w:t>
      </w:r>
    </w:p>
    <w:p w14:paraId="524CA8C5"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El 27 de febrero de 2015, el Real Instituto Elcano (RIE) publicó el artículo “Amanecer emergente: el ascenso económico del Lejano Oriente y sus consecuencias para el orden económico internacional” que se presenta a continuación. </w:t>
      </w:r>
    </w:p>
    <w:p w14:paraId="61F35D70" w14:textId="77777777"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t xml:space="preserve">Tema </w:t>
      </w:r>
    </w:p>
    <w:p w14:paraId="505483A7"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El extraordinario aumento de peso de los países emergentes, sobre todo de China, plantea incógnitas importantes para la cooperación económica internacional y el liderazgo de sus instituciones.</w:t>
      </w:r>
    </w:p>
    <w:p w14:paraId="554B8212" w14:textId="77777777"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t xml:space="preserve">Resumen </w:t>
      </w:r>
    </w:p>
    <w:p w14:paraId="7BA6278F" w14:textId="7C50AECD" w:rsid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La economía mundial ha experimentado un cambio muy profundo en las últimas décadas, con  el  estancamiento de los países desarrollados mientras los emergentes han crecido a tasas extraordinarias. Las principales consecuencias institucionales han sido que el </w:t>
      </w:r>
      <w:r w:rsidR="007B7E95">
        <w:rPr>
          <w:rFonts w:eastAsia="Calibri"/>
          <w:sz w:val="26"/>
          <w:szCs w:val="26"/>
          <w:lang w:eastAsia="en-US"/>
        </w:rPr>
        <w:t>Grupo de los Siete (</w:t>
      </w:r>
      <w:r w:rsidRPr="00F0445D">
        <w:rPr>
          <w:rFonts w:eastAsia="Calibri"/>
          <w:sz w:val="26"/>
          <w:szCs w:val="26"/>
          <w:lang w:eastAsia="en-US"/>
        </w:rPr>
        <w:t>G</w:t>
      </w:r>
      <w:r>
        <w:rPr>
          <w:rFonts w:eastAsia="Calibri"/>
          <w:sz w:val="26"/>
          <w:szCs w:val="26"/>
          <w:lang w:eastAsia="en-US"/>
        </w:rPr>
        <w:t>-</w:t>
      </w:r>
      <w:r w:rsidRPr="00F0445D">
        <w:rPr>
          <w:rFonts w:eastAsia="Calibri"/>
          <w:sz w:val="26"/>
          <w:szCs w:val="26"/>
          <w:lang w:eastAsia="en-US"/>
        </w:rPr>
        <w:t>7</w:t>
      </w:r>
      <w:r w:rsidR="007B7E95">
        <w:rPr>
          <w:rFonts w:eastAsia="Calibri"/>
          <w:sz w:val="26"/>
          <w:szCs w:val="26"/>
          <w:lang w:eastAsia="en-US"/>
        </w:rPr>
        <w:t>)</w:t>
      </w:r>
      <w:r w:rsidRPr="00F0445D">
        <w:rPr>
          <w:rFonts w:eastAsia="Calibri"/>
          <w:sz w:val="26"/>
          <w:szCs w:val="26"/>
          <w:lang w:eastAsia="en-US"/>
        </w:rPr>
        <w:t xml:space="preserve"> ha cedido el protagonismo al </w:t>
      </w:r>
      <w:r w:rsidR="007B7E95">
        <w:rPr>
          <w:rFonts w:eastAsia="Calibri"/>
          <w:sz w:val="26"/>
          <w:szCs w:val="26"/>
          <w:lang w:eastAsia="en-US"/>
        </w:rPr>
        <w:t>Grupo de los Veinte             (</w:t>
      </w:r>
      <w:r w:rsidRPr="00F0445D">
        <w:rPr>
          <w:rFonts w:eastAsia="Calibri"/>
          <w:sz w:val="26"/>
          <w:szCs w:val="26"/>
          <w:lang w:eastAsia="en-US"/>
        </w:rPr>
        <w:t>G</w:t>
      </w:r>
      <w:r>
        <w:rPr>
          <w:rFonts w:eastAsia="Calibri"/>
          <w:sz w:val="26"/>
          <w:szCs w:val="26"/>
          <w:lang w:eastAsia="en-US"/>
        </w:rPr>
        <w:t>-</w:t>
      </w:r>
      <w:r w:rsidRPr="00F0445D">
        <w:rPr>
          <w:rFonts w:eastAsia="Calibri"/>
          <w:sz w:val="26"/>
          <w:szCs w:val="26"/>
          <w:lang w:eastAsia="en-US"/>
        </w:rPr>
        <w:t>20</w:t>
      </w:r>
      <w:r w:rsidR="007B7E95">
        <w:rPr>
          <w:rFonts w:eastAsia="Calibri"/>
          <w:sz w:val="26"/>
          <w:szCs w:val="26"/>
          <w:lang w:eastAsia="en-US"/>
        </w:rPr>
        <w:t>)</w:t>
      </w:r>
      <w:r w:rsidRPr="00F0445D">
        <w:rPr>
          <w:rFonts w:eastAsia="Calibri"/>
          <w:sz w:val="26"/>
          <w:szCs w:val="26"/>
          <w:lang w:eastAsia="en-US"/>
        </w:rPr>
        <w:t xml:space="preserve"> y que las instituciones financieras internacionales han efectuado reformas graduales para reflejar mejor las realidades de la economía mundial. La principal tesis de este artículo es que el cambio en la economía mundial ha sido tan rápido que las instituciones internacionales y los principales países protagonistas no están preparados para asumirlo con todas las consecuencias. China y los países emergentes todavía no han alcanzado la riqueza per cápita suficiente para asumir las mismas obligaciones que los países desarrollados, incluyendo los costos del liderazgo. </w:t>
      </w:r>
    </w:p>
    <w:p w14:paraId="4CC9D5AA" w14:textId="0FEF59F1"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El resultado más probable es que Estados Unidos de Norteamérica y Europa  mantengan el liderazgo institucional, pero con menor fuerza y autoridad, lo que puede debilitar a estas instituciones y generar un mayor bilateralismo sin reglas claras, y mayores riesgos </w:t>
      </w:r>
      <w:r w:rsidRPr="00F0445D">
        <w:rPr>
          <w:rFonts w:eastAsia="Calibri"/>
          <w:sz w:val="26"/>
          <w:szCs w:val="26"/>
          <w:lang w:eastAsia="en-US"/>
        </w:rPr>
        <w:lastRenderedPageBreak/>
        <w:t xml:space="preserve">de inestabilidad por políticas no cooperativas, principalmente en materia cambiaria. En este contexto, el refuerzo de la cooperación en foros informales como el </w:t>
      </w:r>
      <w:r w:rsidR="002C730F">
        <w:rPr>
          <w:rFonts w:eastAsia="Calibri"/>
          <w:sz w:val="26"/>
          <w:szCs w:val="26"/>
          <w:lang w:eastAsia="en-US"/>
        </w:rPr>
        <w:t>G-20</w:t>
      </w:r>
      <w:r w:rsidRPr="00F0445D">
        <w:rPr>
          <w:rFonts w:eastAsia="Calibri"/>
          <w:sz w:val="26"/>
          <w:szCs w:val="26"/>
          <w:lang w:eastAsia="en-US"/>
        </w:rPr>
        <w:t xml:space="preserve"> y el diálogo bilateral parece una necesidad.</w:t>
      </w:r>
    </w:p>
    <w:p w14:paraId="7616AE86" w14:textId="77777777"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t>Análisis</w:t>
      </w:r>
    </w:p>
    <w:p w14:paraId="5F324DBA"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El vertiginoso aumento del peso económico de los países emergentes, especialmente de China, ha alterado el equilibrio de poder financiero internacional, pero ello se ha reflejado solamente en parte en los foros de cooperación y las instituciones económicas internacionales. Los países emergentes, los BRICS</w:t>
      </w:r>
      <w:r w:rsidRPr="00F0445D">
        <w:rPr>
          <w:rFonts w:eastAsia="Calibri"/>
          <w:sz w:val="26"/>
          <w:szCs w:val="26"/>
          <w:vertAlign w:val="superscript"/>
          <w:lang w:eastAsia="en-US"/>
        </w:rPr>
        <w:footnoteReference w:id="7"/>
      </w:r>
      <w:r w:rsidRPr="00F0445D">
        <w:rPr>
          <w:rFonts w:eastAsia="Calibri"/>
          <w:sz w:val="26"/>
          <w:szCs w:val="26"/>
          <w:lang w:eastAsia="en-US"/>
        </w:rPr>
        <w:t xml:space="preserve">  en particular, demandan más poder en estas instituciones, y están incluso creando estructuras alternativas. ¿Son razonables estas aspiraciones? ¿Parecen dispuestos los emergentes a asumir las responsabilidades que conlleva el liderazgo económico internacional? ¿Qué cambios se pueden esperar en la arquitectura financiera internacional, bajo escenarios realistas? ¿Cuál podría ser la actitud de España y de la Unión Europea (UE) ante esta situación?</w:t>
      </w:r>
    </w:p>
    <w:p w14:paraId="27DCCCF0" w14:textId="3A8D401F" w:rsidR="00F0445D" w:rsidRPr="00F0445D" w:rsidRDefault="00F0445D" w:rsidP="00F0445D">
      <w:pPr>
        <w:spacing w:after="360"/>
        <w:ind w:left="340" w:right="-159" w:hanging="340"/>
        <w:jc w:val="both"/>
        <w:rPr>
          <w:rFonts w:eastAsia="Calibri"/>
          <w:sz w:val="26"/>
          <w:szCs w:val="26"/>
          <w:lang w:eastAsia="en-US"/>
        </w:rPr>
      </w:pPr>
      <w:r w:rsidRPr="00F0445D">
        <w:rPr>
          <w:rFonts w:eastAsia="Calibri"/>
          <w:b/>
          <w:sz w:val="26"/>
          <w:szCs w:val="26"/>
          <w:lang w:eastAsia="en-US"/>
        </w:rPr>
        <w:t>1) El cambio en el centro de gravedad de la economía mundial: China como taller del mundo y acreedor del mundo</w:t>
      </w:r>
    </w:p>
    <w:p w14:paraId="5CAECA09" w14:textId="4DBA6CD5"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Una noticia de gran relevancia simbólica en la presentación de los principales informes del Fondo Monetario Internacional (FMI) y del Banco Mundial (BM) en octubre de 2014 fue que</w:t>
      </w:r>
      <w:r w:rsidR="0020784B">
        <w:rPr>
          <w:rFonts w:eastAsia="Calibri"/>
          <w:sz w:val="26"/>
          <w:szCs w:val="26"/>
          <w:lang w:eastAsia="en-US"/>
        </w:rPr>
        <w:t>,</w:t>
      </w:r>
      <w:r w:rsidRPr="00F0445D">
        <w:rPr>
          <w:rFonts w:eastAsia="Calibri"/>
          <w:sz w:val="26"/>
          <w:szCs w:val="26"/>
          <w:lang w:eastAsia="en-US"/>
        </w:rPr>
        <w:t xml:space="preserve"> por primera vez</w:t>
      </w:r>
      <w:r w:rsidR="0020784B">
        <w:rPr>
          <w:rFonts w:eastAsia="Calibri"/>
          <w:sz w:val="26"/>
          <w:szCs w:val="26"/>
          <w:lang w:eastAsia="en-US"/>
        </w:rPr>
        <w:t>,</w:t>
      </w:r>
      <w:r w:rsidRPr="00F0445D">
        <w:rPr>
          <w:rFonts w:eastAsia="Calibri"/>
          <w:sz w:val="26"/>
          <w:szCs w:val="26"/>
          <w:lang w:eastAsia="en-US"/>
        </w:rPr>
        <w:t xml:space="preserve"> el Producto Interno Bruto (PIB) de China habría superado a finales de año al de Estados Unidos de Norteamérica, calculado en términos de Paridad de Poder Adquisitivo (PPA) —una medición que favorece generalmente a los países con menores rentas y menores precios</w:t>
      </w:r>
      <w:r w:rsidRPr="00F0445D">
        <w:rPr>
          <w:rFonts w:eastAsia="Calibri"/>
          <w:sz w:val="26"/>
          <w:szCs w:val="26"/>
          <w:vertAlign w:val="superscript"/>
          <w:lang w:eastAsia="en-US"/>
        </w:rPr>
        <w:footnoteReference w:id="8"/>
      </w:r>
      <w:r w:rsidRPr="00F0445D">
        <w:rPr>
          <w:rFonts w:eastAsia="Calibri"/>
          <w:sz w:val="26"/>
          <w:szCs w:val="26"/>
          <w:lang w:eastAsia="en-US"/>
        </w:rPr>
        <w:t xml:space="preserve"> y, en este caso, a China—. La </w:t>
      </w:r>
      <w:r w:rsidRPr="00F0445D">
        <w:rPr>
          <w:rFonts w:eastAsia="Calibri"/>
          <w:sz w:val="26"/>
          <w:szCs w:val="26"/>
          <w:lang w:eastAsia="en-US"/>
        </w:rPr>
        <w:lastRenderedPageBreak/>
        <w:t>estimación del FMI y Banco Mundial del PIB en PPA de China es de un 16.5% del total mundial en 2014, mientras que la de Estados Unidos de Norteamérica es de un 16.3%. Este</w:t>
      </w:r>
      <w:r w:rsidRPr="00F0445D">
        <w:rPr>
          <w:rFonts w:eastAsia="Calibri"/>
          <w:i/>
          <w:sz w:val="26"/>
          <w:szCs w:val="26"/>
          <w:lang w:eastAsia="en-US"/>
        </w:rPr>
        <w:t xml:space="preserve"> sorpasso</w:t>
      </w:r>
      <w:r w:rsidRPr="00F0445D">
        <w:rPr>
          <w:rFonts w:eastAsia="Calibri"/>
          <w:sz w:val="26"/>
          <w:szCs w:val="26"/>
          <w:lang w:eastAsia="en-US"/>
        </w:rPr>
        <w:t xml:space="preserve"> muestra hasta qué punto la realidad económica mundial ha cambiado en pocas décadas. China ha pasado de ser un país de gran población, pero extremadamente pobre (con una renta per cápita insignificante, de apenas 350 dólares en 1990, 40 veces inferior a la de Estados Unidos de Norteamérica) a ser un país de renta media-alta</w:t>
      </w:r>
      <w:r w:rsidRPr="00F0445D">
        <w:rPr>
          <w:rFonts w:eastAsia="Calibri"/>
          <w:sz w:val="26"/>
          <w:szCs w:val="26"/>
          <w:vertAlign w:val="superscript"/>
          <w:lang w:eastAsia="en-US"/>
        </w:rPr>
        <w:footnoteReference w:id="9"/>
      </w:r>
      <w:r w:rsidR="0020784B">
        <w:rPr>
          <w:rFonts w:eastAsia="Calibri"/>
          <w:sz w:val="26"/>
          <w:szCs w:val="26"/>
          <w:lang w:eastAsia="en-US"/>
        </w:rPr>
        <w:t>,</w:t>
      </w:r>
      <w:r w:rsidRPr="00F0445D">
        <w:rPr>
          <w:rFonts w:eastAsia="Calibri"/>
          <w:sz w:val="26"/>
          <w:szCs w:val="26"/>
          <w:lang w:eastAsia="en-US"/>
        </w:rPr>
        <w:t xml:space="preserve">  con una renta </w:t>
      </w:r>
      <w:r w:rsidRPr="00F0445D">
        <w:rPr>
          <w:rFonts w:eastAsia="Calibri"/>
          <w:i/>
          <w:sz w:val="26"/>
          <w:szCs w:val="26"/>
          <w:lang w:eastAsia="en-US"/>
        </w:rPr>
        <w:t xml:space="preserve">per cápita </w:t>
      </w:r>
      <w:r w:rsidRPr="00F0445D">
        <w:rPr>
          <w:rFonts w:eastAsia="Calibri"/>
          <w:sz w:val="26"/>
          <w:szCs w:val="26"/>
          <w:lang w:eastAsia="en-US"/>
        </w:rPr>
        <w:t>de 7 mil 500 dólares en 2014. La renta media se ha multiplicado por 20 en poco más de dos décadas, algo extraordinario para un país tan poblado, y su desarrollo industrial lo ha convertido en una potencia económica. Ello está teniendo importantes consecuencias para el resto del mundo, tanto en el plano económico como institucional.</w:t>
      </w:r>
    </w:p>
    <w:p w14:paraId="3889939C" w14:textId="51B63EDF"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No obstante, es necesario relativizar el concepto de </w:t>
      </w:r>
      <w:r w:rsidRPr="00F0445D">
        <w:rPr>
          <w:rFonts w:eastAsia="Calibri"/>
          <w:i/>
          <w:sz w:val="26"/>
          <w:szCs w:val="26"/>
          <w:lang w:eastAsia="en-US"/>
        </w:rPr>
        <w:t>sorpasso</w:t>
      </w:r>
      <w:r w:rsidRPr="00F0445D">
        <w:rPr>
          <w:rFonts w:eastAsia="Calibri"/>
          <w:sz w:val="26"/>
          <w:szCs w:val="26"/>
          <w:lang w:eastAsia="en-US"/>
        </w:rPr>
        <w:t>. El PIB de Estados Unidos de Norteamérica sigue  siendo  considerablemente  mayor  si  lo  medimos  a  tipos  de  cambio  de mercado (en torno a un 70% superior), aunque China ya es la segunda economía mundial, superando a Japón en PIB a tipos de cambio de mercado desde 2009. Adicionalmente, existen algunas dudas sobre el ajuste utilizado para medir el PIB en términos de PPA respecto a los tipos de cambio de mercado</w:t>
      </w:r>
      <w:r w:rsidRPr="00F0445D">
        <w:rPr>
          <w:rFonts w:eastAsia="Calibri"/>
          <w:sz w:val="26"/>
          <w:szCs w:val="26"/>
          <w:vertAlign w:val="superscript"/>
          <w:lang w:eastAsia="en-US"/>
        </w:rPr>
        <w:footnoteReference w:id="10"/>
      </w:r>
      <w:r w:rsidR="0020784B">
        <w:rPr>
          <w:rFonts w:eastAsia="Calibri"/>
          <w:sz w:val="26"/>
          <w:szCs w:val="26"/>
          <w:lang w:eastAsia="en-US"/>
        </w:rPr>
        <w:t>,</w:t>
      </w:r>
      <w:r w:rsidRPr="00F0445D">
        <w:rPr>
          <w:rFonts w:eastAsia="Calibri"/>
          <w:sz w:val="26"/>
          <w:szCs w:val="26"/>
          <w:lang w:eastAsia="en-US"/>
        </w:rPr>
        <w:t xml:space="preserve"> por su volatilidad, lo  cual  invita  a  cierta  prudencia,  como  en  general  debería  ocurrir  con  las estadísticas de un país tan grande —el tamaño dificulta la elaboración— y sobre las que además pesan dudas sobre su transparencia. El propio primer ministro chino fue noticia por no confiar en las cifras del PIB chino y considerar más fiables otros indicadores como el consumo eléctrico y el crédito bancario</w:t>
      </w:r>
      <w:r w:rsidRPr="00F0445D">
        <w:rPr>
          <w:rFonts w:eastAsia="Calibri"/>
          <w:sz w:val="26"/>
          <w:szCs w:val="26"/>
          <w:vertAlign w:val="superscript"/>
          <w:lang w:eastAsia="en-US"/>
        </w:rPr>
        <w:footnoteReference w:id="11"/>
      </w:r>
      <w:r w:rsidR="0020784B">
        <w:rPr>
          <w:rFonts w:eastAsia="Calibri"/>
          <w:sz w:val="26"/>
          <w:szCs w:val="26"/>
          <w:lang w:eastAsia="en-US"/>
        </w:rPr>
        <w:t>.</w:t>
      </w:r>
    </w:p>
    <w:p w14:paraId="10F0A76F" w14:textId="77777777" w:rsidR="00F0445D" w:rsidRPr="00F0445D" w:rsidRDefault="00F0445D" w:rsidP="00AB1684">
      <w:pPr>
        <w:spacing w:after="240" w:line="360" w:lineRule="auto"/>
        <w:ind w:right="-159"/>
        <w:jc w:val="both"/>
        <w:rPr>
          <w:rFonts w:eastAsia="Calibri"/>
          <w:sz w:val="26"/>
          <w:szCs w:val="26"/>
          <w:lang w:eastAsia="en-US"/>
        </w:rPr>
      </w:pPr>
    </w:p>
    <w:tbl>
      <w:tblPr>
        <w:tblW w:w="10608" w:type="dxa"/>
        <w:jc w:val="center"/>
        <w:tblLook w:val="04A0" w:firstRow="1" w:lastRow="0" w:firstColumn="1" w:lastColumn="0" w:noHBand="0" w:noVBand="1"/>
      </w:tblPr>
      <w:tblGrid>
        <w:gridCol w:w="2552"/>
        <w:gridCol w:w="1007"/>
        <w:gridCol w:w="1007"/>
        <w:gridCol w:w="1007"/>
        <w:gridCol w:w="1007"/>
        <w:gridCol w:w="1007"/>
        <w:gridCol w:w="1007"/>
        <w:gridCol w:w="1007"/>
        <w:gridCol w:w="1007"/>
      </w:tblGrid>
      <w:tr w:rsidR="00F0445D" w:rsidRPr="00F0445D" w14:paraId="70947B2D" w14:textId="77777777" w:rsidTr="00F0445D">
        <w:trPr>
          <w:jc w:val="center"/>
        </w:trPr>
        <w:tc>
          <w:tcPr>
            <w:tcW w:w="10608" w:type="dxa"/>
            <w:gridSpan w:val="9"/>
            <w:tcBorders>
              <w:top w:val="nil"/>
              <w:left w:val="nil"/>
              <w:bottom w:val="single" w:sz="4" w:space="0" w:color="auto"/>
              <w:right w:val="nil"/>
            </w:tcBorders>
            <w:vAlign w:val="center"/>
          </w:tcPr>
          <w:p w14:paraId="7B54060B" w14:textId="77777777" w:rsidR="00F0445D" w:rsidRPr="00F0445D" w:rsidRDefault="00F0445D" w:rsidP="00F0445D">
            <w:pPr>
              <w:jc w:val="center"/>
              <w:rPr>
                <w:rFonts w:eastAsia="Calibri"/>
                <w:b/>
                <w:sz w:val="22"/>
                <w:szCs w:val="22"/>
                <w:lang w:eastAsia="en-US"/>
              </w:rPr>
            </w:pPr>
            <w:r w:rsidRPr="00F0445D">
              <w:rPr>
                <w:rFonts w:eastAsia="Calibri"/>
                <w:b/>
                <w:sz w:val="22"/>
                <w:szCs w:val="22"/>
                <w:lang w:eastAsia="en-US"/>
              </w:rPr>
              <w:t xml:space="preserve">PRODUCTO INTERNO BRUTO Y PRODUCTO INTERNO BRUTO PER CÁPITA </w:t>
            </w:r>
          </w:p>
          <w:p w14:paraId="6178C117" w14:textId="77777777" w:rsidR="00F0445D" w:rsidRPr="00F0445D" w:rsidRDefault="00F0445D" w:rsidP="00F0445D">
            <w:pPr>
              <w:jc w:val="center"/>
              <w:rPr>
                <w:rFonts w:eastAsia="Calibri"/>
                <w:b/>
                <w:sz w:val="22"/>
                <w:szCs w:val="22"/>
                <w:lang w:eastAsia="en-US"/>
              </w:rPr>
            </w:pPr>
            <w:r w:rsidRPr="00F0445D">
              <w:rPr>
                <w:rFonts w:eastAsia="Calibri"/>
                <w:b/>
                <w:sz w:val="22"/>
                <w:szCs w:val="22"/>
                <w:lang w:eastAsia="en-US"/>
              </w:rPr>
              <w:t>-1990 y 2014-</w:t>
            </w:r>
          </w:p>
        </w:tc>
      </w:tr>
      <w:tr w:rsidR="00F0445D" w:rsidRPr="00F0445D" w14:paraId="42680ADC" w14:textId="77777777" w:rsidTr="00F0445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tcPr>
          <w:p w14:paraId="0B4655CD" w14:textId="77777777" w:rsidR="00F0445D" w:rsidRPr="00F0445D" w:rsidRDefault="00F0445D" w:rsidP="00F0445D">
            <w:pPr>
              <w:jc w:val="both"/>
              <w:rPr>
                <w:rFonts w:eastAsia="Calibri"/>
                <w:sz w:val="18"/>
                <w:szCs w:val="18"/>
                <w:lang w:eastAsia="en-US"/>
              </w:rPr>
            </w:pPr>
          </w:p>
        </w:tc>
        <w:tc>
          <w:tcPr>
            <w:tcW w:w="4028" w:type="dxa"/>
            <w:gridSpan w:val="4"/>
            <w:tcBorders>
              <w:top w:val="single" w:sz="4" w:space="0" w:color="auto"/>
              <w:left w:val="single" w:sz="4" w:space="0" w:color="auto"/>
              <w:bottom w:val="single" w:sz="4" w:space="0" w:color="auto"/>
              <w:right w:val="single" w:sz="4" w:space="0" w:color="auto"/>
            </w:tcBorders>
            <w:vAlign w:val="center"/>
          </w:tcPr>
          <w:p w14:paraId="2456550B"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1990</w:t>
            </w:r>
          </w:p>
        </w:tc>
        <w:tc>
          <w:tcPr>
            <w:tcW w:w="4028" w:type="dxa"/>
            <w:gridSpan w:val="4"/>
            <w:tcBorders>
              <w:top w:val="single" w:sz="4" w:space="0" w:color="auto"/>
              <w:left w:val="single" w:sz="4" w:space="0" w:color="auto"/>
              <w:bottom w:val="single" w:sz="4" w:space="0" w:color="auto"/>
              <w:right w:val="single" w:sz="4" w:space="0" w:color="auto"/>
            </w:tcBorders>
            <w:vAlign w:val="center"/>
          </w:tcPr>
          <w:p w14:paraId="1F0949FC"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2014</w:t>
            </w:r>
          </w:p>
        </w:tc>
      </w:tr>
      <w:tr w:rsidR="00F0445D" w:rsidRPr="00F0445D" w14:paraId="5530756B" w14:textId="77777777" w:rsidTr="00F0445D">
        <w:trPr>
          <w:jc w:val="center"/>
        </w:trPr>
        <w:tc>
          <w:tcPr>
            <w:tcW w:w="2552" w:type="dxa"/>
            <w:vMerge/>
            <w:tcBorders>
              <w:top w:val="single" w:sz="4" w:space="0" w:color="auto"/>
              <w:left w:val="single" w:sz="4" w:space="0" w:color="auto"/>
              <w:bottom w:val="single" w:sz="4" w:space="0" w:color="auto"/>
              <w:right w:val="single" w:sz="4" w:space="0" w:color="auto"/>
            </w:tcBorders>
            <w:vAlign w:val="center"/>
          </w:tcPr>
          <w:p w14:paraId="2C756A3F" w14:textId="77777777" w:rsidR="00F0445D" w:rsidRPr="00F0445D" w:rsidRDefault="00F0445D" w:rsidP="00F0445D">
            <w:pPr>
              <w:jc w:val="both"/>
              <w:rPr>
                <w:rFonts w:eastAsia="Calibri"/>
                <w:sz w:val="18"/>
                <w:szCs w:val="18"/>
                <w:lang w:eastAsia="en-US"/>
              </w:rPr>
            </w:pPr>
          </w:p>
        </w:tc>
        <w:tc>
          <w:tcPr>
            <w:tcW w:w="1007" w:type="dxa"/>
            <w:tcBorders>
              <w:top w:val="single" w:sz="4" w:space="0" w:color="auto"/>
              <w:left w:val="single" w:sz="4" w:space="0" w:color="auto"/>
              <w:bottom w:val="single" w:sz="4" w:space="0" w:color="auto"/>
              <w:right w:val="single" w:sz="4" w:space="0" w:color="auto"/>
            </w:tcBorders>
            <w:vAlign w:val="center"/>
          </w:tcPr>
          <w:p w14:paraId="2F79C1F0"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w:t>
            </w:r>
          </w:p>
        </w:tc>
        <w:tc>
          <w:tcPr>
            <w:tcW w:w="1007" w:type="dxa"/>
            <w:tcBorders>
              <w:top w:val="single" w:sz="4" w:space="0" w:color="auto"/>
              <w:left w:val="single" w:sz="4" w:space="0" w:color="auto"/>
              <w:bottom w:val="single" w:sz="4" w:space="0" w:color="auto"/>
              <w:right w:val="single" w:sz="4" w:space="0" w:color="auto"/>
            </w:tcBorders>
            <w:vAlign w:val="center"/>
          </w:tcPr>
          <w:p w14:paraId="6D11DFDD"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ajustado por PPA</w:t>
            </w:r>
          </w:p>
        </w:tc>
        <w:tc>
          <w:tcPr>
            <w:tcW w:w="1007" w:type="dxa"/>
            <w:tcBorders>
              <w:top w:val="single" w:sz="4" w:space="0" w:color="auto"/>
              <w:left w:val="single" w:sz="4" w:space="0" w:color="auto"/>
              <w:bottom w:val="single" w:sz="4" w:space="0" w:color="auto"/>
              <w:right w:val="single" w:sz="4" w:space="0" w:color="auto"/>
            </w:tcBorders>
            <w:vAlign w:val="center"/>
          </w:tcPr>
          <w:p w14:paraId="61C60CA8"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PPA (% total mundial)</w:t>
            </w:r>
          </w:p>
        </w:tc>
        <w:tc>
          <w:tcPr>
            <w:tcW w:w="1007" w:type="dxa"/>
            <w:tcBorders>
              <w:top w:val="single" w:sz="4" w:space="0" w:color="auto"/>
              <w:left w:val="single" w:sz="4" w:space="0" w:color="auto"/>
              <w:bottom w:val="single" w:sz="4" w:space="0" w:color="auto"/>
              <w:right w:val="single" w:sz="4" w:space="0" w:color="auto"/>
            </w:tcBorders>
            <w:vAlign w:val="center"/>
          </w:tcPr>
          <w:p w14:paraId="05E06E1D"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 xml:space="preserve">PIB </w:t>
            </w:r>
            <w:r w:rsidRPr="00F0445D">
              <w:rPr>
                <w:rFonts w:eastAsia="Calibri"/>
                <w:b/>
                <w:i/>
                <w:sz w:val="18"/>
                <w:szCs w:val="18"/>
                <w:lang w:eastAsia="en-US"/>
              </w:rPr>
              <w:t>per cápita</w:t>
            </w:r>
          </w:p>
        </w:tc>
        <w:tc>
          <w:tcPr>
            <w:tcW w:w="1007" w:type="dxa"/>
            <w:tcBorders>
              <w:top w:val="single" w:sz="4" w:space="0" w:color="auto"/>
              <w:left w:val="single" w:sz="4" w:space="0" w:color="auto"/>
              <w:bottom w:val="single" w:sz="4" w:space="0" w:color="auto"/>
              <w:right w:val="single" w:sz="4" w:space="0" w:color="auto"/>
            </w:tcBorders>
            <w:vAlign w:val="center"/>
          </w:tcPr>
          <w:p w14:paraId="0DED034A"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w:t>
            </w:r>
          </w:p>
        </w:tc>
        <w:tc>
          <w:tcPr>
            <w:tcW w:w="1007" w:type="dxa"/>
            <w:tcBorders>
              <w:top w:val="single" w:sz="4" w:space="0" w:color="auto"/>
              <w:left w:val="single" w:sz="4" w:space="0" w:color="auto"/>
              <w:bottom w:val="single" w:sz="4" w:space="0" w:color="auto"/>
              <w:right w:val="single" w:sz="4" w:space="0" w:color="auto"/>
            </w:tcBorders>
            <w:vAlign w:val="center"/>
          </w:tcPr>
          <w:p w14:paraId="58A3DC90"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ajustado por PPA</w:t>
            </w:r>
          </w:p>
        </w:tc>
        <w:tc>
          <w:tcPr>
            <w:tcW w:w="1007" w:type="dxa"/>
            <w:tcBorders>
              <w:top w:val="single" w:sz="4" w:space="0" w:color="auto"/>
              <w:left w:val="single" w:sz="4" w:space="0" w:color="auto"/>
              <w:bottom w:val="single" w:sz="4" w:space="0" w:color="auto"/>
              <w:right w:val="single" w:sz="4" w:space="0" w:color="auto"/>
            </w:tcBorders>
            <w:vAlign w:val="center"/>
          </w:tcPr>
          <w:p w14:paraId="2151605F"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PIB PPA (% total mundial)</w:t>
            </w:r>
          </w:p>
        </w:tc>
        <w:tc>
          <w:tcPr>
            <w:tcW w:w="1007" w:type="dxa"/>
            <w:tcBorders>
              <w:top w:val="single" w:sz="4" w:space="0" w:color="auto"/>
              <w:left w:val="single" w:sz="4" w:space="0" w:color="auto"/>
              <w:bottom w:val="single" w:sz="4" w:space="0" w:color="auto"/>
              <w:right w:val="single" w:sz="4" w:space="0" w:color="auto"/>
            </w:tcBorders>
            <w:vAlign w:val="center"/>
          </w:tcPr>
          <w:p w14:paraId="49EAF11B"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 xml:space="preserve">PIB </w:t>
            </w:r>
            <w:r w:rsidRPr="00F0445D">
              <w:rPr>
                <w:rFonts w:eastAsia="Calibri"/>
                <w:b/>
                <w:i/>
                <w:sz w:val="18"/>
                <w:szCs w:val="18"/>
                <w:lang w:eastAsia="en-US"/>
              </w:rPr>
              <w:t>per cápita</w:t>
            </w:r>
          </w:p>
        </w:tc>
      </w:tr>
      <w:tr w:rsidR="00F0445D" w:rsidRPr="00F0445D" w14:paraId="1F982A0B" w14:textId="77777777" w:rsidTr="00F0445D">
        <w:trPr>
          <w:jc w:val="center"/>
        </w:trPr>
        <w:tc>
          <w:tcPr>
            <w:tcW w:w="2552" w:type="dxa"/>
            <w:tcBorders>
              <w:top w:val="single" w:sz="4" w:space="0" w:color="auto"/>
              <w:left w:val="single" w:sz="4" w:space="0" w:color="auto"/>
              <w:bottom w:val="nil"/>
              <w:right w:val="single" w:sz="4" w:space="0" w:color="auto"/>
            </w:tcBorders>
            <w:vAlign w:val="center"/>
          </w:tcPr>
          <w:p w14:paraId="3F157731"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Unión Europea</w:t>
            </w:r>
          </w:p>
        </w:tc>
        <w:tc>
          <w:tcPr>
            <w:tcW w:w="1007" w:type="dxa"/>
            <w:tcBorders>
              <w:top w:val="single" w:sz="4" w:space="0" w:color="auto"/>
              <w:left w:val="single" w:sz="4" w:space="0" w:color="auto"/>
              <w:bottom w:val="nil"/>
              <w:right w:val="single" w:sz="4" w:space="0" w:color="auto"/>
            </w:tcBorders>
            <w:vAlign w:val="center"/>
          </w:tcPr>
          <w:p w14:paraId="358A6D2A"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 xml:space="preserve">7 102.4        </w:t>
            </w:r>
          </w:p>
        </w:tc>
        <w:tc>
          <w:tcPr>
            <w:tcW w:w="1007" w:type="dxa"/>
            <w:tcBorders>
              <w:top w:val="single" w:sz="4" w:space="0" w:color="auto"/>
              <w:left w:val="single" w:sz="4" w:space="0" w:color="auto"/>
              <w:bottom w:val="nil"/>
              <w:right w:val="single" w:sz="4" w:space="0" w:color="auto"/>
            </w:tcBorders>
            <w:vAlign w:val="center"/>
          </w:tcPr>
          <w:p w14:paraId="1A8AC059"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7 213.3</w:t>
            </w:r>
          </w:p>
        </w:tc>
        <w:tc>
          <w:tcPr>
            <w:tcW w:w="1007" w:type="dxa"/>
            <w:tcBorders>
              <w:top w:val="single" w:sz="4" w:space="0" w:color="auto"/>
              <w:left w:val="single" w:sz="4" w:space="0" w:color="auto"/>
              <w:bottom w:val="nil"/>
              <w:right w:val="single" w:sz="4" w:space="0" w:color="auto"/>
            </w:tcBorders>
            <w:vAlign w:val="center"/>
          </w:tcPr>
          <w:p w14:paraId="5801D2DF"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27.2</w:t>
            </w:r>
          </w:p>
        </w:tc>
        <w:tc>
          <w:tcPr>
            <w:tcW w:w="1007" w:type="dxa"/>
            <w:tcBorders>
              <w:top w:val="single" w:sz="4" w:space="0" w:color="auto"/>
              <w:left w:val="single" w:sz="4" w:space="0" w:color="auto"/>
              <w:bottom w:val="nil"/>
              <w:right w:val="single" w:sz="4" w:space="0" w:color="auto"/>
            </w:tcBorders>
            <w:vAlign w:val="center"/>
          </w:tcPr>
          <w:p w14:paraId="5903AC39"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15 948</w:t>
            </w:r>
          </w:p>
        </w:tc>
        <w:tc>
          <w:tcPr>
            <w:tcW w:w="1007" w:type="dxa"/>
            <w:tcBorders>
              <w:top w:val="single" w:sz="4" w:space="0" w:color="auto"/>
              <w:left w:val="single" w:sz="4" w:space="0" w:color="auto"/>
              <w:bottom w:val="nil"/>
              <w:right w:val="single" w:sz="4" w:space="0" w:color="auto"/>
            </w:tcBorders>
            <w:vAlign w:val="center"/>
          </w:tcPr>
          <w:p w14:paraId="7CF2E02B"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18 398.7</w:t>
            </w:r>
          </w:p>
        </w:tc>
        <w:tc>
          <w:tcPr>
            <w:tcW w:w="1007" w:type="dxa"/>
            <w:tcBorders>
              <w:top w:val="single" w:sz="4" w:space="0" w:color="auto"/>
              <w:left w:val="single" w:sz="4" w:space="0" w:color="auto"/>
              <w:bottom w:val="nil"/>
              <w:right w:val="single" w:sz="4" w:space="0" w:color="auto"/>
            </w:tcBorders>
            <w:vAlign w:val="center"/>
          </w:tcPr>
          <w:p w14:paraId="0C8ECD2E"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18 124.3</w:t>
            </w:r>
          </w:p>
        </w:tc>
        <w:tc>
          <w:tcPr>
            <w:tcW w:w="1007" w:type="dxa"/>
            <w:tcBorders>
              <w:top w:val="single" w:sz="4" w:space="0" w:color="auto"/>
              <w:left w:val="single" w:sz="4" w:space="0" w:color="auto"/>
              <w:bottom w:val="nil"/>
              <w:right w:val="single" w:sz="4" w:space="0" w:color="auto"/>
            </w:tcBorders>
            <w:vAlign w:val="center"/>
          </w:tcPr>
          <w:p w14:paraId="5D62256A"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16.9</w:t>
            </w:r>
          </w:p>
        </w:tc>
        <w:tc>
          <w:tcPr>
            <w:tcW w:w="1007" w:type="dxa"/>
            <w:tcBorders>
              <w:top w:val="single" w:sz="4" w:space="0" w:color="auto"/>
              <w:left w:val="single" w:sz="4" w:space="0" w:color="auto"/>
              <w:bottom w:val="nil"/>
              <w:right w:val="single" w:sz="4" w:space="0" w:color="auto"/>
            </w:tcBorders>
            <w:vAlign w:val="center"/>
          </w:tcPr>
          <w:p w14:paraId="19424D32"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36 392</w:t>
            </w:r>
          </w:p>
        </w:tc>
      </w:tr>
      <w:tr w:rsidR="00F0445D" w:rsidRPr="00F0445D" w14:paraId="238D5ACB" w14:textId="77777777" w:rsidTr="00F0445D">
        <w:trPr>
          <w:jc w:val="center"/>
        </w:trPr>
        <w:tc>
          <w:tcPr>
            <w:tcW w:w="2552" w:type="dxa"/>
            <w:tcBorders>
              <w:top w:val="nil"/>
              <w:left w:val="single" w:sz="4" w:space="0" w:color="auto"/>
              <w:bottom w:val="nil"/>
              <w:right w:val="single" w:sz="4" w:space="0" w:color="auto"/>
            </w:tcBorders>
            <w:vAlign w:val="center"/>
          </w:tcPr>
          <w:p w14:paraId="2B91A849"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Estados Unidos de Norteamérica</w:t>
            </w:r>
          </w:p>
        </w:tc>
        <w:tc>
          <w:tcPr>
            <w:tcW w:w="1007" w:type="dxa"/>
            <w:tcBorders>
              <w:top w:val="nil"/>
              <w:left w:val="single" w:sz="4" w:space="0" w:color="auto"/>
              <w:bottom w:val="nil"/>
              <w:right w:val="single" w:sz="4" w:space="0" w:color="auto"/>
            </w:tcBorders>
            <w:vAlign w:val="center"/>
          </w:tcPr>
          <w:p w14:paraId="0DF1CC84"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 xml:space="preserve">5 979.6        </w:t>
            </w:r>
          </w:p>
        </w:tc>
        <w:tc>
          <w:tcPr>
            <w:tcW w:w="1007" w:type="dxa"/>
            <w:tcBorders>
              <w:top w:val="nil"/>
              <w:left w:val="single" w:sz="4" w:space="0" w:color="auto"/>
              <w:bottom w:val="nil"/>
              <w:right w:val="single" w:sz="4" w:space="0" w:color="auto"/>
            </w:tcBorders>
            <w:vAlign w:val="center"/>
          </w:tcPr>
          <w:p w14:paraId="103FAF2F"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5 979.6</w:t>
            </w:r>
          </w:p>
        </w:tc>
        <w:tc>
          <w:tcPr>
            <w:tcW w:w="1007" w:type="dxa"/>
            <w:tcBorders>
              <w:top w:val="nil"/>
              <w:left w:val="single" w:sz="4" w:space="0" w:color="auto"/>
              <w:bottom w:val="nil"/>
              <w:right w:val="single" w:sz="4" w:space="0" w:color="auto"/>
            </w:tcBorders>
            <w:vAlign w:val="center"/>
          </w:tcPr>
          <w:p w14:paraId="76305FA2"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22.5</w:t>
            </w:r>
          </w:p>
        </w:tc>
        <w:tc>
          <w:tcPr>
            <w:tcW w:w="1007" w:type="dxa"/>
            <w:tcBorders>
              <w:top w:val="nil"/>
              <w:left w:val="single" w:sz="4" w:space="0" w:color="auto"/>
              <w:bottom w:val="nil"/>
              <w:right w:val="single" w:sz="4" w:space="0" w:color="auto"/>
            </w:tcBorders>
            <w:vAlign w:val="center"/>
          </w:tcPr>
          <w:p w14:paraId="38D1C795"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23 914</w:t>
            </w:r>
          </w:p>
        </w:tc>
        <w:tc>
          <w:tcPr>
            <w:tcW w:w="1007" w:type="dxa"/>
            <w:tcBorders>
              <w:top w:val="nil"/>
              <w:left w:val="single" w:sz="4" w:space="0" w:color="auto"/>
              <w:bottom w:val="nil"/>
              <w:right w:val="single" w:sz="4" w:space="0" w:color="auto"/>
            </w:tcBorders>
            <w:vAlign w:val="center"/>
          </w:tcPr>
          <w:p w14:paraId="62E2712C"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17 416.3</w:t>
            </w:r>
          </w:p>
        </w:tc>
        <w:tc>
          <w:tcPr>
            <w:tcW w:w="1007" w:type="dxa"/>
            <w:tcBorders>
              <w:top w:val="nil"/>
              <w:left w:val="single" w:sz="4" w:space="0" w:color="auto"/>
              <w:bottom w:val="nil"/>
              <w:right w:val="single" w:sz="4" w:space="0" w:color="auto"/>
            </w:tcBorders>
            <w:vAlign w:val="center"/>
          </w:tcPr>
          <w:p w14:paraId="241CA138"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17 416.3</w:t>
            </w:r>
          </w:p>
        </w:tc>
        <w:tc>
          <w:tcPr>
            <w:tcW w:w="1007" w:type="dxa"/>
            <w:tcBorders>
              <w:top w:val="nil"/>
              <w:left w:val="single" w:sz="4" w:space="0" w:color="auto"/>
              <w:bottom w:val="nil"/>
              <w:right w:val="single" w:sz="4" w:space="0" w:color="auto"/>
            </w:tcBorders>
            <w:vAlign w:val="center"/>
          </w:tcPr>
          <w:p w14:paraId="79619AF6"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16.3</w:t>
            </w:r>
          </w:p>
        </w:tc>
        <w:tc>
          <w:tcPr>
            <w:tcW w:w="1007" w:type="dxa"/>
            <w:tcBorders>
              <w:top w:val="nil"/>
              <w:left w:val="single" w:sz="4" w:space="0" w:color="auto"/>
              <w:bottom w:val="nil"/>
              <w:right w:val="single" w:sz="4" w:space="0" w:color="auto"/>
            </w:tcBorders>
            <w:vAlign w:val="center"/>
          </w:tcPr>
          <w:p w14:paraId="3082C35C"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54 678</w:t>
            </w:r>
          </w:p>
        </w:tc>
      </w:tr>
      <w:tr w:rsidR="00F0445D" w:rsidRPr="00F0445D" w14:paraId="66EF4442" w14:textId="77777777" w:rsidTr="00F0445D">
        <w:trPr>
          <w:jc w:val="center"/>
        </w:trPr>
        <w:tc>
          <w:tcPr>
            <w:tcW w:w="2552" w:type="dxa"/>
            <w:tcBorders>
              <w:top w:val="nil"/>
              <w:left w:val="single" w:sz="4" w:space="0" w:color="auto"/>
              <w:bottom w:val="nil"/>
              <w:right w:val="single" w:sz="4" w:space="0" w:color="auto"/>
            </w:tcBorders>
            <w:vAlign w:val="center"/>
          </w:tcPr>
          <w:p w14:paraId="00E0E455"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BRIC</w:t>
            </w:r>
          </w:p>
        </w:tc>
        <w:tc>
          <w:tcPr>
            <w:tcW w:w="1007" w:type="dxa"/>
            <w:tcBorders>
              <w:top w:val="nil"/>
              <w:left w:val="single" w:sz="4" w:space="0" w:color="auto"/>
              <w:bottom w:val="nil"/>
              <w:right w:val="single" w:sz="4" w:space="0" w:color="auto"/>
            </w:tcBorders>
            <w:vAlign w:val="center"/>
          </w:tcPr>
          <w:p w14:paraId="4EA44866"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 xml:space="preserve">1 281.7        </w:t>
            </w:r>
          </w:p>
        </w:tc>
        <w:tc>
          <w:tcPr>
            <w:tcW w:w="1007" w:type="dxa"/>
            <w:tcBorders>
              <w:top w:val="nil"/>
              <w:left w:val="single" w:sz="4" w:space="0" w:color="auto"/>
              <w:bottom w:val="nil"/>
              <w:right w:val="single" w:sz="4" w:space="0" w:color="auto"/>
            </w:tcBorders>
            <w:vAlign w:val="center"/>
          </w:tcPr>
          <w:p w14:paraId="0F7A61C0"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4 674.6</w:t>
            </w:r>
          </w:p>
        </w:tc>
        <w:tc>
          <w:tcPr>
            <w:tcW w:w="1007" w:type="dxa"/>
            <w:tcBorders>
              <w:top w:val="nil"/>
              <w:left w:val="single" w:sz="4" w:space="0" w:color="auto"/>
              <w:bottom w:val="nil"/>
              <w:right w:val="single" w:sz="4" w:space="0" w:color="auto"/>
            </w:tcBorders>
            <w:vAlign w:val="center"/>
          </w:tcPr>
          <w:p w14:paraId="6504C8E2"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16.6</w:t>
            </w:r>
          </w:p>
        </w:tc>
        <w:tc>
          <w:tcPr>
            <w:tcW w:w="1007" w:type="dxa"/>
            <w:tcBorders>
              <w:top w:val="nil"/>
              <w:left w:val="single" w:sz="4" w:space="0" w:color="auto"/>
              <w:bottom w:val="nil"/>
              <w:right w:val="single" w:sz="4" w:space="0" w:color="auto"/>
            </w:tcBorders>
            <w:vAlign w:val="center"/>
          </w:tcPr>
          <w:p w14:paraId="039B608B"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561</w:t>
            </w:r>
          </w:p>
        </w:tc>
        <w:tc>
          <w:tcPr>
            <w:tcW w:w="1007" w:type="dxa"/>
            <w:tcBorders>
              <w:top w:val="nil"/>
              <w:left w:val="single" w:sz="4" w:space="0" w:color="auto"/>
              <w:bottom w:val="nil"/>
              <w:right w:val="single" w:sz="4" w:space="0" w:color="auto"/>
            </w:tcBorders>
            <w:vAlign w:val="center"/>
          </w:tcPr>
          <w:p w14:paraId="7AD3712F"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16 704.6</w:t>
            </w:r>
          </w:p>
        </w:tc>
        <w:tc>
          <w:tcPr>
            <w:tcW w:w="1007" w:type="dxa"/>
            <w:tcBorders>
              <w:top w:val="nil"/>
              <w:left w:val="single" w:sz="4" w:space="0" w:color="auto"/>
              <w:bottom w:val="nil"/>
              <w:right w:val="single" w:sz="4" w:space="0" w:color="auto"/>
            </w:tcBorders>
            <w:vAlign w:val="center"/>
          </w:tcPr>
          <w:p w14:paraId="1CAA1D39"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31 540.5</w:t>
            </w:r>
          </w:p>
        </w:tc>
        <w:tc>
          <w:tcPr>
            <w:tcW w:w="1007" w:type="dxa"/>
            <w:tcBorders>
              <w:top w:val="nil"/>
              <w:left w:val="single" w:sz="4" w:space="0" w:color="auto"/>
              <w:bottom w:val="nil"/>
              <w:right w:val="single" w:sz="4" w:space="0" w:color="auto"/>
            </w:tcBorders>
            <w:vAlign w:val="center"/>
          </w:tcPr>
          <w:p w14:paraId="452FE501"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29.5</w:t>
            </w:r>
          </w:p>
        </w:tc>
        <w:tc>
          <w:tcPr>
            <w:tcW w:w="1007" w:type="dxa"/>
            <w:tcBorders>
              <w:top w:val="nil"/>
              <w:left w:val="single" w:sz="4" w:space="0" w:color="auto"/>
              <w:bottom w:val="nil"/>
              <w:right w:val="single" w:sz="4" w:space="0" w:color="auto"/>
            </w:tcBorders>
            <w:vAlign w:val="center"/>
          </w:tcPr>
          <w:p w14:paraId="59713446"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5 617</w:t>
            </w:r>
          </w:p>
        </w:tc>
      </w:tr>
      <w:tr w:rsidR="00F0445D" w:rsidRPr="00F0445D" w14:paraId="0E11B1C0" w14:textId="77777777" w:rsidTr="00F0445D">
        <w:trPr>
          <w:jc w:val="center"/>
        </w:trPr>
        <w:tc>
          <w:tcPr>
            <w:tcW w:w="2552" w:type="dxa"/>
            <w:tcBorders>
              <w:top w:val="nil"/>
              <w:left w:val="single" w:sz="4" w:space="0" w:color="auto"/>
              <w:bottom w:val="nil"/>
              <w:right w:val="single" w:sz="4" w:space="0" w:color="auto"/>
            </w:tcBorders>
            <w:vAlign w:val="center"/>
          </w:tcPr>
          <w:p w14:paraId="041A8839"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China</w:t>
            </w:r>
          </w:p>
        </w:tc>
        <w:tc>
          <w:tcPr>
            <w:tcW w:w="1007" w:type="dxa"/>
            <w:tcBorders>
              <w:top w:val="nil"/>
              <w:left w:val="single" w:sz="4" w:space="0" w:color="auto"/>
              <w:bottom w:val="nil"/>
              <w:right w:val="single" w:sz="4" w:space="0" w:color="auto"/>
            </w:tcBorders>
            <w:vAlign w:val="center"/>
          </w:tcPr>
          <w:p w14:paraId="08E8A9EF"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404.5</w:t>
            </w:r>
          </w:p>
        </w:tc>
        <w:tc>
          <w:tcPr>
            <w:tcW w:w="1007" w:type="dxa"/>
            <w:tcBorders>
              <w:top w:val="nil"/>
              <w:left w:val="single" w:sz="4" w:space="0" w:color="auto"/>
              <w:bottom w:val="nil"/>
              <w:right w:val="single" w:sz="4" w:space="0" w:color="auto"/>
            </w:tcBorders>
            <w:vAlign w:val="center"/>
          </w:tcPr>
          <w:p w14:paraId="60CBE447"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1 091.2</w:t>
            </w:r>
          </w:p>
        </w:tc>
        <w:tc>
          <w:tcPr>
            <w:tcW w:w="1007" w:type="dxa"/>
            <w:tcBorders>
              <w:top w:val="nil"/>
              <w:left w:val="single" w:sz="4" w:space="0" w:color="auto"/>
              <w:bottom w:val="nil"/>
              <w:right w:val="single" w:sz="4" w:space="0" w:color="auto"/>
            </w:tcBorders>
            <w:vAlign w:val="center"/>
          </w:tcPr>
          <w:p w14:paraId="09016950"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4.1</w:t>
            </w:r>
          </w:p>
        </w:tc>
        <w:tc>
          <w:tcPr>
            <w:tcW w:w="1007" w:type="dxa"/>
            <w:tcBorders>
              <w:top w:val="nil"/>
              <w:left w:val="single" w:sz="4" w:space="0" w:color="auto"/>
              <w:bottom w:val="nil"/>
              <w:right w:val="single" w:sz="4" w:space="0" w:color="auto"/>
            </w:tcBorders>
            <w:vAlign w:val="center"/>
          </w:tcPr>
          <w:p w14:paraId="1631DCA9"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354</w:t>
            </w:r>
          </w:p>
        </w:tc>
        <w:tc>
          <w:tcPr>
            <w:tcW w:w="1007" w:type="dxa"/>
            <w:tcBorders>
              <w:top w:val="nil"/>
              <w:left w:val="single" w:sz="4" w:space="0" w:color="auto"/>
              <w:bottom w:val="nil"/>
              <w:right w:val="single" w:sz="4" w:space="0" w:color="auto"/>
            </w:tcBorders>
            <w:vAlign w:val="center"/>
          </w:tcPr>
          <w:p w14:paraId="11EAF486"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10 355.4</w:t>
            </w:r>
          </w:p>
        </w:tc>
        <w:tc>
          <w:tcPr>
            <w:tcW w:w="1007" w:type="dxa"/>
            <w:tcBorders>
              <w:top w:val="nil"/>
              <w:left w:val="single" w:sz="4" w:space="0" w:color="auto"/>
              <w:bottom w:val="nil"/>
              <w:right w:val="single" w:sz="4" w:space="0" w:color="auto"/>
            </w:tcBorders>
            <w:vAlign w:val="center"/>
          </w:tcPr>
          <w:p w14:paraId="7DB363D6"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17 632.0</w:t>
            </w:r>
          </w:p>
        </w:tc>
        <w:tc>
          <w:tcPr>
            <w:tcW w:w="1007" w:type="dxa"/>
            <w:tcBorders>
              <w:top w:val="nil"/>
              <w:left w:val="single" w:sz="4" w:space="0" w:color="auto"/>
              <w:bottom w:val="nil"/>
              <w:right w:val="single" w:sz="4" w:space="0" w:color="auto"/>
            </w:tcBorders>
            <w:vAlign w:val="center"/>
          </w:tcPr>
          <w:p w14:paraId="6609FA8E"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16.5</w:t>
            </w:r>
          </w:p>
        </w:tc>
        <w:tc>
          <w:tcPr>
            <w:tcW w:w="1007" w:type="dxa"/>
            <w:tcBorders>
              <w:top w:val="nil"/>
              <w:left w:val="single" w:sz="4" w:space="0" w:color="auto"/>
              <w:bottom w:val="nil"/>
              <w:right w:val="single" w:sz="4" w:space="0" w:color="auto"/>
            </w:tcBorders>
            <w:vAlign w:val="center"/>
          </w:tcPr>
          <w:p w14:paraId="27DE167E"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7 572</w:t>
            </w:r>
          </w:p>
        </w:tc>
      </w:tr>
      <w:tr w:rsidR="00F0445D" w:rsidRPr="00F0445D" w14:paraId="63C69F6D" w14:textId="77777777" w:rsidTr="00F0445D">
        <w:trPr>
          <w:jc w:val="center"/>
        </w:trPr>
        <w:tc>
          <w:tcPr>
            <w:tcW w:w="2552" w:type="dxa"/>
            <w:tcBorders>
              <w:top w:val="nil"/>
              <w:left w:val="single" w:sz="4" w:space="0" w:color="auto"/>
              <w:bottom w:val="nil"/>
              <w:right w:val="single" w:sz="4" w:space="0" w:color="auto"/>
            </w:tcBorders>
            <w:vAlign w:val="center"/>
          </w:tcPr>
          <w:p w14:paraId="57DCBB49"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Brasil</w:t>
            </w:r>
          </w:p>
        </w:tc>
        <w:tc>
          <w:tcPr>
            <w:tcW w:w="1007" w:type="dxa"/>
            <w:tcBorders>
              <w:top w:val="nil"/>
              <w:left w:val="single" w:sz="4" w:space="0" w:color="auto"/>
              <w:bottom w:val="nil"/>
              <w:right w:val="single" w:sz="4" w:space="0" w:color="auto"/>
            </w:tcBorders>
            <w:vAlign w:val="center"/>
          </w:tcPr>
          <w:p w14:paraId="4A09C3A0"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465.0</w:t>
            </w:r>
          </w:p>
        </w:tc>
        <w:tc>
          <w:tcPr>
            <w:tcW w:w="1007" w:type="dxa"/>
            <w:tcBorders>
              <w:top w:val="nil"/>
              <w:left w:val="single" w:sz="4" w:space="0" w:color="auto"/>
              <w:bottom w:val="nil"/>
              <w:right w:val="single" w:sz="4" w:space="0" w:color="auto"/>
            </w:tcBorders>
            <w:vAlign w:val="center"/>
          </w:tcPr>
          <w:p w14:paraId="73A29E60"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971.5</w:t>
            </w:r>
          </w:p>
        </w:tc>
        <w:tc>
          <w:tcPr>
            <w:tcW w:w="1007" w:type="dxa"/>
            <w:tcBorders>
              <w:top w:val="nil"/>
              <w:left w:val="single" w:sz="4" w:space="0" w:color="auto"/>
              <w:bottom w:val="nil"/>
              <w:right w:val="single" w:sz="4" w:space="0" w:color="auto"/>
            </w:tcBorders>
            <w:vAlign w:val="center"/>
          </w:tcPr>
          <w:p w14:paraId="40A2AD21"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3.7</w:t>
            </w:r>
          </w:p>
        </w:tc>
        <w:tc>
          <w:tcPr>
            <w:tcW w:w="1007" w:type="dxa"/>
            <w:tcBorders>
              <w:top w:val="nil"/>
              <w:left w:val="single" w:sz="4" w:space="0" w:color="auto"/>
              <w:bottom w:val="nil"/>
              <w:right w:val="single" w:sz="4" w:space="0" w:color="auto"/>
            </w:tcBorders>
            <w:vAlign w:val="center"/>
          </w:tcPr>
          <w:p w14:paraId="3BD8A654"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3 172</w:t>
            </w:r>
          </w:p>
        </w:tc>
        <w:tc>
          <w:tcPr>
            <w:tcW w:w="1007" w:type="dxa"/>
            <w:tcBorders>
              <w:top w:val="nil"/>
              <w:left w:val="single" w:sz="4" w:space="0" w:color="auto"/>
              <w:bottom w:val="nil"/>
              <w:right w:val="single" w:sz="4" w:space="0" w:color="auto"/>
            </w:tcBorders>
            <w:vAlign w:val="center"/>
          </w:tcPr>
          <w:p w14:paraId="0171A81B"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2 244.1</w:t>
            </w:r>
          </w:p>
        </w:tc>
        <w:tc>
          <w:tcPr>
            <w:tcW w:w="1007" w:type="dxa"/>
            <w:tcBorders>
              <w:top w:val="nil"/>
              <w:left w:val="single" w:sz="4" w:space="0" w:color="auto"/>
              <w:bottom w:val="nil"/>
              <w:right w:val="single" w:sz="4" w:space="0" w:color="auto"/>
            </w:tcBorders>
            <w:vAlign w:val="center"/>
          </w:tcPr>
          <w:p w14:paraId="004AC125"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3 072.6</w:t>
            </w:r>
          </w:p>
        </w:tc>
        <w:tc>
          <w:tcPr>
            <w:tcW w:w="1007" w:type="dxa"/>
            <w:tcBorders>
              <w:top w:val="nil"/>
              <w:left w:val="single" w:sz="4" w:space="0" w:color="auto"/>
              <w:bottom w:val="nil"/>
              <w:right w:val="single" w:sz="4" w:space="0" w:color="auto"/>
            </w:tcBorders>
            <w:vAlign w:val="center"/>
          </w:tcPr>
          <w:p w14:paraId="4EE057CC"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2.9</w:t>
            </w:r>
          </w:p>
        </w:tc>
        <w:tc>
          <w:tcPr>
            <w:tcW w:w="1007" w:type="dxa"/>
            <w:tcBorders>
              <w:top w:val="nil"/>
              <w:left w:val="single" w:sz="4" w:space="0" w:color="auto"/>
              <w:bottom w:val="nil"/>
              <w:right w:val="single" w:sz="4" w:space="0" w:color="auto"/>
            </w:tcBorders>
            <w:vAlign w:val="center"/>
          </w:tcPr>
          <w:p w14:paraId="0F950AA9"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11 067</w:t>
            </w:r>
          </w:p>
        </w:tc>
      </w:tr>
      <w:tr w:rsidR="00F0445D" w:rsidRPr="00F0445D" w14:paraId="78A3B7C4" w14:textId="77777777" w:rsidTr="00F0445D">
        <w:trPr>
          <w:jc w:val="center"/>
        </w:trPr>
        <w:tc>
          <w:tcPr>
            <w:tcW w:w="2552" w:type="dxa"/>
            <w:tcBorders>
              <w:top w:val="nil"/>
              <w:left w:val="single" w:sz="4" w:space="0" w:color="auto"/>
              <w:bottom w:val="nil"/>
              <w:right w:val="single" w:sz="4" w:space="0" w:color="auto"/>
            </w:tcBorders>
            <w:vAlign w:val="center"/>
          </w:tcPr>
          <w:p w14:paraId="55DF14FA"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Rusia</w:t>
            </w:r>
          </w:p>
        </w:tc>
        <w:tc>
          <w:tcPr>
            <w:tcW w:w="1007" w:type="dxa"/>
            <w:tcBorders>
              <w:top w:val="nil"/>
              <w:left w:val="single" w:sz="4" w:space="0" w:color="auto"/>
              <w:bottom w:val="nil"/>
              <w:right w:val="single" w:sz="4" w:space="0" w:color="auto"/>
            </w:tcBorders>
            <w:vAlign w:val="center"/>
          </w:tcPr>
          <w:p w14:paraId="6A34A8BD"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85.6</w:t>
            </w:r>
          </w:p>
        </w:tc>
        <w:tc>
          <w:tcPr>
            <w:tcW w:w="1007" w:type="dxa"/>
            <w:tcBorders>
              <w:top w:val="nil"/>
              <w:left w:val="single" w:sz="4" w:space="0" w:color="auto"/>
              <w:bottom w:val="nil"/>
              <w:right w:val="single" w:sz="4" w:space="0" w:color="auto"/>
            </w:tcBorders>
            <w:vAlign w:val="center"/>
          </w:tcPr>
          <w:p w14:paraId="013A4669"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1 594.0</w:t>
            </w:r>
          </w:p>
        </w:tc>
        <w:tc>
          <w:tcPr>
            <w:tcW w:w="1007" w:type="dxa"/>
            <w:tcBorders>
              <w:top w:val="nil"/>
              <w:left w:val="single" w:sz="4" w:space="0" w:color="auto"/>
              <w:bottom w:val="nil"/>
              <w:right w:val="single" w:sz="4" w:space="0" w:color="auto"/>
            </w:tcBorders>
            <w:vAlign w:val="center"/>
          </w:tcPr>
          <w:p w14:paraId="33ABE544"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5.0</w:t>
            </w:r>
          </w:p>
        </w:tc>
        <w:tc>
          <w:tcPr>
            <w:tcW w:w="1007" w:type="dxa"/>
            <w:tcBorders>
              <w:top w:val="nil"/>
              <w:left w:val="single" w:sz="4" w:space="0" w:color="auto"/>
              <w:bottom w:val="nil"/>
              <w:right w:val="single" w:sz="4" w:space="0" w:color="auto"/>
            </w:tcBorders>
            <w:vAlign w:val="center"/>
          </w:tcPr>
          <w:p w14:paraId="6487213E"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576</w:t>
            </w:r>
          </w:p>
        </w:tc>
        <w:tc>
          <w:tcPr>
            <w:tcW w:w="1007" w:type="dxa"/>
            <w:tcBorders>
              <w:top w:val="nil"/>
              <w:left w:val="single" w:sz="4" w:space="0" w:color="auto"/>
              <w:bottom w:val="nil"/>
              <w:right w:val="single" w:sz="4" w:space="0" w:color="auto"/>
            </w:tcBorders>
            <w:vAlign w:val="center"/>
          </w:tcPr>
          <w:p w14:paraId="2F132E10"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2 057.3</w:t>
            </w:r>
          </w:p>
        </w:tc>
        <w:tc>
          <w:tcPr>
            <w:tcW w:w="1007" w:type="dxa"/>
            <w:tcBorders>
              <w:top w:val="nil"/>
              <w:left w:val="single" w:sz="4" w:space="0" w:color="auto"/>
              <w:bottom w:val="nil"/>
              <w:right w:val="single" w:sz="4" w:space="0" w:color="auto"/>
            </w:tcBorders>
            <w:vAlign w:val="center"/>
          </w:tcPr>
          <w:p w14:paraId="0DDAF894"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3 588.6</w:t>
            </w:r>
          </w:p>
        </w:tc>
        <w:tc>
          <w:tcPr>
            <w:tcW w:w="1007" w:type="dxa"/>
            <w:tcBorders>
              <w:top w:val="nil"/>
              <w:left w:val="single" w:sz="4" w:space="0" w:color="auto"/>
              <w:bottom w:val="nil"/>
              <w:right w:val="single" w:sz="4" w:space="0" w:color="auto"/>
            </w:tcBorders>
            <w:vAlign w:val="center"/>
          </w:tcPr>
          <w:p w14:paraId="247EF44C"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3.3</w:t>
            </w:r>
          </w:p>
        </w:tc>
        <w:tc>
          <w:tcPr>
            <w:tcW w:w="1007" w:type="dxa"/>
            <w:tcBorders>
              <w:top w:val="nil"/>
              <w:left w:val="single" w:sz="4" w:space="0" w:color="auto"/>
              <w:bottom w:val="nil"/>
              <w:right w:val="single" w:sz="4" w:space="0" w:color="auto"/>
            </w:tcBorders>
            <w:vAlign w:val="center"/>
          </w:tcPr>
          <w:p w14:paraId="356ED9BB"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14 317</w:t>
            </w:r>
          </w:p>
        </w:tc>
      </w:tr>
      <w:tr w:rsidR="00F0445D" w:rsidRPr="00F0445D" w14:paraId="493CE9AB" w14:textId="77777777" w:rsidTr="00F0445D">
        <w:trPr>
          <w:jc w:val="center"/>
        </w:trPr>
        <w:tc>
          <w:tcPr>
            <w:tcW w:w="2552" w:type="dxa"/>
            <w:tcBorders>
              <w:top w:val="nil"/>
              <w:left w:val="single" w:sz="4" w:space="0" w:color="auto"/>
              <w:bottom w:val="nil"/>
              <w:right w:val="single" w:sz="4" w:space="0" w:color="auto"/>
            </w:tcBorders>
            <w:vAlign w:val="center"/>
          </w:tcPr>
          <w:p w14:paraId="3BCDDC6E"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 xml:space="preserve">India </w:t>
            </w:r>
          </w:p>
        </w:tc>
        <w:tc>
          <w:tcPr>
            <w:tcW w:w="1007" w:type="dxa"/>
            <w:tcBorders>
              <w:top w:val="nil"/>
              <w:left w:val="single" w:sz="4" w:space="0" w:color="auto"/>
              <w:bottom w:val="nil"/>
              <w:right w:val="single" w:sz="4" w:space="0" w:color="auto"/>
            </w:tcBorders>
            <w:vAlign w:val="center"/>
          </w:tcPr>
          <w:p w14:paraId="638E361C"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326.6</w:t>
            </w:r>
          </w:p>
        </w:tc>
        <w:tc>
          <w:tcPr>
            <w:tcW w:w="1007" w:type="dxa"/>
            <w:tcBorders>
              <w:top w:val="nil"/>
              <w:left w:val="single" w:sz="4" w:space="0" w:color="auto"/>
              <w:bottom w:val="nil"/>
              <w:right w:val="single" w:sz="4" w:space="0" w:color="auto"/>
            </w:tcBorders>
            <w:vAlign w:val="center"/>
          </w:tcPr>
          <w:p w14:paraId="61BEBB51"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1 017.8</w:t>
            </w:r>
          </w:p>
        </w:tc>
        <w:tc>
          <w:tcPr>
            <w:tcW w:w="1007" w:type="dxa"/>
            <w:tcBorders>
              <w:top w:val="nil"/>
              <w:left w:val="single" w:sz="4" w:space="0" w:color="auto"/>
              <w:bottom w:val="nil"/>
              <w:right w:val="single" w:sz="4" w:space="0" w:color="auto"/>
            </w:tcBorders>
            <w:vAlign w:val="center"/>
          </w:tcPr>
          <w:p w14:paraId="6D2508E3"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3.8</w:t>
            </w:r>
          </w:p>
        </w:tc>
        <w:tc>
          <w:tcPr>
            <w:tcW w:w="1007" w:type="dxa"/>
            <w:tcBorders>
              <w:top w:val="nil"/>
              <w:left w:val="single" w:sz="4" w:space="0" w:color="auto"/>
              <w:bottom w:val="nil"/>
              <w:right w:val="single" w:sz="4" w:space="0" w:color="auto"/>
            </w:tcBorders>
            <w:vAlign w:val="center"/>
          </w:tcPr>
          <w:p w14:paraId="40D2CCF9"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385</w:t>
            </w:r>
          </w:p>
        </w:tc>
        <w:tc>
          <w:tcPr>
            <w:tcW w:w="1007" w:type="dxa"/>
            <w:tcBorders>
              <w:top w:val="nil"/>
              <w:left w:val="single" w:sz="4" w:space="0" w:color="auto"/>
              <w:bottom w:val="nil"/>
              <w:right w:val="single" w:sz="4" w:space="0" w:color="auto"/>
            </w:tcBorders>
            <w:vAlign w:val="center"/>
          </w:tcPr>
          <w:p w14:paraId="720E447F"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2 047.8</w:t>
            </w:r>
          </w:p>
        </w:tc>
        <w:tc>
          <w:tcPr>
            <w:tcW w:w="1007" w:type="dxa"/>
            <w:tcBorders>
              <w:top w:val="nil"/>
              <w:left w:val="single" w:sz="4" w:space="0" w:color="auto"/>
              <w:bottom w:val="nil"/>
              <w:right w:val="single" w:sz="4" w:space="0" w:color="auto"/>
            </w:tcBorders>
            <w:vAlign w:val="center"/>
          </w:tcPr>
          <w:p w14:paraId="2866A663"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7 277.3</w:t>
            </w:r>
          </w:p>
        </w:tc>
        <w:tc>
          <w:tcPr>
            <w:tcW w:w="1007" w:type="dxa"/>
            <w:tcBorders>
              <w:top w:val="nil"/>
              <w:left w:val="single" w:sz="4" w:space="0" w:color="auto"/>
              <w:bottom w:val="nil"/>
              <w:right w:val="single" w:sz="4" w:space="0" w:color="auto"/>
            </w:tcBorders>
            <w:vAlign w:val="center"/>
          </w:tcPr>
          <w:p w14:paraId="0509ED53"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6.8</w:t>
            </w:r>
          </w:p>
        </w:tc>
        <w:tc>
          <w:tcPr>
            <w:tcW w:w="1007" w:type="dxa"/>
            <w:tcBorders>
              <w:top w:val="nil"/>
              <w:left w:val="single" w:sz="4" w:space="0" w:color="auto"/>
              <w:bottom w:val="nil"/>
              <w:right w:val="single" w:sz="4" w:space="0" w:color="auto"/>
            </w:tcBorders>
            <w:vAlign w:val="center"/>
          </w:tcPr>
          <w:p w14:paraId="68E235F5"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1 626</w:t>
            </w:r>
          </w:p>
        </w:tc>
      </w:tr>
      <w:tr w:rsidR="00F0445D" w:rsidRPr="00F0445D" w14:paraId="29B876E2" w14:textId="77777777" w:rsidTr="00F0445D">
        <w:trPr>
          <w:jc w:val="center"/>
        </w:trPr>
        <w:tc>
          <w:tcPr>
            <w:tcW w:w="2552" w:type="dxa"/>
            <w:tcBorders>
              <w:top w:val="nil"/>
              <w:left w:val="single" w:sz="4" w:space="0" w:color="auto"/>
              <w:bottom w:val="single" w:sz="4" w:space="0" w:color="auto"/>
              <w:right w:val="single" w:sz="4" w:space="0" w:color="auto"/>
            </w:tcBorders>
            <w:vAlign w:val="center"/>
          </w:tcPr>
          <w:p w14:paraId="40DD3404" w14:textId="77777777" w:rsidR="00F0445D" w:rsidRPr="00F0445D" w:rsidRDefault="00F0445D" w:rsidP="00F0445D">
            <w:pPr>
              <w:jc w:val="both"/>
              <w:rPr>
                <w:rFonts w:eastAsia="Calibri"/>
                <w:sz w:val="18"/>
                <w:szCs w:val="18"/>
                <w:lang w:eastAsia="en-US"/>
              </w:rPr>
            </w:pPr>
            <w:r w:rsidRPr="00F0445D">
              <w:rPr>
                <w:rFonts w:eastAsia="Calibri"/>
                <w:sz w:val="18"/>
                <w:szCs w:val="18"/>
                <w:lang w:eastAsia="en-US"/>
              </w:rPr>
              <w:t xml:space="preserve">España </w:t>
            </w:r>
          </w:p>
        </w:tc>
        <w:tc>
          <w:tcPr>
            <w:tcW w:w="1007" w:type="dxa"/>
            <w:tcBorders>
              <w:top w:val="nil"/>
              <w:left w:val="single" w:sz="4" w:space="0" w:color="auto"/>
              <w:bottom w:val="single" w:sz="4" w:space="0" w:color="auto"/>
              <w:right w:val="single" w:sz="4" w:space="0" w:color="auto"/>
            </w:tcBorders>
            <w:vAlign w:val="center"/>
          </w:tcPr>
          <w:p w14:paraId="012150B4"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520.4</w:t>
            </w:r>
          </w:p>
        </w:tc>
        <w:tc>
          <w:tcPr>
            <w:tcW w:w="1007" w:type="dxa"/>
            <w:tcBorders>
              <w:top w:val="nil"/>
              <w:left w:val="single" w:sz="4" w:space="0" w:color="auto"/>
              <w:bottom w:val="single" w:sz="4" w:space="0" w:color="auto"/>
              <w:right w:val="single" w:sz="4" w:space="0" w:color="auto"/>
            </w:tcBorders>
            <w:vAlign w:val="center"/>
          </w:tcPr>
          <w:p w14:paraId="7621B54C"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588.6</w:t>
            </w:r>
          </w:p>
        </w:tc>
        <w:tc>
          <w:tcPr>
            <w:tcW w:w="1007" w:type="dxa"/>
            <w:tcBorders>
              <w:top w:val="nil"/>
              <w:left w:val="single" w:sz="4" w:space="0" w:color="auto"/>
              <w:bottom w:val="single" w:sz="4" w:space="0" w:color="auto"/>
              <w:right w:val="single" w:sz="4" w:space="0" w:color="auto"/>
            </w:tcBorders>
            <w:vAlign w:val="center"/>
          </w:tcPr>
          <w:p w14:paraId="06350F63" w14:textId="77777777" w:rsidR="00F0445D" w:rsidRPr="00F0445D" w:rsidRDefault="00F0445D" w:rsidP="00F0445D">
            <w:pPr>
              <w:ind w:right="227"/>
              <w:jc w:val="right"/>
              <w:rPr>
                <w:rFonts w:eastAsia="Calibri"/>
                <w:sz w:val="18"/>
                <w:szCs w:val="18"/>
                <w:lang w:eastAsia="en-US"/>
              </w:rPr>
            </w:pPr>
            <w:r w:rsidRPr="00F0445D">
              <w:rPr>
                <w:rFonts w:eastAsia="Calibri"/>
                <w:sz w:val="18"/>
                <w:szCs w:val="18"/>
                <w:lang w:eastAsia="en-US"/>
              </w:rPr>
              <w:t>2.2</w:t>
            </w:r>
          </w:p>
        </w:tc>
        <w:tc>
          <w:tcPr>
            <w:tcW w:w="1007" w:type="dxa"/>
            <w:tcBorders>
              <w:top w:val="nil"/>
              <w:left w:val="single" w:sz="4" w:space="0" w:color="auto"/>
              <w:bottom w:val="single" w:sz="4" w:space="0" w:color="auto"/>
              <w:right w:val="single" w:sz="4" w:space="0" w:color="auto"/>
            </w:tcBorders>
            <w:vAlign w:val="center"/>
          </w:tcPr>
          <w:p w14:paraId="3C9C01D6" w14:textId="77777777" w:rsidR="00F0445D" w:rsidRPr="00F0445D" w:rsidRDefault="00F0445D" w:rsidP="00F0445D">
            <w:pPr>
              <w:ind w:right="113"/>
              <w:jc w:val="right"/>
              <w:rPr>
                <w:rFonts w:eastAsia="Calibri"/>
                <w:sz w:val="18"/>
                <w:szCs w:val="18"/>
                <w:lang w:eastAsia="en-US"/>
              </w:rPr>
            </w:pPr>
            <w:r w:rsidRPr="00F0445D">
              <w:rPr>
                <w:rFonts w:eastAsia="Calibri"/>
                <w:sz w:val="18"/>
                <w:szCs w:val="18"/>
                <w:lang w:eastAsia="en-US"/>
              </w:rPr>
              <w:t>13 400</w:t>
            </w:r>
          </w:p>
        </w:tc>
        <w:tc>
          <w:tcPr>
            <w:tcW w:w="1007" w:type="dxa"/>
            <w:tcBorders>
              <w:top w:val="nil"/>
              <w:left w:val="single" w:sz="4" w:space="0" w:color="auto"/>
              <w:bottom w:val="single" w:sz="4" w:space="0" w:color="auto"/>
              <w:right w:val="single" w:sz="4" w:space="0" w:color="auto"/>
            </w:tcBorders>
            <w:vAlign w:val="center"/>
          </w:tcPr>
          <w:p w14:paraId="47FF4369"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1 400.5</w:t>
            </w:r>
          </w:p>
        </w:tc>
        <w:tc>
          <w:tcPr>
            <w:tcW w:w="1007" w:type="dxa"/>
            <w:tcBorders>
              <w:top w:val="nil"/>
              <w:left w:val="single" w:sz="4" w:space="0" w:color="auto"/>
              <w:bottom w:val="single" w:sz="4" w:space="0" w:color="auto"/>
              <w:right w:val="single" w:sz="4" w:space="0" w:color="auto"/>
            </w:tcBorders>
            <w:vAlign w:val="center"/>
          </w:tcPr>
          <w:p w14:paraId="26C9F6BA"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1 533.6</w:t>
            </w:r>
          </w:p>
        </w:tc>
        <w:tc>
          <w:tcPr>
            <w:tcW w:w="1007" w:type="dxa"/>
            <w:tcBorders>
              <w:top w:val="nil"/>
              <w:left w:val="single" w:sz="4" w:space="0" w:color="auto"/>
              <w:bottom w:val="single" w:sz="4" w:space="0" w:color="auto"/>
              <w:right w:val="single" w:sz="4" w:space="0" w:color="auto"/>
            </w:tcBorders>
            <w:vAlign w:val="center"/>
          </w:tcPr>
          <w:p w14:paraId="2D0B0068" w14:textId="77777777" w:rsidR="00F0445D" w:rsidRPr="00F0445D" w:rsidRDefault="00F0445D" w:rsidP="00F0445D">
            <w:pPr>
              <w:ind w:right="170"/>
              <w:jc w:val="right"/>
              <w:rPr>
                <w:rFonts w:eastAsia="Calibri"/>
                <w:sz w:val="18"/>
                <w:szCs w:val="18"/>
                <w:lang w:eastAsia="en-US"/>
              </w:rPr>
            </w:pPr>
            <w:r w:rsidRPr="00F0445D">
              <w:rPr>
                <w:rFonts w:eastAsia="Calibri"/>
                <w:sz w:val="18"/>
                <w:szCs w:val="18"/>
                <w:lang w:eastAsia="en-US"/>
              </w:rPr>
              <w:t>1.4</w:t>
            </w:r>
          </w:p>
        </w:tc>
        <w:tc>
          <w:tcPr>
            <w:tcW w:w="1007" w:type="dxa"/>
            <w:tcBorders>
              <w:top w:val="nil"/>
              <w:left w:val="single" w:sz="4" w:space="0" w:color="auto"/>
              <w:bottom w:val="single" w:sz="4" w:space="0" w:color="auto"/>
              <w:right w:val="single" w:sz="4" w:space="0" w:color="auto"/>
            </w:tcBorders>
            <w:vAlign w:val="center"/>
          </w:tcPr>
          <w:p w14:paraId="1A1B7086" w14:textId="77777777" w:rsidR="00F0445D" w:rsidRPr="00F0445D" w:rsidRDefault="00F0445D" w:rsidP="00F0445D">
            <w:pPr>
              <w:ind w:right="57"/>
              <w:jc w:val="right"/>
              <w:rPr>
                <w:rFonts w:eastAsia="Calibri"/>
                <w:sz w:val="18"/>
                <w:szCs w:val="18"/>
                <w:lang w:eastAsia="en-US"/>
              </w:rPr>
            </w:pPr>
            <w:r w:rsidRPr="00F0445D">
              <w:rPr>
                <w:rFonts w:eastAsia="Calibri"/>
                <w:sz w:val="18"/>
                <w:szCs w:val="18"/>
                <w:lang w:eastAsia="en-US"/>
              </w:rPr>
              <w:t>30 113</w:t>
            </w:r>
          </w:p>
        </w:tc>
      </w:tr>
      <w:tr w:rsidR="00F0445D" w:rsidRPr="00F0445D" w14:paraId="79C620C6" w14:textId="77777777" w:rsidTr="00F0445D">
        <w:trPr>
          <w:jc w:val="center"/>
        </w:trPr>
        <w:tc>
          <w:tcPr>
            <w:tcW w:w="10608" w:type="dxa"/>
            <w:gridSpan w:val="9"/>
            <w:tcBorders>
              <w:top w:val="single" w:sz="4" w:space="0" w:color="auto"/>
              <w:left w:val="nil"/>
              <w:bottom w:val="nil"/>
              <w:right w:val="nil"/>
            </w:tcBorders>
            <w:vAlign w:val="center"/>
          </w:tcPr>
          <w:p w14:paraId="24B58A67" w14:textId="77777777" w:rsidR="00F0445D" w:rsidRPr="00304A53" w:rsidRDefault="00F0445D" w:rsidP="00F0445D">
            <w:pPr>
              <w:jc w:val="both"/>
              <w:rPr>
                <w:rFonts w:eastAsia="Calibri"/>
                <w:sz w:val="18"/>
                <w:szCs w:val="18"/>
                <w:lang w:eastAsia="en-US"/>
              </w:rPr>
            </w:pPr>
            <w:r w:rsidRPr="00304A53">
              <w:rPr>
                <w:rFonts w:eastAsia="Calibri"/>
                <w:sz w:val="18"/>
                <w:szCs w:val="18"/>
                <w:lang w:eastAsia="en-US"/>
              </w:rPr>
              <w:t>Datos de Rusia para 1990 son de 1992.</w:t>
            </w:r>
          </w:p>
          <w:p w14:paraId="638B6423" w14:textId="77777777" w:rsidR="00F0445D" w:rsidRPr="00304A53" w:rsidRDefault="00F0445D" w:rsidP="00F0445D">
            <w:pPr>
              <w:jc w:val="both"/>
              <w:rPr>
                <w:rFonts w:eastAsia="Calibri"/>
                <w:sz w:val="18"/>
                <w:szCs w:val="18"/>
                <w:lang w:eastAsia="en-US"/>
              </w:rPr>
            </w:pPr>
            <w:r w:rsidRPr="00304A53">
              <w:rPr>
                <w:rFonts w:eastAsia="Calibri"/>
                <w:sz w:val="18"/>
                <w:szCs w:val="18"/>
                <w:lang w:eastAsia="en-US"/>
              </w:rPr>
              <w:t>PPA: Paridad de Poder Adquisitivo.</w:t>
            </w:r>
          </w:p>
          <w:p w14:paraId="758D80EE" w14:textId="77777777" w:rsidR="00F0445D" w:rsidRPr="00304A53" w:rsidRDefault="00F0445D" w:rsidP="00F0445D">
            <w:pPr>
              <w:jc w:val="both"/>
              <w:rPr>
                <w:rFonts w:eastAsia="Calibri"/>
                <w:sz w:val="18"/>
                <w:szCs w:val="18"/>
                <w:lang w:eastAsia="en-US"/>
              </w:rPr>
            </w:pPr>
            <w:r w:rsidRPr="00304A53">
              <w:rPr>
                <w:rFonts w:eastAsia="Calibri"/>
                <w:sz w:val="18"/>
                <w:szCs w:val="18"/>
                <w:lang w:eastAsia="en-US"/>
              </w:rPr>
              <w:t>* Miles de millones de dólares.</w:t>
            </w:r>
          </w:p>
          <w:p w14:paraId="50983215" w14:textId="77777777" w:rsidR="00F0445D" w:rsidRPr="00304A53" w:rsidRDefault="00F0445D" w:rsidP="00F0445D">
            <w:pPr>
              <w:jc w:val="both"/>
              <w:rPr>
                <w:rFonts w:eastAsia="Calibri"/>
                <w:sz w:val="18"/>
                <w:szCs w:val="18"/>
                <w:lang w:eastAsia="en-US"/>
              </w:rPr>
            </w:pPr>
            <w:r w:rsidRPr="00304A53">
              <w:rPr>
                <w:rFonts w:eastAsia="Calibri"/>
                <w:sz w:val="18"/>
                <w:szCs w:val="18"/>
                <w:lang w:eastAsia="en-US"/>
              </w:rPr>
              <w:t xml:space="preserve">FUENTE: FMI, </w:t>
            </w:r>
            <w:r w:rsidRPr="00304A53">
              <w:rPr>
                <w:rFonts w:eastAsia="Calibri"/>
                <w:i/>
                <w:sz w:val="18"/>
                <w:szCs w:val="18"/>
                <w:lang w:eastAsia="en-US"/>
              </w:rPr>
              <w:t>World Economic Outlook Database</w:t>
            </w:r>
            <w:r w:rsidRPr="00304A53">
              <w:rPr>
                <w:rFonts w:eastAsia="Calibri"/>
                <w:sz w:val="18"/>
                <w:szCs w:val="18"/>
                <w:lang w:eastAsia="en-US"/>
              </w:rPr>
              <w:t>, Octubre 2014.</w:t>
            </w:r>
          </w:p>
        </w:tc>
      </w:tr>
    </w:tbl>
    <w:p w14:paraId="40E44145" w14:textId="77777777" w:rsidR="00F0445D" w:rsidRPr="00F0445D" w:rsidRDefault="00F0445D" w:rsidP="00F0445D">
      <w:pPr>
        <w:spacing w:after="360" w:line="360" w:lineRule="auto"/>
        <w:ind w:right="-159"/>
        <w:jc w:val="both"/>
        <w:rPr>
          <w:rFonts w:eastAsia="Calibri"/>
          <w:sz w:val="26"/>
          <w:szCs w:val="26"/>
          <w:lang w:eastAsia="en-US"/>
        </w:rPr>
      </w:pPr>
    </w:p>
    <w:p w14:paraId="0FA8B8EE" w14:textId="3E4A465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Pero, en todo caso, el fenomenal incremento del tamaño de la economía china y el fuerte aumento de peso de los países emergentes en la economía mundial son una realidad.   Ahora bien, unido a este desarrollo</w:t>
      </w:r>
      <w:r w:rsidR="00304A53">
        <w:rPr>
          <w:rFonts w:eastAsia="Calibri"/>
          <w:sz w:val="26"/>
          <w:szCs w:val="26"/>
          <w:lang w:eastAsia="en-US"/>
        </w:rPr>
        <w:t xml:space="preserve"> económico,</w:t>
      </w:r>
      <w:r w:rsidRPr="00F0445D">
        <w:rPr>
          <w:rFonts w:eastAsia="Calibri"/>
          <w:sz w:val="26"/>
          <w:szCs w:val="26"/>
          <w:lang w:eastAsia="en-US"/>
        </w:rPr>
        <w:t xml:space="preserve"> lo que resulta determinante para la capacidad de contribuir e influir en las instituciones internacionales es el poder financiero y monetario.</w:t>
      </w:r>
    </w:p>
    <w:p w14:paraId="56CB332A" w14:textId="6CDEE6DA" w:rsid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El poder monetario se basa en la capacidad de emitir una moneda de reserva de gran aceptación internacional</w:t>
      </w:r>
      <w:r w:rsidRPr="00F0445D">
        <w:rPr>
          <w:rFonts w:eastAsia="Calibri"/>
          <w:sz w:val="26"/>
          <w:szCs w:val="26"/>
          <w:vertAlign w:val="superscript"/>
          <w:lang w:eastAsia="en-US"/>
        </w:rPr>
        <w:footnoteReference w:id="12"/>
      </w:r>
      <w:r w:rsidR="0020784B">
        <w:rPr>
          <w:rFonts w:eastAsia="Calibri"/>
          <w:sz w:val="26"/>
          <w:szCs w:val="26"/>
          <w:lang w:eastAsia="en-US"/>
        </w:rPr>
        <w:t>,</w:t>
      </w:r>
      <w:r w:rsidRPr="00F0445D">
        <w:rPr>
          <w:rFonts w:eastAsia="Calibri"/>
          <w:sz w:val="26"/>
          <w:szCs w:val="26"/>
          <w:lang w:eastAsia="en-US"/>
        </w:rPr>
        <w:t xml:space="preserve"> que depende de la confianza y credibilidad de las instituciones monetarias nacionales. Este poder reside ahora mismo en los países desarrollados, y en particular en Estados Unidos de Norteamérica, seguido de lejos por la Zona Euro y Japón. Por otra parte, se puede medir el poder financiero por las reservas internacionales acumuladas, y la posición acreedora tanto del sector privado (principalmente del sector financiero) como del sector público. En otras palabras, el verdadero poder financiero se obtiene siendo un acreedor de otros países. Y China es ahora mismo un gran acreedor neto del resto del mundo, el mayor en términos netos después de Japón si lo medimos por la Posición de Inversión Internacional (PPI), que </w:t>
      </w:r>
      <w:r w:rsidRPr="00F0445D">
        <w:rPr>
          <w:rFonts w:eastAsia="Calibri"/>
          <w:sz w:val="26"/>
          <w:szCs w:val="26"/>
          <w:lang w:eastAsia="en-US"/>
        </w:rPr>
        <w:lastRenderedPageBreak/>
        <w:t>asciende a casi 2 billones de dólares en el primer trimestre de 2014; y tiene una posición financiera del sector público relativamente saneada, al menos en términos brutos. Además, tiene unas cantidades realmente gigantescas de reservas (en torno a 4 billones de dólares)</w:t>
      </w:r>
      <w:r w:rsidRPr="00F0445D">
        <w:rPr>
          <w:rFonts w:eastAsia="Calibri"/>
          <w:sz w:val="26"/>
          <w:szCs w:val="26"/>
          <w:vertAlign w:val="superscript"/>
          <w:lang w:eastAsia="en-US"/>
        </w:rPr>
        <w:footnoteReference w:id="13"/>
      </w:r>
      <w:r w:rsidR="0020784B">
        <w:rPr>
          <w:rFonts w:eastAsia="Calibri"/>
          <w:sz w:val="26"/>
          <w:szCs w:val="26"/>
          <w:lang w:eastAsia="en-US"/>
        </w:rPr>
        <w:t>.</w:t>
      </w:r>
      <w:r w:rsidRPr="00F0445D">
        <w:rPr>
          <w:rFonts w:eastAsia="Calibri"/>
          <w:sz w:val="26"/>
          <w:szCs w:val="26"/>
          <w:lang w:eastAsia="en-US"/>
        </w:rPr>
        <w:t xml:space="preserve"> El poder financiero sienta las bases del poder monetario a largo plazo, y ello apunta a que China pueda contar con poder monetario en el futuro.</w:t>
      </w:r>
    </w:p>
    <w:tbl>
      <w:tblPr>
        <w:tblW w:w="0" w:type="auto"/>
        <w:jc w:val="center"/>
        <w:tblLook w:val="04A0" w:firstRow="1" w:lastRow="0" w:firstColumn="1" w:lastColumn="0" w:noHBand="0" w:noVBand="1"/>
      </w:tblPr>
      <w:tblGrid>
        <w:gridCol w:w="2934"/>
        <w:gridCol w:w="2965"/>
        <w:gridCol w:w="2941"/>
      </w:tblGrid>
      <w:tr w:rsidR="00F0445D" w:rsidRPr="00F0445D" w14:paraId="0016C85C" w14:textId="77777777" w:rsidTr="00074CD9">
        <w:trPr>
          <w:jc w:val="center"/>
        </w:trPr>
        <w:tc>
          <w:tcPr>
            <w:tcW w:w="8840" w:type="dxa"/>
            <w:gridSpan w:val="3"/>
            <w:tcBorders>
              <w:top w:val="nil"/>
              <w:left w:val="nil"/>
              <w:bottom w:val="single" w:sz="4" w:space="0" w:color="auto"/>
              <w:right w:val="nil"/>
            </w:tcBorders>
            <w:vAlign w:val="center"/>
          </w:tcPr>
          <w:p w14:paraId="4C76AEA5" w14:textId="77777777" w:rsidR="00F0445D" w:rsidRPr="00F0445D" w:rsidRDefault="00F0445D" w:rsidP="00F0445D">
            <w:pPr>
              <w:jc w:val="center"/>
              <w:rPr>
                <w:rFonts w:eastAsia="Calibri"/>
                <w:b/>
                <w:sz w:val="22"/>
                <w:szCs w:val="22"/>
                <w:lang w:eastAsia="en-US"/>
              </w:rPr>
            </w:pPr>
            <w:r w:rsidRPr="00F0445D">
              <w:rPr>
                <w:rFonts w:eastAsia="Calibri"/>
                <w:b/>
                <w:sz w:val="22"/>
                <w:szCs w:val="22"/>
                <w:lang w:eastAsia="en-US"/>
              </w:rPr>
              <w:t>POSICIÓN DE INVERSIÓN INTERNACIONAL NETA Y RESERVAS INTERNACIONALES</w:t>
            </w:r>
          </w:p>
        </w:tc>
      </w:tr>
      <w:tr w:rsidR="00F0445D" w:rsidRPr="00F0445D" w14:paraId="3F3A6788" w14:textId="77777777" w:rsidTr="00074CD9">
        <w:trPr>
          <w:jc w:val="center"/>
        </w:trPr>
        <w:tc>
          <w:tcPr>
            <w:tcW w:w="2934" w:type="dxa"/>
            <w:tcBorders>
              <w:top w:val="single" w:sz="4" w:space="0" w:color="auto"/>
              <w:left w:val="single" w:sz="4" w:space="0" w:color="auto"/>
              <w:bottom w:val="single" w:sz="4" w:space="0" w:color="auto"/>
              <w:right w:val="single" w:sz="4" w:space="0" w:color="auto"/>
            </w:tcBorders>
            <w:vAlign w:val="center"/>
          </w:tcPr>
          <w:p w14:paraId="051131CA" w14:textId="77777777" w:rsidR="00F0445D" w:rsidRPr="00F0445D" w:rsidRDefault="00F0445D" w:rsidP="00F0445D">
            <w:pPr>
              <w:jc w:val="both"/>
              <w:rPr>
                <w:rFonts w:eastAsia="Calibri"/>
                <w:sz w:val="18"/>
                <w:szCs w:val="18"/>
                <w:lang w:eastAsia="en-US"/>
              </w:rPr>
            </w:pPr>
          </w:p>
        </w:tc>
        <w:tc>
          <w:tcPr>
            <w:tcW w:w="2965" w:type="dxa"/>
            <w:tcBorders>
              <w:top w:val="single" w:sz="4" w:space="0" w:color="auto"/>
              <w:left w:val="single" w:sz="4" w:space="0" w:color="auto"/>
              <w:bottom w:val="single" w:sz="4" w:space="0" w:color="auto"/>
              <w:right w:val="single" w:sz="4" w:space="0" w:color="auto"/>
            </w:tcBorders>
            <w:vAlign w:val="center"/>
          </w:tcPr>
          <w:p w14:paraId="7FAFC6FB"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Posición de Inversión Internacional neta*, ** 1er. Trim. 2014</w:t>
            </w:r>
          </w:p>
        </w:tc>
        <w:tc>
          <w:tcPr>
            <w:tcW w:w="2941" w:type="dxa"/>
            <w:tcBorders>
              <w:top w:val="single" w:sz="4" w:space="0" w:color="auto"/>
              <w:left w:val="single" w:sz="4" w:space="0" w:color="auto"/>
              <w:bottom w:val="single" w:sz="4" w:space="0" w:color="auto"/>
              <w:right w:val="single" w:sz="4" w:space="0" w:color="auto"/>
            </w:tcBorders>
            <w:vAlign w:val="center"/>
          </w:tcPr>
          <w:p w14:paraId="15718650" w14:textId="77777777" w:rsidR="00F0445D" w:rsidRPr="00F0445D" w:rsidRDefault="00F0445D" w:rsidP="00F0445D">
            <w:pPr>
              <w:jc w:val="center"/>
              <w:rPr>
                <w:rFonts w:eastAsia="Calibri"/>
                <w:b/>
                <w:sz w:val="18"/>
                <w:szCs w:val="18"/>
                <w:lang w:eastAsia="en-US"/>
              </w:rPr>
            </w:pPr>
            <w:r w:rsidRPr="00F0445D">
              <w:rPr>
                <w:rFonts w:eastAsia="Calibri"/>
                <w:b/>
                <w:sz w:val="18"/>
                <w:szCs w:val="18"/>
                <w:lang w:eastAsia="en-US"/>
              </w:rPr>
              <w:t>Reservas Internacionales *                                     enero de 2015</w:t>
            </w:r>
          </w:p>
        </w:tc>
      </w:tr>
      <w:tr w:rsidR="00F0445D" w:rsidRPr="00304A53" w14:paraId="5CA9F7A4" w14:textId="77777777" w:rsidTr="00074CD9">
        <w:trPr>
          <w:jc w:val="center"/>
        </w:trPr>
        <w:tc>
          <w:tcPr>
            <w:tcW w:w="2934" w:type="dxa"/>
            <w:tcBorders>
              <w:top w:val="single" w:sz="4" w:space="0" w:color="auto"/>
              <w:left w:val="single" w:sz="4" w:space="0" w:color="auto"/>
              <w:bottom w:val="nil"/>
              <w:right w:val="single" w:sz="4" w:space="0" w:color="auto"/>
            </w:tcBorders>
            <w:vAlign w:val="center"/>
          </w:tcPr>
          <w:p w14:paraId="3EA29649"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Zona Euro</w:t>
            </w:r>
          </w:p>
        </w:tc>
        <w:tc>
          <w:tcPr>
            <w:tcW w:w="2965" w:type="dxa"/>
            <w:tcBorders>
              <w:top w:val="single" w:sz="4" w:space="0" w:color="auto"/>
              <w:left w:val="single" w:sz="4" w:space="0" w:color="auto"/>
              <w:bottom w:val="nil"/>
              <w:right w:val="single" w:sz="4" w:space="0" w:color="auto"/>
            </w:tcBorders>
            <w:vAlign w:val="center"/>
          </w:tcPr>
          <w:p w14:paraId="7E6C4C1A"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-1 497.60</w:t>
            </w:r>
          </w:p>
        </w:tc>
        <w:tc>
          <w:tcPr>
            <w:tcW w:w="2941" w:type="dxa"/>
            <w:tcBorders>
              <w:top w:val="single" w:sz="4" w:space="0" w:color="auto"/>
              <w:left w:val="single" w:sz="4" w:space="0" w:color="auto"/>
              <w:bottom w:val="nil"/>
              <w:right w:val="single" w:sz="4" w:space="0" w:color="auto"/>
            </w:tcBorders>
            <w:vAlign w:val="center"/>
          </w:tcPr>
          <w:p w14:paraId="1BB07CA1"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225.7</w:t>
            </w:r>
          </w:p>
        </w:tc>
      </w:tr>
      <w:tr w:rsidR="00F0445D" w:rsidRPr="00304A53" w14:paraId="710D40D2" w14:textId="77777777" w:rsidTr="00074CD9">
        <w:trPr>
          <w:jc w:val="center"/>
        </w:trPr>
        <w:tc>
          <w:tcPr>
            <w:tcW w:w="2934" w:type="dxa"/>
            <w:tcBorders>
              <w:top w:val="nil"/>
              <w:left w:val="single" w:sz="4" w:space="0" w:color="auto"/>
              <w:bottom w:val="nil"/>
              <w:right w:val="single" w:sz="4" w:space="0" w:color="auto"/>
            </w:tcBorders>
            <w:vAlign w:val="center"/>
          </w:tcPr>
          <w:p w14:paraId="7F8E2F88"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Estados Unidos de Norteamérica</w:t>
            </w:r>
          </w:p>
        </w:tc>
        <w:tc>
          <w:tcPr>
            <w:tcW w:w="2965" w:type="dxa"/>
            <w:tcBorders>
              <w:top w:val="nil"/>
              <w:left w:val="single" w:sz="4" w:space="0" w:color="auto"/>
              <w:bottom w:val="nil"/>
              <w:right w:val="single" w:sz="4" w:space="0" w:color="auto"/>
            </w:tcBorders>
            <w:vAlign w:val="center"/>
          </w:tcPr>
          <w:p w14:paraId="0CC27643"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-5 511.70</w:t>
            </w:r>
          </w:p>
        </w:tc>
        <w:tc>
          <w:tcPr>
            <w:tcW w:w="2941" w:type="dxa"/>
            <w:tcBorders>
              <w:top w:val="nil"/>
              <w:left w:val="single" w:sz="4" w:space="0" w:color="auto"/>
              <w:bottom w:val="nil"/>
              <w:right w:val="single" w:sz="4" w:space="0" w:color="auto"/>
            </w:tcBorders>
            <w:vAlign w:val="center"/>
          </w:tcPr>
          <w:p w14:paraId="1B3F9393"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41.7</w:t>
            </w:r>
          </w:p>
        </w:tc>
      </w:tr>
      <w:tr w:rsidR="00F0445D" w:rsidRPr="00304A53" w14:paraId="19105BAE" w14:textId="77777777" w:rsidTr="00074CD9">
        <w:trPr>
          <w:jc w:val="center"/>
        </w:trPr>
        <w:tc>
          <w:tcPr>
            <w:tcW w:w="2934" w:type="dxa"/>
            <w:tcBorders>
              <w:top w:val="nil"/>
              <w:left w:val="single" w:sz="4" w:space="0" w:color="auto"/>
              <w:bottom w:val="nil"/>
              <w:right w:val="single" w:sz="4" w:space="0" w:color="auto"/>
            </w:tcBorders>
            <w:vAlign w:val="center"/>
          </w:tcPr>
          <w:p w14:paraId="247CB100"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BRIC</w:t>
            </w:r>
          </w:p>
        </w:tc>
        <w:tc>
          <w:tcPr>
            <w:tcW w:w="2965" w:type="dxa"/>
            <w:tcBorders>
              <w:top w:val="nil"/>
              <w:left w:val="single" w:sz="4" w:space="0" w:color="auto"/>
              <w:bottom w:val="nil"/>
              <w:right w:val="single" w:sz="4" w:space="0" w:color="auto"/>
            </w:tcBorders>
            <w:vAlign w:val="center"/>
          </w:tcPr>
          <w:p w14:paraId="5E9F1874"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1 058.20</w:t>
            </w:r>
          </w:p>
        </w:tc>
        <w:tc>
          <w:tcPr>
            <w:tcW w:w="2941" w:type="dxa"/>
            <w:tcBorders>
              <w:top w:val="nil"/>
              <w:left w:val="single" w:sz="4" w:space="0" w:color="auto"/>
              <w:bottom w:val="nil"/>
              <w:right w:val="single" w:sz="4" w:space="0" w:color="auto"/>
            </w:tcBorders>
            <w:vAlign w:val="center"/>
          </w:tcPr>
          <w:p w14:paraId="1879F09C"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4 852.8</w:t>
            </w:r>
          </w:p>
        </w:tc>
      </w:tr>
      <w:tr w:rsidR="00F0445D" w:rsidRPr="00304A53" w14:paraId="6B0F6595" w14:textId="77777777" w:rsidTr="00074CD9">
        <w:trPr>
          <w:jc w:val="center"/>
        </w:trPr>
        <w:tc>
          <w:tcPr>
            <w:tcW w:w="2934" w:type="dxa"/>
            <w:tcBorders>
              <w:top w:val="nil"/>
              <w:left w:val="single" w:sz="4" w:space="0" w:color="auto"/>
              <w:bottom w:val="nil"/>
              <w:right w:val="single" w:sz="4" w:space="0" w:color="auto"/>
            </w:tcBorders>
            <w:vAlign w:val="center"/>
          </w:tcPr>
          <w:p w14:paraId="2399CEDF"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China</w:t>
            </w:r>
          </w:p>
        </w:tc>
        <w:tc>
          <w:tcPr>
            <w:tcW w:w="2965" w:type="dxa"/>
            <w:tcBorders>
              <w:top w:val="nil"/>
              <w:left w:val="single" w:sz="4" w:space="0" w:color="auto"/>
              <w:bottom w:val="nil"/>
              <w:right w:val="single" w:sz="4" w:space="0" w:color="auto"/>
            </w:tcBorders>
            <w:vAlign w:val="center"/>
          </w:tcPr>
          <w:p w14:paraId="5EA1FE60"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1 991.50</w:t>
            </w:r>
          </w:p>
        </w:tc>
        <w:tc>
          <w:tcPr>
            <w:tcW w:w="2941" w:type="dxa"/>
            <w:tcBorders>
              <w:top w:val="nil"/>
              <w:left w:val="single" w:sz="4" w:space="0" w:color="auto"/>
              <w:bottom w:val="nil"/>
              <w:right w:val="single" w:sz="4" w:space="0" w:color="auto"/>
            </w:tcBorders>
            <w:vAlign w:val="center"/>
          </w:tcPr>
          <w:p w14:paraId="07A8A004"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3 843.0</w:t>
            </w:r>
          </w:p>
        </w:tc>
      </w:tr>
      <w:tr w:rsidR="00F0445D" w:rsidRPr="00304A53" w14:paraId="17ED8CFE" w14:textId="77777777" w:rsidTr="00074CD9">
        <w:trPr>
          <w:jc w:val="center"/>
        </w:trPr>
        <w:tc>
          <w:tcPr>
            <w:tcW w:w="2934" w:type="dxa"/>
            <w:tcBorders>
              <w:top w:val="nil"/>
              <w:left w:val="single" w:sz="4" w:space="0" w:color="auto"/>
              <w:bottom w:val="nil"/>
              <w:right w:val="single" w:sz="4" w:space="0" w:color="auto"/>
            </w:tcBorders>
            <w:vAlign w:val="center"/>
          </w:tcPr>
          <w:p w14:paraId="48B904CE"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Brasil</w:t>
            </w:r>
          </w:p>
        </w:tc>
        <w:tc>
          <w:tcPr>
            <w:tcW w:w="2965" w:type="dxa"/>
            <w:tcBorders>
              <w:top w:val="nil"/>
              <w:left w:val="single" w:sz="4" w:space="0" w:color="auto"/>
              <w:bottom w:val="nil"/>
              <w:right w:val="single" w:sz="4" w:space="0" w:color="auto"/>
            </w:tcBorders>
            <w:vAlign w:val="center"/>
          </w:tcPr>
          <w:p w14:paraId="7CFA4074"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-820.10</w:t>
            </w:r>
          </w:p>
        </w:tc>
        <w:tc>
          <w:tcPr>
            <w:tcW w:w="2941" w:type="dxa"/>
            <w:tcBorders>
              <w:top w:val="nil"/>
              <w:left w:val="single" w:sz="4" w:space="0" w:color="auto"/>
              <w:bottom w:val="nil"/>
              <w:right w:val="single" w:sz="4" w:space="0" w:color="auto"/>
            </w:tcBorders>
            <w:vAlign w:val="center"/>
          </w:tcPr>
          <w:p w14:paraId="27879861"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372.9</w:t>
            </w:r>
          </w:p>
        </w:tc>
      </w:tr>
      <w:tr w:rsidR="00F0445D" w:rsidRPr="00304A53" w14:paraId="3116CCA8" w14:textId="77777777" w:rsidTr="00074CD9">
        <w:trPr>
          <w:jc w:val="center"/>
        </w:trPr>
        <w:tc>
          <w:tcPr>
            <w:tcW w:w="2934" w:type="dxa"/>
            <w:tcBorders>
              <w:top w:val="nil"/>
              <w:left w:val="single" w:sz="4" w:space="0" w:color="auto"/>
              <w:bottom w:val="nil"/>
              <w:right w:val="single" w:sz="4" w:space="0" w:color="auto"/>
            </w:tcBorders>
            <w:vAlign w:val="center"/>
          </w:tcPr>
          <w:p w14:paraId="0F46B841"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Rusia</w:t>
            </w:r>
          </w:p>
        </w:tc>
        <w:tc>
          <w:tcPr>
            <w:tcW w:w="2965" w:type="dxa"/>
            <w:tcBorders>
              <w:top w:val="nil"/>
              <w:left w:val="single" w:sz="4" w:space="0" w:color="auto"/>
              <w:bottom w:val="nil"/>
              <w:right w:val="single" w:sz="4" w:space="0" w:color="auto"/>
            </w:tcBorders>
            <w:vAlign w:val="center"/>
          </w:tcPr>
          <w:p w14:paraId="27175022"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220.60</w:t>
            </w:r>
          </w:p>
        </w:tc>
        <w:tc>
          <w:tcPr>
            <w:tcW w:w="2941" w:type="dxa"/>
            <w:tcBorders>
              <w:top w:val="nil"/>
              <w:left w:val="single" w:sz="4" w:space="0" w:color="auto"/>
              <w:bottom w:val="nil"/>
              <w:right w:val="single" w:sz="4" w:space="0" w:color="auto"/>
            </w:tcBorders>
            <w:vAlign w:val="center"/>
          </w:tcPr>
          <w:p w14:paraId="4469FCDF"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339.4</w:t>
            </w:r>
          </w:p>
        </w:tc>
      </w:tr>
      <w:tr w:rsidR="00F0445D" w:rsidRPr="00304A53" w14:paraId="670D6A02" w14:textId="77777777" w:rsidTr="00074CD9">
        <w:trPr>
          <w:jc w:val="center"/>
        </w:trPr>
        <w:tc>
          <w:tcPr>
            <w:tcW w:w="2934" w:type="dxa"/>
            <w:tcBorders>
              <w:top w:val="nil"/>
              <w:left w:val="single" w:sz="4" w:space="0" w:color="auto"/>
              <w:bottom w:val="nil"/>
              <w:right w:val="single" w:sz="4" w:space="0" w:color="auto"/>
            </w:tcBorders>
            <w:vAlign w:val="center"/>
          </w:tcPr>
          <w:p w14:paraId="52B6141C"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 xml:space="preserve">India </w:t>
            </w:r>
          </w:p>
        </w:tc>
        <w:tc>
          <w:tcPr>
            <w:tcW w:w="2965" w:type="dxa"/>
            <w:tcBorders>
              <w:top w:val="nil"/>
              <w:left w:val="single" w:sz="4" w:space="0" w:color="auto"/>
              <w:bottom w:val="nil"/>
              <w:right w:val="single" w:sz="4" w:space="0" w:color="auto"/>
            </w:tcBorders>
            <w:vAlign w:val="center"/>
          </w:tcPr>
          <w:p w14:paraId="2E2E502A"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-333.8</w:t>
            </w:r>
          </w:p>
        </w:tc>
        <w:tc>
          <w:tcPr>
            <w:tcW w:w="2941" w:type="dxa"/>
            <w:tcBorders>
              <w:top w:val="nil"/>
              <w:left w:val="single" w:sz="4" w:space="0" w:color="auto"/>
              <w:bottom w:val="nil"/>
              <w:right w:val="single" w:sz="4" w:space="0" w:color="auto"/>
            </w:tcBorders>
            <w:vAlign w:val="center"/>
          </w:tcPr>
          <w:p w14:paraId="41C61481"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297.5</w:t>
            </w:r>
          </w:p>
        </w:tc>
      </w:tr>
      <w:tr w:rsidR="00F0445D" w:rsidRPr="00304A53" w14:paraId="3B13C8D9" w14:textId="77777777" w:rsidTr="00074CD9">
        <w:trPr>
          <w:jc w:val="center"/>
        </w:trPr>
        <w:tc>
          <w:tcPr>
            <w:tcW w:w="2934" w:type="dxa"/>
            <w:tcBorders>
              <w:top w:val="nil"/>
              <w:left w:val="single" w:sz="4" w:space="0" w:color="auto"/>
              <w:bottom w:val="single" w:sz="4" w:space="0" w:color="auto"/>
              <w:right w:val="single" w:sz="4" w:space="0" w:color="auto"/>
            </w:tcBorders>
            <w:vAlign w:val="center"/>
          </w:tcPr>
          <w:p w14:paraId="08A8C411" w14:textId="77777777" w:rsidR="00F0445D" w:rsidRPr="00304A53" w:rsidRDefault="00F0445D" w:rsidP="00F0445D">
            <w:pPr>
              <w:jc w:val="both"/>
              <w:rPr>
                <w:rFonts w:eastAsia="Calibri"/>
                <w:sz w:val="20"/>
                <w:szCs w:val="20"/>
                <w:lang w:eastAsia="en-US"/>
              </w:rPr>
            </w:pPr>
            <w:r w:rsidRPr="00304A53">
              <w:rPr>
                <w:rFonts w:eastAsia="Calibri"/>
                <w:sz w:val="20"/>
                <w:szCs w:val="20"/>
                <w:lang w:eastAsia="en-US"/>
              </w:rPr>
              <w:t xml:space="preserve">España </w:t>
            </w:r>
          </w:p>
        </w:tc>
        <w:tc>
          <w:tcPr>
            <w:tcW w:w="2965" w:type="dxa"/>
            <w:tcBorders>
              <w:top w:val="nil"/>
              <w:left w:val="single" w:sz="4" w:space="0" w:color="auto"/>
              <w:bottom w:val="single" w:sz="4" w:space="0" w:color="auto"/>
              <w:right w:val="single" w:sz="4" w:space="0" w:color="auto"/>
            </w:tcBorders>
            <w:vAlign w:val="center"/>
          </w:tcPr>
          <w:p w14:paraId="4D7684E2"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-1 366.40</w:t>
            </w:r>
          </w:p>
        </w:tc>
        <w:tc>
          <w:tcPr>
            <w:tcW w:w="2941" w:type="dxa"/>
            <w:tcBorders>
              <w:top w:val="nil"/>
              <w:left w:val="single" w:sz="4" w:space="0" w:color="auto"/>
              <w:bottom w:val="single" w:sz="4" w:space="0" w:color="auto"/>
              <w:right w:val="single" w:sz="4" w:space="0" w:color="auto"/>
            </w:tcBorders>
            <w:vAlign w:val="center"/>
          </w:tcPr>
          <w:p w14:paraId="56D4C198" w14:textId="77777777" w:rsidR="00F0445D" w:rsidRPr="00304A53" w:rsidRDefault="00F0445D" w:rsidP="00F0445D">
            <w:pPr>
              <w:ind w:right="971"/>
              <w:jc w:val="right"/>
              <w:rPr>
                <w:rFonts w:eastAsia="Calibri"/>
                <w:sz w:val="20"/>
                <w:szCs w:val="20"/>
                <w:lang w:eastAsia="en-US"/>
              </w:rPr>
            </w:pPr>
            <w:r w:rsidRPr="00304A53">
              <w:rPr>
                <w:rFonts w:eastAsia="Calibri"/>
                <w:sz w:val="20"/>
                <w:szCs w:val="20"/>
                <w:lang w:eastAsia="en-US"/>
              </w:rPr>
              <w:t>31.4</w:t>
            </w:r>
          </w:p>
        </w:tc>
      </w:tr>
      <w:tr w:rsidR="00F0445D" w:rsidRPr="00304A53" w14:paraId="38C3B29E" w14:textId="77777777" w:rsidTr="00074CD9">
        <w:trPr>
          <w:jc w:val="center"/>
        </w:trPr>
        <w:tc>
          <w:tcPr>
            <w:tcW w:w="8840" w:type="dxa"/>
            <w:gridSpan w:val="3"/>
            <w:tcBorders>
              <w:top w:val="single" w:sz="4" w:space="0" w:color="auto"/>
              <w:left w:val="nil"/>
              <w:bottom w:val="nil"/>
              <w:right w:val="nil"/>
            </w:tcBorders>
            <w:vAlign w:val="center"/>
          </w:tcPr>
          <w:p w14:paraId="010D0481" w14:textId="77777777" w:rsidR="00F0445D" w:rsidRPr="00304A53" w:rsidRDefault="00F0445D" w:rsidP="00F0445D">
            <w:pPr>
              <w:widowControl w:val="0"/>
              <w:autoSpaceDE w:val="0"/>
              <w:autoSpaceDN w:val="0"/>
              <w:adjustRightInd w:val="0"/>
              <w:ind w:left="176" w:right="-108" w:hanging="176"/>
              <w:jc w:val="both"/>
              <w:rPr>
                <w:rFonts w:eastAsia="Calibri"/>
                <w:sz w:val="20"/>
                <w:szCs w:val="20"/>
                <w:lang w:eastAsia="en-US"/>
              </w:rPr>
            </w:pPr>
            <w:r w:rsidRPr="00304A53">
              <w:rPr>
                <w:rFonts w:eastAsia="Calibri"/>
                <w:sz w:val="20"/>
                <w:szCs w:val="20"/>
                <w:lang w:eastAsia="en-US"/>
              </w:rPr>
              <w:t>* La</w:t>
            </w:r>
            <w:r w:rsidRPr="00304A53">
              <w:rPr>
                <w:rFonts w:eastAsia="Calibri"/>
                <w:spacing w:val="-2"/>
                <w:sz w:val="20"/>
                <w:szCs w:val="20"/>
                <w:lang w:eastAsia="en-US"/>
              </w:rPr>
              <w:t xml:space="preserve"> </w:t>
            </w:r>
            <w:r w:rsidRPr="00304A53">
              <w:rPr>
                <w:rFonts w:eastAsia="Calibri"/>
                <w:sz w:val="20"/>
                <w:szCs w:val="20"/>
                <w:lang w:eastAsia="en-US"/>
              </w:rPr>
              <w:t>PII</w:t>
            </w:r>
            <w:r w:rsidRPr="00304A53">
              <w:rPr>
                <w:rFonts w:eastAsia="Calibri"/>
                <w:spacing w:val="-2"/>
                <w:sz w:val="20"/>
                <w:szCs w:val="20"/>
                <w:lang w:eastAsia="en-US"/>
              </w:rPr>
              <w:t xml:space="preserve"> </w:t>
            </w:r>
            <w:r w:rsidRPr="00304A53">
              <w:rPr>
                <w:rFonts w:eastAsia="Calibri"/>
                <w:sz w:val="20"/>
                <w:szCs w:val="20"/>
                <w:lang w:eastAsia="en-US"/>
              </w:rPr>
              <w:t>neta</w:t>
            </w:r>
            <w:r w:rsidRPr="00304A53">
              <w:rPr>
                <w:rFonts w:eastAsia="Calibri"/>
                <w:spacing w:val="-3"/>
                <w:sz w:val="20"/>
                <w:szCs w:val="20"/>
                <w:lang w:eastAsia="en-US"/>
              </w:rPr>
              <w:t xml:space="preserve"> </w:t>
            </w:r>
            <w:r w:rsidRPr="00304A53">
              <w:rPr>
                <w:rFonts w:eastAsia="Calibri"/>
                <w:sz w:val="20"/>
                <w:szCs w:val="20"/>
                <w:lang w:eastAsia="en-US"/>
              </w:rPr>
              <w:t>mue</w:t>
            </w:r>
            <w:r w:rsidRPr="00304A53">
              <w:rPr>
                <w:rFonts w:eastAsia="Calibri"/>
                <w:spacing w:val="2"/>
                <w:sz w:val="20"/>
                <w:szCs w:val="20"/>
                <w:lang w:eastAsia="en-US"/>
              </w:rPr>
              <w:t>s</w:t>
            </w:r>
            <w:r w:rsidRPr="00304A53">
              <w:rPr>
                <w:rFonts w:eastAsia="Calibri"/>
                <w:sz w:val="20"/>
                <w:szCs w:val="20"/>
                <w:lang w:eastAsia="en-US"/>
              </w:rPr>
              <w:t>tra</w:t>
            </w:r>
            <w:r w:rsidRPr="00304A53">
              <w:rPr>
                <w:rFonts w:eastAsia="Calibri"/>
                <w:spacing w:val="-6"/>
                <w:sz w:val="20"/>
                <w:szCs w:val="20"/>
                <w:lang w:eastAsia="en-US"/>
              </w:rPr>
              <w:t xml:space="preserve"> </w:t>
            </w:r>
            <w:r w:rsidRPr="00304A53">
              <w:rPr>
                <w:rFonts w:eastAsia="Calibri"/>
                <w:sz w:val="20"/>
                <w:szCs w:val="20"/>
                <w:lang w:eastAsia="en-US"/>
              </w:rPr>
              <w:t>el</w:t>
            </w:r>
            <w:r w:rsidRPr="00304A53">
              <w:rPr>
                <w:rFonts w:eastAsia="Calibri"/>
                <w:spacing w:val="-1"/>
                <w:sz w:val="20"/>
                <w:szCs w:val="20"/>
                <w:lang w:eastAsia="en-US"/>
              </w:rPr>
              <w:t xml:space="preserve"> </w:t>
            </w:r>
            <w:r w:rsidRPr="00304A53">
              <w:rPr>
                <w:rFonts w:eastAsia="Calibri"/>
                <w:sz w:val="20"/>
                <w:szCs w:val="20"/>
                <w:lang w:eastAsia="en-US"/>
              </w:rPr>
              <w:t>saldo</w:t>
            </w:r>
            <w:r w:rsidRPr="00304A53">
              <w:rPr>
                <w:rFonts w:eastAsia="Calibri"/>
                <w:spacing w:val="-4"/>
                <w:sz w:val="20"/>
                <w:szCs w:val="20"/>
                <w:lang w:eastAsia="en-US"/>
              </w:rPr>
              <w:t xml:space="preserve"> </w:t>
            </w:r>
            <w:r w:rsidRPr="00304A53">
              <w:rPr>
                <w:rFonts w:eastAsia="Calibri"/>
                <w:sz w:val="20"/>
                <w:szCs w:val="20"/>
                <w:lang w:eastAsia="en-US"/>
              </w:rPr>
              <w:t>acre</w:t>
            </w:r>
            <w:r w:rsidRPr="00304A53">
              <w:rPr>
                <w:rFonts w:eastAsia="Calibri"/>
                <w:spacing w:val="1"/>
                <w:sz w:val="20"/>
                <w:szCs w:val="20"/>
                <w:lang w:eastAsia="en-US"/>
              </w:rPr>
              <w:t>e</w:t>
            </w:r>
            <w:r w:rsidRPr="00304A53">
              <w:rPr>
                <w:rFonts w:eastAsia="Calibri"/>
                <w:sz w:val="20"/>
                <w:szCs w:val="20"/>
                <w:lang w:eastAsia="en-US"/>
              </w:rPr>
              <w:t>dor</w:t>
            </w:r>
            <w:r w:rsidRPr="00304A53">
              <w:rPr>
                <w:rFonts w:eastAsia="Calibri"/>
                <w:spacing w:val="-6"/>
                <w:sz w:val="20"/>
                <w:szCs w:val="20"/>
                <w:lang w:eastAsia="en-US"/>
              </w:rPr>
              <w:t xml:space="preserve"> </w:t>
            </w:r>
            <w:r w:rsidRPr="00304A53">
              <w:rPr>
                <w:rFonts w:eastAsia="Calibri"/>
                <w:sz w:val="20"/>
                <w:szCs w:val="20"/>
                <w:lang w:eastAsia="en-US"/>
              </w:rPr>
              <w:t>(signo</w:t>
            </w:r>
            <w:r w:rsidRPr="00304A53">
              <w:rPr>
                <w:rFonts w:eastAsia="Calibri"/>
                <w:spacing w:val="-4"/>
                <w:sz w:val="20"/>
                <w:szCs w:val="20"/>
                <w:lang w:eastAsia="en-US"/>
              </w:rPr>
              <w:t xml:space="preserve"> </w:t>
            </w:r>
            <w:r w:rsidRPr="00304A53">
              <w:rPr>
                <w:rFonts w:eastAsia="Calibri"/>
                <w:sz w:val="20"/>
                <w:szCs w:val="20"/>
                <w:lang w:eastAsia="en-US"/>
              </w:rPr>
              <w:t>positivo)</w:t>
            </w:r>
            <w:r w:rsidRPr="00304A53">
              <w:rPr>
                <w:rFonts w:eastAsia="Calibri"/>
                <w:spacing w:val="-6"/>
                <w:sz w:val="20"/>
                <w:szCs w:val="20"/>
                <w:lang w:eastAsia="en-US"/>
              </w:rPr>
              <w:t xml:space="preserve"> </w:t>
            </w:r>
            <w:r w:rsidRPr="00304A53">
              <w:rPr>
                <w:rFonts w:eastAsia="Calibri"/>
                <w:sz w:val="20"/>
                <w:szCs w:val="20"/>
                <w:lang w:eastAsia="en-US"/>
              </w:rPr>
              <w:t>o</w:t>
            </w:r>
            <w:r w:rsidRPr="00304A53">
              <w:rPr>
                <w:rFonts w:eastAsia="Calibri"/>
                <w:spacing w:val="-1"/>
                <w:sz w:val="20"/>
                <w:szCs w:val="20"/>
                <w:lang w:eastAsia="en-US"/>
              </w:rPr>
              <w:t xml:space="preserve"> </w:t>
            </w:r>
            <w:r w:rsidRPr="00304A53">
              <w:rPr>
                <w:rFonts w:eastAsia="Calibri"/>
                <w:sz w:val="20"/>
                <w:szCs w:val="20"/>
                <w:lang w:eastAsia="en-US"/>
              </w:rPr>
              <w:t>deu</w:t>
            </w:r>
            <w:r w:rsidRPr="00304A53">
              <w:rPr>
                <w:rFonts w:eastAsia="Calibri"/>
                <w:spacing w:val="1"/>
                <w:sz w:val="20"/>
                <w:szCs w:val="20"/>
                <w:lang w:eastAsia="en-US"/>
              </w:rPr>
              <w:t>d</w:t>
            </w:r>
            <w:r w:rsidRPr="00304A53">
              <w:rPr>
                <w:rFonts w:eastAsia="Calibri"/>
                <w:sz w:val="20"/>
                <w:szCs w:val="20"/>
                <w:lang w:eastAsia="en-US"/>
              </w:rPr>
              <w:t>or</w:t>
            </w:r>
            <w:r w:rsidRPr="00304A53">
              <w:rPr>
                <w:rFonts w:eastAsia="Calibri"/>
                <w:spacing w:val="-5"/>
                <w:sz w:val="20"/>
                <w:szCs w:val="20"/>
                <w:lang w:eastAsia="en-US"/>
              </w:rPr>
              <w:t xml:space="preserve"> </w:t>
            </w:r>
            <w:r w:rsidRPr="00304A53">
              <w:rPr>
                <w:rFonts w:eastAsia="Calibri"/>
                <w:sz w:val="20"/>
                <w:szCs w:val="20"/>
                <w:lang w:eastAsia="en-US"/>
              </w:rPr>
              <w:t>neto</w:t>
            </w:r>
            <w:r w:rsidRPr="00304A53">
              <w:rPr>
                <w:rFonts w:eastAsia="Calibri"/>
                <w:spacing w:val="-1"/>
                <w:sz w:val="20"/>
                <w:szCs w:val="20"/>
                <w:lang w:eastAsia="en-US"/>
              </w:rPr>
              <w:t xml:space="preserve"> </w:t>
            </w:r>
            <w:r w:rsidRPr="00304A53">
              <w:rPr>
                <w:rFonts w:eastAsia="Calibri"/>
                <w:sz w:val="20"/>
                <w:szCs w:val="20"/>
                <w:lang w:eastAsia="en-US"/>
              </w:rPr>
              <w:t>(s</w:t>
            </w:r>
            <w:r w:rsidRPr="00304A53">
              <w:rPr>
                <w:rFonts w:eastAsia="Calibri"/>
                <w:spacing w:val="1"/>
                <w:sz w:val="20"/>
                <w:szCs w:val="20"/>
                <w:lang w:eastAsia="en-US"/>
              </w:rPr>
              <w:t>i</w:t>
            </w:r>
            <w:r w:rsidRPr="00304A53">
              <w:rPr>
                <w:rFonts w:eastAsia="Calibri"/>
                <w:sz w:val="20"/>
                <w:szCs w:val="20"/>
                <w:lang w:eastAsia="en-US"/>
              </w:rPr>
              <w:t>gno</w:t>
            </w:r>
            <w:r w:rsidRPr="00304A53">
              <w:rPr>
                <w:rFonts w:eastAsia="Calibri"/>
                <w:spacing w:val="-4"/>
                <w:sz w:val="20"/>
                <w:szCs w:val="20"/>
                <w:lang w:eastAsia="en-US"/>
              </w:rPr>
              <w:t xml:space="preserve"> </w:t>
            </w:r>
            <w:r w:rsidRPr="00304A53">
              <w:rPr>
                <w:rFonts w:eastAsia="Calibri"/>
                <w:sz w:val="20"/>
                <w:szCs w:val="20"/>
                <w:lang w:eastAsia="en-US"/>
              </w:rPr>
              <w:t>negativo)</w:t>
            </w:r>
            <w:r w:rsidRPr="00304A53">
              <w:rPr>
                <w:rFonts w:eastAsia="Calibri"/>
                <w:spacing w:val="-6"/>
                <w:sz w:val="20"/>
                <w:szCs w:val="20"/>
                <w:lang w:eastAsia="en-US"/>
              </w:rPr>
              <w:t xml:space="preserve"> </w:t>
            </w:r>
            <w:r w:rsidRPr="00304A53">
              <w:rPr>
                <w:rFonts w:eastAsia="Calibri"/>
                <w:sz w:val="20"/>
                <w:szCs w:val="20"/>
                <w:lang w:eastAsia="en-US"/>
              </w:rPr>
              <w:t>con</w:t>
            </w:r>
            <w:r w:rsidRPr="00304A53">
              <w:rPr>
                <w:rFonts w:eastAsia="Calibri"/>
                <w:spacing w:val="-3"/>
                <w:sz w:val="20"/>
                <w:szCs w:val="20"/>
                <w:lang w:eastAsia="en-US"/>
              </w:rPr>
              <w:t xml:space="preserve"> </w:t>
            </w:r>
            <w:r w:rsidRPr="00304A53">
              <w:rPr>
                <w:rFonts w:eastAsia="Calibri"/>
                <w:sz w:val="20"/>
                <w:szCs w:val="20"/>
                <w:lang w:eastAsia="en-US"/>
              </w:rPr>
              <w:t>el</w:t>
            </w:r>
            <w:r w:rsidRPr="00304A53">
              <w:rPr>
                <w:rFonts w:eastAsia="Calibri"/>
                <w:spacing w:val="-1"/>
                <w:sz w:val="20"/>
                <w:szCs w:val="20"/>
                <w:lang w:eastAsia="en-US"/>
              </w:rPr>
              <w:t xml:space="preserve"> </w:t>
            </w:r>
            <w:r w:rsidRPr="00304A53">
              <w:rPr>
                <w:rFonts w:eastAsia="Calibri"/>
                <w:sz w:val="20"/>
                <w:szCs w:val="20"/>
                <w:lang w:eastAsia="en-US"/>
              </w:rPr>
              <w:t>resto</w:t>
            </w:r>
            <w:r w:rsidRPr="00304A53">
              <w:rPr>
                <w:rFonts w:eastAsia="Calibri"/>
                <w:spacing w:val="-4"/>
                <w:sz w:val="20"/>
                <w:szCs w:val="20"/>
                <w:lang w:eastAsia="en-US"/>
              </w:rPr>
              <w:t xml:space="preserve"> </w:t>
            </w:r>
            <w:r w:rsidRPr="00304A53">
              <w:rPr>
                <w:rFonts w:eastAsia="Calibri"/>
                <w:sz w:val="20"/>
                <w:szCs w:val="20"/>
                <w:lang w:eastAsia="en-US"/>
              </w:rPr>
              <w:t>del</w:t>
            </w:r>
            <w:r w:rsidRPr="00304A53">
              <w:rPr>
                <w:rFonts w:eastAsia="Calibri"/>
                <w:spacing w:val="-2"/>
                <w:sz w:val="20"/>
                <w:szCs w:val="20"/>
                <w:lang w:eastAsia="en-US"/>
              </w:rPr>
              <w:t xml:space="preserve">  </w:t>
            </w:r>
            <w:r w:rsidRPr="00304A53">
              <w:rPr>
                <w:rFonts w:eastAsia="Calibri"/>
                <w:sz w:val="20"/>
                <w:szCs w:val="20"/>
                <w:lang w:eastAsia="en-US"/>
              </w:rPr>
              <w:t>mundo.</w:t>
            </w:r>
          </w:p>
          <w:p w14:paraId="6B7269E8" w14:textId="77777777" w:rsidR="00F0445D" w:rsidRPr="00304A53" w:rsidRDefault="00F0445D" w:rsidP="00F0445D">
            <w:pPr>
              <w:widowControl w:val="0"/>
              <w:autoSpaceDE w:val="0"/>
              <w:autoSpaceDN w:val="0"/>
              <w:adjustRightInd w:val="0"/>
              <w:ind w:left="34" w:right="5602"/>
              <w:jc w:val="both"/>
              <w:rPr>
                <w:rFonts w:eastAsia="Calibri"/>
                <w:sz w:val="20"/>
                <w:szCs w:val="20"/>
                <w:lang w:eastAsia="en-US"/>
              </w:rPr>
            </w:pPr>
            <w:r w:rsidRPr="00304A53">
              <w:rPr>
                <w:rFonts w:eastAsia="Calibri"/>
                <w:sz w:val="20"/>
                <w:szCs w:val="20"/>
                <w:lang w:eastAsia="en-US"/>
              </w:rPr>
              <w:t>** Miles</w:t>
            </w:r>
            <w:r w:rsidRPr="00304A53">
              <w:rPr>
                <w:rFonts w:eastAsia="Calibri"/>
                <w:spacing w:val="-4"/>
                <w:sz w:val="20"/>
                <w:szCs w:val="20"/>
                <w:lang w:eastAsia="en-US"/>
              </w:rPr>
              <w:t xml:space="preserve"> </w:t>
            </w:r>
            <w:r w:rsidRPr="00304A53">
              <w:rPr>
                <w:rFonts w:eastAsia="Calibri"/>
                <w:sz w:val="20"/>
                <w:szCs w:val="20"/>
                <w:lang w:eastAsia="en-US"/>
              </w:rPr>
              <w:t>de</w:t>
            </w:r>
            <w:r w:rsidRPr="00304A53">
              <w:rPr>
                <w:rFonts w:eastAsia="Calibri"/>
                <w:spacing w:val="-2"/>
                <w:sz w:val="20"/>
                <w:szCs w:val="20"/>
                <w:lang w:eastAsia="en-US"/>
              </w:rPr>
              <w:t xml:space="preserve"> </w:t>
            </w:r>
            <w:r w:rsidRPr="00304A53">
              <w:rPr>
                <w:rFonts w:eastAsia="Calibri"/>
                <w:sz w:val="20"/>
                <w:szCs w:val="20"/>
                <w:lang w:eastAsia="en-US"/>
              </w:rPr>
              <w:t>millones</w:t>
            </w:r>
            <w:r w:rsidRPr="00304A53">
              <w:rPr>
                <w:rFonts w:eastAsia="Calibri"/>
                <w:spacing w:val="-6"/>
                <w:sz w:val="20"/>
                <w:szCs w:val="20"/>
                <w:lang w:eastAsia="en-US"/>
              </w:rPr>
              <w:t xml:space="preserve"> </w:t>
            </w:r>
            <w:r w:rsidRPr="00304A53">
              <w:rPr>
                <w:rFonts w:eastAsia="Calibri"/>
                <w:sz w:val="20"/>
                <w:szCs w:val="20"/>
                <w:lang w:eastAsia="en-US"/>
              </w:rPr>
              <w:t>de</w:t>
            </w:r>
            <w:r w:rsidRPr="00304A53">
              <w:rPr>
                <w:rFonts w:eastAsia="Calibri"/>
                <w:spacing w:val="-2"/>
                <w:sz w:val="20"/>
                <w:szCs w:val="20"/>
                <w:lang w:eastAsia="en-US"/>
              </w:rPr>
              <w:t xml:space="preserve"> </w:t>
            </w:r>
            <w:r w:rsidRPr="00304A53">
              <w:rPr>
                <w:rFonts w:eastAsia="Calibri"/>
                <w:sz w:val="20"/>
                <w:szCs w:val="20"/>
                <w:lang w:eastAsia="en-US"/>
              </w:rPr>
              <w:t>dólares.</w:t>
            </w:r>
          </w:p>
          <w:p w14:paraId="1F55C718" w14:textId="77777777" w:rsidR="00F0445D" w:rsidRPr="00304A53" w:rsidRDefault="00F0445D" w:rsidP="00304A53">
            <w:pPr>
              <w:widowControl w:val="0"/>
              <w:autoSpaceDE w:val="0"/>
              <w:autoSpaceDN w:val="0"/>
              <w:adjustRightInd w:val="0"/>
              <w:ind w:left="913" w:right="153" w:hanging="879"/>
              <w:jc w:val="both"/>
              <w:rPr>
                <w:rFonts w:eastAsia="Calibri"/>
                <w:sz w:val="20"/>
                <w:szCs w:val="20"/>
                <w:lang w:eastAsia="en-US"/>
              </w:rPr>
            </w:pPr>
            <w:r w:rsidRPr="00304A53">
              <w:rPr>
                <w:rFonts w:eastAsia="Calibri"/>
                <w:sz w:val="20"/>
                <w:szCs w:val="20"/>
                <w:lang w:eastAsia="en-US"/>
              </w:rPr>
              <w:t>FUENTE:</w:t>
            </w:r>
            <w:r w:rsidRPr="00304A53">
              <w:rPr>
                <w:rFonts w:eastAsia="Calibri"/>
                <w:spacing w:val="4"/>
                <w:sz w:val="20"/>
                <w:szCs w:val="20"/>
                <w:lang w:eastAsia="en-US"/>
              </w:rPr>
              <w:t xml:space="preserve"> </w:t>
            </w:r>
            <w:r w:rsidRPr="00304A53">
              <w:rPr>
                <w:rFonts w:eastAsia="Calibri"/>
                <w:sz w:val="20"/>
                <w:szCs w:val="20"/>
                <w:lang w:eastAsia="en-US"/>
              </w:rPr>
              <w:t>PII,</w:t>
            </w:r>
            <w:r w:rsidRPr="00304A53">
              <w:rPr>
                <w:rFonts w:eastAsia="Calibri"/>
                <w:spacing w:val="8"/>
                <w:sz w:val="20"/>
                <w:szCs w:val="20"/>
                <w:lang w:eastAsia="en-US"/>
              </w:rPr>
              <w:t xml:space="preserve"> </w:t>
            </w:r>
            <w:r w:rsidRPr="00304A53">
              <w:rPr>
                <w:rFonts w:eastAsia="Calibri"/>
                <w:sz w:val="20"/>
                <w:szCs w:val="20"/>
                <w:lang w:eastAsia="en-US"/>
              </w:rPr>
              <w:t>I</w:t>
            </w:r>
            <w:r w:rsidRPr="00304A53">
              <w:rPr>
                <w:rFonts w:eastAsia="Calibri"/>
                <w:spacing w:val="1"/>
                <w:sz w:val="20"/>
                <w:szCs w:val="20"/>
                <w:lang w:eastAsia="en-US"/>
              </w:rPr>
              <w:t>M</w:t>
            </w:r>
            <w:r w:rsidRPr="00304A53">
              <w:rPr>
                <w:rFonts w:eastAsia="Calibri"/>
                <w:sz w:val="20"/>
                <w:szCs w:val="20"/>
                <w:lang w:eastAsia="en-US"/>
              </w:rPr>
              <w:t>F</w:t>
            </w:r>
            <w:r w:rsidRPr="00304A53">
              <w:rPr>
                <w:rFonts w:eastAsia="Calibri"/>
                <w:spacing w:val="7"/>
                <w:sz w:val="20"/>
                <w:szCs w:val="20"/>
                <w:lang w:eastAsia="en-US"/>
              </w:rPr>
              <w:t xml:space="preserve"> </w:t>
            </w:r>
            <w:r w:rsidRPr="00304A53">
              <w:rPr>
                <w:rFonts w:eastAsia="Calibri"/>
                <w:sz w:val="20"/>
                <w:szCs w:val="20"/>
                <w:lang w:eastAsia="en-US"/>
              </w:rPr>
              <w:t>Balance</w:t>
            </w:r>
            <w:r w:rsidRPr="00304A53">
              <w:rPr>
                <w:rFonts w:eastAsia="Calibri"/>
                <w:spacing w:val="4"/>
                <w:sz w:val="20"/>
                <w:szCs w:val="20"/>
                <w:lang w:eastAsia="en-US"/>
              </w:rPr>
              <w:t xml:space="preserve"> </w:t>
            </w:r>
            <w:r w:rsidRPr="00304A53">
              <w:rPr>
                <w:rFonts w:eastAsia="Calibri"/>
                <w:sz w:val="20"/>
                <w:szCs w:val="20"/>
                <w:lang w:eastAsia="en-US"/>
              </w:rPr>
              <w:t>of</w:t>
            </w:r>
            <w:r w:rsidRPr="00304A53">
              <w:rPr>
                <w:rFonts w:eastAsia="Calibri"/>
                <w:spacing w:val="9"/>
                <w:sz w:val="20"/>
                <w:szCs w:val="20"/>
                <w:lang w:eastAsia="en-US"/>
              </w:rPr>
              <w:t xml:space="preserve"> </w:t>
            </w:r>
            <w:r w:rsidRPr="00304A53">
              <w:rPr>
                <w:rFonts w:eastAsia="Calibri"/>
                <w:sz w:val="20"/>
                <w:szCs w:val="20"/>
                <w:lang w:eastAsia="en-US"/>
              </w:rPr>
              <w:t>P</w:t>
            </w:r>
            <w:r w:rsidRPr="00304A53">
              <w:rPr>
                <w:rFonts w:eastAsia="Calibri"/>
                <w:spacing w:val="1"/>
                <w:sz w:val="20"/>
                <w:szCs w:val="20"/>
                <w:lang w:eastAsia="en-US"/>
              </w:rPr>
              <w:t>a</w:t>
            </w:r>
            <w:r w:rsidRPr="00304A53">
              <w:rPr>
                <w:rFonts w:eastAsia="Calibri"/>
                <w:sz w:val="20"/>
                <w:szCs w:val="20"/>
                <w:lang w:eastAsia="en-US"/>
              </w:rPr>
              <w:t>yments</w:t>
            </w:r>
            <w:r w:rsidRPr="00304A53">
              <w:rPr>
                <w:rFonts w:eastAsia="Calibri"/>
                <w:spacing w:val="3"/>
                <w:sz w:val="20"/>
                <w:szCs w:val="20"/>
                <w:lang w:eastAsia="en-US"/>
              </w:rPr>
              <w:t xml:space="preserve"> </w:t>
            </w:r>
            <w:r w:rsidRPr="00304A53">
              <w:rPr>
                <w:rFonts w:eastAsia="Calibri"/>
                <w:sz w:val="20"/>
                <w:szCs w:val="20"/>
                <w:lang w:eastAsia="en-US"/>
              </w:rPr>
              <w:t>Statistics</w:t>
            </w:r>
            <w:r w:rsidRPr="00304A53">
              <w:rPr>
                <w:rFonts w:eastAsia="Calibri"/>
                <w:spacing w:val="4"/>
                <w:sz w:val="20"/>
                <w:szCs w:val="20"/>
                <w:lang w:eastAsia="en-US"/>
              </w:rPr>
              <w:t xml:space="preserve"> </w:t>
            </w:r>
            <w:r w:rsidRPr="00304A53">
              <w:rPr>
                <w:rFonts w:eastAsia="Calibri"/>
                <w:sz w:val="20"/>
                <w:szCs w:val="20"/>
                <w:lang w:eastAsia="en-US"/>
              </w:rPr>
              <w:t>(enero</w:t>
            </w:r>
            <w:r w:rsidRPr="00304A53">
              <w:rPr>
                <w:rFonts w:eastAsia="Calibri"/>
                <w:spacing w:val="6"/>
                <w:sz w:val="20"/>
                <w:szCs w:val="20"/>
                <w:lang w:eastAsia="en-US"/>
              </w:rPr>
              <w:t xml:space="preserve"> </w:t>
            </w:r>
            <w:r w:rsidRPr="00304A53">
              <w:rPr>
                <w:rFonts w:eastAsia="Calibri"/>
                <w:sz w:val="20"/>
                <w:szCs w:val="20"/>
                <w:lang w:eastAsia="en-US"/>
              </w:rPr>
              <w:t>de</w:t>
            </w:r>
            <w:r w:rsidRPr="00304A53">
              <w:rPr>
                <w:rFonts w:eastAsia="Calibri"/>
                <w:spacing w:val="8"/>
                <w:sz w:val="20"/>
                <w:szCs w:val="20"/>
                <w:lang w:eastAsia="en-US"/>
              </w:rPr>
              <w:t xml:space="preserve"> </w:t>
            </w:r>
            <w:r w:rsidRPr="00304A53">
              <w:rPr>
                <w:rFonts w:eastAsia="Calibri"/>
                <w:sz w:val="20"/>
                <w:szCs w:val="20"/>
                <w:lang w:eastAsia="en-US"/>
              </w:rPr>
              <w:t>201</w:t>
            </w:r>
            <w:r w:rsidRPr="00304A53">
              <w:rPr>
                <w:rFonts w:eastAsia="Calibri"/>
                <w:spacing w:val="1"/>
                <w:sz w:val="20"/>
                <w:szCs w:val="20"/>
                <w:lang w:eastAsia="en-US"/>
              </w:rPr>
              <w:t>5</w:t>
            </w:r>
            <w:r w:rsidRPr="00304A53">
              <w:rPr>
                <w:rFonts w:eastAsia="Calibri"/>
                <w:sz w:val="20"/>
                <w:szCs w:val="20"/>
                <w:lang w:eastAsia="en-US"/>
              </w:rPr>
              <w:t>),</w:t>
            </w:r>
            <w:r w:rsidRPr="00304A53">
              <w:rPr>
                <w:rFonts w:eastAsia="Calibri"/>
                <w:spacing w:val="5"/>
                <w:sz w:val="20"/>
                <w:szCs w:val="20"/>
                <w:lang w:eastAsia="en-US"/>
              </w:rPr>
              <w:t xml:space="preserve"> </w:t>
            </w:r>
            <w:r w:rsidRPr="00304A53">
              <w:rPr>
                <w:rFonts w:eastAsia="Calibri"/>
                <w:sz w:val="20"/>
                <w:szCs w:val="20"/>
                <w:lang w:eastAsia="en-US"/>
              </w:rPr>
              <w:t>Banco</w:t>
            </w:r>
            <w:r w:rsidRPr="00304A53">
              <w:rPr>
                <w:rFonts w:eastAsia="Calibri"/>
                <w:spacing w:val="5"/>
                <w:sz w:val="20"/>
                <w:szCs w:val="20"/>
                <w:lang w:eastAsia="en-US"/>
              </w:rPr>
              <w:t xml:space="preserve"> </w:t>
            </w:r>
            <w:r w:rsidRPr="00304A53">
              <w:rPr>
                <w:rFonts w:eastAsia="Calibri"/>
                <w:sz w:val="20"/>
                <w:szCs w:val="20"/>
                <w:lang w:eastAsia="en-US"/>
              </w:rPr>
              <w:t>de</w:t>
            </w:r>
            <w:r w:rsidRPr="00304A53">
              <w:rPr>
                <w:rFonts w:eastAsia="Calibri"/>
                <w:spacing w:val="8"/>
                <w:sz w:val="20"/>
                <w:szCs w:val="20"/>
                <w:lang w:eastAsia="en-US"/>
              </w:rPr>
              <w:t xml:space="preserve"> </w:t>
            </w:r>
            <w:r w:rsidRPr="00304A53">
              <w:rPr>
                <w:rFonts w:eastAsia="Calibri"/>
                <w:sz w:val="20"/>
                <w:szCs w:val="20"/>
                <w:lang w:eastAsia="en-US"/>
              </w:rPr>
              <w:t>España</w:t>
            </w:r>
            <w:r w:rsidRPr="00304A53">
              <w:rPr>
                <w:rFonts w:eastAsia="Calibri"/>
                <w:spacing w:val="5"/>
                <w:sz w:val="20"/>
                <w:szCs w:val="20"/>
                <w:lang w:eastAsia="en-US"/>
              </w:rPr>
              <w:t xml:space="preserve"> </w:t>
            </w:r>
            <w:r w:rsidRPr="00304A53">
              <w:rPr>
                <w:rFonts w:eastAsia="Calibri"/>
                <w:sz w:val="20"/>
                <w:szCs w:val="20"/>
                <w:lang w:eastAsia="en-US"/>
              </w:rPr>
              <w:t>y</w:t>
            </w:r>
            <w:r w:rsidRPr="00304A53">
              <w:rPr>
                <w:rFonts w:eastAsia="Calibri"/>
                <w:spacing w:val="9"/>
                <w:sz w:val="20"/>
                <w:szCs w:val="20"/>
                <w:lang w:eastAsia="en-US"/>
              </w:rPr>
              <w:t xml:space="preserve"> </w:t>
            </w:r>
            <w:r w:rsidRPr="00304A53">
              <w:rPr>
                <w:rFonts w:eastAsia="Calibri"/>
                <w:sz w:val="20"/>
                <w:szCs w:val="20"/>
                <w:lang w:eastAsia="en-US"/>
              </w:rPr>
              <w:t>BCE;</w:t>
            </w:r>
            <w:r w:rsidRPr="00304A53">
              <w:rPr>
                <w:rFonts w:eastAsia="Calibri"/>
                <w:spacing w:val="6"/>
                <w:sz w:val="20"/>
                <w:szCs w:val="20"/>
                <w:lang w:eastAsia="en-US"/>
              </w:rPr>
              <w:t xml:space="preserve"> </w:t>
            </w:r>
            <w:r w:rsidRPr="00304A53">
              <w:rPr>
                <w:rFonts w:eastAsia="Calibri"/>
                <w:sz w:val="20"/>
                <w:szCs w:val="20"/>
                <w:lang w:eastAsia="en-US"/>
              </w:rPr>
              <w:t>reservas,</w:t>
            </w:r>
            <w:r w:rsidRPr="00304A53">
              <w:rPr>
                <w:rFonts w:eastAsia="Calibri"/>
                <w:spacing w:val="3"/>
                <w:sz w:val="20"/>
                <w:szCs w:val="20"/>
                <w:lang w:eastAsia="en-US"/>
              </w:rPr>
              <w:t xml:space="preserve"> </w:t>
            </w:r>
            <w:r w:rsidRPr="00304A53">
              <w:rPr>
                <w:rFonts w:eastAsia="Calibri"/>
                <w:sz w:val="20"/>
                <w:szCs w:val="20"/>
                <w:lang w:eastAsia="en-US"/>
              </w:rPr>
              <w:t>Bloomberg (enero</w:t>
            </w:r>
            <w:r w:rsidRPr="00304A53">
              <w:rPr>
                <w:rFonts w:eastAsia="Calibri"/>
                <w:spacing w:val="-4"/>
                <w:sz w:val="20"/>
                <w:szCs w:val="20"/>
                <w:lang w:eastAsia="en-US"/>
              </w:rPr>
              <w:t xml:space="preserve"> </w:t>
            </w:r>
            <w:r w:rsidRPr="00304A53">
              <w:rPr>
                <w:rFonts w:eastAsia="Calibri"/>
                <w:sz w:val="20"/>
                <w:szCs w:val="20"/>
                <w:lang w:eastAsia="en-US"/>
              </w:rPr>
              <w:t>de</w:t>
            </w:r>
            <w:r w:rsidRPr="00304A53">
              <w:rPr>
                <w:rFonts w:eastAsia="Calibri"/>
                <w:spacing w:val="-2"/>
                <w:sz w:val="20"/>
                <w:szCs w:val="20"/>
                <w:lang w:eastAsia="en-US"/>
              </w:rPr>
              <w:t xml:space="preserve"> </w:t>
            </w:r>
            <w:r w:rsidRPr="00304A53">
              <w:rPr>
                <w:rFonts w:eastAsia="Calibri"/>
                <w:sz w:val="20"/>
                <w:szCs w:val="20"/>
                <w:lang w:eastAsia="en-US"/>
              </w:rPr>
              <w:t>201</w:t>
            </w:r>
            <w:r w:rsidRPr="00304A53">
              <w:rPr>
                <w:rFonts w:eastAsia="Calibri"/>
                <w:spacing w:val="1"/>
                <w:sz w:val="20"/>
                <w:szCs w:val="20"/>
                <w:lang w:eastAsia="en-US"/>
              </w:rPr>
              <w:t>5</w:t>
            </w:r>
            <w:r w:rsidRPr="00304A53">
              <w:rPr>
                <w:rFonts w:eastAsia="Calibri"/>
                <w:sz w:val="20"/>
                <w:szCs w:val="20"/>
                <w:lang w:eastAsia="en-US"/>
              </w:rPr>
              <w:t>),</w:t>
            </w:r>
            <w:r w:rsidRPr="00304A53">
              <w:rPr>
                <w:rFonts w:eastAsia="Calibri"/>
                <w:spacing w:val="-4"/>
                <w:sz w:val="20"/>
                <w:szCs w:val="20"/>
                <w:lang w:eastAsia="en-US"/>
              </w:rPr>
              <w:t xml:space="preserve"> </w:t>
            </w:r>
            <w:r w:rsidRPr="00304A53">
              <w:rPr>
                <w:rFonts w:eastAsia="Calibri"/>
                <w:sz w:val="20"/>
                <w:szCs w:val="20"/>
                <w:lang w:eastAsia="en-US"/>
              </w:rPr>
              <w:t>datos</w:t>
            </w:r>
            <w:r w:rsidRPr="00304A53">
              <w:rPr>
                <w:rFonts w:eastAsia="Calibri"/>
                <w:spacing w:val="-4"/>
                <w:sz w:val="20"/>
                <w:szCs w:val="20"/>
                <w:lang w:eastAsia="en-US"/>
              </w:rPr>
              <w:t xml:space="preserve"> </w:t>
            </w:r>
            <w:r w:rsidRPr="00304A53">
              <w:rPr>
                <w:rFonts w:eastAsia="Calibri"/>
                <w:sz w:val="20"/>
                <w:szCs w:val="20"/>
                <w:lang w:eastAsia="en-US"/>
              </w:rPr>
              <w:t>de</w:t>
            </w:r>
            <w:r w:rsidRPr="00304A53">
              <w:rPr>
                <w:rFonts w:eastAsia="Calibri"/>
                <w:spacing w:val="-2"/>
                <w:sz w:val="20"/>
                <w:szCs w:val="20"/>
                <w:lang w:eastAsia="en-US"/>
              </w:rPr>
              <w:t xml:space="preserve"> </w:t>
            </w:r>
            <w:r w:rsidRPr="00304A53">
              <w:rPr>
                <w:rFonts w:eastAsia="Calibri"/>
                <w:sz w:val="20"/>
                <w:szCs w:val="20"/>
                <w:lang w:eastAsia="en-US"/>
              </w:rPr>
              <w:t>FMI</w:t>
            </w:r>
            <w:r w:rsidRPr="00304A53">
              <w:rPr>
                <w:rFonts w:eastAsia="Calibri"/>
                <w:spacing w:val="-3"/>
                <w:sz w:val="20"/>
                <w:szCs w:val="20"/>
                <w:lang w:eastAsia="en-US"/>
              </w:rPr>
              <w:t xml:space="preserve"> </w:t>
            </w:r>
            <w:r w:rsidRPr="00304A53">
              <w:rPr>
                <w:rFonts w:eastAsia="Calibri"/>
                <w:sz w:val="20"/>
                <w:szCs w:val="20"/>
                <w:lang w:eastAsia="en-US"/>
              </w:rPr>
              <w:t>y</w:t>
            </w:r>
            <w:r w:rsidRPr="00304A53">
              <w:rPr>
                <w:rFonts w:eastAsia="Calibri"/>
                <w:spacing w:val="-1"/>
                <w:sz w:val="20"/>
                <w:szCs w:val="20"/>
                <w:lang w:eastAsia="en-US"/>
              </w:rPr>
              <w:t xml:space="preserve"> </w:t>
            </w:r>
            <w:r w:rsidRPr="00304A53">
              <w:rPr>
                <w:rFonts w:eastAsia="Calibri"/>
                <w:spacing w:val="1"/>
                <w:sz w:val="20"/>
                <w:szCs w:val="20"/>
                <w:lang w:eastAsia="en-US"/>
              </w:rPr>
              <w:t>b</w:t>
            </w:r>
            <w:r w:rsidRPr="00304A53">
              <w:rPr>
                <w:rFonts w:eastAsia="Calibri"/>
                <w:sz w:val="20"/>
                <w:szCs w:val="20"/>
                <w:lang w:eastAsia="en-US"/>
              </w:rPr>
              <w:t>ancos</w:t>
            </w:r>
            <w:r w:rsidRPr="00304A53">
              <w:rPr>
                <w:rFonts w:eastAsia="Calibri"/>
                <w:spacing w:val="-5"/>
                <w:sz w:val="20"/>
                <w:szCs w:val="20"/>
                <w:lang w:eastAsia="en-US"/>
              </w:rPr>
              <w:t xml:space="preserve"> </w:t>
            </w:r>
            <w:r w:rsidRPr="00304A53">
              <w:rPr>
                <w:rFonts w:eastAsia="Calibri"/>
                <w:sz w:val="20"/>
                <w:szCs w:val="20"/>
                <w:lang w:eastAsia="en-US"/>
              </w:rPr>
              <w:t>centrales.</w:t>
            </w:r>
          </w:p>
        </w:tc>
      </w:tr>
    </w:tbl>
    <w:p w14:paraId="46A83B81" w14:textId="77777777" w:rsidR="00F0445D" w:rsidRPr="00F0445D" w:rsidRDefault="00F0445D" w:rsidP="00F0445D">
      <w:pPr>
        <w:spacing w:after="360" w:line="360" w:lineRule="auto"/>
        <w:ind w:right="-159"/>
        <w:jc w:val="both"/>
        <w:rPr>
          <w:rFonts w:eastAsia="Calibri"/>
          <w:sz w:val="26"/>
          <w:szCs w:val="26"/>
          <w:lang w:eastAsia="en-US"/>
        </w:rPr>
      </w:pPr>
    </w:p>
    <w:p w14:paraId="3EFF911D"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Asia en general se ha convertido en el principal “taller del mundo”, con una gran capacidad de producción industrial. El caso de China es quizá el más radical, primando extraordinariamente la producción y la inversión en detrimento del consumo, con tasas de ahorro en torno al 50% de su PIB, siendo, con diferencia, el primer exportador mundial de mercancías (2.2 billones de dólares en 2013 según el Banco Mundial, un 40% más que Estados Unidos de Norteamérica y Alemania).</w:t>
      </w:r>
    </w:p>
    <w:p w14:paraId="6D6EE9C9" w14:textId="25389E4D"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Las previsiones del FMI son que Asia, y China en particular, sigan creciendo a tasas extraordinarias en esta década, y economistas como Justin Lin creen que el crecimiento chino todavía tiene mucho recorrido. No obstante, existen importantes dudas sobre la sostenibilidad de esta tendencia. Las tasas de inversión en toda Asia, y sobre todo en </w:t>
      </w:r>
      <w:r w:rsidRPr="00F0445D">
        <w:rPr>
          <w:rFonts w:eastAsia="Calibri"/>
          <w:sz w:val="26"/>
          <w:szCs w:val="26"/>
          <w:lang w:eastAsia="en-US"/>
        </w:rPr>
        <w:lastRenderedPageBreak/>
        <w:t>China, son verdaderamente excepcionales desde una perspectiva histórica —una tasa de inversión descomunal, de casi el 50% del PIB</w:t>
      </w:r>
      <w:r w:rsidRPr="00F0445D">
        <w:rPr>
          <w:rFonts w:eastAsia="Calibri"/>
          <w:sz w:val="26"/>
          <w:szCs w:val="26"/>
          <w:vertAlign w:val="superscript"/>
          <w:lang w:eastAsia="en-US"/>
        </w:rPr>
        <w:footnoteReference w:id="14"/>
      </w:r>
      <w:r w:rsidR="0020784B">
        <w:rPr>
          <w:rFonts w:eastAsia="Calibri"/>
          <w:sz w:val="26"/>
          <w:szCs w:val="26"/>
          <w:lang w:eastAsia="en-US"/>
        </w:rPr>
        <w:t>,</w:t>
      </w:r>
      <w:r w:rsidRPr="00F0445D">
        <w:rPr>
          <w:rFonts w:eastAsia="Calibri"/>
          <w:sz w:val="26"/>
          <w:szCs w:val="26"/>
          <w:lang w:eastAsia="en-US"/>
        </w:rPr>
        <w:t xml:space="preserve"> se ha visto en muy pocos países y en muy pocos períodos, y menos aún en países grandes—. Como afirma el experto en China Michael Pettis</w:t>
      </w:r>
      <w:r w:rsidRPr="00F0445D">
        <w:rPr>
          <w:rFonts w:eastAsia="Calibri"/>
          <w:sz w:val="26"/>
          <w:szCs w:val="26"/>
          <w:vertAlign w:val="superscript"/>
          <w:lang w:eastAsia="en-US"/>
        </w:rPr>
        <w:footnoteReference w:id="15"/>
      </w:r>
      <w:r w:rsidR="00826E04">
        <w:rPr>
          <w:rFonts w:eastAsia="Calibri"/>
          <w:sz w:val="26"/>
          <w:szCs w:val="26"/>
          <w:lang w:eastAsia="en-US"/>
        </w:rPr>
        <w:t>,</w:t>
      </w:r>
      <w:r w:rsidRPr="00F0445D">
        <w:rPr>
          <w:rFonts w:eastAsia="Calibri"/>
          <w:sz w:val="26"/>
          <w:szCs w:val="26"/>
          <w:lang w:eastAsia="en-US"/>
        </w:rPr>
        <w:t xml:space="preserve"> todo episodio de elevado crecimiento es desequilibrado. Y el crecimiento en China desde 1990 es muy poco frecuente tanto en intensidad como en duración</w:t>
      </w:r>
      <w:r w:rsidRPr="00F0445D">
        <w:rPr>
          <w:rFonts w:eastAsia="Calibri"/>
          <w:sz w:val="26"/>
          <w:szCs w:val="26"/>
          <w:vertAlign w:val="superscript"/>
          <w:lang w:eastAsia="en-US"/>
        </w:rPr>
        <w:footnoteReference w:id="16"/>
      </w:r>
      <w:r w:rsidR="00826E04">
        <w:rPr>
          <w:rFonts w:eastAsia="Calibri"/>
          <w:sz w:val="26"/>
          <w:szCs w:val="26"/>
          <w:lang w:eastAsia="en-US"/>
        </w:rPr>
        <w:t>.</w:t>
      </w:r>
      <w:r w:rsidRPr="00F0445D">
        <w:rPr>
          <w:rFonts w:eastAsia="Calibri"/>
          <w:sz w:val="26"/>
          <w:szCs w:val="26"/>
          <w:lang w:eastAsia="en-US"/>
        </w:rPr>
        <w:t xml:space="preserve"> Los signos de graves desequilibrios en el sector financiero e inmobiliario en China son crecientes. Si la experiencia de pasadas aceleraciones en el crecimiento sirve de guía, sería muy sorprendente que un crecimiento tan elevado continuara sostenidamente.</w:t>
      </w:r>
    </w:p>
    <w:p w14:paraId="530BC592" w14:textId="7619AD2B"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En los otros grandes emergentes, tanto Rusia como Brasil son muy dependientes de los precios de las materias primas, y su elevado crecimiento en la pasada década ha coincidido con un ciclo particularmente favorable de las materias primas, que se ha revertido bruscamente desde mediados de 2014, en particular para el petróleo. Y la India todavía no ha alcanzado el estatus de potencia económica. Continúa siendo un país de renta media-baja</w:t>
      </w:r>
      <w:r w:rsidRPr="00F0445D">
        <w:rPr>
          <w:rFonts w:eastAsia="Calibri"/>
          <w:sz w:val="26"/>
          <w:szCs w:val="26"/>
          <w:vertAlign w:val="superscript"/>
          <w:lang w:eastAsia="en-US"/>
        </w:rPr>
        <w:footnoteReference w:id="17"/>
      </w:r>
      <w:r w:rsidR="00826E04">
        <w:rPr>
          <w:rFonts w:eastAsia="Calibri"/>
          <w:sz w:val="26"/>
          <w:szCs w:val="26"/>
          <w:lang w:eastAsia="en-US"/>
        </w:rPr>
        <w:t>,</w:t>
      </w:r>
      <w:r w:rsidRPr="00F0445D">
        <w:rPr>
          <w:rFonts w:eastAsia="Calibri"/>
          <w:sz w:val="26"/>
          <w:szCs w:val="26"/>
          <w:lang w:eastAsia="en-US"/>
        </w:rPr>
        <w:t xml:space="preserve">  aunque cuenta con un importante potencial para seguir creciendo.</w:t>
      </w:r>
    </w:p>
    <w:p w14:paraId="05A74E21" w14:textId="5B175DEE"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En definitiva, es probable que la extraordinaria evolución de los principales emergentes obedezca, al menos en una parte apreciable, a factores coyunturales, y es difícil que una tendencia tan marcada continúe, pese a que las perspectivas de crecimiento en los países desarrollados también son débiles. Los emergentes son vulnerables a reversiones en los </w:t>
      </w:r>
      <w:r w:rsidRPr="00F0445D">
        <w:rPr>
          <w:rFonts w:eastAsia="Calibri"/>
          <w:sz w:val="26"/>
          <w:szCs w:val="26"/>
          <w:lang w:eastAsia="en-US"/>
        </w:rPr>
        <w:lastRenderedPageBreak/>
        <w:t>flujos de capitales (América Latina y, en menor medida, Asia) y en los ciclos de las materias primas (los países productores). Ambos riesgos pueden materializarse cuando se efectúe una normalización en la política monetaria de las principales divisas (Estados Unidos de Norteamérica y Zona Euro, en particular). Podemos recordar el precedente de un ciclo negativo para los países en desarrollo como el que se produjo en los 80, cuando se revirtieron bruscamente los sustanciosos flujos de capitales a los países emergentes y los elevados precios de las materias primas que prevalecieron en los 70.  En la situación actual, el importante endeudamiento empresarial privado en dólares en los países emergentes es otra vulnerabilidad importante si continúa la apreciación del dólar.</w:t>
      </w:r>
    </w:p>
    <w:p w14:paraId="7E6D0487"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En todo caso, el ascenso emergente ya se ha producido y, aunque se pueda revertir en parte, sus implicaciones son profundas.</w:t>
      </w:r>
    </w:p>
    <w:p w14:paraId="3753A641" w14:textId="286DE5DD"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t>2) Las reivindicaciones emergentes sobre la arquitectura financiera internacional</w:t>
      </w:r>
    </w:p>
    <w:p w14:paraId="1F1DE528" w14:textId="22F58438"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Ante un cambio tan extraordinario en el peso económico como el que se ha producido en las últimas dos décadas, es natural que las potencias emergentes demanden más representación en las organizaciones económicas internacionales, en particular en la que está en el centro del sistema monetario internacional, el FMI. Pero ha sido la crisis financiera internacional de 2008 la que motivó el cambio quizá más importante, y sin necesidad de una reivindicación específica: En el momento más crítico, Estados Unidos de Norteamérica orientó el esfuerzo de coordinación internacional, en lugar del G</w:t>
      </w:r>
      <w:r w:rsidR="008E292B">
        <w:rPr>
          <w:rFonts w:eastAsia="Calibri"/>
          <w:sz w:val="26"/>
          <w:szCs w:val="26"/>
          <w:lang w:eastAsia="en-US"/>
        </w:rPr>
        <w:t>-</w:t>
      </w:r>
      <w:r w:rsidRPr="00F0445D">
        <w:rPr>
          <w:rFonts w:eastAsia="Calibri"/>
          <w:sz w:val="26"/>
          <w:szCs w:val="26"/>
          <w:lang w:eastAsia="en-US"/>
        </w:rPr>
        <w:t xml:space="preserve">7, hacia el </w:t>
      </w:r>
      <w:r w:rsidR="002C730F">
        <w:rPr>
          <w:rFonts w:eastAsia="Calibri"/>
          <w:sz w:val="26"/>
          <w:szCs w:val="26"/>
          <w:lang w:eastAsia="en-US"/>
        </w:rPr>
        <w:t>G-20</w:t>
      </w:r>
      <w:r w:rsidRPr="00F0445D">
        <w:rPr>
          <w:rFonts w:eastAsia="Calibri"/>
          <w:sz w:val="26"/>
          <w:szCs w:val="26"/>
          <w:lang w:eastAsia="en-US"/>
        </w:rPr>
        <w:t>, un grupo ya existente a nivel ministerial, pero elevó su rango a jefes de Estado y de Gobierno y amplió el espectro de países invitados en la Cumbre de Washington de noviembre de 2008. La principal ventaja del G</w:t>
      </w:r>
      <w:r w:rsidR="0003623C">
        <w:rPr>
          <w:rFonts w:eastAsia="Calibri"/>
          <w:sz w:val="26"/>
          <w:szCs w:val="26"/>
          <w:lang w:eastAsia="en-US"/>
        </w:rPr>
        <w:t>-</w:t>
      </w:r>
      <w:r w:rsidRPr="00F0445D">
        <w:rPr>
          <w:rFonts w:eastAsia="Calibri"/>
          <w:sz w:val="26"/>
          <w:szCs w:val="26"/>
          <w:lang w:eastAsia="en-US"/>
        </w:rPr>
        <w:t>20 para Estados Unidos de Norteamérica es que en él estaba China, pero sin un protagonismo excesivo, y, al mismo tiempo, estaban también sus aliados tradicionales del G</w:t>
      </w:r>
      <w:r w:rsidR="008E292B">
        <w:rPr>
          <w:rFonts w:eastAsia="Calibri"/>
          <w:sz w:val="26"/>
          <w:szCs w:val="26"/>
          <w:lang w:eastAsia="en-US"/>
        </w:rPr>
        <w:t>-</w:t>
      </w:r>
      <w:r w:rsidRPr="00F0445D">
        <w:rPr>
          <w:rFonts w:eastAsia="Calibri"/>
          <w:sz w:val="26"/>
          <w:szCs w:val="26"/>
          <w:lang w:eastAsia="en-US"/>
        </w:rPr>
        <w:t>7 y los otros principales países emergentes.</w:t>
      </w:r>
    </w:p>
    <w:p w14:paraId="58ECE554" w14:textId="7B502BCF"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 xml:space="preserve">Una vez se produce el traspaso de poderes “nominal” hacia el </w:t>
      </w:r>
      <w:r w:rsidR="002C730F">
        <w:rPr>
          <w:rFonts w:eastAsia="Calibri"/>
          <w:sz w:val="26"/>
          <w:szCs w:val="26"/>
          <w:lang w:eastAsia="en-US"/>
        </w:rPr>
        <w:t>G-20</w:t>
      </w:r>
      <w:r w:rsidRPr="00F0445D">
        <w:rPr>
          <w:rFonts w:eastAsia="Calibri"/>
          <w:sz w:val="26"/>
          <w:szCs w:val="26"/>
          <w:lang w:eastAsia="en-US"/>
        </w:rPr>
        <w:t xml:space="preserve"> en la cumbre de Pittsburgh en Estados Unidos de Norteamérica en 2009, cuando el grupo se autodenomina “principal foro de cooperación económica internacional”, es cuando se manifiestan más claramente las reivindicaciones de los países emergentes, que solicitan más capital (cuotas) y poder de voto en las instituciones financieras internacionales, para reflejar las nuevas realidades de la economía mundial. El </w:t>
      </w:r>
      <w:r w:rsidR="002C730F">
        <w:rPr>
          <w:rFonts w:eastAsia="Calibri"/>
          <w:sz w:val="26"/>
          <w:szCs w:val="26"/>
          <w:lang w:eastAsia="en-US"/>
        </w:rPr>
        <w:t>G-20</w:t>
      </w:r>
      <w:r w:rsidRPr="00F0445D">
        <w:rPr>
          <w:rFonts w:eastAsia="Calibri"/>
          <w:sz w:val="26"/>
          <w:szCs w:val="26"/>
          <w:lang w:eastAsia="en-US"/>
        </w:rPr>
        <w:t xml:space="preserve"> impulsa así la reforma de gobierno del FMI que se aprueba en Seúl en 2010, la más relevante en el realineamiento de poderes desde que se funda esta institución en 1944.</w:t>
      </w:r>
    </w:p>
    <w:p w14:paraId="1326B164"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No  obstante,  esta  reforma,  que  duplicará  el  capital  del  FMI  (conocido  como “cuotas”), sigue siendo gradual y además está sujeta a la ratificación de los parlamentos nacionales. El Congreso de Estados Unidos de Norteamérica, de distinto signo al del Ejecutivo, bloquea  hasta  la  fecha  la  entrada  en  vigor  de  esta  reforma.  Este  bloqueo prolongado  ha  generado  una  importante  frustración  y  una  reducción  de  la legitimidad del Fondo, con fuertes protestas de los países emergentes, que piden no sólo que entre en vigor la Reforma de 2010, sino incluso ir más allá.</w:t>
      </w:r>
    </w:p>
    <w:p w14:paraId="4E70160E" w14:textId="13E4A96C"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Sobre esta última cuestión, aparecen dificultades para ir más allá de la Reforma del FMI de 2010 y reflejar las nuevas realidades de la economía mundial: Si estas realidades se reflejaran completamente, Estados Unidos de Norteamérica perdería su capacidad de veto (que reside en tener más del 15% del poder de voto), y los países en desarrollo obtendrían una mayoría de voto que les permitiría decidir sobre los programas del FMI —aunque no sobre el diseño de la institución—</w:t>
      </w:r>
      <w:r w:rsidRPr="00F0445D">
        <w:rPr>
          <w:rFonts w:eastAsia="Calibri"/>
          <w:sz w:val="26"/>
          <w:szCs w:val="26"/>
          <w:vertAlign w:val="superscript"/>
          <w:lang w:eastAsia="en-US"/>
        </w:rPr>
        <w:footnoteReference w:id="18"/>
      </w:r>
      <w:r w:rsidR="00826E04">
        <w:rPr>
          <w:rFonts w:eastAsia="Calibri"/>
          <w:sz w:val="26"/>
          <w:szCs w:val="26"/>
          <w:lang w:eastAsia="en-US"/>
        </w:rPr>
        <w:t>.</w:t>
      </w:r>
      <w:r w:rsidRPr="00F0445D">
        <w:rPr>
          <w:rFonts w:eastAsia="Calibri"/>
          <w:sz w:val="26"/>
          <w:szCs w:val="26"/>
          <w:lang w:eastAsia="en-US"/>
        </w:rPr>
        <w:t xml:space="preserve"> Puede también que los países desarrollados —y sus bancos centrales, en particular— no quieran ceder el control sobre cantidades de dinero muy importantes que ya han puesto en común (las cuotas del FMI ascenderán a más de 700 mil millones de dólares con la reforma de 2010) mientras no </w:t>
      </w:r>
      <w:r w:rsidRPr="00F0445D">
        <w:rPr>
          <w:rFonts w:eastAsia="Calibri"/>
          <w:sz w:val="26"/>
          <w:szCs w:val="26"/>
          <w:lang w:eastAsia="en-US"/>
        </w:rPr>
        <w:lastRenderedPageBreak/>
        <w:t>haya un alineamiento en la visión fundamental de la política económica como el que existe entre los países desarrollados, miembros de la Organización para la Cooperación y el Desarrollo Económicos (OCDE). Mientras los BRICS mantengan un discurso de país en desarrollo que debe recibir un trato diferenciado y más favorable, y una desconfianza abierta hacia la OCDE, es probable que este obstáculo exista.</w:t>
      </w:r>
    </w:p>
    <w:p w14:paraId="3D0AF0ED"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En todo caso, la lentitud de los cambios en el FMI ha sido uno de los principales argumentos esgrimidos por los BRICS para comenzar a establecer instituciones alternativas en la arquitectura financiera internacional. Las que más han atraído la atención han sido las creadas en la Cumbre de Fortaleza de julio de 2014: la creación del Nuevo Banco de Desarrollo (</w:t>
      </w:r>
      <w:r w:rsidRPr="00F0445D">
        <w:rPr>
          <w:rFonts w:eastAsia="Calibri"/>
          <w:i/>
          <w:sz w:val="26"/>
          <w:szCs w:val="26"/>
          <w:lang w:eastAsia="en-US"/>
        </w:rPr>
        <w:t>New Development Bank</w:t>
      </w:r>
      <w:r w:rsidRPr="00F0445D">
        <w:rPr>
          <w:rFonts w:eastAsia="Calibri"/>
          <w:sz w:val="26"/>
          <w:szCs w:val="26"/>
          <w:lang w:eastAsia="en-US"/>
        </w:rPr>
        <w:t>, NDB), con sede en Shanghái y un capital previsto de 100 mil millones de dólares; y del Acuerdo BRICS de Reservas Contingentes (</w:t>
      </w:r>
      <w:r w:rsidRPr="00F0445D">
        <w:rPr>
          <w:rFonts w:eastAsia="Calibri"/>
          <w:i/>
          <w:sz w:val="26"/>
          <w:szCs w:val="26"/>
          <w:lang w:eastAsia="en-US"/>
        </w:rPr>
        <w:t>Contingente Reserve Arrangement</w:t>
      </w:r>
      <w:r w:rsidRPr="00F0445D">
        <w:rPr>
          <w:rFonts w:eastAsia="Calibri"/>
          <w:sz w:val="26"/>
          <w:szCs w:val="26"/>
          <w:lang w:eastAsia="en-US"/>
        </w:rPr>
        <w:t>, CRA), también por otros 100 mil millones de dólares.</w:t>
      </w:r>
    </w:p>
    <w:p w14:paraId="67C985C4"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Quizá estos fueron los acuerdos que recibieron más publicidad, también por el tono reivindicativo, pero no son las instituciones necesariamente con más recursos o por las que más ha apostado China, que es la verdadera potencia dentro de los BRICS y la que dispone de recursos, reservas y una posición exterior más sólida y menos vulnerable a los precios de las materias primas. China parece apostar con más fuerza por la integración con Asia y el liderazgo en la región. El acuerdo regional de puesta en común de reservas más importante en Asia (y el segundo mundial tras el Mecanismo Europeo de Estabilización, MEDE-ESM), es la Iniciativa Chiang Mai Multilateral  (CMIM),  con  240 mil  millones  de  dólares  de  reservas  puestas  en común. Tanto la CMIM como el CRA comparten una restricción: si un país desea beneficiarse de niveles elevados de acceso, tendrá que tener un programa con el FMI. Este importante aspecto sugiere que China todavía no se ve en condiciones de imponer una condicionalidad en materia de política económica y prefiere delegar esta impopular tarea en el FMI.</w:t>
      </w:r>
    </w:p>
    <w:p w14:paraId="391DAFF5" w14:textId="462C2F85"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También ha tenido una importante resonancia el establecimiento en octubre de 2014 del Banco Asiático de Infraestructuras e Inversión (</w:t>
      </w:r>
      <w:r w:rsidRPr="00F0445D">
        <w:rPr>
          <w:rFonts w:eastAsia="Calibri"/>
          <w:i/>
          <w:sz w:val="26"/>
          <w:szCs w:val="26"/>
          <w:lang w:eastAsia="en-US"/>
        </w:rPr>
        <w:t>Asian Infrastructure Investment Bank</w:t>
      </w:r>
      <w:r w:rsidRPr="00F0445D">
        <w:rPr>
          <w:rFonts w:eastAsia="Calibri"/>
          <w:sz w:val="26"/>
          <w:szCs w:val="26"/>
          <w:lang w:eastAsia="en-US"/>
        </w:rPr>
        <w:t>, AIIB), por un capital previsto de 100 mil millones de dólares (que comenzará con la mitad). Este banco, con sede en China y mayoría absoluta china en el capital, va a ser un competidor importante del Banco Asiático de Desarrollo, hasta ahora dominado por Japón</w:t>
      </w:r>
      <w:r w:rsidRPr="00F0445D">
        <w:rPr>
          <w:rFonts w:eastAsia="Calibri"/>
          <w:sz w:val="26"/>
          <w:szCs w:val="26"/>
          <w:vertAlign w:val="superscript"/>
          <w:lang w:eastAsia="en-US"/>
        </w:rPr>
        <w:footnoteReference w:id="19"/>
      </w:r>
      <w:r w:rsidR="00826E04">
        <w:rPr>
          <w:rFonts w:eastAsia="Calibri"/>
          <w:sz w:val="26"/>
          <w:szCs w:val="26"/>
          <w:lang w:eastAsia="en-US"/>
        </w:rPr>
        <w:t>.</w:t>
      </w:r>
      <w:r w:rsidRPr="00F0445D">
        <w:rPr>
          <w:rFonts w:eastAsia="Calibri"/>
          <w:sz w:val="26"/>
          <w:szCs w:val="26"/>
          <w:lang w:eastAsia="en-US"/>
        </w:rPr>
        <w:t xml:space="preserve"> Varios países de Asia, como Japón y Corea del Sur, han declinado participar, para no debilitar al BAsD y al Banco Mundial. Estados Unidos de Norteamérica, la UE y Australia se mantienen también al margen, pero en el AIIB la India es el principal aliado de China.</w:t>
      </w:r>
    </w:p>
    <w:p w14:paraId="42F4183B"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En definitiva, estas nuevas instituciones lideradas por China como principal financiador, cuyo objetivo declarado es “complementar los esfuerzos de las instituciones multilaterales y regionales” existentes, son instituciones en la práctica alternativas, que se suman al financiamiento bilateral muy importante que China ha venido suministrando a muchos países en desarrollo. Este financiamiento bilateral chino ya ha constituido una alternativa en la práctica a las instituciones financieras internacionales y al capital privado.</w:t>
      </w:r>
    </w:p>
    <w:p w14:paraId="29525B30"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Las nuevas instituciones todavía no tienen capacidad ni voluntad de sustituir a la organización internacional existente. Pero para China constituyen una oportunidad de colocar sus reservas, expandir su influencia y aprender sobre el desarrollo institucional internacional en posiciones de cierta responsabilidad. Incluso en caso de una crisis grave, si China mantiene una posición financiera tan fuerte y desea asumir el liderazgo con todas las consecuencias, no tendría más que aumentar su capital rápidamente en estas instituciones alternativas para ejercer algo parecido a una “opción de compra” sobre la arquitectura financiera internacional.</w:t>
      </w:r>
    </w:p>
    <w:p w14:paraId="57810C6A" w14:textId="57CE8269"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lastRenderedPageBreak/>
        <w:t>3) Claves para el futuro</w:t>
      </w:r>
    </w:p>
    <w:p w14:paraId="0CC61F65"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Hay  un  claro contraste entre, por  un  lado, el  cambio en  las  realidades de  la economía  mundial  y  el  peso  económico de  los  países,  que  está  siendo  muy acelerado, y, por otro, el cambio institucional en la organización económica internacional, que  está siendo gradual. Hasta cierto punto esto es lógico: Las instituciones deben funcionar con reglas que perduren en el tiempo, y es necesaria una estabilidad relativa en el accionariado. Pero sobre todo ha aparecido una dificultad fundamental, en particular para las instituciones financieras internacionales: Para funcionar adecuadamente, requieren un liderazgo claro.</w:t>
      </w:r>
    </w:p>
    <w:p w14:paraId="27AF13D9"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Charles Kindleberger (1981) definía las funciones que debe ejercer un país líder en la economía mundial: una función estabilizadora, con un mercado abierto a los bienes de los países que atraviesan crisis; un flujo relativamente estable de capitales; y un suministro de liquidez al sistema monetario internacional en momentos de pánico. También el país que ejerce el liderazgo debe proveer una cierta gestión del sistema de tipos de cambio y de coordinación de las políticas monetarias.</w:t>
      </w:r>
    </w:p>
    <w:p w14:paraId="0299417B" w14:textId="28E28A42"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Las instituciones financieras internacionales han dependido hasta ahora del liderazgo de Estados Unidos de Norteamérica desde 1944, apoyándose en sus principales aliados, esencialmente los países del G</w:t>
      </w:r>
      <w:r w:rsidR="008E292B">
        <w:rPr>
          <w:rFonts w:eastAsia="Calibri"/>
          <w:sz w:val="26"/>
          <w:szCs w:val="26"/>
          <w:lang w:eastAsia="en-US"/>
        </w:rPr>
        <w:t>-</w:t>
      </w:r>
      <w:r w:rsidRPr="00F0445D">
        <w:rPr>
          <w:rFonts w:eastAsia="Calibri"/>
          <w:sz w:val="26"/>
          <w:szCs w:val="26"/>
          <w:lang w:eastAsia="en-US"/>
        </w:rPr>
        <w:t>7 y otros países europeos hasta 2008.</w:t>
      </w:r>
    </w:p>
    <w:p w14:paraId="4C71B066" w14:textId="2C5DDB5E"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El liderazgo ejercido ha cumplido bastante bien con la función estabilizadora, destacando en la última crisis la colaboración de la Reserva Federal de Estados Unidos de Norteamérica con otros bancos centrales al suministrar dólares mediante líneas de permuta de divisas (</w:t>
      </w:r>
      <w:r w:rsidRPr="00F0445D">
        <w:rPr>
          <w:rFonts w:eastAsia="Calibri"/>
          <w:i/>
          <w:sz w:val="26"/>
          <w:szCs w:val="26"/>
          <w:lang w:eastAsia="en-US"/>
        </w:rPr>
        <w:t>swap lines</w:t>
      </w:r>
      <w:r w:rsidRPr="00F0445D">
        <w:rPr>
          <w:rFonts w:eastAsia="Calibri"/>
          <w:sz w:val="26"/>
          <w:szCs w:val="26"/>
          <w:lang w:eastAsia="en-US"/>
        </w:rPr>
        <w:t xml:space="preserve">), pero han ido apareciendo crecientes carencias en la gestión de los tipos de cambio y la coordinación monetaria, que han generado inestabilidad en los movimientos de capitales. Por ello Kindleberger sostenía ya en los 80 que Estados Unidos de Norteamérica había dejado de ejercer el liderazgo, pero en </w:t>
      </w:r>
      <w:r w:rsidRPr="00F0445D">
        <w:rPr>
          <w:rFonts w:eastAsia="Calibri"/>
          <w:sz w:val="26"/>
          <w:szCs w:val="26"/>
          <w:lang w:eastAsia="en-US"/>
        </w:rPr>
        <w:lastRenderedPageBreak/>
        <w:t xml:space="preserve">la práctica este país ha continuado ejerciéndolo con el </w:t>
      </w:r>
      <w:r w:rsidR="008E292B">
        <w:rPr>
          <w:rFonts w:eastAsia="Calibri"/>
          <w:sz w:val="26"/>
          <w:szCs w:val="26"/>
          <w:lang w:eastAsia="en-US"/>
        </w:rPr>
        <w:t>G-7</w:t>
      </w:r>
      <w:r w:rsidRPr="00F0445D">
        <w:rPr>
          <w:rFonts w:eastAsia="Calibri"/>
          <w:sz w:val="26"/>
          <w:szCs w:val="26"/>
          <w:lang w:eastAsia="en-US"/>
        </w:rPr>
        <w:t xml:space="preserve"> y Europa de forma “colegiada”, aunque también de forma incompleta.</w:t>
      </w:r>
    </w:p>
    <w:p w14:paraId="4089130C" w14:textId="64FE3721"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Ahora bien, el liderazgo de Estados Unidos de Norteamérica, apoyado en el </w:t>
      </w:r>
      <w:r w:rsidR="008E292B">
        <w:rPr>
          <w:rFonts w:eastAsia="Calibri"/>
          <w:sz w:val="26"/>
          <w:szCs w:val="26"/>
          <w:lang w:eastAsia="en-US"/>
        </w:rPr>
        <w:t>G-7</w:t>
      </w:r>
      <w:r w:rsidRPr="00F0445D">
        <w:rPr>
          <w:rFonts w:eastAsia="Calibri"/>
          <w:sz w:val="26"/>
          <w:szCs w:val="26"/>
          <w:lang w:eastAsia="en-US"/>
        </w:rPr>
        <w:t xml:space="preserve"> y la UE, se ha debilitado por el ascenso de China como potencia, en particular como  principal exportador  y potencia manufacturera mundial, pero también como principal tenedor de reservas internacionales. Estados Unidos de Norteamérica, que cuenta con la voluntad y las instituciones para asumir las principales funciones del liderazgo, no tiene ya la misma capacidad de ejercerlo. La capacidad de presión sobre China para que, por ejemplo, modifique su régimen cambiario y acepte una apreciación significativa del yuan, es bastante limitada. Resulta difícil convencer a China de adoptar una medida con costos internos apreciables, en particular sobre sus grupos de presión, cuando es tu principal acreedor</w:t>
      </w:r>
      <w:r w:rsidRPr="00F0445D">
        <w:rPr>
          <w:rFonts w:eastAsia="Calibri"/>
          <w:sz w:val="26"/>
          <w:szCs w:val="26"/>
          <w:vertAlign w:val="superscript"/>
          <w:lang w:eastAsia="en-US"/>
        </w:rPr>
        <w:footnoteReference w:id="20"/>
      </w:r>
      <w:r w:rsidR="00826E04">
        <w:rPr>
          <w:rFonts w:eastAsia="Calibri"/>
          <w:sz w:val="26"/>
          <w:szCs w:val="26"/>
          <w:lang w:eastAsia="en-US"/>
        </w:rPr>
        <w:t>.</w:t>
      </w:r>
    </w:p>
    <w:p w14:paraId="65AC839B" w14:textId="15BF5A8C"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¿Pero puede China, apoyándose en los BRICS, ejercer un liderazgo similar al que Estados Unidos de Norteamérica ha venido teniendo apoyándose en el </w:t>
      </w:r>
      <w:r w:rsidR="008E292B">
        <w:rPr>
          <w:rFonts w:eastAsia="Calibri"/>
          <w:sz w:val="26"/>
          <w:szCs w:val="26"/>
          <w:lang w:eastAsia="en-US"/>
        </w:rPr>
        <w:t>G-7</w:t>
      </w:r>
      <w:r w:rsidRPr="00F0445D">
        <w:rPr>
          <w:rFonts w:eastAsia="Calibri"/>
          <w:sz w:val="26"/>
          <w:szCs w:val="26"/>
          <w:lang w:eastAsia="en-US"/>
        </w:rPr>
        <w:t xml:space="preserve"> y la UE? Kindleberger apuntaba que el liderazgo implica asumir determinados costos</w:t>
      </w:r>
      <w:r w:rsidRPr="00F0445D">
        <w:rPr>
          <w:rFonts w:eastAsia="Calibri"/>
          <w:sz w:val="26"/>
          <w:szCs w:val="26"/>
          <w:vertAlign w:val="superscript"/>
          <w:lang w:eastAsia="en-US"/>
        </w:rPr>
        <w:footnoteReference w:id="21"/>
      </w:r>
      <w:r w:rsidRPr="00F0445D">
        <w:rPr>
          <w:rFonts w:eastAsia="Calibri"/>
          <w:sz w:val="26"/>
          <w:szCs w:val="26"/>
          <w:lang w:eastAsia="en-US"/>
        </w:rPr>
        <w:t xml:space="preserve">  y contar con capacidad de persuadir a otros países mediante una combinación de presión y concesiones (</w:t>
      </w:r>
      <w:r w:rsidRPr="00F0445D">
        <w:rPr>
          <w:rFonts w:eastAsia="Calibri"/>
          <w:i/>
          <w:sz w:val="26"/>
          <w:szCs w:val="26"/>
          <w:lang w:eastAsia="en-US"/>
        </w:rPr>
        <w:t>arm- twisting and beriberi</w:t>
      </w:r>
      <w:r w:rsidRPr="00F0445D">
        <w:rPr>
          <w:rFonts w:eastAsia="Calibri"/>
          <w:sz w:val="26"/>
          <w:szCs w:val="26"/>
          <w:lang w:eastAsia="en-US"/>
        </w:rPr>
        <w:t xml:space="preserve">).  También lo distingue de la </w:t>
      </w:r>
      <w:r w:rsidRPr="00F0445D">
        <w:rPr>
          <w:rFonts w:eastAsia="Calibri"/>
          <w:i/>
          <w:sz w:val="26"/>
          <w:szCs w:val="26"/>
          <w:lang w:eastAsia="en-US"/>
        </w:rPr>
        <w:t>dominancia</w:t>
      </w:r>
      <w:r w:rsidRPr="00F0445D">
        <w:rPr>
          <w:rFonts w:eastAsia="Calibri"/>
          <w:sz w:val="26"/>
          <w:szCs w:val="26"/>
          <w:lang w:eastAsia="en-US"/>
        </w:rPr>
        <w:t xml:space="preserve"> —que implica un liderazgo solamente en propio beneficio y la capacidad de imponer políticas—.</w:t>
      </w:r>
    </w:p>
    <w:p w14:paraId="2641BFC1"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El historiador Harold James (2011) sostiene que China ya ha ejercido de líder en Asia al permitir la apreciación gradual de su moneda y fomentar su demanda interna en un momento de crisis, asumiendo algunos costos. También destaca que para ser líder hace falta suministrar una visión alternativa, como la que ha suministrado el gobernador del Banco central de China en 2009, quien pareció apuntar a las virtudes del confucianismo, relacionadas con el ahorro y el trabajo, que podrían haber sido olvidadas por Occidente. Miguel Otero (2014) ha destacado el papel constructivo de China en la compleja crisis del euro.</w:t>
      </w:r>
    </w:p>
    <w:p w14:paraId="43661EE9"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Las declaraciones de los BRICS en Fortaleza en junio de 2014 apuntan a una voluntad de establecer instituciones, tanto a las instituciones multilaterales (el </w:t>
      </w:r>
      <w:r w:rsidRPr="00F0445D">
        <w:rPr>
          <w:rFonts w:eastAsia="Calibri"/>
          <w:i/>
          <w:sz w:val="26"/>
          <w:szCs w:val="26"/>
          <w:lang w:eastAsia="en-US"/>
        </w:rPr>
        <w:t xml:space="preserve">New Development Bank </w:t>
      </w:r>
      <w:r w:rsidRPr="00F0445D">
        <w:rPr>
          <w:rFonts w:eastAsia="Calibri"/>
          <w:sz w:val="26"/>
          <w:szCs w:val="26"/>
          <w:lang w:eastAsia="en-US"/>
        </w:rPr>
        <w:t>y el Acuerdo de Reservas) como a las instituciones regionales (en particular el Banco Asiático de Inversión e Infraestructuras), con el liderazgo implícito o explícito de China. Pero las declaraciones oficiales van más allá de lo que luego han reflejado los compromisos efectivos.</w:t>
      </w:r>
    </w:p>
    <w:p w14:paraId="3FBCBBA4"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Ahora bien, en el momento actual, el principal obstáculo a un nuevo liderazgo es que los principales países emergentes, incluyendo a China, no son ahora mismo países ricos. China, Brasil y Rusia son países en desarrollo de renta media, y la India es un país de renta media-baja. Estos países argumentan abiertamente que su prioridad es su crecimiento nacional y ascenso en niveles de renta, y siguen reclamando un trato diferenciado respecto a los países desarrollados, con menores obligaciones en materias como comercio, transparencia y estándares medioambientales. Este discurso no parece compatible con la asunción de los costos de gestionar bienes públicos internacionales. Y en la medida en que Estados Unidos de Norteamérica y Europa vean menguar su peso económico relativo, su voluntad de liderar también podría ceder ante el interés nacional.</w:t>
      </w:r>
    </w:p>
    <w:p w14:paraId="46776B1A"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El mundo camina, por lo tanto, hacia una situación en la cual las instituciones internacionales formales están debilitadas, y las instituciones alternativas que están montando los países emergentes no muestran, por el momento, capacidad ni voluntad de un liderazgo global. El cambio en la realidad económica está siendo demasiado rápido para su correcta asimilación institucional, y lo seguirá siendo hasta que alguna de las principales potencias emergentes se convierta en un país plenamente desarrollado y adquiera conciencia de su capacidad o necesidad de liderazgo, asumiendo la plena igualdad de obligaciones y algunos costos adicionales.</w:t>
      </w:r>
    </w:p>
    <w:p w14:paraId="6E54AD31" w14:textId="18B41EBD"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Por otra parte, la convivencia de arquitecturas financieras tampoco significa que exista un desorden internacional. La cooperación informal, dentro de foros como el </w:t>
      </w:r>
      <w:r w:rsidR="002C730F">
        <w:rPr>
          <w:rFonts w:eastAsia="Calibri"/>
          <w:sz w:val="26"/>
          <w:szCs w:val="26"/>
          <w:lang w:eastAsia="en-US"/>
        </w:rPr>
        <w:t>G-20</w:t>
      </w:r>
      <w:r w:rsidRPr="00F0445D">
        <w:rPr>
          <w:rFonts w:eastAsia="Calibri"/>
          <w:sz w:val="26"/>
          <w:szCs w:val="26"/>
          <w:lang w:eastAsia="en-US"/>
        </w:rPr>
        <w:t>, y el diálogo, siempre discreto y poco público, entre bancos centrales, se hace cada vez más necesaria, pese a la dificultad de articularla. El creciente regionalismo en Asia podría compararse al regionalismo europeo, que ha dado un salto institucional tras la crisis, con mecanismos como el MEDE e iniciativas como la unión bancaria. La diferencia más cualitativa podría radicar más bien en la interrelación con factores políticos: El liderazgo europeo de la UE está vinculado a valores democráticos, mientras que un liderazgo chino en Asia estaría más basado en criterios económicos.</w:t>
      </w:r>
    </w:p>
    <w:p w14:paraId="41852E75"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¿Cuál es el interés de los países europeos, como España, en estas circunstancias? Quizá no se puede obviar una dimensión política antes de entrar en intereses económicos: La alianza económica institucional con Estados Unidos de Norteamérica forma parte de una alianza más amplia, que incluye unos valores democráticos comunes, y una protección militar dentro de la Organización del Tratado del Atlántico Norte (OTAN). De hecho, esta alianza se está reforzando con el proyecto de Asociación Transatlántica para el Comercio y la Inversión (TTIP). En este contexto, los países europeos han preservado una alianza fuerte con Estados Unidos de Norteamérica, aceptando  que  éste  país,  con  el  que  comparten  en  lo  esencial  una  visión económica del mundo (basada en la economía de mercado) y similitud institucional, siga ejerciendo el liderazgo. Por </w:t>
      </w:r>
      <w:r w:rsidRPr="00F0445D">
        <w:rPr>
          <w:rFonts w:eastAsia="Calibri"/>
          <w:sz w:val="26"/>
          <w:szCs w:val="26"/>
          <w:lang w:eastAsia="en-US"/>
        </w:rPr>
        <w:lastRenderedPageBreak/>
        <w:t>otra parte, los BRICS no han mostrado particular simpatía por una Europa a la que piden que pierda peso relativo en las instituciones internacionales, dado que es la región que más peso económico ha perdido, aunque China sí que ha mostrado interés en mantener un euro fuerte como contrapeso al dólar y así garantizar una cierta multipolaridad.</w:t>
      </w:r>
    </w:p>
    <w:p w14:paraId="2D540982"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Pero la apuesta de Europa, y de Estados Unidos de Norteamérica, parece ser la de aceptar una coexistencia con las nuevas instituciones, e intentar cumplir con los compromisos de gradualmente conceder más poder institucional a los países emergentes. Son mejores unas instituciones algo menos controladas, pero más legítimas, que su pérdida de influencia. Al fin y al cabo, los préstamos bilaterales de China ya han mermado considerablemente la influencia de las instituciones multilaterales y regionales tradicionales en los países en desarrollo.</w:t>
      </w:r>
    </w:p>
    <w:p w14:paraId="0BFD9340"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Por otra parte, tampoco parece probable que los países occidentales y Japón entren a formar parte de las nuevas instituciones, dada su vocación alternativa y las incertidumbres que pesan sobre su gobierno. Pero sí que pueden ejercer una suave presión para que exista un diálogo y una colaboración informal con las instituciones existentes, sobre todo para garantizar la transparencia y calidad institucional.</w:t>
      </w:r>
    </w:p>
    <w:p w14:paraId="1A06BB9E" w14:textId="77777777" w:rsidR="00F0445D" w:rsidRPr="00F0445D" w:rsidRDefault="00F0445D" w:rsidP="00F0445D">
      <w:pPr>
        <w:spacing w:after="360" w:line="360" w:lineRule="auto"/>
        <w:ind w:right="-159"/>
        <w:jc w:val="both"/>
        <w:rPr>
          <w:rFonts w:eastAsia="Calibri"/>
          <w:b/>
          <w:sz w:val="26"/>
          <w:szCs w:val="26"/>
          <w:lang w:eastAsia="en-US"/>
        </w:rPr>
      </w:pPr>
      <w:r w:rsidRPr="00F0445D">
        <w:rPr>
          <w:rFonts w:eastAsia="Calibri"/>
          <w:b/>
          <w:sz w:val="26"/>
          <w:szCs w:val="26"/>
          <w:lang w:eastAsia="en-US"/>
        </w:rPr>
        <w:t>Conclusión</w:t>
      </w:r>
    </w:p>
    <w:p w14:paraId="0F586D2D"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El poder económico mundial ha cambiado aceleradamente, lo que ha generado tensión en la arquitectura financiera internacional. El líder en la arquitectura mundial ya no es el principal acreedor, sino el principal deudor mundial, y sus principales aliados, Europa y Japón, están estancados. El ascenso del mundo emergente, que consiste principalmente en un “amanecer chino”, está siendo extremadamente rápido. El Lejano Oriente y China en particular son los principales acreedores y productores del mundo, mientras que Estados Unidos de Norteamérica son los principales consumidores y deudores.</w:t>
      </w:r>
    </w:p>
    <w:p w14:paraId="4E61037B"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China es hoy un gran acreedor y el mayor tenedor de reservas internacionales del mundo, y tradicionalmente estas dos cartas han sido determinantes para poder ejercer un poder mundial, aunque le falta todavía otra carta importante, como es la capacidad de emitir una moneda de reserva internacional. No obstante, China no parece todavía en posición de asumir un liderazgo en la economía mundial: no es un país rico, sino un país de renta media-alta, y adquirida muy recientemente. Eso hace que todavía pida para sí menores obligaciones que los países desarrollados —algo incompatible con el liderazgo—. Pero, mientras tanto, va poco a poco desarrollando instituciones y experiencia, que luego podría aprovechar si continúa creciendo y mantiene su poder financiero.</w:t>
      </w:r>
    </w:p>
    <w:p w14:paraId="7ACF5EFF" w14:textId="77777777"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La coordinación de los mayores emergentes en el grupo de los BRICS parece frágil, con intereses divergentes y regímenes políticos muy distintos. Las tensiones geopolíticas, principalmente de Rusia, también disminuyen la cohesión del grupo. Eso refuerza el poder preeminente de China entre los emergentes.</w:t>
      </w:r>
    </w:p>
    <w:p w14:paraId="3FDE18EF" w14:textId="77777777" w:rsidR="00304A53"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t xml:space="preserve">Los retos que este escenario internacional plantea son muy importantes. Estados Unidos de Norteamérica ha sido capaz de ejercer el liderazgo en un momento de crisis grave como 2009, pero las dificultades para la gestión de los desequilibrios globales en tiempos menos críticos se han revelado importantes: las políticas monetarias han perseguido principalmente objetivos nacionales, las políticas de tipo de cambio también. Ante una crisis grave, que podría producirse en los países emergentes o en los países desarrollados, no es descartable un liderazgo incompleto como el que describía Kindleberger para el período de entreguerras. </w:t>
      </w:r>
    </w:p>
    <w:p w14:paraId="37B641A0" w14:textId="77777777" w:rsidR="00304A53" w:rsidRDefault="00304A53" w:rsidP="00F0445D">
      <w:pPr>
        <w:spacing w:after="360" w:line="360" w:lineRule="auto"/>
        <w:ind w:right="-159"/>
        <w:jc w:val="both"/>
        <w:rPr>
          <w:rFonts w:eastAsia="Calibri"/>
          <w:sz w:val="26"/>
          <w:szCs w:val="26"/>
          <w:lang w:eastAsia="en-US"/>
        </w:rPr>
      </w:pPr>
    </w:p>
    <w:p w14:paraId="66005A2F" w14:textId="77777777" w:rsidR="00304A53" w:rsidRDefault="00304A53" w:rsidP="00F0445D">
      <w:pPr>
        <w:spacing w:after="360" w:line="360" w:lineRule="auto"/>
        <w:ind w:right="-159"/>
        <w:jc w:val="both"/>
        <w:rPr>
          <w:rFonts w:eastAsia="Calibri"/>
          <w:sz w:val="26"/>
          <w:szCs w:val="26"/>
          <w:lang w:eastAsia="en-US"/>
        </w:rPr>
      </w:pPr>
    </w:p>
    <w:p w14:paraId="007C4A43" w14:textId="466F5254" w:rsidR="00F0445D" w:rsidRPr="00F0445D" w:rsidRDefault="00F0445D" w:rsidP="00F0445D">
      <w:pPr>
        <w:spacing w:after="360" w:line="360" w:lineRule="auto"/>
        <w:ind w:right="-159"/>
        <w:jc w:val="both"/>
        <w:rPr>
          <w:rFonts w:eastAsia="Calibri"/>
          <w:sz w:val="26"/>
          <w:szCs w:val="26"/>
          <w:lang w:eastAsia="en-US"/>
        </w:rPr>
      </w:pPr>
      <w:r w:rsidRPr="00F0445D">
        <w:rPr>
          <w:rFonts w:eastAsia="Calibri"/>
          <w:sz w:val="26"/>
          <w:szCs w:val="26"/>
          <w:lang w:eastAsia="en-US"/>
        </w:rPr>
        <w:lastRenderedPageBreak/>
        <w:t>Y tanto más importante como el liderazgo global, es fundamental que el liderazgo regional, tanto en Asia, como en Europa y América, se ejerza de forma “ilustrada”, considerando que el interés nacional de largo plazo debe tener en cuenta los intereses de los países socios, aun a costa de sacrificar ciertos intereses nacionales de corto plazo.</w:t>
      </w:r>
    </w:p>
    <w:p w14:paraId="3B3995ED" w14:textId="77777777" w:rsidR="00F0445D" w:rsidRPr="00F0445D" w:rsidRDefault="00F0445D" w:rsidP="00F0445D">
      <w:pPr>
        <w:ind w:right="-159"/>
        <w:jc w:val="both"/>
        <w:rPr>
          <w:rFonts w:eastAsia="Calibri"/>
          <w:b/>
          <w:sz w:val="20"/>
          <w:szCs w:val="20"/>
          <w:lang w:eastAsia="en-US"/>
        </w:rPr>
      </w:pPr>
      <w:r w:rsidRPr="00F0445D">
        <w:rPr>
          <w:rFonts w:eastAsia="Calibri"/>
          <w:b/>
          <w:sz w:val="20"/>
          <w:szCs w:val="20"/>
          <w:lang w:eastAsia="en-US"/>
        </w:rPr>
        <w:t>Fuente de información:</w:t>
      </w:r>
    </w:p>
    <w:p w14:paraId="2B3977AC" w14:textId="77777777" w:rsidR="00F0445D" w:rsidRPr="00E50BF7" w:rsidRDefault="00B9483D" w:rsidP="00E50BF7">
      <w:pPr>
        <w:spacing w:after="720"/>
        <w:ind w:right="-159"/>
        <w:jc w:val="both"/>
        <w:rPr>
          <w:rFonts w:eastAsia="Calibri"/>
          <w:b/>
          <w:color w:val="0000FF"/>
          <w:sz w:val="20"/>
          <w:szCs w:val="20"/>
          <w:lang w:eastAsia="en-US"/>
        </w:rPr>
      </w:pPr>
      <w:hyperlink r:id="rId33" w:history="1">
        <w:r w:rsidR="00F0445D" w:rsidRPr="00E50BF7">
          <w:rPr>
            <w:rFonts w:eastAsia="Calibri"/>
            <w:color w:val="0000FF"/>
            <w:sz w:val="20"/>
            <w:szCs w:val="20"/>
            <w:u w:val="single"/>
            <w:lang w:eastAsia="en-US"/>
          </w:rPr>
          <w:t>http://www.realinstitutoelcano.org/wps/wcm/connect/7010908047768524b3c3f7a6f6757d0d/ARI13-2015-MartinezRollan-amanecer-emergente-ascenso-economico-Lejano-Oriente-consecuencias-orden-economico-internacional.pdf?MOD=AJPERES&amp;CACHEID=7010908047768524b3c3f7a6f6757d0d</w:t>
        </w:r>
      </w:hyperlink>
    </w:p>
    <w:p w14:paraId="7492ED83"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Hablando claro: Los enemigos de la prudencia</w:t>
      </w:r>
      <w:r w:rsidRPr="00A72FBD">
        <w:rPr>
          <w:rFonts w:eastAsia="Calibri"/>
          <w:sz w:val="26"/>
          <w:szCs w:val="26"/>
          <w:lang w:eastAsia="en-US"/>
        </w:rPr>
        <w:t xml:space="preserve"> </w:t>
      </w:r>
      <w:r w:rsidRPr="00A72FBD">
        <w:rPr>
          <w:rFonts w:eastAsia="Calibri"/>
          <w:b/>
          <w:sz w:val="26"/>
          <w:szCs w:val="26"/>
          <w:lang w:eastAsia="en-US"/>
        </w:rPr>
        <w:t>(FMI)</w:t>
      </w:r>
    </w:p>
    <w:p w14:paraId="43AEBBFE" w14:textId="43692099"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El 11 de marzo de 2015, el Fondo Monetario Internacional (FMI) publicó en su revista trimestral Finanzas &amp; Desarrollo el documento </w:t>
      </w:r>
      <w:r w:rsidRPr="00C90F23">
        <w:rPr>
          <w:rFonts w:eastAsia="Calibri"/>
          <w:i/>
          <w:sz w:val="26"/>
          <w:szCs w:val="26"/>
          <w:lang w:eastAsia="en-US"/>
        </w:rPr>
        <w:t>Hablando claro: Los enemigos de la prudencia</w:t>
      </w:r>
      <w:r w:rsidRPr="00A72FBD">
        <w:rPr>
          <w:rFonts w:eastAsia="Calibri"/>
          <w:sz w:val="26"/>
          <w:szCs w:val="26"/>
          <w:lang w:eastAsia="en-US"/>
        </w:rPr>
        <w:t>. A continuación se presenta la información.</w:t>
      </w:r>
    </w:p>
    <w:p w14:paraId="216ECD6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En 1596, Felipe II de España incumplió el pago de la deuda por cuarta vez. Como gobernante experimentado, sistemático y detallista, Felipe sopesaba los consejos de sus asesores y analizaba las decisiones políticas difíciles desde todos los ángulos. Organizó los registros administrativos de su gobierno en su totalidad, incluso ordenando al arquitecto Juan de Herrera que convirtiera un castillo en el primer archivo público basado en reglas que recopiló documentos de la Corona hasta el siglo XIX. Su estilo político sabio y pausado, y sus numerosas innovaciones en la administración pública, le valieron el apelativo de Felipe el Prudente.</w:t>
      </w:r>
    </w:p>
    <w:p w14:paraId="32CB9362"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Pero pese a sus dotes administrativas, Felipe incumplió la deuda a inicios de su reinado, en 1557 y 1560, por dos razones. Una fue que heredó deudas personales de su padre Carlos V e insuficientes recursos para saldarlas, en una era en que no había una distinción clara entre lo privado y lo público. Y otra, quizá más grave, fue que la guerra contra Enrique II de Francia había vaciado por completo las arcas españolas.</w:t>
      </w:r>
    </w:p>
    <w:p w14:paraId="46E1E6B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En 1574, un tercer incumplimiento se tornó inminente, pero Felipe aplazó la decisión más de un año. Había contraído deudas con banqueros genoveses y de incurrir en impago pondría en entredicho su reputación personal. En 1575 finalmente accedió a firmar un Decreto que suspendía los pagos de los asientos u obligaciones de deuda elevada a corto plazo, que la Corona saldaba con plata proveniente de América.</w:t>
      </w:r>
    </w:p>
    <w:p w14:paraId="635C4188"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En el Decreto se manifestaban la frustración del rey por el hecho de que tan pocos acreedores estuvieran dispuestos a anticipar fondos a la Corona, la inquietud del rey por los altos intereses, y la opinión de que el uso del crédito era en general una actividad moral y legalmente cuestionable. Estos fueron los argumentos esgrimidos para suspender los pagos hasta que se llevara a cabo un examen completo de los términos y condiciones, así como de los pagos efectuados.</w:t>
      </w:r>
    </w:p>
    <w:p w14:paraId="654AFCCF"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La cuarta vez, en 1596, no hubo titubeos; el Decreto se firmó ese mismo año.</w:t>
      </w:r>
    </w:p>
    <w:p w14:paraId="08D17B7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¿Por qué Felipe el Prudente recurrió a los onerosos asientos y luego al incumplimiento? Por razones políticas, ya que eso le permitía mantener el control exclusivo de sus recursos sin hacer concesiones a la Asamblea, a la que le correspondía aprobar la emisión de títulos a más largo plazo respaldados con ingresos corrientes. No era necesario ceder políticamente porque, como había sucedido con su padre, Carlos V, las finanzas podían rescatarse con la plata providencial de América. Estos hechos, cabría decir, postergaron el desarrollo político, institucional y financiero de la España del siglo XVI.</w:t>
      </w:r>
    </w:p>
    <w:p w14:paraId="6779B3FB"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Esta historia no es inusual. Ilustra la compleja interacción entre política, desarrollo institucional y gobierno que es la esencia de la política pública, y que se hace evidente en todas las decisiones políticas sobre impuestos, gasto y financiamiento. </w:t>
      </w:r>
    </w:p>
    <w:p w14:paraId="42FA8FC8"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La historia de Felipe II se asemeja a la de muchos países con abundantes recursos naturales (petróleo, gas o minerales), que son víctimas de la “maldición de los recursos </w:t>
      </w:r>
      <w:r w:rsidRPr="00A72FBD">
        <w:rPr>
          <w:rFonts w:eastAsia="Calibri"/>
          <w:sz w:val="26"/>
          <w:szCs w:val="26"/>
          <w:lang w:eastAsia="en-US"/>
        </w:rPr>
        <w:lastRenderedPageBreak/>
        <w:t>naturales” y sus secuelas de crecimiento económico inestable, escaso desarrollo financiero y perturbaciones políticas.</w:t>
      </w:r>
    </w:p>
    <w:p w14:paraId="216ABF3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Los recursos naturales deberían ser una bendición para un país, ya que deberían facilitar el financiamiento de inversión en pro del crecimiento sostenible y el suministro público de bienes sociales básicos, como educación, salud y seguro colectivo contra contingencias individuales. Sin embargo, muchos países ricos en recursos naturales no han logrado un crecimiento sostenido. Por el contrario, en décadas recientes, muchas economías en desarrollo de alto crecimiento han carecido de esa riqueza.</w:t>
      </w:r>
    </w:p>
    <w:p w14:paraId="1735F5A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El principal desafío es que la abundancia de recursos naturales puede distorsionar los estímulos políticos y económicos. Sin control, esa abundancia desvía los esfuerzos políticos de las funciones básicas de gobierno a la distribución de la riqueza. Es decir, los incentivos a favor de los intereses particulares pueden terminar dominando las actividades políticas. Las estructuras físicas e institucionales que apoyan el crecimiento a largo plazo se ven suplantadas por actividades que arrojan recompensas individuales. En casos extremos, la pugna por la riqueza puede incluso causar conflictos civiles. Y las oportunidades de enriquecimiento y avance personal, mediante cabildeo político, pueden llevarse a talentos empresariales de los sectores productivos.</w:t>
      </w:r>
    </w:p>
    <w:p w14:paraId="0C1EA1C7"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La gestión de la renta de los recursos naturales siempre es una prueba para la gestión de gobierno. Las instituciones débiles no distribuyen ni gestionan bien los recursos naturales, en desmedro de la paz social, la eficiencia, el crecimiento económico sostenible y el medio ambiente. Son comunes los ciclos de auge y caída en que el gasto público ineficiente se dispara en tiempos de bonanza de los recursos naturales para luego desplomarse cuando dichos ingresos colapsan. Los gobiernos dependen demasiado de los ingresos derivados de las materias primas y las exportaciones, y están a merced de los impredecibles vaivenes de precios de las materias primas.</w:t>
      </w:r>
    </w:p>
    <w:p w14:paraId="0E30FE0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En los últimos años los precios de las materias primas se han desmoronado. Los precios de los metales, por ejemplo, se desplomaron de sus máximos en 2011. Los precios del petróleo cayeron en picada en el segundo semestre de 2014 y han continuado en esa tendencia para inicios de 2015. En enero de 2015, la mayoría de los países exportadores de petróleo se enfrentaban a precios muy inferiores al nivel hipotético necesario para equilibrar sus presupuestos. La imprevisibilidad de los precios de las materias primas, tan patente últimamente, destaca la importancia de la gestión financiera pública en los países ricos en recursos naturales.</w:t>
      </w:r>
    </w:p>
    <w:p w14:paraId="088EF96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Otro desafío es el denominado mal holandés o la apreciación de la moneda, asociada al gasto de los ingresos generados por los recursos naturales en bienes y servicios no transables, que resta recursos a los sectores competitivos de bienes transables perjudicando la apertura y el crecimiento.</w:t>
      </w:r>
    </w:p>
    <w:p w14:paraId="70021B6F"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En los países ricos en recursos naturales, las mayores oportunidades para los gobiernos implican muchas responsabilidades. A corto plazo, la tarea consiste en romper el ciclo de auge y caída desvinculando el gasto público corriente de los volátiles ingresos provenientes de los recursos naturales.</w:t>
      </w:r>
    </w:p>
    <w:p w14:paraId="1BE374A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Para eso, las instituciones fiscales han demostrado ser herramientas poderosas.</w:t>
      </w:r>
    </w:p>
    <w:p w14:paraId="7FFFD45B"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Chile aplica una política de gestión fiscal prudente de los ingresos del cobre, con una regla fiscal que apunta a un equilibrio presupuestario estructural, cuya transparencia está reforzada por el hecho de que los valores de los precios del cobre a largo plazo y del Producto Interno Bruto (PIB) potencial los fija un panel de expertos independientes.</w:t>
      </w:r>
    </w:p>
    <w:p w14:paraId="14829A27"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En Noruega, el gasto solo puede financiarse con el ingreso de los activos acumulados de la extracción pasada de recursos. Además, Noruega ha delegado la gestión de la riqueza petrolera  en su banco central  independiente  y no en el ministerio de Hacienda, a fin despolitizar más la gestión del fondo petrolero.</w:t>
      </w:r>
    </w:p>
    <w:p w14:paraId="71607DA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 xml:space="preserve">Botswana también se ha hecho conocer por su buen gobierno, sus políticas macroeconómicas prudentes y su sólida gestión de los recursos minerales. El país gestiona su riqueza mineral con una regla que garantiza que el gasto corriente se financie solamente con ingreso no derivado de recursos naturales. Los ingresos derivados de los recursos se destinan a la inversión o se ahorran en el Fondo Pula (fondo soberano de inversión) para transferir la riqueza a futuras generaciones. </w:t>
      </w:r>
    </w:p>
    <w:p w14:paraId="1DC0F49E"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Hasta Felipe el Prudente fue seducido por los juegos de poder político a costa del desarrollo de instituciones financieras. </w:t>
      </w:r>
    </w:p>
    <w:p w14:paraId="0E75049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Australia y Canadá son otros ejemplos de buena gestión de la riqueza derivada de los recursos naturales.</w:t>
      </w:r>
    </w:p>
    <w:p w14:paraId="3A3D5791"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Los gobiernos tienen la responsabilidad de crear instituciones públicas para protegerse contra la búsqueda de ganancia personal a costa del desarrollo a largo plazo. La transparencia fiscal y el buen gobierno son críticos en tal sentido, un tema que el FMI promueve activamente.</w:t>
      </w:r>
    </w:p>
    <w:p w14:paraId="5E55192F"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Para garantizar mejores controles y mayor transparencia, la gestión de los ingresos derivados de los recursos naturales debe seguir cuatro principios:</w:t>
      </w:r>
    </w:p>
    <w:p w14:paraId="01B4132B" w14:textId="77777777" w:rsidR="00A72FBD" w:rsidRPr="00A72FBD" w:rsidRDefault="00A72FBD" w:rsidP="00276F3E">
      <w:pPr>
        <w:numPr>
          <w:ilvl w:val="0"/>
          <w:numId w:val="130"/>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Marco jurídico y régimen fiscal integrales, con procedimientos abiertos y transparentes de cesión de derechos de extracción de recursos naturales, así como reglas claras para la generación y recaudación de los ingresos.</w:t>
      </w:r>
    </w:p>
    <w:p w14:paraId="74500C18" w14:textId="77777777" w:rsidR="00A72FBD" w:rsidRPr="00A72FBD" w:rsidRDefault="00A72FBD" w:rsidP="00276F3E">
      <w:pPr>
        <w:numPr>
          <w:ilvl w:val="0"/>
          <w:numId w:val="130"/>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Informes completos, oportunos y fiables de los gobiernos y las empresas extractoras sobre tenencias de derechos, extracción y comercialización, al igual que de pagos y cobros de ingresos relativos a los recursos naturales.</w:t>
      </w:r>
    </w:p>
    <w:p w14:paraId="3DECECC2" w14:textId="77777777" w:rsidR="00A72FBD" w:rsidRPr="00A72FBD" w:rsidRDefault="00A72FBD" w:rsidP="00276F3E">
      <w:pPr>
        <w:numPr>
          <w:ilvl w:val="0"/>
          <w:numId w:val="130"/>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lastRenderedPageBreak/>
        <w:t>Documentación presupuestaria clara sobre los objetivos públicos de gestión de los recursos naturales e informes sobre la asignación de los ingresos al gasto público y el ahorro.</w:t>
      </w:r>
    </w:p>
    <w:p w14:paraId="45439895" w14:textId="77777777" w:rsidR="00A72FBD" w:rsidRPr="00A72FBD" w:rsidRDefault="00A72FBD" w:rsidP="00276F3E">
      <w:pPr>
        <w:numPr>
          <w:ilvl w:val="0"/>
          <w:numId w:val="130"/>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Divulgación, análisis y gestión de riesgos sociales, ambientales y operacionales relacionados con la explotación de recursos naturales.</w:t>
      </w:r>
    </w:p>
    <w:p w14:paraId="4D415841"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Lo ideal sería que la mayor transparencia y rendición de cuentas fueran de la mano de instituciones políticas más inclusivas. El crecimiento sostenible y la prosperidad se basan en la acumulación de capital humano y conocimientos. Las instituciones políticas estables e inclusivas son esenciales para garantizar un entorno que fomente la acumulación de capital físico y humano. Está claro que la abundancia de recursos naturales no basta. Sin una estructura adecuada de incentivos, las ventajas políticas pueden eclipsar las metas de desarrollo a largo plazo.</w:t>
      </w:r>
    </w:p>
    <w:p w14:paraId="5EE3A46E"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Hasta Felipe el Prudente fue seducido por los juegos de poder político a costa del desarrollo de las instituciones financieras. El buen gobierno y las instituciones sólidas son condiciones necesarias para el crecimiento sostenible. Cabe esperar que las dificultades relacionadas con la volatilidad de los precios del petróleo y otras materias primas llevarán a muchos países a adoptar prácticas sólidas de gestión financiera pública que fomenten la prosperidad y estabilidad a largo plazo.</w:t>
      </w:r>
    </w:p>
    <w:p w14:paraId="5E28029A" w14:textId="77777777" w:rsidR="00A72FBD" w:rsidRPr="00A72FBD" w:rsidRDefault="00A72FBD" w:rsidP="00A72FBD">
      <w:pPr>
        <w:ind w:right="-159"/>
        <w:jc w:val="both"/>
        <w:rPr>
          <w:rFonts w:eastAsia="Calibri"/>
          <w:b/>
          <w:sz w:val="20"/>
          <w:szCs w:val="20"/>
          <w:lang w:eastAsia="en-US"/>
        </w:rPr>
      </w:pPr>
      <w:r w:rsidRPr="00A72FBD">
        <w:rPr>
          <w:rFonts w:eastAsia="Calibri"/>
          <w:b/>
          <w:sz w:val="20"/>
          <w:szCs w:val="20"/>
          <w:lang w:eastAsia="en-US"/>
        </w:rPr>
        <w:t>Fuente de información:</w:t>
      </w:r>
    </w:p>
    <w:p w14:paraId="3FF8A457" w14:textId="77777777" w:rsidR="00A72FBD" w:rsidRPr="00603EC2" w:rsidRDefault="00B9483D" w:rsidP="00A72FBD">
      <w:pPr>
        <w:ind w:right="-159"/>
        <w:jc w:val="both"/>
        <w:rPr>
          <w:rFonts w:eastAsia="Calibri"/>
          <w:color w:val="0000FF"/>
          <w:sz w:val="20"/>
          <w:szCs w:val="20"/>
          <w:lang w:eastAsia="en-US"/>
        </w:rPr>
      </w:pPr>
      <w:hyperlink r:id="rId34" w:history="1">
        <w:r w:rsidR="00A72FBD" w:rsidRPr="00603EC2">
          <w:rPr>
            <w:rFonts w:eastAsia="Calibri"/>
            <w:color w:val="0000FF"/>
            <w:sz w:val="20"/>
            <w:szCs w:val="20"/>
            <w:u w:val="single"/>
            <w:lang w:eastAsia="en-US"/>
          </w:rPr>
          <w:t>http://www.imf.org/external/Pubs/FT/fandd/spa/2015/03/pdf/gaspar.pdf</w:t>
        </w:r>
      </w:hyperlink>
      <w:r w:rsidR="00A72FBD" w:rsidRPr="00603EC2">
        <w:rPr>
          <w:rFonts w:eastAsia="Calibri"/>
          <w:color w:val="0000FF"/>
          <w:sz w:val="20"/>
          <w:szCs w:val="20"/>
          <w:lang w:eastAsia="en-US"/>
        </w:rPr>
        <w:t xml:space="preserve"> </w:t>
      </w:r>
    </w:p>
    <w:p w14:paraId="0873C2BB" w14:textId="602B7E87" w:rsidR="006F6C76" w:rsidRPr="000E3A45" w:rsidRDefault="006F6C76">
      <w:pPr>
        <w:rPr>
          <w:rFonts w:eastAsia="Calibri"/>
          <w:sz w:val="26"/>
          <w:szCs w:val="26"/>
          <w:lang w:eastAsia="en-US"/>
        </w:rPr>
      </w:pPr>
    </w:p>
    <w:sectPr w:rsidR="006F6C76" w:rsidRPr="000E3A45" w:rsidSect="00394ABB">
      <w:headerReference w:type="even" r:id="rId35"/>
      <w:headerReference w:type="default" r:id="rId36"/>
      <w:pgSz w:w="12242" w:h="15842" w:code="1"/>
      <w:pgMar w:top="1417" w:right="1701" w:bottom="1417" w:left="1701" w:header="709" w:footer="709" w:gutter="0"/>
      <w:pgNumType w:start="102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31BE47" w14:textId="77777777" w:rsidR="00B9483D" w:rsidRDefault="00B9483D">
      <w:r>
        <w:separator/>
      </w:r>
    </w:p>
  </w:endnote>
  <w:endnote w:type="continuationSeparator" w:id="0">
    <w:p w14:paraId="41D78C4A" w14:textId="77777777" w:rsidR="00B9483D" w:rsidRDefault="00B94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1"/>
    <w:family w:val="roman"/>
    <w:notTrueType/>
    <w:pitch w:val="variable"/>
  </w:font>
  <w:font w:name="Vladimir Script">
    <w:panose1 w:val="03050402040407070305"/>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D68BA0" w14:textId="77777777" w:rsidR="00B9483D" w:rsidRDefault="00B9483D">
      <w:r>
        <w:separator/>
      </w:r>
    </w:p>
  </w:footnote>
  <w:footnote w:type="continuationSeparator" w:id="0">
    <w:p w14:paraId="5B0CC4D1" w14:textId="77777777" w:rsidR="00B9483D" w:rsidRDefault="00B9483D">
      <w:r>
        <w:continuationSeparator/>
      </w:r>
    </w:p>
  </w:footnote>
  <w:footnote w:id="1">
    <w:p w14:paraId="7C7DF019" w14:textId="77777777" w:rsidR="002B6043" w:rsidRPr="00B613A0" w:rsidRDefault="002B6043" w:rsidP="0038653F">
      <w:pPr>
        <w:pStyle w:val="Textonotapie"/>
        <w:jc w:val="both"/>
      </w:pPr>
      <w:r w:rsidRPr="00AA7BBB">
        <w:rPr>
          <w:rStyle w:val="Nmerodepgina"/>
          <w:vertAlign w:val="superscript"/>
        </w:rPr>
        <w:footnoteRef/>
      </w:r>
      <w:r w:rsidRPr="00B613A0">
        <w:t xml:space="preserve"> Federico Steinberg es investigador principal de Economía Internacional del Real Instituto Elcano</w:t>
      </w:r>
      <w:r>
        <w:t>.</w:t>
      </w:r>
    </w:p>
  </w:footnote>
  <w:footnote w:id="2">
    <w:p w14:paraId="30FBBE47" w14:textId="34D2CA1F" w:rsidR="002B6043" w:rsidRPr="00261605" w:rsidRDefault="002B6043" w:rsidP="00E50BF7">
      <w:pPr>
        <w:pStyle w:val="Textonotapie"/>
        <w:ind w:left="140" w:right="-159" w:hanging="140"/>
        <w:jc w:val="both"/>
      </w:pPr>
      <w:r w:rsidRPr="00E06EFC">
        <w:rPr>
          <w:rStyle w:val="Refdenotaalpie"/>
        </w:rPr>
        <w:footnoteRef/>
      </w:r>
      <w:r w:rsidRPr="00E06EFC">
        <w:t xml:space="preserve"> </w:t>
      </w:r>
      <w:r w:rsidRPr="004B26A5">
        <w:t>Alberto Bagnai es Profesor Asociado de Política Económica de la Universidad Gabriele d'Annunzio, e investigador asociado en el Centro de Investigación en Economía Aplicada a la Mundialización en la Universidad de Rouen.</w:t>
      </w:r>
      <w:r>
        <w:t xml:space="preserve"> </w:t>
      </w:r>
      <w:r w:rsidRPr="004B26A5">
        <w:t xml:space="preserve">Brigitte Granville es profesor de Economía Internacional y Política Económica en la Escuela de Negocios y Administración, Queen Mary, Universidad de Londres, y autora de </w:t>
      </w:r>
      <w:r>
        <w:t>“</w:t>
      </w:r>
      <w:r w:rsidRPr="0020784B">
        <w:t>Recordando la inflación</w:t>
      </w:r>
      <w:r>
        <w:t>”</w:t>
      </w:r>
      <w:r w:rsidRPr="004B26A5">
        <w:t>.</w:t>
      </w:r>
      <w:r>
        <w:t xml:space="preserve"> </w:t>
      </w:r>
      <w:r w:rsidRPr="00B2793E">
        <w:t>Peter Oppenheimer fue un compañero en la iglesia de Cristo, Universidad de Oxford.</w:t>
      </w:r>
    </w:p>
  </w:footnote>
  <w:footnote w:id="3">
    <w:p w14:paraId="18EA3521" w14:textId="77777777" w:rsidR="002B6043" w:rsidRPr="00A14983" w:rsidRDefault="002B6043" w:rsidP="009D012B">
      <w:pPr>
        <w:pStyle w:val="Textonotapie"/>
        <w:ind w:left="113" w:hanging="113"/>
        <w:jc w:val="both"/>
      </w:pPr>
      <w:r w:rsidRPr="00A14983">
        <w:rPr>
          <w:rStyle w:val="Refdenotaalpie"/>
        </w:rPr>
        <w:footnoteRef/>
      </w:r>
      <w:r w:rsidRPr="00A14983">
        <w:t xml:space="preserve"> </w:t>
      </w:r>
      <w:r w:rsidRPr="00DB1D69">
        <w:t xml:space="preserve">Jürgen Jeske </w:t>
      </w:r>
      <w:r>
        <w:t>fue</w:t>
      </w:r>
      <w:r w:rsidRPr="00DB1D69">
        <w:t xml:space="preserve"> editor del diario alemán </w:t>
      </w:r>
      <w:r w:rsidRPr="00DB1D69">
        <w:rPr>
          <w:i/>
        </w:rPr>
        <w:t>Frankfurter Allgemeine Zeitung</w:t>
      </w:r>
      <w:r w:rsidRPr="00DB1D69">
        <w:t>.</w:t>
      </w:r>
    </w:p>
  </w:footnote>
  <w:footnote w:id="4">
    <w:p w14:paraId="2A7CCC80" w14:textId="17FA932B" w:rsidR="002B6043" w:rsidRPr="00A14983" w:rsidRDefault="002B6043" w:rsidP="00E50BF7">
      <w:pPr>
        <w:pStyle w:val="Textonotapie"/>
        <w:ind w:left="140" w:right="-159" w:hanging="140"/>
        <w:jc w:val="both"/>
      </w:pPr>
      <w:r w:rsidRPr="00A14983">
        <w:rPr>
          <w:rStyle w:val="Refdenotaalpie"/>
        </w:rPr>
        <w:footnoteRef/>
      </w:r>
      <w:r w:rsidRPr="00A14983">
        <w:t xml:space="preserve"> Michael J. Boskin es </w:t>
      </w:r>
      <w:r>
        <w:t>P</w:t>
      </w:r>
      <w:r w:rsidRPr="00A14983">
        <w:t>rofesor de Economía en la Universidad de Stanford y Senior Fellow en la Hoover Institution. Fue Presidente del Consejo de George HW Bush de Asesores Económicos de 1989-1993, y se dirigió hacia la llamada Comisión Boskin, un órgano asesor del Congreso que puso de relieve los errores en las estimaciones oficiales de inflación de los Estados Unidos</w:t>
      </w:r>
      <w:r>
        <w:t xml:space="preserve"> de Norteamérica</w:t>
      </w:r>
      <w:r w:rsidRPr="00A14983">
        <w:t>.</w:t>
      </w:r>
    </w:p>
  </w:footnote>
  <w:footnote w:id="5">
    <w:p w14:paraId="097A945B" w14:textId="198E35D8" w:rsidR="002B6043" w:rsidRPr="00E50BF7" w:rsidRDefault="002B6043" w:rsidP="00E50BF7">
      <w:pPr>
        <w:pStyle w:val="Textonotapie"/>
        <w:ind w:left="140" w:right="-159" w:hanging="140"/>
        <w:jc w:val="both"/>
        <w:rPr>
          <w:color w:val="0000FF"/>
          <w:lang w:val="es-MX"/>
        </w:rPr>
      </w:pPr>
      <w:r w:rsidRPr="00505C4C">
        <w:rPr>
          <w:rStyle w:val="Refdenotaalpie"/>
        </w:rPr>
        <w:footnoteRef/>
      </w:r>
      <w:r w:rsidRPr="00505C4C">
        <w:t xml:space="preserve"> </w:t>
      </w:r>
      <w:r w:rsidRPr="00770C80">
        <w:t xml:space="preserve">Véanse las “Proyecciones macroeconómicas de marzo de 2015 elaboradas por los expertos del BCE para la </w:t>
      </w:r>
      <w:r w:rsidRPr="002A1806">
        <w:t xml:space="preserve">zona del euro” en </w:t>
      </w:r>
      <w:hyperlink r:id="rId1" w:history="1">
        <w:r w:rsidRPr="00E50BF7">
          <w:rPr>
            <w:rStyle w:val="Hipervnculo"/>
          </w:rPr>
          <w:t>http://www.ecb.europa.eu/pub/pdf/other/ecbstaffprojections2015.en.pdf</w:t>
        </w:r>
      </w:hyperlink>
    </w:p>
  </w:footnote>
  <w:footnote w:id="6">
    <w:p w14:paraId="62B13B01" w14:textId="6C572970" w:rsidR="002B6043" w:rsidRPr="00E50BF7" w:rsidRDefault="002B6043" w:rsidP="000170C9">
      <w:pPr>
        <w:pStyle w:val="Textonotapie"/>
        <w:ind w:left="255" w:right="-159" w:hanging="255"/>
        <w:jc w:val="both"/>
      </w:pPr>
      <w:r w:rsidRPr="00E06EFC">
        <w:rPr>
          <w:rStyle w:val="Refdenotaalpie"/>
        </w:rPr>
        <w:footnoteRef/>
      </w:r>
      <w:r w:rsidRPr="00E06EFC">
        <w:t xml:space="preserve"> </w:t>
      </w:r>
      <w:r w:rsidRPr="008E37CF">
        <w:t xml:space="preserve">Daniel Gros es director del Centro de Estudios de Política Europea con sede en Bruselas. Ha trabajado para el Fondo Monetario Internacional, y se desempeñó como asesor económico de la Comisión Europea, el Parlamento Europeo y del primer ministro francés y ministro de Hacienda. Es el editor de </w:t>
      </w:r>
      <w:r w:rsidR="00E50BF7" w:rsidRPr="00E50BF7">
        <w:t>“</w:t>
      </w:r>
      <w:r w:rsidRPr="00E50BF7">
        <w:t>Economía Internacional y Finanzas Internacionales</w:t>
      </w:r>
      <w:r w:rsidR="00E50BF7" w:rsidRPr="00E50BF7">
        <w:t>”</w:t>
      </w:r>
      <w:r w:rsidRPr="00E50BF7">
        <w:t>.</w:t>
      </w:r>
    </w:p>
  </w:footnote>
  <w:footnote w:id="7">
    <w:p w14:paraId="56B0C6DE" w14:textId="63F73B5D" w:rsidR="002B6043" w:rsidRPr="001804BC" w:rsidRDefault="002B6043" w:rsidP="00E50BF7">
      <w:pPr>
        <w:pStyle w:val="Textonotapie"/>
        <w:ind w:left="112" w:right="-159" w:hanging="140"/>
        <w:jc w:val="both"/>
      </w:pPr>
      <w:r w:rsidRPr="00F0445D">
        <w:rPr>
          <w:rStyle w:val="Nmerodepgina"/>
          <w:vertAlign w:val="superscript"/>
        </w:rPr>
        <w:footnoteRef/>
      </w:r>
      <w:r w:rsidR="00E50BF7">
        <w:tab/>
      </w:r>
      <w:r w:rsidRPr="001804BC">
        <w:t>Brasil, Rusia, la India y China (BRIC), con la adición de Sudáfrica (BRICS), principalmente institucional. En el análisis nos centraremos en las cuatro grandes potencias económicas del quinteto, pero usaremos el término BRICS.</w:t>
      </w:r>
    </w:p>
  </w:footnote>
  <w:footnote w:id="8">
    <w:p w14:paraId="56CA1421" w14:textId="7AAC3264" w:rsidR="002B6043" w:rsidRPr="00AC071A" w:rsidRDefault="002B6043" w:rsidP="00E50BF7">
      <w:pPr>
        <w:pStyle w:val="Textonotapie"/>
        <w:ind w:left="112" w:right="-159" w:hanging="140"/>
        <w:jc w:val="both"/>
      </w:pPr>
      <w:r w:rsidRPr="00F0445D">
        <w:rPr>
          <w:rStyle w:val="Nmerodepgina"/>
          <w:vertAlign w:val="superscript"/>
        </w:rPr>
        <w:footnoteRef/>
      </w:r>
      <w:r w:rsidR="00E50BF7">
        <w:tab/>
      </w:r>
      <w:r w:rsidRPr="00AC071A">
        <w:t>La PPA corrige al alza el PIB de los países con menores precios para bienes y servicios considerados similares. Esto es así debido principalmente al efecto conocido como “Balassa-Samuelson” en la teoría económica: los precios de los bienes y servicios no comerciables internacionalmente se elevan a medida que sube la productividad y los salarios de un país, mientras que los bienes comerciables internacionalmente mantienen su precio, determinado en los mercados internacionales.</w:t>
      </w:r>
    </w:p>
  </w:footnote>
  <w:footnote w:id="9">
    <w:p w14:paraId="21731BE5" w14:textId="677693C1" w:rsidR="002B6043" w:rsidRPr="00AC071A" w:rsidRDefault="002B6043" w:rsidP="00E50BF7">
      <w:pPr>
        <w:pStyle w:val="Textonotapie"/>
        <w:ind w:left="280" w:right="-159" w:hanging="280"/>
        <w:jc w:val="both"/>
      </w:pPr>
      <w:r w:rsidRPr="00F0445D">
        <w:rPr>
          <w:rStyle w:val="Nmerodepgina"/>
          <w:vertAlign w:val="superscript"/>
        </w:rPr>
        <w:footnoteRef/>
      </w:r>
      <w:r w:rsidR="00E50BF7">
        <w:tab/>
      </w:r>
      <w:r w:rsidRPr="00AC071A">
        <w:t>El Banco Mundial define en 2015 a los países como de renta media-baja a partir de 1</w:t>
      </w:r>
      <w:r>
        <w:t xml:space="preserve"> mil </w:t>
      </w:r>
      <w:r w:rsidRPr="00AC071A">
        <w:t>45 dólares anuales per cápita, de renta media-alta a partir de 4</w:t>
      </w:r>
      <w:r>
        <w:t xml:space="preserve"> mil </w:t>
      </w:r>
      <w:r w:rsidRPr="00AC071A">
        <w:t>125 dólares y de renta alta a partir de 12</w:t>
      </w:r>
      <w:r>
        <w:t xml:space="preserve"> mil </w:t>
      </w:r>
      <w:r w:rsidRPr="00AC071A">
        <w:t>746 dólares.</w:t>
      </w:r>
    </w:p>
  </w:footnote>
  <w:footnote w:id="10">
    <w:p w14:paraId="5801D4DD" w14:textId="23447B66" w:rsidR="002B6043" w:rsidRPr="00E1674D" w:rsidRDefault="002B6043" w:rsidP="00E50BF7">
      <w:pPr>
        <w:pStyle w:val="Textonotapie"/>
        <w:ind w:left="280" w:right="-159" w:hanging="280"/>
        <w:jc w:val="both"/>
      </w:pPr>
      <w:r w:rsidRPr="00074CD9">
        <w:rPr>
          <w:rStyle w:val="Nmerodepgina"/>
          <w:vertAlign w:val="superscript"/>
        </w:rPr>
        <w:footnoteRef/>
      </w:r>
      <w:r w:rsidR="00E50BF7">
        <w:tab/>
      </w:r>
      <w:r w:rsidRPr="00E1674D">
        <w:t xml:space="preserve">El ajuste PPA lo calcula el Banco Mundial en su International Comparison Program (ICP) y ha sido sorprendentemente elevado en su actualización de 2014 (basada en una encuesta de 2011). En el anterior ejercicio ICP del Banco Mundial, </w:t>
      </w:r>
      <w:r>
        <w:t>con</w:t>
      </w:r>
      <w:r w:rsidRPr="00E1674D">
        <w:t xml:space="preserve"> encuesta de 2005, </w:t>
      </w:r>
      <w:r>
        <w:t>se</w:t>
      </w:r>
      <w:r w:rsidRPr="00E1674D">
        <w:t xml:space="preserve"> había producido un fuerte ajuste de signo contrario </w:t>
      </w:r>
      <w:r>
        <w:t>—</w:t>
      </w:r>
      <w:r w:rsidRPr="00E1674D">
        <w:t>a la baja</w:t>
      </w:r>
      <w:r>
        <w:t>—</w:t>
      </w:r>
      <w:r w:rsidRPr="00E1674D">
        <w:t>, que llevó a reducir el PIB en PPA de China a casi la mitad respecto al anterior, lo que refleja la alta volatilidad de los datos de China.</w:t>
      </w:r>
    </w:p>
  </w:footnote>
  <w:footnote w:id="11">
    <w:p w14:paraId="595016B9" w14:textId="2030531D" w:rsidR="002B6043" w:rsidRPr="007C008F" w:rsidRDefault="002B6043" w:rsidP="00E50BF7">
      <w:pPr>
        <w:pStyle w:val="Textonotapie"/>
        <w:ind w:left="280" w:right="-159" w:hanging="280"/>
        <w:jc w:val="both"/>
      </w:pPr>
      <w:r w:rsidRPr="00A62F39">
        <w:rPr>
          <w:rStyle w:val="Nmerodepgina"/>
          <w:vertAlign w:val="superscript"/>
        </w:rPr>
        <w:footnoteRef/>
      </w:r>
      <w:r w:rsidR="00E50BF7">
        <w:tab/>
      </w:r>
      <w:r w:rsidRPr="007C008F">
        <w:t xml:space="preserve">La revista británica </w:t>
      </w:r>
      <w:r w:rsidRPr="007C008F">
        <w:rPr>
          <w:i/>
        </w:rPr>
        <w:t>The Economist</w:t>
      </w:r>
      <w:r w:rsidRPr="007C008F">
        <w:t xml:space="preserve"> ha llegado a crear un índice alternativo de la economía china llamado el “Keqiang index” a raíz de que trascendiera la opinión del dignatario chino.</w:t>
      </w:r>
    </w:p>
  </w:footnote>
  <w:footnote w:id="12">
    <w:p w14:paraId="70849B62" w14:textId="77777777" w:rsidR="002B6043" w:rsidRPr="000D3893" w:rsidRDefault="002B6043" w:rsidP="00F0445D">
      <w:pPr>
        <w:pStyle w:val="Textonotapie"/>
        <w:jc w:val="both"/>
      </w:pPr>
      <w:r w:rsidRPr="0020784B">
        <w:rPr>
          <w:rStyle w:val="Nmerodepgina"/>
          <w:vertAlign w:val="superscript"/>
        </w:rPr>
        <w:footnoteRef/>
      </w:r>
      <w:r w:rsidRPr="0020784B">
        <w:rPr>
          <w:vertAlign w:val="superscript"/>
        </w:rPr>
        <w:t xml:space="preserve"> </w:t>
      </w:r>
      <w:r w:rsidRPr="000D3893">
        <w:t>Lo que a su vez permite evitar ajustes de balanza de pagos.</w:t>
      </w:r>
    </w:p>
  </w:footnote>
  <w:footnote w:id="13">
    <w:p w14:paraId="2A49F930" w14:textId="7FCE55DC" w:rsidR="002B6043" w:rsidRPr="00B01C8F" w:rsidRDefault="002B6043" w:rsidP="00E50BF7">
      <w:pPr>
        <w:pStyle w:val="Textonotapie"/>
        <w:ind w:left="196" w:right="-164" w:hanging="196"/>
        <w:jc w:val="both"/>
      </w:pPr>
      <w:r w:rsidRPr="00074CD9">
        <w:rPr>
          <w:rStyle w:val="Nmerodepgina"/>
          <w:vertAlign w:val="superscript"/>
        </w:rPr>
        <w:footnoteRef/>
      </w:r>
      <w:r w:rsidRPr="00074CD9">
        <w:rPr>
          <w:vertAlign w:val="superscript"/>
        </w:rPr>
        <w:t xml:space="preserve"> </w:t>
      </w:r>
      <w:r w:rsidRPr="00B01C8F">
        <w:t>Los últimos datos del Banco de China (diciembre de 2014) informan de unas reservas oficiales de divisas por importe de 3</w:t>
      </w:r>
      <w:r>
        <w:t xml:space="preserve"> billones </w:t>
      </w:r>
      <w:r w:rsidRPr="00B01C8F">
        <w:t xml:space="preserve">843 </w:t>
      </w:r>
      <w:r>
        <w:t xml:space="preserve">mil millones </w:t>
      </w:r>
      <w:r w:rsidRPr="00B01C8F">
        <w:t>de dólares, tras haberse aproximado a los 4 billones en meses anteriores.</w:t>
      </w:r>
    </w:p>
  </w:footnote>
  <w:footnote w:id="14">
    <w:p w14:paraId="72E96034" w14:textId="32568CBB" w:rsidR="002B6043" w:rsidRPr="00E75B38" w:rsidRDefault="002B6043" w:rsidP="00E50BF7">
      <w:pPr>
        <w:pStyle w:val="Textonotapie"/>
        <w:ind w:left="308" w:right="-159" w:hanging="283"/>
        <w:jc w:val="both"/>
      </w:pPr>
      <w:r w:rsidRPr="00074CD9">
        <w:rPr>
          <w:rStyle w:val="Nmerodepgina"/>
          <w:vertAlign w:val="superscript"/>
        </w:rPr>
        <w:footnoteRef/>
      </w:r>
      <w:r w:rsidR="00E50BF7">
        <w:tab/>
      </w:r>
      <w:r>
        <w:t>Un 47.</w:t>
      </w:r>
      <w:r w:rsidRPr="00E75B38">
        <w:t>7% del PIB estimado para 2014 (World Economic Outlook, FMI, octubre de 2014).</w:t>
      </w:r>
    </w:p>
  </w:footnote>
  <w:footnote w:id="15">
    <w:p w14:paraId="7E1CACD0" w14:textId="69FD2622" w:rsidR="002B6043" w:rsidRPr="00E75B38" w:rsidRDefault="002B6043" w:rsidP="00E50BF7">
      <w:pPr>
        <w:pStyle w:val="Textonotapie"/>
        <w:ind w:left="308" w:right="-159" w:hanging="283"/>
        <w:jc w:val="both"/>
      </w:pPr>
      <w:r w:rsidRPr="00074CD9">
        <w:rPr>
          <w:rStyle w:val="Nmerodepgina"/>
          <w:vertAlign w:val="superscript"/>
        </w:rPr>
        <w:footnoteRef/>
      </w:r>
      <w:r w:rsidR="00E50BF7">
        <w:rPr>
          <w:i/>
        </w:rPr>
        <w:tab/>
      </w:r>
      <w:r w:rsidRPr="00E75B38">
        <w:rPr>
          <w:i/>
        </w:rPr>
        <w:t>The longer unbalanced high growth is maintained (and high growth is always unbalanced), the sharper the reversal must ultimately be</w:t>
      </w:r>
      <w:r w:rsidRPr="00E75B38">
        <w:t>, en Pettis (2014).</w:t>
      </w:r>
    </w:p>
  </w:footnote>
  <w:footnote w:id="16">
    <w:p w14:paraId="2D1EA691" w14:textId="14E2409C" w:rsidR="002B6043" w:rsidRPr="00CA2676" w:rsidRDefault="002B6043" w:rsidP="00E50BF7">
      <w:pPr>
        <w:ind w:left="308" w:right="-159" w:hanging="283"/>
        <w:jc w:val="both"/>
      </w:pPr>
      <w:r w:rsidRPr="00074CD9">
        <w:rPr>
          <w:rStyle w:val="Nmerodepgina"/>
          <w:sz w:val="20"/>
          <w:szCs w:val="20"/>
          <w:vertAlign w:val="superscript"/>
        </w:rPr>
        <w:footnoteRef/>
      </w:r>
      <w:r w:rsidR="00E50BF7">
        <w:rPr>
          <w:sz w:val="20"/>
          <w:szCs w:val="20"/>
        </w:rPr>
        <w:tab/>
      </w:r>
      <w:r w:rsidRPr="00DE4E39">
        <w:rPr>
          <w:sz w:val="20"/>
          <w:szCs w:val="20"/>
        </w:rPr>
        <w:t>En China se han producido dos aceleraciones de crecimiento, como se describe en Hausmann, Pritchett y Rodrik (2004), en 1978 y en 1990. El historiador Harold James (2011) afirma que “los últimos 20 años de desarrollo en China constituyen el período más largo de la más elevada tasa de crecimiento económico sostenido en la historia económica del mundo”.</w:t>
      </w:r>
    </w:p>
  </w:footnote>
  <w:footnote w:id="17">
    <w:p w14:paraId="7F9A3B62" w14:textId="014944A3" w:rsidR="002B6043" w:rsidRDefault="002B6043" w:rsidP="00E50BF7">
      <w:pPr>
        <w:pStyle w:val="Textonotapie"/>
        <w:ind w:left="308" w:right="-164" w:hanging="283"/>
        <w:jc w:val="both"/>
      </w:pPr>
      <w:r w:rsidRPr="0003623C">
        <w:rPr>
          <w:rStyle w:val="Nmerodepgina"/>
          <w:vertAlign w:val="superscript"/>
        </w:rPr>
        <w:footnoteRef/>
      </w:r>
      <w:r w:rsidR="00E50BF7">
        <w:tab/>
      </w:r>
      <w:r w:rsidRPr="00CA2676">
        <w:t>Seguimos la clasificación más habitual, que sigue el estándar que define el Banco Mundial. En 2015 un país es clasificado de “renta baja” para una renta per cápita anual inferior a 1</w:t>
      </w:r>
      <w:r>
        <w:t xml:space="preserve"> mil </w:t>
      </w:r>
      <w:r w:rsidRPr="00CA2676">
        <w:t>45 dólares. La “renta media-baja” está entre el umbral anterior y los 4</w:t>
      </w:r>
      <w:r>
        <w:t xml:space="preserve"> mil </w:t>
      </w:r>
      <w:r w:rsidRPr="00CA2676">
        <w:t>125 dólares, y la “renta media-alta” entre los 4</w:t>
      </w:r>
      <w:r>
        <w:t xml:space="preserve"> mil </w:t>
      </w:r>
      <w:r w:rsidRPr="00CA2676">
        <w:t>125 y los 12</w:t>
      </w:r>
      <w:r>
        <w:t xml:space="preserve"> mil </w:t>
      </w:r>
      <w:r w:rsidRPr="00CA2676">
        <w:t>746 dólares. Por encima de</w:t>
      </w:r>
      <w:r>
        <w:t xml:space="preserve"> </w:t>
      </w:r>
      <w:r w:rsidRPr="00CA2676">
        <w:t xml:space="preserve">este último umbral se considera a un país de “renta alta”. La renta per </w:t>
      </w:r>
      <w:r w:rsidRPr="00716042">
        <w:rPr>
          <w:i/>
        </w:rPr>
        <w:t>cápita</w:t>
      </w:r>
      <w:r w:rsidRPr="00CA2676">
        <w:t xml:space="preserve"> es normalmente muy similar al PIB </w:t>
      </w:r>
      <w:r w:rsidRPr="00716042">
        <w:rPr>
          <w:i/>
        </w:rPr>
        <w:t>per cápita</w:t>
      </w:r>
      <w:r w:rsidRPr="00CA2676">
        <w:t xml:space="preserve"> </w:t>
      </w:r>
      <w:r>
        <w:t>—</w:t>
      </w:r>
      <w:r w:rsidRPr="00CA2676">
        <w:t>la diferencia reside en añadir al PIB el saldo neto de la balanza de rentas con el exterior</w:t>
      </w:r>
      <w:r>
        <w:t>—</w:t>
      </w:r>
      <w:r w:rsidRPr="00CA2676">
        <w:t>.</w:t>
      </w:r>
    </w:p>
  </w:footnote>
  <w:footnote w:id="18">
    <w:p w14:paraId="5AE50913" w14:textId="77777777" w:rsidR="002B6043" w:rsidRPr="00AB7B1E" w:rsidRDefault="002B6043" w:rsidP="00E50BF7">
      <w:pPr>
        <w:pStyle w:val="Textonotapie"/>
        <w:ind w:left="168" w:right="-159" w:hanging="168"/>
        <w:jc w:val="both"/>
      </w:pPr>
      <w:r w:rsidRPr="0003623C">
        <w:rPr>
          <w:rStyle w:val="Nmerodepgina"/>
          <w:vertAlign w:val="superscript"/>
        </w:rPr>
        <w:footnoteRef/>
      </w:r>
      <w:r w:rsidRPr="0003623C">
        <w:rPr>
          <w:vertAlign w:val="superscript"/>
        </w:rPr>
        <w:t xml:space="preserve"> </w:t>
      </w:r>
      <w:r w:rsidRPr="00AB7B1E">
        <w:t>El Convenio Constitutivo del FMI, con rango de tratado internacional, establece que la regla general en las decisiones de la institución será la mayoría simple (Art. XII, sección 5. c), pero hay excepciones muy importantes en las que se aplica la mayoría reforzada del 85%: todas las decisiones significativas sobre el diseñ</w:t>
      </w:r>
      <w:r>
        <w:t>o institucional, principalmente</w:t>
      </w:r>
      <w:r w:rsidRPr="00AB7B1E">
        <w:t xml:space="preserve"> E</w:t>
      </w:r>
      <w:r>
        <w:t xml:space="preserve">stados </w:t>
      </w:r>
      <w:r w:rsidRPr="00AB7B1E">
        <w:t>U</w:t>
      </w:r>
      <w:r>
        <w:t>nidos de Norteamérica</w:t>
      </w:r>
      <w:r w:rsidRPr="00AB7B1E">
        <w:t xml:space="preserve"> tiene, por lo tanto, veto formal sobre el diseño institucional, aunque no sobre decisiones concretas de los programas.</w:t>
      </w:r>
    </w:p>
  </w:footnote>
  <w:footnote w:id="19">
    <w:p w14:paraId="1F99FC17" w14:textId="77777777" w:rsidR="002B6043" w:rsidRPr="007A3DDE" w:rsidRDefault="002B6043" w:rsidP="00E50BF7">
      <w:pPr>
        <w:pStyle w:val="Textonotapie"/>
        <w:ind w:left="196" w:right="-159" w:hanging="196"/>
        <w:jc w:val="both"/>
      </w:pPr>
      <w:r w:rsidRPr="0003623C">
        <w:rPr>
          <w:rStyle w:val="Nmerodepgina"/>
          <w:vertAlign w:val="superscript"/>
        </w:rPr>
        <w:footnoteRef/>
      </w:r>
      <w:r w:rsidRPr="0003623C">
        <w:rPr>
          <w:vertAlign w:val="superscript"/>
        </w:rPr>
        <w:t xml:space="preserve"> </w:t>
      </w:r>
      <w:r w:rsidRPr="007A3DDE">
        <w:t>El Banco Asiático de Desarrollo (BAsD) cuenta con un capital suscrito de 162</w:t>
      </w:r>
      <w:r>
        <w:t xml:space="preserve"> mil </w:t>
      </w:r>
      <w:r w:rsidRPr="007A3DDE">
        <w:t>800 millones de dólares y presta anualmente 21</w:t>
      </w:r>
      <w:r>
        <w:t xml:space="preserve"> mil</w:t>
      </w:r>
      <w:r w:rsidRPr="007A3DDE">
        <w:t xml:space="preserve"> millones de dólares.</w:t>
      </w:r>
    </w:p>
  </w:footnote>
  <w:footnote w:id="20">
    <w:p w14:paraId="7168BE31" w14:textId="456F861A" w:rsidR="002B6043" w:rsidRPr="00387C79" w:rsidRDefault="002B6043" w:rsidP="00CC3922">
      <w:pPr>
        <w:pStyle w:val="Textonotapie"/>
        <w:ind w:left="244" w:right="-159" w:hanging="244"/>
        <w:jc w:val="both"/>
      </w:pPr>
      <w:r w:rsidRPr="0003623C">
        <w:rPr>
          <w:rStyle w:val="Nmerodepgina"/>
          <w:vertAlign w:val="superscript"/>
        </w:rPr>
        <w:footnoteRef/>
      </w:r>
      <w:r w:rsidR="00E50BF7">
        <w:tab/>
      </w:r>
      <w:r w:rsidRPr="00387C79">
        <w:t>Jonathan Kirshner (2014) considera que el liderazgo de E</w:t>
      </w:r>
      <w:r>
        <w:t xml:space="preserve">stados </w:t>
      </w:r>
      <w:r w:rsidRPr="00387C79">
        <w:t>U</w:t>
      </w:r>
      <w:r>
        <w:t>nidos de Norteamérica</w:t>
      </w:r>
      <w:r w:rsidRPr="00387C79">
        <w:t xml:space="preserve"> ha quedado debilitado tras la crisis financiera, lo cual es correcto en relación </w:t>
      </w:r>
      <w:r>
        <w:t>con</w:t>
      </w:r>
      <w:r w:rsidRPr="00387C79">
        <w:t xml:space="preserve"> los países emergentes (China en particular), pero ello podría matizarse argumentando que la debilidad coyuntural de las otras potencias desarrolladas (Europa, Japón) pueden haber reforzado la posición relativa de E</w:t>
      </w:r>
      <w:r>
        <w:t xml:space="preserve">stados </w:t>
      </w:r>
      <w:r w:rsidRPr="00387C79">
        <w:t>U</w:t>
      </w:r>
      <w:r>
        <w:t>nidos de Norteamérica</w:t>
      </w:r>
      <w:r w:rsidRPr="00387C79">
        <w:t>. Otro punto que ha debilitado coyunturalmente el liderazgo de E</w:t>
      </w:r>
      <w:r>
        <w:t xml:space="preserve">stados </w:t>
      </w:r>
      <w:r w:rsidRPr="00387C79">
        <w:t>U</w:t>
      </w:r>
      <w:r>
        <w:t>nidos de Norteamérica</w:t>
      </w:r>
      <w:r w:rsidRPr="00387C79">
        <w:t xml:space="preserve"> es la falta de ratificación de su Congreso de las reformas de cuotas y gobierno del FMI acordadas en 2010, que</w:t>
      </w:r>
      <w:r>
        <w:t xml:space="preserve"> </w:t>
      </w:r>
      <w:r w:rsidRPr="00387C79">
        <w:t>permitían reflejar mejor las realidades actuales de la economía mundial en la representación del Fondo Monetario y, en particular, aumentar el peso de los países emergentes más dinámicos.</w:t>
      </w:r>
    </w:p>
  </w:footnote>
  <w:footnote w:id="21">
    <w:p w14:paraId="5A5554B6" w14:textId="3F0B71F4" w:rsidR="002B6043" w:rsidRPr="00876294" w:rsidRDefault="002B6043" w:rsidP="00CC3922">
      <w:pPr>
        <w:pStyle w:val="Textonotapie"/>
        <w:ind w:left="244" w:right="-159" w:hanging="244"/>
        <w:jc w:val="both"/>
      </w:pPr>
      <w:r w:rsidRPr="0003623C">
        <w:rPr>
          <w:rStyle w:val="Nmerodepgina"/>
          <w:vertAlign w:val="superscript"/>
        </w:rPr>
        <w:footnoteRef/>
      </w:r>
      <w:r w:rsidR="00E50BF7">
        <w:tab/>
      </w:r>
      <w:r w:rsidRPr="00876294">
        <w:t>Ponía como ejemplo principal el Plan Marshall. Otros ejemplos podrían ser la ayuda al desarrollo y las condonaciones de deuda a los países pobres en la iniciativa HIPC en las décadas de los 90 y 2000</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2B6043" w:rsidRPr="00FC228D" w:rsidRDefault="002B6043" w:rsidP="00FC228D">
    <w:pPr>
      <w:pStyle w:val="Encabezado"/>
      <w:pBdr>
        <w:bottom w:val="single" w:sz="4" w:space="1" w:color="660033"/>
      </w:pBdr>
      <w:tabs>
        <w:tab w:val="clear" w:pos="8504"/>
        <w:tab w:val="left" w:pos="4545"/>
        <w:tab w:val="right" w:pos="8820"/>
      </w:tabs>
      <w:ind w:right="-159"/>
      <w:rPr>
        <w:i/>
        <w:color w:val="660033"/>
        <w:sz w:val="22"/>
        <w:szCs w:val="22"/>
      </w:rPr>
    </w:pPr>
    <w:r w:rsidRPr="00FC228D">
      <w:rPr>
        <w:rStyle w:val="Nmerodepgina"/>
        <w:i/>
        <w:color w:val="660033"/>
        <w:sz w:val="22"/>
        <w:szCs w:val="22"/>
      </w:rPr>
      <w:fldChar w:fldCharType="begin"/>
    </w:r>
    <w:r w:rsidRPr="00FC228D">
      <w:rPr>
        <w:rStyle w:val="Nmerodepgina"/>
        <w:i/>
        <w:color w:val="660033"/>
        <w:sz w:val="22"/>
        <w:szCs w:val="22"/>
      </w:rPr>
      <w:instrText xml:space="preserve"> PAGE </w:instrText>
    </w:r>
    <w:r w:rsidRPr="00FC228D">
      <w:rPr>
        <w:rStyle w:val="Nmerodepgina"/>
        <w:i/>
        <w:color w:val="660033"/>
        <w:sz w:val="22"/>
        <w:szCs w:val="22"/>
      </w:rPr>
      <w:fldChar w:fldCharType="separate"/>
    </w:r>
    <w:r w:rsidR="00FC228D">
      <w:rPr>
        <w:rStyle w:val="Nmerodepgina"/>
        <w:i/>
        <w:noProof/>
        <w:color w:val="660033"/>
        <w:sz w:val="22"/>
        <w:szCs w:val="22"/>
      </w:rPr>
      <w:t>1040</w:t>
    </w:r>
    <w:r w:rsidRPr="00FC228D">
      <w:rPr>
        <w:rStyle w:val="Nmerodepgina"/>
        <w:i/>
        <w:color w:val="660033"/>
        <w:sz w:val="22"/>
        <w:szCs w:val="22"/>
      </w:rPr>
      <w:fldChar w:fldCharType="end"/>
    </w:r>
    <w:r w:rsidRPr="00FC228D">
      <w:rPr>
        <w:rStyle w:val="Nmerodepgina"/>
        <w:i/>
        <w:color w:val="660033"/>
        <w:sz w:val="22"/>
        <w:szCs w:val="22"/>
      </w:rPr>
      <w:tab/>
    </w:r>
    <w:r w:rsidRPr="00FC228D">
      <w:rPr>
        <w:rStyle w:val="Nmerodepgina"/>
        <w:i/>
        <w:color w:val="660033"/>
        <w:sz w:val="22"/>
        <w:szCs w:val="22"/>
      </w:rPr>
      <w:tab/>
    </w:r>
    <w:r w:rsidRPr="00FC228D">
      <w:rPr>
        <w:rStyle w:val="Nmerodepgina"/>
        <w:i/>
        <w:color w:val="660033"/>
        <w:sz w:val="22"/>
        <w:szCs w:val="22"/>
      </w:rPr>
      <w:tab/>
    </w:r>
    <w:r w:rsidRPr="00FC228D">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7BD8EEBB" w:rsidR="002B6043" w:rsidRPr="00FC228D" w:rsidRDefault="003B1F37" w:rsidP="00FC228D">
    <w:pPr>
      <w:pStyle w:val="Encabezado"/>
      <w:pBdr>
        <w:bottom w:val="single" w:sz="4" w:space="1" w:color="660033"/>
      </w:pBdr>
      <w:tabs>
        <w:tab w:val="clear" w:pos="8504"/>
        <w:tab w:val="right" w:pos="9000"/>
      </w:tabs>
      <w:ind w:right="-159"/>
      <w:rPr>
        <w:i/>
        <w:color w:val="660033"/>
        <w:sz w:val="22"/>
        <w:szCs w:val="22"/>
      </w:rPr>
    </w:pPr>
    <w:r w:rsidRPr="00FC228D">
      <w:rPr>
        <w:i/>
        <w:color w:val="660033"/>
        <w:sz w:val="22"/>
        <w:szCs w:val="22"/>
      </w:rPr>
      <w:t>P</w:t>
    </w:r>
    <w:r w:rsidR="00605B77" w:rsidRPr="00FC228D">
      <w:rPr>
        <w:i/>
        <w:color w:val="660033"/>
        <w:sz w:val="22"/>
        <w:szCs w:val="22"/>
      </w:rPr>
      <w:t>ostcrisis Financiera Mundial</w:t>
    </w:r>
    <w:r w:rsidR="002B6043" w:rsidRPr="00FC228D">
      <w:rPr>
        <w:i/>
        <w:color w:val="660033"/>
        <w:sz w:val="22"/>
        <w:szCs w:val="22"/>
      </w:rPr>
      <w:tab/>
    </w:r>
    <w:r w:rsidR="002B6043" w:rsidRPr="00FC228D">
      <w:rPr>
        <w:i/>
        <w:color w:val="660033"/>
        <w:sz w:val="22"/>
        <w:szCs w:val="22"/>
      </w:rPr>
      <w:tab/>
      <w:t xml:space="preserve">    </w:t>
    </w:r>
    <w:r w:rsidR="002B6043" w:rsidRPr="00FC228D">
      <w:rPr>
        <w:rStyle w:val="Nmerodepgina"/>
        <w:i/>
        <w:color w:val="660033"/>
        <w:sz w:val="22"/>
        <w:szCs w:val="22"/>
      </w:rPr>
      <w:fldChar w:fldCharType="begin"/>
    </w:r>
    <w:r w:rsidR="002B6043" w:rsidRPr="00FC228D">
      <w:rPr>
        <w:rStyle w:val="Nmerodepgina"/>
        <w:i/>
        <w:color w:val="660033"/>
        <w:sz w:val="22"/>
        <w:szCs w:val="22"/>
      </w:rPr>
      <w:instrText xml:space="preserve"> PAGE </w:instrText>
    </w:r>
    <w:r w:rsidR="002B6043" w:rsidRPr="00FC228D">
      <w:rPr>
        <w:rStyle w:val="Nmerodepgina"/>
        <w:i/>
        <w:color w:val="660033"/>
        <w:sz w:val="22"/>
        <w:szCs w:val="22"/>
      </w:rPr>
      <w:fldChar w:fldCharType="separate"/>
    </w:r>
    <w:r w:rsidR="00FC228D">
      <w:rPr>
        <w:rStyle w:val="Nmerodepgina"/>
        <w:i/>
        <w:noProof/>
        <w:color w:val="660033"/>
        <w:sz w:val="22"/>
        <w:szCs w:val="22"/>
      </w:rPr>
      <w:t>1041</w:t>
    </w:r>
    <w:r w:rsidR="002B6043" w:rsidRPr="00FC228D">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F26EAD"/>
    <w:multiLevelType w:val="hybridMultilevel"/>
    <w:tmpl w:val="2C90ED4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nsid w:val="01537B2E"/>
    <w:multiLevelType w:val="hybridMultilevel"/>
    <w:tmpl w:val="C2B062A6"/>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80176D"/>
    <w:multiLevelType w:val="hybridMultilevel"/>
    <w:tmpl w:val="CC38246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9">
    <w:nsid w:val="02C57D67"/>
    <w:multiLevelType w:val="hybridMultilevel"/>
    <w:tmpl w:val="3C08884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67743CF"/>
    <w:multiLevelType w:val="hybridMultilevel"/>
    <w:tmpl w:val="54CA334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6993D30"/>
    <w:multiLevelType w:val="hybridMultilevel"/>
    <w:tmpl w:val="368037D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73709B1"/>
    <w:multiLevelType w:val="hybridMultilevel"/>
    <w:tmpl w:val="F9A4D0E6"/>
    <w:lvl w:ilvl="0" w:tplc="080A001B">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B4D2870"/>
    <w:multiLevelType w:val="hybridMultilevel"/>
    <w:tmpl w:val="2C3A362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D952CC0"/>
    <w:multiLevelType w:val="hybridMultilevel"/>
    <w:tmpl w:val="185E5610"/>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0DA06943"/>
    <w:multiLevelType w:val="hybridMultilevel"/>
    <w:tmpl w:val="A7FCD7A4"/>
    <w:lvl w:ilvl="0" w:tplc="080A0001">
      <w:start w:val="1"/>
      <w:numFmt w:val="bullet"/>
      <w:lvlText w:val=""/>
      <w:lvlJc w:val="left"/>
      <w:pPr>
        <w:ind w:left="360" w:hanging="360"/>
      </w:pPr>
      <w:rPr>
        <w:rFonts w:ascii="Symbol" w:hAnsi="Symbol" w:hint="default"/>
      </w:rPr>
    </w:lvl>
    <w:lvl w:ilvl="1" w:tplc="6C52E17C">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0EE94182"/>
    <w:multiLevelType w:val="hybridMultilevel"/>
    <w:tmpl w:val="CCE4C3F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F22463A"/>
    <w:multiLevelType w:val="multilevel"/>
    <w:tmpl w:val="9EC20C5E"/>
    <w:lvl w:ilvl="0">
      <w:start w:val="1"/>
      <w:numFmt w:val="bullet"/>
      <w:lvlText w:val="–"/>
      <w:lvlJc w:val="left"/>
      <w:pPr>
        <w:tabs>
          <w:tab w:val="num" w:pos="720"/>
        </w:tabs>
        <w:ind w:left="720" w:hanging="360"/>
      </w:pPr>
      <w:rPr>
        <w:rFonts w:ascii="Vrinda" w:hAnsi="Vrind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1995EE7"/>
    <w:multiLevelType w:val="hybridMultilevel"/>
    <w:tmpl w:val="2C32E92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2440104"/>
    <w:multiLevelType w:val="hybridMultilevel"/>
    <w:tmpl w:val="67849322"/>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26C75C2"/>
    <w:multiLevelType w:val="hybridMultilevel"/>
    <w:tmpl w:val="C5365A4A"/>
    <w:lvl w:ilvl="0" w:tplc="E654A1BE">
      <w:start w:val="1"/>
      <w:numFmt w:val="bullet"/>
      <w:lvlText w:val=""/>
      <w:lvlJc w:val="left"/>
      <w:pPr>
        <w:ind w:left="720" w:hanging="360"/>
      </w:pPr>
      <w:rPr>
        <w:rFonts w:ascii="Symbol" w:hAnsi="Symbol" w:hint="default"/>
      </w:rPr>
    </w:lvl>
    <w:lvl w:ilvl="1" w:tplc="0D1AFCC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3F43D2E"/>
    <w:multiLevelType w:val="hybridMultilevel"/>
    <w:tmpl w:val="7B7CA1DE"/>
    <w:lvl w:ilvl="0" w:tplc="E654A1BE">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25">
    <w:nsid w:val="14907F59"/>
    <w:multiLevelType w:val="hybridMultilevel"/>
    <w:tmpl w:val="08308684"/>
    <w:lvl w:ilvl="0" w:tplc="E654A1BE">
      <w:start w:val="1"/>
      <w:numFmt w:val="bullet"/>
      <w:lvlText w:val=""/>
      <w:lvlJc w:val="left"/>
      <w:pPr>
        <w:ind w:left="720" w:hanging="360"/>
      </w:pPr>
      <w:rPr>
        <w:rFonts w:ascii="Symbol" w:hAnsi="Symbol" w:hint="default"/>
      </w:rPr>
    </w:lvl>
    <w:lvl w:ilvl="1" w:tplc="00C8555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68C292F"/>
    <w:multiLevelType w:val="hybridMultilevel"/>
    <w:tmpl w:val="65C49720"/>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7763756"/>
    <w:multiLevelType w:val="hybridMultilevel"/>
    <w:tmpl w:val="4E80D59E"/>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7B35D03"/>
    <w:multiLevelType w:val="hybridMultilevel"/>
    <w:tmpl w:val="496AF54A"/>
    <w:lvl w:ilvl="0" w:tplc="74961C2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29">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9AC005F"/>
    <w:multiLevelType w:val="hybridMultilevel"/>
    <w:tmpl w:val="2D64E0B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E32D26"/>
    <w:multiLevelType w:val="hybridMultilevel"/>
    <w:tmpl w:val="7AAC7516"/>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B681D4B"/>
    <w:multiLevelType w:val="hybridMultilevel"/>
    <w:tmpl w:val="E35A83D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D532AEE"/>
    <w:multiLevelType w:val="hybridMultilevel"/>
    <w:tmpl w:val="53A43BBE"/>
    <w:lvl w:ilvl="0" w:tplc="7520DBFC">
      <w:start w:val="1"/>
      <w:numFmt w:val="bullet"/>
      <w:lvlText w:val="–"/>
      <w:lvlJc w:val="left"/>
      <w:pPr>
        <w:ind w:left="1008" w:hanging="360"/>
      </w:pPr>
      <w:rPr>
        <w:rFonts w:ascii="Times New Roman" w:hAnsi="Times New Roman" w:cs="Times New Roman" w:hint="default"/>
        <w:sz w:val="24"/>
      </w:rPr>
    </w:lvl>
    <w:lvl w:ilvl="1" w:tplc="7520DBFC">
      <w:start w:val="1"/>
      <w:numFmt w:val="bullet"/>
      <w:lvlText w:val="–"/>
      <w:lvlJc w:val="left"/>
      <w:pPr>
        <w:ind w:left="1728" w:hanging="360"/>
      </w:pPr>
      <w:rPr>
        <w:rFonts w:ascii="Times New Roman" w:hAnsi="Times New Roman" w:cs="Times New Roman" w:hint="default"/>
        <w:sz w:val="24"/>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34">
    <w:nsid w:val="202F613A"/>
    <w:multiLevelType w:val="hybridMultilevel"/>
    <w:tmpl w:val="911A2C8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22973A19"/>
    <w:multiLevelType w:val="hybridMultilevel"/>
    <w:tmpl w:val="103C2AC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749427B"/>
    <w:multiLevelType w:val="hybridMultilevel"/>
    <w:tmpl w:val="58B8E56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28557B77"/>
    <w:multiLevelType w:val="hybridMultilevel"/>
    <w:tmpl w:val="8DD83068"/>
    <w:lvl w:ilvl="0" w:tplc="F7B43D26">
      <w:start w:val="1"/>
      <w:numFmt w:val="lowerRoman"/>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8A922C4"/>
    <w:multiLevelType w:val="hybridMultilevel"/>
    <w:tmpl w:val="D6B2FB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296A6F6B"/>
    <w:multiLevelType w:val="hybridMultilevel"/>
    <w:tmpl w:val="57B42AC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9AA0702"/>
    <w:multiLevelType w:val="hybridMultilevel"/>
    <w:tmpl w:val="890402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29F427DF"/>
    <w:multiLevelType w:val="hybridMultilevel"/>
    <w:tmpl w:val="FAC897F0"/>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2EBC188C"/>
    <w:multiLevelType w:val="hybridMultilevel"/>
    <w:tmpl w:val="DB3C4F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2F7F45B2"/>
    <w:multiLevelType w:val="hybridMultilevel"/>
    <w:tmpl w:val="BB1A737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2FD53D9A"/>
    <w:multiLevelType w:val="hybridMultilevel"/>
    <w:tmpl w:val="199240F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2FE648AE"/>
    <w:multiLevelType w:val="hybridMultilevel"/>
    <w:tmpl w:val="E560466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314976E1"/>
    <w:multiLevelType w:val="hybridMultilevel"/>
    <w:tmpl w:val="28F6D56E"/>
    <w:lvl w:ilvl="0" w:tplc="E654A1BE">
      <w:start w:val="1"/>
      <w:numFmt w:val="bullet"/>
      <w:lvlText w:val=""/>
      <w:lvlJc w:val="left"/>
      <w:pPr>
        <w:ind w:left="720" w:hanging="360"/>
      </w:pPr>
      <w:rPr>
        <w:rFonts w:ascii="Symbol" w:hAnsi="Symbol" w:hint="default"/>
      </w:rPr>
    </w:lvl>
    <w:lvl w:ilvl="1" w:tplc="D3CCB736">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164143A"/>
    <w:multiLevelType w:val="hybridMultilevel"/>
    <w:tmpl w:val="572A6BD0"/>
    <w:lvl w:ilvl="0" w:tplc="080A000F">
      <w:start w:val="1"/>
      <w:numFmt w:val="decimal"/>
      <w:lvlText w:val="%1."/>
      <w:lvlJc w:val="left"/>
      <w:pPr>
        <w:ind w:left="-351" w:hanging="360"/>
      </w:p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50">
    <w:nsid w:val="316C4C10"/>
    <w:multiLevelType w:val="hybridMultilevel"/>
    <w:tmpl w:val="A88EBB26"/>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319C639A"/>
    <w:multiLevelType w:val="hybridMultilevel"/>
    <w:tmpl w:val="C896D43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1AC5768"/>
    <w:multiLevelType w:val="hybridMultilevel"/>
    <w:tmpl w:val="E384DB5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2DF555A"/>
    <w:multiLevelType w:val="hybridMultilevel"/>
    <w:tmpl w:val="C43244F6"/>
    <w:lvl w:ilvl="0" w:tplc="1FFC715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32F346A8"/>
    <w:multiLevelType w:val="hybridMultilevel"/>
    <w:tmpl w:val="F0CEBF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4403E5A"/>
    <w:multiLevelType w:val="hybridMultilevel"/>
    <w:tmpl w:val="87FA2258"/>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4D91CA4"/>
    <w:multiLevelType w:val="hybridMultilevel"/>
    <w:tmpl w:val="7C3EF45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nsid w:val="354302D0"/>
    <w:multiLevelType w:val="hybridMultilevel"/>
    <w:tmpl w:val="4170D19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35466987"/>
    <w:multiLevelType w:val="hybridMultilevel"/>
    <w:tmpl w:val="8D96345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9">
    <w:nsid w:val="35C17A25"/>
    <w:multiLevelType w:val="hybridMultilevel"/>
    <w:tmpl w:val="536604F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367B3CCC"/>
    <w:multiLevelType w:val="hybridMultilevel"/>
    <w:tmpl w:val="5D34E80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77656F2"/>
    <w:multiLevelType w:val="hybridMultilevel"/>
    <w:tmpl w:val="A66AA63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63">
    <w:nsid w:val="398E4B44"/>
    <w:multiLevelType w:val="hybridMultilevel"/>
    <w:tmpl w:val="5272632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3A7E2863"/>
    <w:multiLevelType w:val="hybridMultilevel"/>
    <w:tmpl w:val="20607E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3B724897"/>
    <w:multiLevelType w:val="hybridMultilevel"/>
    <w:tmpl w:val="D39CBBC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3D1757C6"/>
    <w:multiLevelType w:val="hybridMultilevel"/>
    <w:tmpl w:val="53544E04"/>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3D6F7D99"/>
    <w:multiLevelType w:val="hybridMultilevel"/>
    <w:tmpl w:val="27D0C19A"/>
    <w:lvl w:ilvl="0" w:tplc="7520DBFC">
      <w:start w:val="1"/>
      <w:numFmt w:val="bullet"/>
      <w:lvlText w:val="–"/>
      <w:lvlJc w:val="left"/>
      <w:pPr>
        <w:ind w:left="720" w:hanging="360"/>
      </w:pPr>
      <w:rPr>
        <w:rFonts w:ascii="Times New Roman" w:hAnsi="Times New Roman" w:cs="Times New Roman" w:hint="default"/>
        <w:sz w:val="24"/>
      </w:rPr>
    </w:lvl>
    <w:lvl w:ilvl="1" w:tplc="D66477BC">
      <w:numFmt w:val="bullet"/>
      <w:lvlText w:val="-"/>
      <w:lvlJc w:val="left"/>
      <w:pPr>
        <w:ind w:left="1440" w:hanging="360"/>
      </w:pPr>
      <w:rPr>
        <w:rFonts w:ascii="Times New Roman" w:eastAsia="Times New Roman"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3DC32FDF"/>
    <w:multiLevelType w:val="hybridMultilevel"/>
    <w:tmpl w:val="78B088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3F0729A3"/>
    <w:multiLevelType w:val="hybridMultilevel"/>
    <w:tmpl w:val="29865DE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405B1EC9"/>
    <w:multiLevelType w:val="hybridMultilevel"/>
    <w:tmpl w:val="6712865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1C84AA4"/>
    <w:multiLevelType w:val="hybridMultilevel"/>
    <w:tmpl w:val="93F80A0A"/>
    <w:lvl w:ilvl="0" w:tplc="845AE96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73">
    <w:nsid w:val="41D41DD0"/>
    <w:multiLevelType w:val="hybridMultilevel"/>
    <w:tmpl w:val="CE3EA62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43EF73F7"/>
    <w:multiLevelType w:val="hybridMultilevel"/>
    <w:tmpl w:val="1562D97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452966AB"/>
    <w:multiLevelType w:val="hybridMultilevel"/>
    <w:tmpl w:val="1BA4E67C"/>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7">
    <w:nsid w:val="453A160D"/>
    <w:multiLevelType w:val="hybridMultilevel"/>
    <w:tmpl w:val="A7B8D2B0"/>
    <w:lvl w:ilvl="0" w:tplc="E654A1BE">
      <w:start w:val="1"/>
      <w:numFmt w:val="bullet"/>
      <w:lvlText w:val=""/>
      <w:lvlJc w:val="left"/>
      <w:pPr>
        <w:ind w:left="720" w:hanging="360"/>
      </w:pPr>
      <w:rPr>
        <w:rFonts w:ascii="Symbol" w:hAnsi="Symbol" w:hint="default"/>
      </w:rPr>
    </w:lvl>
    <w:lvl w:ilvl="1" w:tplc="308CDCE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46711A75"/>
    <w:multiLevelType w:val="hybridMultilevel"/>
    <w:tmpl w:val="47587BC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482F6BA1"/>
    <w:multiLevelType w:val="hybridMultilevel"/>
    <w:tmpl w:val="D6FC288A"/>
    <w:lvl w:ilvl="0" w:tplc="080A0001">
      <w:start w:val="1"/>
      <w:numFmt w:val="bullet"/>
      <w:lvlText w:val=""/>
      <w:lvlJc w:val="left"/>
      <w:pPr>
        <w:ind w:left="720" w:hanging="360"/>
      </w:pPr>
      <w:rPr>
        <w:rFonts w:ascii="Symbol" w:hAnsi="Symbol" w:hint="default"/>
      </w:rPr>
    </w:lvl>
    <w:lvl w:ilvl="1" w:tplc="B0486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490170CE"/>
    <w:multiLevelType w:val="hybridMultilevel"/>
    <w:tmpl w:val="D0D874FA"/>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nsid w:val="49B60CC7"/>
    <w:multiLevelType w:val="hybridMultilevel"/>
    <w:tmpl w:val="DBF87D3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4A0C0056"/>
    <w:multiLevelType w:val="hybridMultilevel"/>
    <w:tmpl w:val="3B6CEF8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nsid w:val="4AFC59DC"/>
    <w:multiLevelType w:val="hybridMultilevel"/>
    <w:tmpl w:val="2446E0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4">
    <w:nsid w:val="4BEC6E64"/>
    <w:multiLevelType w:val="hybridMultilevel"/>
    <w:tmpl w:val="7AEC20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4C7312E6"/>
    <w:multiLevelType w:val="hybridMultilevel"/>
    <w:tmpl w:val="4F7A79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4DB258D8"/>
    <w:multiLevelType w:val="hybridMultilevel"/>
    <w:tmpl w:val="3D903E78"/>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8">
    <w:nsid w:val="4DDD607F"/>
    <w:multiLevelType w:val="hybridMultilevel"/>
    <w:tmpl w:val="6DBAD1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4F2D3305"/>
    <w:multiLevelType w:val="hybridMultilevel"/>
    <w:tmpl w:val="EA94AE9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4FB754EB"/>
    <w:multiLevelType w:val="hybridMultilevel"/>
    <w:tmpl w:val="FEC42B9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50312B6E"/>
    <w:multiLevelType w:val="hybridMultilevel"/>
    <w:tmpl w:val="A8BE1F46"/>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53D97EAF"/>
    <w:multiLevelType w:val="hybridMultilevel"/>
    <w:tmpl w:val="9D4A94CE"/>
    <w:lvl w:ilvl="0" w:tplc="E654A1BE">
      <w:start w:val="1"/>
      <w:numFmt w:val="bullet"/>
      <w:lvlText w:val=""/>
      <w:lvlJc w:val="left"/>
      <w:pPr>
        <w:ind w:left="720" w:hanging="360"/>
      </w:pPr>
      <w:rPr>
        <w:rFonts w:ascii="Symbol" w:hAnsi="Symbol" w:hint="default"/>
      </w:rPr>
    </w:lvl>
    <w:lvl w:ilvl="1" w:tplc="7608748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55AD1E08"/>
    <w:multiLevelType w:val="hybridMultilevel"/>
    <w:tmpl w:val="E6920D0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5">
    <w:nsid w:val="57644CF4"/>
    <w:multiLevelType w:val="hybridMultilevel"/>
    <w:tmpl w:val="6970542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6">
    <w:nsid w:val="59013E85"/>
    <w:multiLevelType w:val="hybridMultilevel"/>
    <w:tmpl w:val="4CA601E4"/>
    <w:lvl w:ilvl="0" w:tplc="FFEE0250">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97">
    <w:nsid w:val="5947410A"/>
    <w:multiLevelType w:val="hybridMultilevel"/>
    <w:tmpl w:val="1DBE50F0"/>
    <w:lvl w:ilvl="0" w:tplc="E654A1BE">
      <w:start w:val="1"/>
      <w:numFmt w:val="bullet"/>
      <w:lvlText w:val=""/>
      <w:lvlJc w:val="left"/>
      <w:pPr>
        <w:ind w:left="720" w:hanging="360"/>
      </w:pPr>
      <w:rPr>
        <w:rFonts w:ascii="Symbol" w:hAnsi="Symbol" w:hint="default"/>
      </w:rPr>
    </w:lvl>
    <w:lvl w:ilvl="1" w:tplc="6EF41B7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5B4375C8"/>
    <w:multiLevelType w:val="hybridMultilevel"/>
    <w:tmpl w:val="B1385C2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5B84159B"/>
    <w:multiLevelType w:val="hybridMultilevel"/>
    <w:tmpl w:val="1AEAD96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5C957785"/>
    <w:multiLevelType w:val="hybridMultilevel"/>
    <w:tmpl w:val="F88A6F6E"/>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5CA43752"/>
    <w:multiLevelType w:val="hybridMultilevel"/>
    <w:tmpl w:val="DB90A14C"/>
    <w:lvl w:ilvl="0" w:tplc="2CE48AF8">
      <w:start w:val="1"/>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02">
    <w:nsid w:val="5EC45B7D"/>
    <w:multiLevelType w:val="hybridMultilevel"/>
    <w:tmpl w:val="11740154"/>
    <w:lvl w:ilvl="0" w:tplc="C8EE0074">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3">
    <w:nsid w:val="5EC85F16"/>
    <w:multiLevelType w:val="hybridMultilevel"/>
    <w:tmpl w:val="AF7EEBB6"/>
    <w:lvl w:ilvl="0" w:tplc="080A000F">
      <w:start w:val="1"/>
      <w:numFmt w:val="decimal"/>
      <w:lvlText w:val="%1."/>
      <w:lvlJc w:val="left"/>
      <w:pPr>
        <w:ind w:left="360" w:hanging="360"/>
      </w:pPr>
    </w:lvl>
    <w:lvl w:ilvl="1" w:tplc="080A0019" w:tentative="1">
      <w:start w:val="1"/>
      <w:numFmt w:val="lowerLetter"/>
      <w:lvlText w:val="%2."/>
      <w:lvlJc w:val="left"/>
      <w:pPr>
        <w:ind w:left="-1897" w:hanging="360"/>
      </w:pPr>
    </w:lvl>
    <w:lvl w:ilvl="2" w:tplc="080A001B" w:tentative="1">
      <w:start w:val="1"/>
      <w:numFmt w:val="lowerRoman"/>
      <w:lvlText w:val="%3."/>
      <w:lvlJc w:val="right"/>
      <w:pPr>
        <w:ind w:left="-1177" w:hanging="180"/>
      </w:pPr>
    </w:lvl>
    <w:lvl w:ilvl="3" w:tplc="080A000F" w:tentative="1">
      <w:start w:val="1"/>
      <w:numFmt w:val="decimal"/>
      <w:lvlText w:val="%4."/>
      <w:lvlJc w:val="left"/>
      <w:pPr>
        <w:ind w:left="-457" w:hanging="360"/>
      </w:pPr>
    </w:lvl>
    <w:lvl w:ilvl="4" w:tplc="080A0019" w:tentative="1">
      <w:start w:val="1"/>
      <w:numFmt w:val="lowerLetter"/>
      <w:lvlText w:val="%5."/>
      <w:lvlJc w:val="left"/>
      <w:pPr>
        <w:ind w:left="263" w:hanging="360"/>
      </w:pPr>
    </w:lvl>
    <w:lvl w:ilvl="5" w:tplc="080A001B" w:tentative="1">
      <w:start w:val="1"/>
      <w:numFmt w:val="lowerRoman"/>
      <w:lvlText w:val="%6."/>
      <w:lvlJc w:val="right"/>
      <w:pPr>
        <w:ind w:left="983" w:hanging="180"/>
      </w:pPr>
    </w:lvl>
    <w:lvl w:ilvl="6" w:tplc="080A000F" w:tentative="1">
      <w:start w:val="1"/>
      <w:numFmt w:val="decimal"/>
      <w:lvlText w:val="%7."/>
      <w:lvlJc w:val="left"/>
      <w:pPr>
        <w:ind w:left="1703" w:hanging="360"/>
      </w:pPr>
    </w:lvl>
    <w:lvl w:ilvl="7" w:tplc="080A0019" w:tentative="1">
      <w:start w:val="1"/>
      <w:numFmt w:val="lowerLetter"/>
      <w:lvlText w:val="%8."/>
      <w:lvlJc w:val="left"/>
      <w:pPr>
        <w:ind w:left="2423" w:hanging="360"/>
      </w:pPr>
    </w:lvl>
    <w:lvl w:ilvl="8" w:tplc="080A001B" w:tentative="1">
      <w:start w:val="1"/>
      <w:numFmt w:val="lowerRoman"/>
      <w:lvlText w:val="%9."/>
      <w:lvlJc w:val="right"/>
      <w:pPr>
        <w:ind w:left="3143" w:hanging="180"/>
      </w:pPr>
    </w:lvl>
  </w:abstractNum>
  <w:abstractNum w:abstractNumId="104">
    <w:nsid w:val="5FB8694C"/>
    <w:multiLevelType w:val="hybridMultilevel"/>
    <w:tmpl w:val="FD16BF4A"/>
    <w:lvl w:ilvl="0" w:tplc="50149656">
      <w:start w:val="1"/>
      <w:numFmt w:val="lowerLetter"/>
      <w:lvlText w:val="%1)"/>
      <w:lvlJc w:val="left"/>
      <w:pPr>
        <w:ind w:left="480" w:hanging="48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5">
    <w:nsid w:val="605E34B1"/>
    <w:multiLevelType w:val="hybridMultilevel"/>
    <w:tmpl w:val="3AA41672"/>
    <w:lvl w:ilvl="0" w:tplc="080A001B">
      <w:start w:val="1"/>
      <w:numFmt w:val="lowerRoman"/>
      <w:lvlText w:val="%1."/>
      <w:lvlJc w:val="right"/>
      <w:pPr>
        <w:ind w:left="2629" w:hanging="360"/>
      </w:pPr>
      <w:rPr>
        <w:rFonts w:hint="default"/>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106">
    <w:nsid w:val="6095054A"/>
    <w:multiLevelType w:val="hybridMultilevel"/>
    <w:tmpl w:val="34A28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60D51511"/>
    <w:multiLevelType w:val="hybridMultilevel"/>
    <w:tmpl w:val="CD2C910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63F04A23"/>
    <w:multiLevelType w:val="hybridMultilevel"/>
    <w:tmpl w:val="66821EE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9">
    <w:nsid w:val="64E031F4"/>
    <w:multiLevelType w:val="hybridMultilevel"/>
    <w:tmpl w:val="487AF1F4"/>
    <w:lvl w:ilvl="0" w:tplc="E654A1BE">
      <w:start w:val="1"/>
      <w:numFmt w:val="bullet"/>
      <w:lvlText w:val=""/>
      <w:lvlJc w:val="left"/>
      <w:pPr>
        <w:ind w:left="720" w:hanging="360"/>
      </w:pPr>
      <w:rPr>
        <w:rFonts w:ascii="Symbol" w:hAnsi="Symbol" w:hint="default"/>
      </w:rPr>
    </w:lvl>
    <w:lvl w:ilvl="1" w:tplc="EAD22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65856F44"/>
    <w:multiLevelType w:val="hybridMultilevel"/>
    <w:tmpl w:val="8C4017E6"/>
    <w:lvl w:ilvl="0" w:tplc="A462CD4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nsid w:val="65D3104F"/>
    <w:multiLevelType w:val="hybridMultilevel"/>
    <w:tmpl w:val="A5343AB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2">
    <w:nsid w:val="66593C31"/>
    <w:multiLevelType w:val="hybridMultilevel"/>
    <w:tmpl w:val="A7D8B9F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3">
    <w:nsid w:val="67631888"/>
    <w:multiLevelType w:val="hybridMultilevel"/>
    <w:tmpl w:val="BD70E86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nsid w:val="67A56D5E"/>
    <w:multiLevelType w:val="hybridMultilevel"/>
    <w:tmpl w:val="F2A419CE"/>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5">
    <w:nsid w:val="69B935B7"/>
    <w:multiLevelType w:val="hybridMultilevel"/>
    <w:tmpl w:val="E7A665F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nsid w:val="69BE5ABC"/>
    <w:multiLevelType w:val="hybridMultilevel"/>
    <w:tmpl w:val="3A56761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nsid w:val="69D973E2"/>
    <w:multiLevelType w:val="hybridMultilevel"/>
    <w:tmpl w:val="DE4249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9">
    <w:nsid w:val="6A161699"/>
    <w:multiLevelType w:val="hybridMultilevel"/>
    <w:tmpl w:val="4622DB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nsid w:val="6A307990"/>
    <w:multiLevelType w:val="hybridMultilevel"/>
    <w:tmpl w:val="D82479B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6AEA592E"/>
    <w:multiLevelType w:val="hybridMultilevel"/>
    <w:tmpl w:val="F048B73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6C2649FA"/>
    <w:multiLevelType w:val="hybridMultilevel"/>
    <w:tmpl w:val="6E6A756E"/>
    <w:lvl w:ilvl="0" w:tplc="2110EE6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6CE42F2C"/>
    <w:multiLevelType w:val="hybridMultilevel"/>
    <w:tmpl w:val="A8C4D4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70B11701"/>
    <w:multiLevelType w:val="hybridMultilevel"/>
    <w:tmpl w:val="4E8472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nsid w:val="71964CA4"/>
    <w:multiLevelType w:val="hybridMultilevel"/>
    <w:tmpl w:val="E30271B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73491B5F"/>
    <w:multiLevelType w:val="hybridMultilevel"/>
    <w:tmpl w:val="FC5041EA"/>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7">
    <w:nsid w:val="73C47D17"/>
    <w:multiLevelType w:val="hybridMultilevel"/>
    <w:tmpl w:val="41C0E53C"/>
    <w:lvl w:ilvl="0" w:tplc="AD90E8EA">
      <w:start w:val="1"/>
      <w:numFmt w:val="bullet"/>
      <w:lvlText w:val="-"/>
      <w:lvlJc w:val="left"/>
      <w:pPr>
        <w:ind w:left="360" w:hanging="360"/>
      </w:pPr>
      <w:rPr>
        <w:rFonts w:ascii="Courier New" w:hAnsi="Courier New" w:hint="default"/>
      </w:rPr>
    </w:lvl>
    <w:lvl w:ilvl="1" w:tplc="A9C0AAC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8">
    <w:nsid w:val="76AE2FEC"/>
    <w:multiLevelType w:val="hybridMultilevel"/>
    <w:tmpl w:val="643CC386"/>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9">
    <w:nsid w:val="77251DA9"/>
    <w:multiLevelType w:val="hybridMultilevel"/>
    <w:tmpl w:val="2B0A71D8"/>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0">
    <w:nsid w:val="78C626F1"/>
    <w:multiLevelType w:val="hybridMultilevel"/>
    <w:tmpl w:val="493AA3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7A740A32"/>
    <w:multiLevelType w:val="hybridMultilevel"/>
    <w:tmpl w:val="08D8B1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7AAE477E"/>
    <w:multiLevelType w:val="hybridMultilevel"/>
    <w:tmpl w:val="C84816B6"/>
    <w:lvl w:ilvl="0" w:tplc="CD06DD38">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7AB242D8"/>
    <w:multiLevelType w:val="hybridMultilevel"/>
    <w:tmpl w:val="2986420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nsid w:val="7B49773B"/>
    <w:multiLevelType w:val="hybridMultilevel"/>
    <w:tmpl w:val="1C4E527A"/>
    <w:lvl w:ilvl="0" w:tplc="E654A1BE">
      <w:start w:val="1"/>
      <w:numFmt w:val="bullet"/>
      <w:lvlText w:val=""/>
      <w:lvlJc w:val="left"/>
      <w:pPr>
        <w:ind w:left="720" w:hanging="360"/>
      </w:pPr>
      <w:rPr>
        <w:rFonts w:ascii="Symbol" w:hAnsi="Symbol" w:hint="default"/>
      </w:rPr>
    </w:lvl>
    <w:lvl w:ilvl="1" w:tplc="3B56B22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nsid w:val="7BE841D0"/>
    <w:multiLevelType w:val="hybridMultilevel"/>
    <w:tmpl w:val="2B42038A"/>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nsid w:val="7C715304"/>
    <w:multiLevelType w:val="hybridMultilevel"/>
    <w:tmpl w:val="FA2AADF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7C884F4B"/>
    <w:multiLevelType w:val="hybridMultilevel"/>
    <w:tmpl w:val="6D62BED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CEA009E"/>
    <w:multiLevelType w:val="hybridMultilevel"/>
    <w:tmpl w:val="A650C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7E0D0648"/>
    <w:multiLevelType w:val="hybridMultilevel"/>
    <w:tmpl w:val="A8CAEABE"/>
    <w:lvl w:ilvl="0" w:tplc="AD90E8EA">
      <w:start w:val="1"/>
      <w:numFmt w:val="bullet"/>
      <w:lvlText w:val="-"/>
      <w:lvlJc w:val="left"/>
      <w:pPr>
        <w:ind w:left="360" w:hanging="360"/>
      </w:pPr>
      <w:rPr>
        <w:rFonts w:ascii="Courier New" w:hAnsi="Courier New" w:hint="default"/>
      </w:rPr>
    </w:lvl>
    <w:lvl w:ilvl="1" w:tplc="7AB291F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nsid w:val="7EC93A27"/>
    <w:multiLevelType w:val="hybridMultilevel"/>
    <w:tmpl w:val="57D8632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nsid w:val="7F9C62CD"/>
    <w:multiLevelType w:val="hybridMultilevel"/>
    <w:tmpl w:val="3DFC48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6"/>
  </w:num>
  <w:num w:numId="2">
    <w:abstractNumId w:val="3"/>
  </w:num>
  <w:num w:numId="3">
    <w:abstractNumId w:val="4"/>
  </w:num>
  <w:num w:numId="4">
    <w:abstractNumId w:val="2"/>
  </w:num>
  <w:num w:numId="5">
    <w:abstractNumId w:val="8"/>
  </w:num>
  <w:num w:numId="6">
    <w:abstractNumId w:val="118"/>
  </w:num>
  <w:num w:numId="7">
    <w:abstractNumId w:val="29"/>
  </w:num>
  <w:num w:numId="8">
    <w:abstractNumId w:val="1"/>
  </w:num>
  <w:num w:numId="9">
    <w:abstractNumId w:val="36"/>
  </w:num>
  <w:num w:numId="10">
    <w:abstractNumId w:val="89"/>
  </w:num>
  <w:num w:numId="11">
    <w:abstractNumId w:val="0"/>
  </w:num>
  <w:num w:numId="12">
    <w:abstractNumId w:val="74"/>
  </w:num>
  <w:num w:numId="13">
    <w:abstractNumId w:val="62"/>
  </w:num>
  <w:num w:numId="14">
    <w:abstractNumId w:val="32"/>
  </w:num>
  <w:num w:numId="15">
    <w:abstractNumId w:val="116"/>
  </w:num>
  <w:num w:numId="16">
    <w:abstractNumId w:val="55"/>
  </w:num>
  <w:num w:numId="17">
    <w:abstractNumId w:val="112"/>
  </w:num>
  <w:num w:numId="18">
    <w:abstractNumId w:val="49"/>
  </w:num>
  <w:num w:numId="19">
    <w:abstractNumId w:val="19"/>
  </w:num>
  <w:num w:numId="20">
    <w:abstractNumId w:val="95"/>
  </w:num>
  <w:num w:numId="21">
    <w:abstractNumId w:val="79"/>
  </w:num>
  <w:num w:numId="22">
    <w:abstractNumId w:val="45"/>
  </w:num>
  <w:num w:numId="23">
    <w:abstractNumId w:val="140"/>
  </w:num>
  <w:num w:numId="24">
    <w:abstractNumId w:val="106"/>
  </w:num>
  <w:num w:numId="25">
    <w:abstractNumId w:val="129"/>
  </w:num>
  <w:num w:numId="26">
    <w:abstractNumId w:val="123"/>
  </w:num>
  <w:num w:numId="27">
    <w:abstractNumId w:val="68"/>
  </w:num>
  <w:num w:numId="28">
    <w:abstractNumId w:val="137"/>
  </w:num>
  <w:num w:numId="29">
    <w:abstractNumId w:val="98"/>
  </w:num>
  <w:num w:numId="30">
    <w:abstractNumId w:val="7"/>
  </w:num>
  <w:num w:numId="31">
    <w:abstractNumId w:val="33"/>
  </w:num>
  <w:num w:numId="32">
    <w:abstractNumId w:val="14"/>
  </w:num>
  <w:num w:numId="33">
    <w:abstractNumId w:val="22"/>
  </w:num>
  <w:num w:numId="34">
    <w:abstractNumId w:val="142"/>
  </w:num>
  <w:num w:numId="35">
    <w:abstractNumId w:val="115"/>
  </w:num>
  <w:num w:numId="36">
    <w:abstractNumId w:val="44"/>
  </w:num>
  <w:num w:numId="37">
    <w:abstractNumId w:val="9"/>
  </w:num>
  <w:num w:numId="38">
    <w:abstractNumId w:val="39"/>
  </w:num>
  <w:num w:numId="39">
    <w:abstractNumId w:val="53"/>
  </w:num>
  <w:num w:numId="40">
    <w:abstractNumId w:val="5"/>
  </w:num>
  <w:num w:numId="41">
    <w:abstractNumId w:val="119"/>
  </w:num>
  <w:num w:numId="42">
    <w:abstractNumId w:val="134"/>
  </w:num>
  <w:num w:numId="43">
    <w:abstractNumId w:val="25"/>
  </w:num>
  <w:num w:numId="44">
    <w:abstractNumId w:val="135"/>
  </w:num>
  <w:num w:numId="45">
    <w:abstractNumId w:val="109"/>
  </w:num>
  <w:num w:numId="46">
    <w:abstractNumId w:val="97"/>
  </w:num>
  <w:num w:numId="47">
    <w:abstractNumId w:val="50"/>
  </w:num>
  <w:num w:numId="48">
    <w:abstractNumId w:val="128"/>
  </w:num>
  <w:num w:numId="49">
    <w:abstractNumId w:val="127"/>
  </w:num>
  <w:num w:numId="50">
    <w:abstractNumId w:val="111"/>
  </w:num>
  <w:num w:numId="51">
    <w:abstractNumId w:val="11"/>
  </w:num>
  <w:num w:numId="52">
    <w:abstractNumId w:val="73"/>
  </w:num>
  <w:num w:numId="53">
    <w:abstractNumId w:val="139"/>
  </w:num>
  <w:num w:numId="54">
    <w:abstractNumId w:val="71"/>
  </w:num>
  <w:num w:numId="55">
    <w:abstractNumId w:val="66"/>
  </w:num>
  <w:num w:numId="56">
    <w:abstractNumId w:val="84"/>
  </w:num>
  <w:num w:numId="57">
    <w:abstractNumId w:val="104"/>
  </w:num>
  <w:num w:numId="58">
    <w:abstractNumId w:val="35"/>
  </w:num>
  <w:num w:numId="59">
    <w:abstractNumId w:val="121"/>
  </w:num>
  <w:num w:numId="60">
    <w:abstractNumId w:val="52"/>
  </w:num>
  <w:num w:numId="61">
    <w:abstractNumId w:val="131"/>
  </w:num>
  <w:num w:numId="62">
    <w:abstractNumId w:val="101"/>
  </w:num>
  <w:num w:numId="63">
    <w:abstractNumId w:val="141"/>
  </w:num>
  <w:num w:numId="64">
    <w:abstractNumId w:val="10"/>
  </w:num>
  <w:num w:numId="65">
    <w:abstractNumId w:val="143"/>
  </w:num>
  <w:num w:numId="66">
    <w:abstractNumId w:val="41"/>
  </w:num>
  <w:num w:numId="67">
    <w:abstractNumId w:val="120"/>
  </w:num>
  <w:num w:numId="68">
    <w:abstractNumId w:val="138"/>
  </w:num>
  <w:num w:numId="69">
    <w:abstractNumId w:val="88"/>
  </w:num>
  <w:num w:numId="70">
    <w:abstractNumId w:val="78"/>
  </w:num>
  <w:num w:numId="71">
    <w:abstractNumId w:val="81"/>
  </w:num>
  <w:num w:numId="72">
    <w:abstractNumId w:val="117"/>
  </w:num>
  <w:num w:numId="73">
    <w:abstractNumId w:val="82"/>
  </w:num>
  <w:num w:numId="74">
    <w:abstractNumId w:val="61"/>
  </w:num>
  <w:num w:numId="75">
    <w:abstractNumId w:val="54"/>
  </w:num>
  <w:num w:numId="76">
    <w:abstractNumId w:val="15"/>
  </w:num>
  <w:num w:numId="77">
    <w:abstractNumId w:val="93"/>
  </w:num>
  <w:num w:numId="78">
    <w:abstractNumId w:val="136"/>
  </w:num>
  <w:num w:numId="79">
    <w:abstractNumId w:val="17"/>
  </w:num>
  <w:num w:numId="80">
    <w:abstractNumId w:val="72"/>
  </w:num>
  <w:num w:numId="81">
    <w:abstractNumId w:val="28"/>
  </w:num>
  <w:num w:numId="82">
    <w:abstractNumId w:val="75"/>
  </w:num>
  <w:num w:numId="83">
    <w:abstractNumId w:val="125"/>
  </w:num>
  <w:num w:numId="84">
    <w:abstractNumId w:val="46"/>
  </w:num>
  <w:num w:numId="85">
    <w:abstractNumId w:val="124"/>
  </w:num>
  <w:num w:numId="86">
    <w:abstractNumId w:val="130"/>
  </w:num>
  <w:num w:numId="87">
    <w:abstractNumId w:val="91"/>
  </w:num>
  <w:num w:numId="88">
    <w:abstractNumId w:val="64"/>
  </w:num>
  <w:num w:numId="89">
    <w:abstractNumId w:val="90"/>
  </w:num>
  <w:num w:numId="90">
    <w:abstractNumId w:val="60"/>
  </w:num>
  <w:num w:numId="91">
    <w:abstractNumId w:val="37"/>
  </w:num>
  <w:num w:numId="92">
    <w:abstractNumId w:val="133"/>
  </w:num>
  <w:num w:numId="93">
    <w:abstractNumId w:val="38"/>
  </w:num>
  <w:num w:numId="94">
    <w:abstractNumId w:val="102"/>
  </w:num>
  <w:num w:numId="95">
    <w:abstractNumId w:val="47"/>
  </w:num>
  <w:num w:numId="96">
    <w:abstractNumId w:val="103"/>
  </w:num>
  <w:num w:numId="97">
    <w:abstractNumId w:val="21"/>
  </w:num>
  <w:num w:numId="98">
    <w:abstractNumId w:val="77"/>
  </w:num>
  <w:num w:numId="99">
    <w:abstractNumId w:val="80"/>
  </w:num>
  <w:num w:numId="100">
    <w:abstractNumId w:val="110"/>
  </w:num>
  <w:num w:numId="101">
    <w:abstractNumId w:val="59"/>
  </w:num>
  <w:num w:numId="102">
    <w:abstractNumId w:val="18"/>
  </w:num>
  <w:num w:numId="103">
    <w:abstractNumId w:val="100"/>
  </w:num>
  <w:num w:numId="104">
    <w:abstractNumId w:val="94"/>
  </w:num>
  <w:num w:numId="105">
    <w:abstractNumId w:val="83"/>
  </w:num>
  <w:num w:numId="106">
    <w:abstractNumId w:val="63"/>
  </w:num>
  <w:num w:numId="107">
    <w:abstractNumId w:val="42"/>
  </w:num>
  <w:num w:numId="108">
    <w:abstractNumId w:val="70"/>
  </w:num>
  <w:num w:numId="109">
    <w:abstractNumId w:val="40"/>
  </w:num>
  <w:num w:numId="110">
    <w:abstractNumId w:val="126"/>
  </w:num>
  <w:num w:numId="111">
    <w:abstractNumId w:val="107"/>
  </w:num>
  <w:num w:numId="112">
    <w:abstractNumId w:val="92"/>
  </w:num>
  <w:num w:numId="113">
    <w:abstractNumId w:val="113"/>
  </w:num>
  <w:num w:numId="114">
    <w:abstractNumId w:val="85"/>
  </w:num>
  <w:num w:numId="115">
    <w:abstractNumId w:val="27"/>
  </w:num>
  <w:num w:numId="116">
    <w:abstractNumId w:val="34"/>
  </w:num>
  <w:num w:numId="117">
    <w:abstractNumId w:val="65"/>
  </w:num>
  <w:num w:numId="118">
    <w:abstractNumId w:val="30"/>
  </w:num>
  <w:num w:numId="119">
    <w:abstractNumId w:val="31"/>
  </w:num>
  <w:num w:numId="120">
    <w:abstractNumId w:val="122"/>
  </w:num>
  <w:num w:numId="121">
    <w:abstractNumId w:val="105"/>
  </w:num>
  <w:num w:numId="122">
    <w:abstractNumId w:val="13"/>
  </w:num>
  <w:num w:numId="123">
    <w:abstractNumId w:val="67"/>
  </w:num>
  <w:num w:numId="124">
    <w:abstractNumId w:val="69"/>
  </w:num>
  <w:num w:numId="125">
    <w:abstractNumId w:val="51"/>
  </w:num>
  <w:num w:numId="126">
    <w:abstractNumId w:val="86"/>
  </w:num>
  <w:num w:numId="127">
    <w:abstractNumId w:val="20"/>
  </w:num>
  <w:num w:numId="128">
    <w:abstractNumId w:val="87"/>
  </w:num>
  <w:num w:numId="129">
    <w:abstractNumId w:val="43"/>
  </w:num>
  <w:num w:numId="130">
    <w:abstractNumId w:val="48"/>
  </w:num>
  <w:num w:numId="131">
    <w:abstractNumId w:val="23"/>
  </w:num>
  <w:num w:numId="132">
    <w:abstractNumId w:val="76"/>
  </w:num>
  <w:num w:numId="133">
    <w:abstractNumId w:val="58"/>
  </w:num>
  <w:num w:numId="134">
    <w:abstractNumId w:val="26"/>
  </w:num>
  <w:num w:numId="135">
    <w:abstractNumId w:val="108"/>
  </w:num>
  <w:num w:numId="136">
    <w:abstractNumId w:val="12"/>
  </w:num>
  <w:num w:numId="137">
    <w:abstractNumId w:val="114"/>
  </w:num>
  <w:num w:numId="138">
    <w:abstractNumId w:val="56"/>
  </w:num>
  <w:num w:numId="139">
    <w:abstractNumId w:val="57"/>
  </w:num>
  <w:num w:numId="140">
    <w:abstractNumId w:val="6"/>
  </w:num>
  <w:num w:numId="141">
    <w:abstractNumId w:val="96"/>
  </w:num>
  <w:num w:numId="142">
    <w:abstractNumId w:val="24"/>
  </w:num>
  <w:num w:numId="143">
    <w:abstractNumId w:val="99"/>
  </w:num>
  <w:num w:numId="144">
    <w:abstractNumId w:val="132"/>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68C"/>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2B4"/>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25"/>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3E8"/>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13D"/>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9B2"/>
    <w:rsid w:val="000D2AE9"/>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9A"/>
    <w:rsid w:val="000D73D2"/>
    <w:rsid w:val="000D7465"/>
    <w:rsid w:val="000D7505"/>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BE8"/>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D1"/>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DFF"/>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A77"/>
    <w:rsid w:val="001E7C47"/>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7A"/>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4A"/>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47FB0"/>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A0"/>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0E"/>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3B3"/>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3"/>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B6D"/>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4F"/>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B3"/>
    <w:rsid w:val="003810ED"/>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BB"/>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4D8"/>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1F37"/>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B92"/>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03"/>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2C"/>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033"/>
    <w:rsid w:val="00447301"/>
    <w:rsid w:val="0044733C"/>
    <w:rsid w:val="00447456"/>
    <w:rsid w:val="004474C0"/>
    <w:rsid w:val="00447555"/>
    <w:rsid w:val="004475AF"/>
    <w:rsid w:val="00447611"/>
    <w:rsid w:val="00447658"/>
    <w:rsid w:val="0044767F"/>
    <w:rsid w:val="004476B2"/>
    <w:rsid w:val="004476C7"/>
    <w:rsid w:val="00447800"/>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8ED"/>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1E"/>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A6"/>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6"/>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5E5"/>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0BE"/>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64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87"/>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1F9"/>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A5"/>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EC2"/>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B77"/>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E71"/>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47"/>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5F2"/>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58"/>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A27"/>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5D6"/>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63"/>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1DB"/>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04"/>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4FA"/>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1BD"/>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92"/>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B7"/>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DC0"/>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05B"/>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E07"/>
    <w:rsid w:val="00996F8A"/>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BAB"/>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16"/>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0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C7"/>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DFC"/>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2F"/>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98"/>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3A"/>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3D"/>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0C"/>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56"/>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21"/>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78"/>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23"/>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6E5"/>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1B"/>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FC"/>
    <w:rsid w:val="00D06A56"/>
    <w:rsid w:val="00D06C10"/>
    <w:rsid w:val="00D06C77"/>
    <w:rsid w:val="00D06C9A"/>
    <w:rsid w:val="00D06CC8"/>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4FDE"/>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2C9"/>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70"/>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4E"/>
    <w:rsid w:val="00DD7CCD"/>
    <w:rsid w:val="00DD7D30"/>
    <w:rsid w:val="00DD7D3B"/>
    <w:rsid w:val="00DD7D97"/>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0F6"/>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2"/>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BF7"/>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79"/>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3"/>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AC"/>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8D"/>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B4"/>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F6477D"/>
    <w:pPr>
      <w:tabs>
        <w:tab w:val="center" w:pos="4252"/>
        <w:tab w:val="right" w:pos="8504"/>
      </w:tabs>
    </w:pPr>
  </w:style>
  <w:style w:type="paragraph" w:styleId="Piedepgina">
    <w:name w:val="footer"/>
    <w:basedOn w:val="Normal"/>
    <w:link w:val="PiedepginaCar"/>
    <w:uiPriority w:val="99"/>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uiPriority w:val="99"/>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uiPriority w:val="99"/>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ealinstitutoelcano.org/wps/wcm/connect/4f21fe0047693a85aff8efa6f6757d0d/Comentario-Steinberg-Apuntes-sobre-la-deuda-de-Grecia.pdf?MOD=AJPERES&amp;CACHEID=4f21fe0047693a85aff8efa6f6757d0d" TargetMode="External"/><Relationship Id="rId18" Type="http://schemas.openxmlformats.org/officeDocument/2006/relationships/image" Target="media/image4.emf"/><Relationship Id="rId26" Type="http://schemas.openxmlformats.org/officeDocument/2006/relationships/hyperlink" Target="http://www.bde.es/f/webbde/SES/Secciones/Publicaciones/PublicacionesBCE/BoletinEconomicoBCE/02/Fich/bebce1502-1.pdf" TargetMode="External"/><Relationship Id="rId21" Type="http://schemas.openxmlformats.org/officeDocument/2006/relationships/hyperlink" Target="http://www.bde.es/f/webbde/SES/Secciones/Publicaciones/PublicacionesBCE/BoletinEconomicoBCE/02/Fich/bebce1502-1.pdf" TargetMode="External"/><Relationship Id="rId34" Type="http://schemas.openxmlformats.org/officeDocument/2006/relationships/hyperlink" Target="http://www.imf.org/external/Pubs/FT/fandd/spa/2015/03/pdf/gaspar.pdf"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www.project-syndicate.org/commentary/europe-prosperity-obstacles-by-michael-boskin-2015-02/spanish" TargetMode="External"/><Relationship Id="rId25" Type="http://schemas.openxmlformats.org/officeDocument/2006/relationships/image" Target="media/image9.emf"/><Relationship Id="rId33" Type="http://schemas.openxmlformats.org/officeDocument/2006/relationships/hyperlink" Target="http://www.realinstitutoelcano.org/wps/wcm/connect/7010908047768524b3c3f7a6f6757d0d/ARI13-2015-MartinezRollan-amanecer-emergente-ascenso-economico-Lejano-Oriente-consecuencias-orden-economico-internacional.pdf?MOD=AJPERES&amp;CACHEID=7010908047768524b3c3f7a6f6757d0d"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project-syndicate.org/commentary/germany-economic-progress-policymaking-by-j-rgen-jeske-2015-02/spanish" TargetMode="External"/><Relationship Id="rId20" Type="http://schemas.openxmlformats.org/officeDocument/2006/relationships/hyperlink" Target="http://www.imf.org/external/Pubs/FT/fandd/spa/2015/03/pdf/banerji.pdf" TargetMode="External"/><Relationship Id="rId29" Type="http://schemas.openxmlformats.org/officeDocument/2006/relationships/hyperlink" Target="https://www.bbvaresearch.com/wp-content/uploads/pdf/3220_66266.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hyperlink" Target="http://lat.wsj.com/articles/SB11510606106913573387904580499953866184166?tesla=y"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forbes.com.mx/grecia-con-un-pie-fuera-de-la-eurozona/" TargetMode="External"/><Relationship Id="rId23" Type="http://schemas.openxmlformats.org/officeDocument/2006/relationships/image" Target="media/image7.emf"/><Relationship Id="rId28" Type="http://schemas.openxmlformats.org/officeDocument/2006/relationships/hyperlink" Target="https://www.bbvaresearch.com/wp-content/uploads/2015/03/EW_marzo15_esp_vAGS_vMJ-13.pdf" TargetMode="External"/><Relationship Id="rId36" Type="http://schemas.openxmlformats.org/officeDocument/2006/relationships/header" Target="header2.xml"/><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hyperlink" Target="http://lat.wsj.com/articles/SB10722811844060803467804580506630343386578?tesla=y" TargetMode="External"/><Relationship Id="rId4" Type="http://schemas.openxmlformats.org/officeDocument/2006/relationships/settings" Target="settings.xml"/><Relationship Id="rId9" Type="http://schemas.openxmlformats.org/officeDocument/2006/relationships/hyperlink" Target="http://www.forbes.com.mx/4-caminos-espinosos-para-grecia-y-la-zona-euro/" TargetMode="External"/><Relationship Id="rId14" Type="http://schemas.openxmlformats.org/officeDocument/2006/relationships/hyperlink" Target="http://www.project-syndicate.org/commentary/greece-eurozone-breakup-by-alberto-bagnai-et-al-2015-02/spanish" TargetMode="External"/><Relationship Id="rId22" Type="http://schemas.openxmlformats.org/officeDocument/2006/relationships/image" Target="media/image6.emf"/><Relationship Id="rId27" Type="http://schemas.openxmlformats.org/officeDocument/2006/relationships/hyperlink" Target="http://www.project-syndicate.org/commentary/europe-deflation-good-news-by-daniel-gros-2015-03/spanish" TargetMode="External"/><Relationship Id="rId30" Type="http://schemas.openxmlformats.org/officeDocument/2006/relationships/image" Target="media/image10.emf"/><Relationship Id="rId35" Type="http://schemas.openxmlformats.org/officeDocument/2006/relationships/header" Target="header1.xml"/><Relationship Id="rId8" Type="http://schemas.openxmlformats.org/officeDocument/2006/relationships/hyperlink" Target="https://www.bbvaresearch.com/wp-content/uploads/pdf/3220_65337.pdf"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www.ecb.europa.eu/pub/pdf/other/ecbstaffprojections2015.en.pdf"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C008E-5C8F-4295-8420-D19755F6E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86</Pages>
  <Words>23682</Words>
  <Characters>130253</Characters>
  <Application>Microsoft Office Word</Application>
  <DocSecurity>0</DocSecurity>
  <Lines>1085</Lines>
  <Paragraphs>307</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153628</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15</cp:revision>
  <cp:lastPrinted>2015-03-24T14:40:00Z</cp:lastPrinted>
  <dcterms:created xsi:type="dcterms:W3CDTF">2015-03-23T20:55:00Z</dcterms:created>
  <dcterms:modified xsi:type="dcterms:W3CDTF">2015-03-24T22:42:00Z</dcterms:modified>
</cp:coreProperties>
</file>